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spacing w:before="100"/>
        <w:ind w:left="2330"/>
      </w:pPr>
      <w:r>
        <w:rPr>
          <w:w w:val="125"/>
        </w:rPr>
        <w:t>53/2016. (XII. 21.) NGM rendelet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41"/>
        </w:rPr>
      </w:pPr>
    </w:p>
    <w:p>
      <w:pPr>
        <w:spacing w:line="223" w:lineRule="auto" w:before="0"/>
        <w:ind w:left="624" w:right="62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115"/>
          <w:sz w:val="28"/>
        </w:rPr>
        <w:t>a pénzügyi szolgáltatást közvetítő előzetes tájékoztatási kötelezettségeinek általános szabályairól</w:t>
      </w:r>
    </w:p>
    <w:p>
      <w:pPr>
        <w:pStyle w:val="BodyText"/>
        <w:spacing w:line="225" w:lineRule="auto" w:before="231"/>
        <w:ind w:right="107"/>
      </w:pPr>
      <w:r>
        <w:rPr>
          <w:w w:val="125"/>
        </w:rPr>
        <w:t>A</w:t>
      </w:r>
      <w:r>
        <w:rPr>
          <w:spacing w:val="-14"/>
          <w:w w:val="125"/>
        </w:rPr>
        <w:t> </w:t>
      </w:r>
      <w:r>
        <w:rPr>
          <w:w w:val="125"/>
        </w:rPr>
        <w:t>hitelintézetekről</w:t>
      </w:r>
      <w:r>
        <w:rPr>
          <w:spacing w:val="-14"/>
          <w:w w:val="125"/>
        </w:rPr>
        <w:t> </w:t>
      </w:r>
      <w:r>
        <w:rPr>
          <w:w w:val="125"/>
        </w:rPr>
        <w:t>és</w:t>
      </w:r>
      <w:r>
        <w:rPr>
          <w:spacing w:val="-14"/>
          <w:w w:val="125"/>
        </w:rPr>
        <w:t> </w:t>
      </w:r>
      <w:r>
        <w:rPr>
          <w:w w:val="125"/>
        </w:rPr>
        <w:t>a</w:t>
      </w:r>
      <w:r>
        <w:rPr>
          <w:spacing w:val="-14"/>
          <w:w w:val="125"/>
        </w:rPr>
        <w:t> </w:t>
      </w:r>
      <w:r>
        <w:rPr>
          <w:w w:val="125"/>
        </w:rPr>
        <w:t>pénzügyi</w:t>
      </w:r>
      <w:r>
        <w:rPr>
          <w:spacing w:val="-14"/>
          <w:w w:val="125"/>
        </w:rPr>
        <w:t> </w:t>
      </w:r>
      <w:r>
        <w:rPr>
          <w:w w:val="125"/>
        </w:rPr>
        <w:t>vállalkozásokról</w:t>
      </w:r>
      <w:r>
        <w:rPr>
          <w:spacing w:val="-14"/>
          <w:w w:val="125"/>
        </w:rPr>
        <w:t> </w:t>
      </w:r>
      <w:r>
        <w:rPr>
          <w:w w:val="125"/>
        </w:rPr>
        <w:t>szóló</w:t>
      </w:r>
      <w:r>
        <w:rPr>
          <w:spacing w:val="-14"/>
          <w:w w:val="125"/>
        </w:rPr>
        <w:t> </w:t>
      </w:r>
      <w:r>
        <w:rPr>
          <w:w w:val="125"/>
        </w:rPr>
        <w:t>2013.</w:t>
      </w:r>
      <w:r>
        <w:rPr>
          <w:spacing w:val="-14"/>
          <w:w w:val="125"/>
        </w:rPr>
        <w:t> </w:t>
      </w:r>
      <w:r>
        <w:rPr>
          <w:w w:val="125"/>
        </w:rPr>
        <w:t>évi</w:t>
      </w:r>
      <w:r>
        <w:rPr>
          <w:spacing w:val="-14"/>
          <w:w w:val="125"/>
        </w:rPr>
        <w:t> </w:t>
      </w:r>
      <w:r>
        <w:rPr>
          <w:w w:val="125"/>
        </w:rPr>
        <w:t>CCXXXVII. törvény 290. § (2) bekezdés </w:t>
      </w:r>
      <w:r>
        <w:rPr>
          <w:i/>
          <w:w w:val="125"/>
        </w:rPr>
        <w:t>c) </w:t>
      </w:r>
      <w:r>
        <w:rPr>
          <w:w w:val="125"/>
        </w:rPr>
        <w:t>pontjában kapott felhatalmazás alapján, a Kormány tagjainak feladat- és hatásköréről szóló 152/2014. (VI. 6.) Korm. rendelet 90. § 14. pontjában meghatározott feladatkörömben eljárva, a következőket rendelem</w:t>
      </w:r>
      <w:r>
        <w:rPr>
          <w:spacing w:val="1"/>
          <w:w w:val="125"/>
        </w:rPr>
        <w:t> </w:t>
      </w:r>
      <w:r>
        <w:rPr>
          <w:w w:val="125"/>
        </w:rPr>
        <w:t>el:</w:t>
      </w:r>
    </w:p>
    <w:p>
      <w:pPr>
        <w:pStyle w:val="BodyText"/>
        <w:spacing w:line="257" w:lineRule="exact"/>
        <w:ind w:left="317" w:firstLine="0"/>
        <w:jc w:val="left"/>
      </w:pPr>
      <w:r>
        <w:rPr>
          <w:rFonts w:ascii="Arial" w:hAnsi="Arial"/>
          <w:b/>
          <w:w w:val="125"/>
        </w:rPr>
        <w:t>1. § </w:t>
      </w:r>
      <w:r>
        <w:rPr>
          <w:w w:val="125"/>
        </w:rPr>
        <w:t>E rendelet alkalmazásában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25" w:lineRule="auto" w:before="5" w:after="0"/>
        <w:ind w:left="113" w:right="107" w:firstLine="204"/>
        <w:jc w:val="both"/>
        <w:rPr>
          <w:sz w:val="24"/>
        </w:rPr>
      </w:pPr>
      <w:r>
        <w:rPr>
          <w:i/>
          <w:w w:val="125"/>
          <w:sz w:val="24"/>
        </w:rPr>
        <w:t>független közvetítő: </w:t>
      </w:r>
      <w:r>
        <w:rPr>
          <w:w w:val="125"/>
          <w:sz w:val="24"/>
        </w:rPr>
        <w:t>a hitelintézetekről és a pénzügyi  vállalkozásokról szóló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2013.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évi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CCXXXVII.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törvény</w:t>
      </w:r>
      <w:r>
        <w:rPr>
          <w:spacing w:val="-15"/>
          <w:w w:val="125"/>
          <w:sz w:val="24"/>
        </w:rPr>
        <w:t> </w:t>
      </w:r>
      <w:r>
        <w:rPr>
          <w:w w:val="125"/>
          <w:sz w:val="24"/>
        </w:rPr>
        <w:t>(a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továbbiakban: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Hpt.)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10.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§</w:t>
      </w:r>
      <w:r>
        <w:rPr>
          <w:spacing w:val="-11"/>
          <w:w w:val="125"/>
          <w:sz w:val="24"/>
        </w:rPr>
        <w:t> </w:t>
      </w:r>
      <w:r>
        <w:rPr>
          <w:w w:val="125"/>
          <w:sz w:val="24"/>
        </w:rPr>
        <w:t>(1)</w:t>
      </w:r>
      <w:r>
        <w:rPr>
          <w:spacing w:val="-25"/>
          <w:w w:val="125"/>
          <w:sz w:val="24"/>
        </w:rPr>
        <w:t> </w:t>
      </w:r>
      <w:r>
        <w:rPr>
          <w:w w:val="125"/>
          <w:sz w:val="24"/>
        </w:rPr>
        <w:t>bekezdés</w:t>
      </w:r>
      <w:r>
        <w:rPr>
          <w:spacing w:val="-14"/>
          <w:w w:val="125"/>
          <w:sz w:val="24"/>
        </w:rPr>
        <w:t> </w:t>
      </w:r>
      <w:r>
        <w:rPr>
          <w:i/>
          <w:w w:val="125"/>
          <w:sz w:val="24"/>
        </w:rPr>
        <w:t>b) </w:t>
      </w:r>
      <w:r>
        <w:rPr>
          <w:w w:val="125"/>
          <w:sz w:val="24"/>
        </w:rPr>
        <w:t>pontjában meghatározott független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közvetítő;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25" w:lineRule="auto" w:before="2" w:after="0"/>
        <w:ind w:left="113" w:right="105" w:firstLine="204"/>
        <w:jc w:val="both"/>
        <w:rPr>
          <w:sz w:val="24"/>
        </w:rPr>
      </w:pPr>
      <w:r>
        <w:rPr>
          <w:i/>
          <w:w w:val="125"/>
          <w:sz w:val="24"/>
        </w:rPr>
        <w:t>függő közvetítő: </w:t>
      </w:r>
      <w:r>
        <w:rPr>
          <w:w w:val="125"/>
          <w:sz w:val="24"/>
        </w:rPr>
        <w:t>a Hpt. 10. § (1) bekezdés </w:t>
      </w:r>
      <w:r>
        <w:rPr>
          <w:i/>
          <w:w w:val="125"/>
          <w:sz w:val="24"/>
        </w:rPr>
        <w:t>a) </w:t>
      </w:r>
      <w:r>
        <w:rPr>
          <w:w w:val="125"/>
          <w:sz w:val="24"/>
        </w:rPr>
        <w:t>pontjában meghatározott függő közvetítő.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25" w:lineRule="auto" w:before="0" w:after="0"/>
        <w:ind w:left="113" w:right="108" w:firstLine="204"/>
        <w:jc w:val="both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 A független közvetítő a pénzügyi szolgáltatás közvetítését megelőzően a pénzügyi szolgáltatást igénybe venni szándékozó fogyasztó részére írásban vagy más tartós adathordozón igazolható módon egyértelmű tájékoztatást ad: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25" w:lineRule="auto" w:before="3" w:after="0"/>
        <w:ind w:left="113" w:right="104" w:firstLine="204"/>
        <w:jc w:val="both"/>
        <w:rPr>
          <w:sz w:val="24"/>
        </w:rPr>
      </w:pPr>
      <w:r>
        <w:rPr>
          <w:w w:val="125"/>
          <w:sz w:val="24"/>
        </w:rPr>
        <w:t>a cég nevéről, székhelyéről, levelezési címéről, felügyeleti hatóságának megjelöléséről,</w:t>
      </w:r>
    </w:p>
    <w:p>
      <w:pPr>
        <w:pStyle w:val="ListParagraph"/>
        <w:numPr>
          <w:ilvl w:val="0"/>
          <w:numId w:val="3"/>
        </w:numPr>
        <w:tabs>
          <w:tab w:pos="731" w:val="left" w:leader="none"/>
        </w:tabs>
        <w:spacing w:line="225" w:lineRule="auto" w:before="1" w:after="0"/>
        <w:ind w:left="113" w:right="103" w:firstLine="204"/>
        <w:jc w:val="both"/>
        <w:rPr>
          <w:sz w:val="24"/>
        </w:rPr>
      </w:pPr>
      <w:r>
        <w:rPr>
          <w:w w:val="130"/>
          <w:sz w:val="24"/>
        </w:rPr>
        <w:t>a felügyeleti nyilvántartásról, amelyben szerepel, és annak módjáról,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ahogyan nyilvántartását ellenőrizni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lehet,</w:t>
      </w:r>
    </w:p>
    <w:p>
      <w:pPr>
        <w:pStyle w:val="ListParagraph"/>
        <w:numPr>
          <w:ilvl w:val="0"/>
          <w:numId w:val="3"/>
        </w:numPr>
        <w:tabs>
          <w:tab w:pos="676" w:val="left" w:leader="none"/>
        </w:tabs>
        <w:spacing w:line="225" w:lineRule="auto" w:before="1" w:after="0"/>
        <w:ind w:left="113" w:right="110" w:firstLine="204"/>
        <w:jc w:val="both"/>
        <w:rPr>
          <w:sz w:val="24"/>
        </w:rPr>
      </w:pPr>
      <w:r>
        <w:rPr>
          <w:w w:val="130"/>
          <w:sz w:val="24"/>
        </w:rPr>
        <w:t>arról, hogy a tevékenysége során okozott kárért a fogyasztó felé ki áll helyt,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25" w:lineRule="auto" w:before="1" w:after="0"/>
        <w:ind w:left="113" w:right="106" w:firstLine="204"/>
        <w:jc w:val="both"/>
        <w:rPr>
          <w:sz w:val="24"/>
        </w:rPr>
      </w:pPr>
      <w:r>
        <w:rPr>
          <w:w w:val="130"/>
          <w:sz w:val="24"/>
        </w:rPr>
        <w:t>arról, hogy többes kiemelt közvetítőként, többes ügynökként a pénzügyi intézmény megbízásából jár el a pénzügyi intézmény vagy a pénzügyi intézmények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nevének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feltüntetésével,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alkuszként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pénzügyi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szolgáltatást igénybe venni szándékozó fogyasztó megbízásából jár</w:t>
      </w:r>
      <w:r>
        <w:rPr>
          <w:spacing w:val="-53"/>
          <w:w w:val="130"/>
          <w:sz w:val="24"/>
        </w:rPr>
        <w:t> </w:t>
      </w:r>
      <w:r>
        <w:rPr>
          <w:w w:val="130"/>
          <w:sz w:val="24"/>
        </w:rPr>
        <w:t>el,</w:t>
      </w:r>
    </w:p>
    <w:p>
      <w:pPr>
        <w:pStyle w:val="ListParagraph"/>
        <w:numPr>
          <w:ilvl w:val="0"/>
          <w:numId w:val="3"/>
        </w:numPr>
        <w:tabs>
          <w:tab w:pos="629" w:val="left" w:leader="none"/>
        </w:tabs>
        <w:spacing w:line="257" w:lineRule="exact" w:before="0" w:after="0"/>
        <w:ind w:left="628" w:right="0" w:hanging="311"/>
        <w:jc w:val="left"/>
        <w:rPr>
          <w:sz w:val="24"/>
        </w:rPr>
      </w:pPr>
      <w:r>
        <w:rPr>
          <w:w w:val="130"/>
          <w:sz w:val="24"/>
        </w:rPr>
        <w:t>arról, hogy nyújt-e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hiteltanácsadást,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25" w:lineRule="auto" w:before="5" w:after="0"/>
        <w:ind w:left="113" w:right="113" w:firstLine="204"/>
        <w:jc w:val="both"/>
        <w:rPr>
          <w:sz w:val="24"/>
        </w:rPr>
      </w:pPr>
      <w:r>
        <w:rPr>
          <w:w w:val="130"/>
          <w:sz w:val="24"/>
        </w:rPr>
        <w:t>arról,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hogy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pénzügyi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szolgáltatás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közvetítéséért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közvetítői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díjat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kizárólag a megbízótól fogadhat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el,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25" w:lineRule="auto" w:before="2" w:after="0"/>
        <w:ind w:left="113" w:right="115" w:firstLine="204"/>
        <w:jc w:val="both"/>
        <w:rPr>
          <w:sz w:val="24"/>
        </w:rPr>
      </w:pPr>
      <w:r>
        <w:rPr>
          <w:w w:val="125"/>
          <w:sz w:val="24"/>
        </w:rPr>
        <w:t>többes kiemelt közvetítőként és többes ügynökként arról, hogy a megbízó pénzügyi intézménytől kap-e közvetítői díjat, és</w:t>
      </w:r>
    </w:p>
    <w:p>
      <w:pPr>
        <w:pStyle w:val="BodyText"/>
        <w:spacing w:line="256" w:lineRule="exact"/>
        <w:ind w:left="317" w:firstLine="0"/>
        <w:jc w:val="left"/>
      </w:pPr>
      <w:r>
        <w:rPr>
          <w:i/>
          <w:w w:val="130"/>
        </w:rPr>
        <w:t>ga) </w:t>
      </w:r>
      <w:r>
        <w:rPr>
          <w:w w:val="130"/>
        </w:rPr>
        <w:t>ha ismert, annak összegéről,</w:t>
      </w:r>
    </w:p>
    <w:p>
      <w:pPr>
        <w:pStyle w:val="BodyText"/>
        <w:spacing w:line="225" w:lineRule="auto" w:before="5"/>
        <w:ind w:right="113"/>
      </w:pPr>
      <w:r>
        <w:rPr>
          <w:i/>
          <w:w w:val="130"/>
        </w:rPr>
        <w:t>gb) </w:t>
      </w:r>
      <w:r>
        <w:rPr>
          <w:w w:val="130"/>
        </w:rPr>
        <w:t>ha nem ismert a tájékoztatás időpontjában, jelzáloghitel közvetítése esetén arról, hogy a tényleges díj a személyre szóló tájékoztatóban fog szerepelni,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25" w:lineRule="auto" w:before="2" w:after="0"/>
        <w:ind w:left="113" w:right="107" w:firstLine="204"/>
        <w:jc w:val="both"/>
        <w:rPr>
          <w:sz w:val="24"/>
        </w:rPr>
      </w:pPr>
      <w:r>
        <w:rPr>
          <w:w w:val="130"/>
          <w:sz w:val="24"/>
        </w:rPr>
        <w:t>alkuszként a fogyasztó által fizetendő közvetítői díjról, ha annak megadása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másként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lehetséges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díj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kiszámításának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módjáról,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25" w:lineRule="auto" w:before="1" w:after="0"/>
        <w:ind w:left="113" w:right="121" w:firstLine="204"/>
        <w:jc w:val="both"/>
        <w:rPr>
          <w:sz w:val="24"/>
        </w:rPr>
      </w:pPr>
      <w:r>
        <w:rPr>
          <w:w w:val="130"/>
          <w:sz w:val="24"/>
        </w:rPr>
        <w:t>adott esetben a közvetítővel kapcsolatos panasz kezeléséről, valamint a Pénzügyi Békéltető Testület eljárásának igénybevételére vonatkozó lehetőségről,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valamint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25" w:lineRule="auto" w:before="2" w:after="0"/>
        <w:ind w:left="113" w:right="110" w:firstLine="204"/>
        <w:jc w:val="both"/>
        <w:rPr>
          <w:sz w:val="24"/>
        </w:rPr>
      </w:pPr>
      <w:r>
        <w:rPr>
          <w:w w:val="125"/>
          <w:sz w:val="24"/>
        </w:rPr>
        <w:t>arról, hogy a pénzügyi szolgáltatás közvetítését igénybe vevő fogyasztó számára más - pénzügyi szolgáltatás közvetítésének nem minősülő - szolgáltatása ellenértékeként díjat számít-e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fel.</w:t>
      </w:r>
    </w:p>
    <w:p>
      <w:pPr>
        <w:spacing w:after="0" w:line="225" w:lineRule="auto"/>
        <w:jc w:val="both"/>
        <w:rPr>
          <w:sz w:val="24"/>
        </w:rPr>
        <w:sectPr>
          <w:headerReference w:type="default" r:id="rId5"/>
          <w:type w:val="continuous"/>
          <w:pgSz w:w="11900" w:h="16820"/>
          <w:pgMar w:header="1104" w:top="1840" w:bottom="280" w:left="1020" w:right="102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900" w:val="left" w:leader="none"/>
        </w:tabs>
        <w:spacing w:line="225" w:lineRule="auto" w:before="173" w:after="0"/>
        <w:ind w:left="113" w:right="107" w:firstLine="204"/>
        <w:jc w:val="both"/>
        <w:rPr>
          <w:sz w:val="24"/>
        </w:rPr>
      </w:pPr>
      <w:r>
        <w:rPr>
          <w:w w:val="130"/>
          <w:sz w:val="24"/>
        </w:rPr>
        <w:t>Pénzügyi intézménytől díjazásban részesülő független közvetítő a fogyasztó kérésére tájékoztatást ad arról, hogy mennyiben tér el egymástól a fogyasztónak kínált hiteleket nyújtó pénzügyi intézmények által fizetendő díjazás</w:t>
      </w:r>
      <w:r>
        <w:rPr>
          <w:spacing w:val="-3"/>
          <w:w w:val="130"/>
          <w:sz w:val="24"/>
        </w:rPr>
        <w:t> </w:t>
      </w:r>
      <w:r>
        <w:rPr>
          <w:w w:val="130"/>
          <w:sz w:val="24"/>
        </w:rPr>
        <w:t>mértéke.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25" w:lineRule="auto" w:before="2" w:after="0"/>
        <w:ind w:left="113" w:right="113" w:firstLine="204"/>
        <w:jc w:val="both"/>
        <w:rPr>
          <w:sz w:val="24"/>
        </w:rPr>
      </w:pPr>
      <w:r>
        <w:rPr>
          <w:w w:val="130"/>
          <w:sz w:val="24"/>
        </w:rPr>
        <w:t>A független közvetítő köteles a fogyasztót tájékoztatni arról, hogy jogosult a (2) bekezdés szerinti tájékoztatást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kérni.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25" w:lineRule="auto" w:before="0" w:after="0"/>
        <w:ind w:left="113" w:right="109" w:firstLine="204"/>
        <w:jc w:val="both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 A (2) bekezdésben meghatározott eset kivételével a független közvetítő - ide nem értve az alkuszt - a pénzügyi szolgáltatási szerződés megkötésének elősegítése során a fogyasztónak kielégítő mennyiségű, de  - ha  a piacon hozzáférhető - legalább három szolgáltató versengő szolgáltatásnak minősülő ajánlatát elemzi és igazolható módon írásban vagy más tartós adathordozón átadja.</w:t>
      </w:r>
    </w:p>
    <w:p>
      <w:pPr>
        <w:pStyle w:val="ListParagraph"/>
        <w:numPr>
          <w:ilvl w:val="0"/>
          <w:numId w:val="5"/>
        </w:numPr>
        <w:tabs>
          <w:tab w:pos="757" w:val="left" w:leader="none"/>
        </w:tabs>
        <w:spacing w:line="225" w:lineRule="auto" w:before="4" w:after="0"/>
        <w:ind w:left="113" w:right="116" w:firstLine="204"/>
        <w:jc w:val="both"/>
        <w:rPr>
          <w:sz w:val="24"/>
        </w:rPr>
      </w:pPr>
      <w:r>
        <w:rPr>
          <w:w w:val="130"/>
          <w:sz w:val="24"/>
        </w:rPr>
        <w:t>Ha a független közvetítő kizárólag kettő versengő szolgáltatást</w:t>
      </w:r>
      <w:r>
        <w:rPr>
          <w:spacing w:val="-50"/>
          <w:w w:val="130"/>
          <w:sz w:val="24"/>
        </w:rPr>
        <w:t> </w:t>
      </w:r>
      <w:r>
        <w:rPr>
          <w:w w:val="130"/>
          <w:sz w:val="24"/>
        </w:rPr>
        <w:t>közvetít, akkor kettő ajánlatot elemez és ad át a</w:t>
      </w:r>
      <w:r>
        <w:rPr>
          <w:spacing w:val="-44"/>
          <w:w w:val="130"/>
          <w:sz w:val="24"/>
        </w:rPr>
        <w:t> </w:t>
      </w:r>
      <w:r>
        <w:rPr>
          <w:w w:val="130"/>
          <w:sz w:val="24"/>
        </w:rPr>
        <w:t>fogyasztónak.</w:t>
      </w:r>
    </w:p>
    <w:p>
      <w:pPr>
        <w:pStyle w:val="ListParagraph"/>
        <w:numPr>
          <w:ilvl w:val="0"/>
          <w:numId w:val="5"/>
        </w:numPr>
        <w:tabs>
          <w:tab w:pos="759" w:val="left" w:leader="none"/>
        </w:tabs>
        <w:spacing w:line="225" w:lineRule="auto" w:before="1" w:after="0"/>
        <w:ind w:left="113" w:right="110" w:firstLine="204"/>
        <w:jc w:val="both"/>
        <w:rPr>
          <w:sz w:val="24"/>
        </w:rPr>
      </w:pPr>
      <w:r>
        <w:rPr>
          <w:w w:val="125"/>
          <w:sz w:val="24"/>
        </w:rPr>
        <w:t>A pénzügyi szolgáltatás közvetítését megelőzően a független közvetítő a fogyasztó tájékoztatása alapján felméri a fogyasztó igényeit és szükségleteit, valamint azokat az indokokat, amelyek a független közvetítő által e tevékenységével összefüggésben adott tanácsot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alátámasztják.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25" w:lineRule="auto" w:before="2" w:after="0"/>
        <w:ind w:left="113" w:right="107" w:firstLine="204"/>
        <w:jc w:val="both"/>
        <w:rPr>
          <w:sz w:val="24"/>
        </w:rPr>
      </w:pPr>
      <w:r>
        <w:rPr>
          <w:w w:val="130"/>
          <w:sz w:val="24"/>
        </w:rPr>
        <w:t>Az alkusz a pénzügyi szolgáltatás megkötésének elősegítése során</w:t>
      </w:r>
      <w:r>
        <w:rPr>
          <w:spacing w:val="-55"/>
          <w:w w:val="130"/>
          <w:sz w:val="24"/>
        </w:rPr>
        <w:t> </w:t>
      </w:r>
      <w:r>
        <w:rPr>
          <w:w w:val="130"/>
          <w:sz w:val="24"/>
        </w:rPr>
        <w:t>feltár és elemez minden olyan lehetséges ajánlatot, amely a fogyasztó céljainak elérésére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alkalmas.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</w:tabs>
        <w:spacing w:line="225" w:lineRule="auto" w:before="2" w:after="0"/>
        <w:ind w:left="113" w:right="115" w:firstLine="204"/>
        <w:jc w:val="both"/>
        <w:rPr>
          <w:sz w:val="24"/>
        </w:rPr>
      </w:pPr>
      <w:r>
        <w:rPr>
          <w:w w:val="125"/>
          <w:sz w:val="24"/>
        </w:rPr>
        <w:t>A többes ügynök és az alkusz felelős a téves tanácsadásért, az iratok és a nyilatkozatok késedelmes</w:t>
      </w:r>
      <w:r>
        <w:rPr>
          <w:spacing w:val="3"/>
          <w:w w:val="125"/>
          <w:sz w:val="24"/>
        </w:rPr>
        <w:t> </w:t>
      </w:r>
      <w:r>
        <w:rPr>
          <w:w w:val="125"/>
          <w:sz w:val="24"/>
        </w:rPr>
        <w:t>továbbításáért.</w:t>
      </w: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25" w:lineRule="auto" w:before="0" w:after="0"/>
        <w:ind w:left="113" w:right="112" w:firstLine="204"/>
        <w:jc w:val="both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A függő közvetítő a pénzügyi szolgáltatás közvetítését megelőzően a fogyasztó részére írásban vagy más tartós adathordozón igazolható módon tájékoztatást ad:</w:t>
      </w:r>
    </w:p>
    <w:p>
      <w:pPr>
        <w:pStyle w:val="ListParagraph"/>
        <w:numPr>
          <w:ilvl w:val="0"/>
          <w:numId w:val="6"/>
        </w:numPr>
        <w:tabs>
          <w:tab w:pos="650" w:val="left" w:leader="none"/>
        </w:tabs>
        <w:spacing w:line="225" w:lineRule="auto" w:before="2" w:after="0"/>
        <w:ind w:left="113" w:right="105" w:firstLine="204"/>
        <w:jc w:val="both"/>
        <w:rPr>
          <w:sz w:val="24"/>
        </w:rPr>
      </w:pPr>
      <w:r>
        <w:rPr>
          <w:w w:val="125"/>
          <w:sz w:val="24"/>
        </w:rPr>
        <w:t>a cég nevéről, székhelyéről, levelezési címéről és felügyeleti hatóságának megjelöléséről,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25" w:lineRule="auto" w:before="1" w:after="0"/>
        <w:ind w:left="113" w:right="103" w:firstLine="204"/>
        <w:jc w:val="both"/>
        <w:rPr>
          <w:sz w:val="24"/>
        </w:rPr>
      </w:pPr>
      <w:r>
        <w:rPr>
          <w:w w:val="130"/>
          <w:sz w:val="24"/>
        </w:rPr>
        <w:t>a felügyeleti nyilvántartásról, amelyben szerepel és annak módjáról, ahogyan nyilvántartását ellenőrizni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lehet,</w:t>
      </w:r>
    </w:p>
    <w:p>
      <w:pPr>
        <w:pStyle w:val="ListParagraph"/>
        <w:numPr>
          <w:ilvl w:val="0"/>
          <w:numId w:val="6"/>
        </w:numPr>
        <w:tabs>
          <w:tab w:pos="698" w:val="left" w:leader="none"/>
        </w:tabs>
        <w:spacing w:line="225" w:lineRule="auto" w:before="1" w:after="0"/>
        <w:ind w:left="113" w:right="110" w:firstLine="204"/>
        <w:jc w:val="both"/>
        <w:rPr>
          <w:sz w:val="24"/>
        </w:rPr>
      </w:pPr>
      <w:r>
        <w:rPr>
          <w:w w:val="130"/>
          <w:sz w:val="24"/>
        </w:rPr>
        <w:t>arról, hogy függő közvetítőként a megbízó nevében és javára jár el, a megbízó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érdekeit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képviseli</w:t>
      </w:r>
      <w:r>
        <w:rPr>
          <w:spacing w:val="-3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pénzügyi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intézmény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nevének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feltüntetésével,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25" w:lineRule="auto" w:before="1" w:after="0"/>
        <w:ind w:left="113" w:right="105" w:firstLine="204"/>
        <w:jc w:val="both"/>
        <w:rPr>
          <w:sz w:val="24"/>
        </w:rPr>
      </w:pPr>
      <w:r>
        <w:rPr>
          <w:w w:val="130"/>
          <w:sz w:val="24"/>
        </w:rPr>
        <w:t>arról, hogy a pénzügyi szolgáltatási szerződés megkötéséért közvetítői díjazásban részesül,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és</w:t>
      </w:r>
    </w:p>
    <w:p>
      <w:pPr>
        <w:pStyle w:val="BodyText"/>
        <w:spacing w:line="256" w:lineRule="exact"/>
        <w:ind w:left="317" w:firstLine="0"/>
        <w:jc w:val="left"/>
      </w:pPr>
      <w:r>
        <w:rPr>
          <w:i/>
          <w:w w:val="130"/>
        </w:rPr>
        <w:t>da) </w:t>
      </w:r>
      <w:r>
        <w:rPr>
          <w:w w:val="130"/>
        </w:rPr>
        <w:t>ha ismert, annak összegéről,</w:t>
      </w:r>
    </w:p>
    <w:p>
      <w:pPr>
        <w:pStyle w:val="BodyText"/>
        <w:spacing w:line="225" w:lineRule="auto" w:before="6"/>
        <w:ind w:right="113"/>
      </w:pPr>
      <w:r>
        <w:rPr>
          <w:i/>
          <w:w w:val="130"/>
        </w:rPr>
        <w:t>db) </w:t>
      </w:r>
      <w:r>
        <w:rPr>
          <w:w w:val="130"/>
        </w:rPr>
        <w:t>ha nem ismert a tájékoztatás időpontjában, jelzáloghitel közvetítése esetén arról, hogy a tényleges díj a személyre szóló tájékoztatóban fog szerepelni,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256" w:lineRule="exact" w:before="0" w:after="0"/>
        <w:ind w:left="628" w:right="0" w:hanging="311"/>
        <w:jc w:val="left"/>
        <w:rPr>
          <w:sz w:val="24"/>
        </w:rPr>
      </w:pPr>
      <w:r>
        <w:rPr>
          <w:w w:val="130"/>
          <w:sz w:val="24"/>
        </w:rPr>
        <w:t>arról, hogy nyújt-e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hiteltanácsadást,</w:t>
      </w:r>
    </w:p>
    <w:p>
      <w:pPr>
        <w:pStyle w:val="ListParagraph"/>
        <w:numPr>
          <w:ilvl w:val="0"/>
          <w:numId w:val="6"/>
        </w:numPr>
        <w:tabs>
          <w:tab w:pos="704" w:val="left" w:leader="none"/>
        </w:tabs>
        <w:spacing w:line="225" w:lineRule="auto" w:before="5" w:after="0"/>
        <w:ind w:left="113" w:right="120" w:firstLine="204"/>
        <w:jc w:val="both"/>
        <w:rPr>
          <w:sz w:val="24"/>
        </w:rPr>
      </w:pPr>
      <w:r>
        <w:rPr>
          <w:w w:val="130"/>
          <w:sz w:val="24"/>
        </w:rPr>
        <w:t>a közvetítővel kapcsolatos panasz kezeléséről, valamint a Pénzügyi Békéltető Testület eljárásának igénybevételére vonatkozó lehetőségről,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valamint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</w:tabs>
        <w:spacing w:line="225" w:lineRule="auto" w:before="2" w:after="0"/>
        <w:ind w:left="113" w:right="110" w:firstLine="204"/>
        <w:jc w:val="both"/>
        <w:rPr>
          <w:sz w:val="24"/>
        </w:rPr>
      </w:pPr>
      <w:r>
        <w:rPr>
          <w:w w:val="125"/>
          <w:sz w:val="24"/>
        </w:rPr>
        <w:t>arról, hogy a pénzügyi szolgáltatás közvetítését igénybe vevő fogyasztó számára más - pénzügyi szolgáltatás közvetítésének nem minősülő - szolgáltatása ellenértékeként díjat számít-e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fel.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64" w:lineRule="exact" w:before="0" w:after="0"/>
        <w:ind w:left="651" w:right="0" w:hanging="334"/>
        <w:jc w:val="left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Ez a rendelet 2017. január 1-jén lép</w:t>
      </w:r>
      <w:r>
        <w:rPr>
          <w:spacing w:val="9"/>
          <w:w w:val="125"/>
          <w:sz w:val="24"/>
        </w:rPr>
        <w:t> </w:t>
      </w:r>
      <w:r>
        <w:rPr>
          <w:w w:val="125"/>
          <w:sz w:val="24"/>
        </w:rPr>
        <w:t>hatályba.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272.638pt,9.482984pt" to="322.638pt,9.482984pt" stroked="true" strokeweight="1pt" strokecolor="#000000">
            <v:stroke dashstyle="solid"/>
            <w10:wrap type="topAndBottom"/>
          </v:line>
        </w:pict>
      </w:r>
    </w:p>
    <w:p>
      <w:pPr>
        <w:spacing w:after="0"/>
        <w:jc w:val="left"/>
        <w:rPr>
          <w:sz w:val="12"/>
        </w:rPr>
        <w:sectPr>
          <w:pgSz w:w="11900" w:h="16820"/>
          <w:pgMar w:header="1104" w:footer="0" w:top="1840" w:bottom="280" w:left="1020" w:right="1020"/>
        </w:sectPr>
      </w:pP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before="99"/>
        <w:ind w:left="3637" w:firstLine="0"/>
        <w:jc w:val="left"/>
      </w:pPr>
      <w:r>
        <w:rPr>
          <w:w w:val="110"/>
        </w:rPr>
        <w:t>TARTALOMJEGYZÉK</w:t>
      </w:r>
    </w:p>
    <w:p>
      <w:pPr>
        <w:pStyle w:val="BodyText"/>
        <w:tabs>
          <w:tab w:pos="8806" w:val="left" w:leader="none"/>
          <w:tab w:pos="9198" w:val="left" w:leader="none"/>
        </w:tabs>
        <w:spacing w:before="204"/>
        <w:ind w:left="513" w:firstLine="0"/>
        <w:jc w:val="left"/>
      </w:pPr>
      <w:r>
        <w:rPr>
          <w:w w:val="125"/>
        </w:rPr>
        <w:t>53/2016. (XII. 21.)</w:t>
      </w:r>
      <w:r>
        <w:rPr>
          <w:spacing w:val="-28"/>
          <w:w w:val="125"/>
        </w:rPr>
        <w:t> </w:t>
      </w:r>
      <w:r>
        <w:rPr>
          <w:w w:val="125"/>
        </w:rPr>
        <w:t>NGM</w:t>
      </w:r>
      <w:r>
        <w:rPr>
          <w:spacing w:val="-9"/>
          <w:w w:val="125"/>
        </w:rPr>
        <w:t> </w:t>
      </w:r>
      <w:r>
        <w:rPr>
          <w:w w:val="125"/>
        </w:rPr>
        <w:t>rendelet</w:t>
      </w:r>
      <w:r>
        <w:rPr>
          <w:w w:val="125"/>
          <w:u w:val="dotted"/>
        </w:rPr>
        <w:t> </w:t>
        <w:tab/>
      </w:r>
      <w:r>
        <w:rPr>
          <w:w w:val="125"/>
        </w:rPr>
        <w:tab/>
        <w:t>1</w:t>
      </w:r>
    </w:p>
    <w:p>
      <w:pPr>
        <w:pStyle w:val="BodyText"/>
        <w:tabs>
          <w:tab w:pos="8806" w:val="left" w:leader="none"/>
          <w:tab w:pos="9198" w:val="left" w:leader="none"/>
        </w:tabs>
        <w:spacing w:line="208" w:lineRule="auto" w:before="53"/>
        <w:ind w:left="513" w:right="506" w:firstLine="0"/>
        <w:jc w:val="left"/>
      </w:pPr>
      <w:r>
        <w:rPr>
          <w:w w:val="130"/>
        </w:rPr>
        <w:t>a pénzügyi szolgáltatást közvetítő előzetes tájékoztatási kötelezettségeinek</w:t>
      </w:r>
      <w:r>
        <w:rPr>
          <w:spacing w:val="-32"/>
          <w:w w:val="130"/>
        </w:rPr>
        <w:t> </w:t>
      </w:r>
      <w:r>
        <w:rPr>
          <w:w w:val="130"/>
        </w:rPr>
        <w:t>általános</w:t>
      </w:r>
      <w:r>
        <w:rPr>
          <w:spacing w:val="-31"/>
          <w:w w:val="130"/>
        </w:rPr>
        <w:t> </w:t>
      </w:r>
      <w:r>
        <w:rPr>
          <w:w w:val="130"/>
        </w:rPr>
        <w:t>szabályairól</w:t>
      </w:r>
      <w:r>
        <w:rPr>
          <w:w w:val="130"/>
          <w:u w:val="dotted"/>
        </w:rPr>
        <w:t> </w:t>
        <w:tab/>
      </w:r>
      <w:r>
        <w:rPr>
          <w:w w:val="130"/>
        </w:rPr>
        <w:tab/>
      </w:r>
      <w:r>
        <w:rPr>
          <w:spacing w:val="-17"/>
          <w:w w:val="130"/>
        </w:rPr>
        <w:t>1</w:t>
      </w:r>
    </w:p>
    <w:sectPr>
      <w:pgSz w:w="11900" w:h="16820"/>
      <w:pgMar w:header="1104" w:footer="0" w:top="18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3520" from="56.693001pt,91.803001pt" to="538.583001pt,91.803001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54.192318pt;width:432.35pt;height:32.6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4132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Frissítve: 2019. szeptember 10. 11:30 Hatály: 2017.I.1. -</w:t>
                </w:r>
              </w:p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5"/>
                    <w:sz w:val="18"/>
                  </w:rPr>
                  <w:t>Magyar</w:t>
                </w:r>
                <w:r>
                  <w:rPr>
                    <w:rFonts w:ascii="Arial" w:hAnsi="Arial"/>
                    <w:b/>
                    <w:spacing w:val="-26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joganyagok</w:t>
                </w:r>
                <w:r>
                  <w:rPr>
                    <w:rFonts w:ascii="Arial" w:hAnsi="Arial"/>
                    <w:b/>
                    <w:spacing w:val="-25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-</w:t>
                </w:r>
                <w:r>
                  <w:rPr>
                    <w:rFonts w:ascii="Arial" w:hAnsi="Arial"/>
                    <w:b/>
                    <w:spacing w:val="-26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53/2016.</w:t>
                </w:r>
                <w:r>
                  <w:rPr>
                    <w:rFonts w:ascii="Arial" w:hAnsi="Arial"/>
                    <w:b/>
                    <w:spacing w:val="-25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(XII.</w:t>
                </w:r>
                <w:r>
                  <w:rPr>
                    <w:rFonts w:ascii="Arial" w:hAnsi="Arial"/>
                    <w:b/>
                    <w:spacing w:val="-25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21.)</w:t>
                </w:r>
                <w:r>
                  <w:rPr>
                    <w:rFonts w:ascii="Arial" w:hAnsi="Arial"/>
                    <w:b/>
                    <w:spacing w:val="-26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NGM</w:t>
                </w:r>
                <w:r>
                  <w:rPr>
                    <w:rFonts w:ascii="Arial" w:hAnsi="Arial"/>
                    <w:b/>
                    <w:spacing w:val="-25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rendelet</w:t>
                </w:r>
                <w:r>
                  <w:rPr>
                    <w:rFonts w:ascii="Arial" w:hAnsi="Arial"/>
                    <w:b/>
                    <w:spacing w:val="12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-</w:t>
                </w:r>
                <w:r>
                  <w:rPr>
                    <w:rFonts w:ascii="Arial" w:hAnsi="Arial"/>
                    <w:b/>
                    <w:spacing w:val="-26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a</w:t>
                </w:r>
                <w:r>
                  <w:rPr>
                    <w:rFonts w:ascii="Arial" w:hAnsi="Arial"/>
                    <w:b/>
                    <w:spacing w:val="-25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pénzügyi</w:t>
                </w:r>
                <w:r>
                  <w:rPr>
                    <w:rFonts w:ascii="Arial" w:hAnsi="Arial"/>
                    <w:b/>
                    <w:spacing w:val="-26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szolgáltatást</w:t>
                </w:r>
                <w:r>
                  <w:rPr>
                    <w:rFonts w:ascii="Arial" w:hAnsi="Arial"/>
                    <w:b/>
                    <w:spacing w:val="-25"/>
                    <w:w w:val="12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köz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43988pt;margin-top:54.192318pt;width:50.4pt;height:12.6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Netjogtár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134003pt;margin-top:74.192314pt;width:40.450pt;height:12.6pt;mso-position-horizontal-relative:page;mso-position-vertical-relative:page;z-index:-344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w w:val="120"/>
                    <w:sz w:val="18"/>
                  </w:rPr>
                  <w:t>.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13" w:hanging="332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3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113" w:hanging="440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4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113" w:hanging="582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58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3" w:hanging="367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13" w:hanging="492"/>
        <w:jc w:val="left"/>
      </w:pPr>
      <w:rPr>
        <w:rFonts w:hint="default" w:ascii="Arial" w:hAnsi="Arial" w:eastAsia="Arial" w:cs="Arial"/>
        <w:b/>
        <w:bCs/>
        <w:spacing w:val="-1"/>
        <w:w w:val="125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4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49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38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8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 w:firstLine="204"/>
      <w:jc w:val="both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24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"/>
      <w:ind w:left="113" w:right="110" w:firstLine="20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2019-09-18T09:41:25Z</dcterms:created>
  <dcterms:modified xsi:type="dcterms:W3CDTF">2019-09-18T09:41:25Z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2019-09-18T00:00:00Z</vt:filetime>
  </property>
</Properties>
</file>