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spacing w:before="1"/>
        <w:ind w:left="0" w:firstLine="0"/>
        <w:jc w:val="left"/>
        <w:rPr>
          <w:sz w:val="29"/>
        </w:rPr>
      </w:pPr>
    </w:p>
    <w:p>
      <w:pPr>
        <w:spacing w:before="100"/>
        <w:ind w:left="2698" w:right="0" w:firstLine="0"/>
        <w:jc w:val="left"/>
        <w:rPr>
          <w:rFonts w:ascii="Arial"/>
          <w:b/>
          <w:sz w:val="28"/>
        </w:rPr>
      </w:pPr>
      <w:r>
        <w:rPr>
          <w:rFonts w:ascii="Arial"/>
          <w:b/>
          <w:w w:val="125"/>
          <w:sz w:val="28"/>
        </w:rPr>
        <w:t>3/2016. (I. 7.) NGM rendelet</w:t>
      </w:r>
    </w:p>
    <w:p>
      <w:pPr>
        <w:pStyle w:val="BodyText"/>
        <w:spacing w:before="10"/>
        <w:ind w:left="0" w:firstLine="0"/>
        <w:jc w:val="left"/>
        <w:rPr>
          <w:rFonts w:ascii="Arial"/>
          <w:b/>
          <w:sz w:val="39"/>
        </w:rPr>
      </w:pPr>
    </w:p>
    <w:p>
      <w:pPr>
        <w:spacing w:before="0"/>
        <w:ind w:left="833" w:right="0" w:firstLine="0"/>
        <w:jc w:val="left"/>
        <w:rPr>
          <w:rFonts w:ascii="Arial" w:hAnsi="Arial"/>
          <w:b/>
          <w:sz w:val="28"/>
        </w:rPr>
      </w:pPr>
      <w:r>
        <w:rPr>
          <w:rFonts w:ascii="Arial" w:hAnsi="Arial"/>
          <w:b/>
          <w:w w:val="120"/>
          <w:sz w:val="28"/>
        </w:rPr>
        <w:t>a jelzáloghitelre vonatkozó tájékoztatás szabályairól</w:t>
      </w:r>
    </w:p>
    <w:p>
      <w:pPr>
        <w:pStyle w:val="BodyText"/>
        <w:spacing w:line="225" w:lineRule="auto" w:before="226"/>
        <w:ind w:right="144"/>
      </w:pPr>
      <w:r>
        <w:rPr>
          <w:w w:val="125"/>
        </w:rPr>
        <w:t>A fogyasztónak nyújtott hitelről szóló 2009. évi CLXII. törvény 30/A. § </w:t>
      </w:r>
      <w:r>
        <w:rPr>
          <w:i/>
          <w:w w:val="125"/>
        </w:rPr>
        <w:t>c) </w:t>
      </w:r>
      <w:r>
        <w:rPr>
          <w:w w:val="125"/>
        </w:rPr>
        <w:t>pontjában kapott felhatalmazás alapján, a Kormány tagjainak feladat- és hatásköréről szóló 152/2014. (VI. 6.) Korm. rendelet 90. § 14. pontjában meghatározott feladatkörömben eljárva a következőket rendelem el:</w:t>
      </w:r>
    </w:p>
    <w:p>
      <w:pPr>
        <w:pStyle w:val="ListParagraph"/>
        <w:numPr>
          <w:ilvl w:val="0"/>
          <w:numId w:val="1"/>
        </w:numPr>
        <w:tabs>
          <w:tab w:pos="654" w:val="left" w:leader="none"/>
        </w:tabs>
        <w:spacing w:line="225" w:lineRule="auto" w:before="1" w:after="0"/>
        <w:ind w:left="113" w:right="141" w:firstLine="204"/>
        <w:jc w:val="both"/>
        <w:rPr>
          <w:sz w:val="24"/>
        </w:rPr>
      </w:pPr>
      <w:r>
        <w:rPr>
          <w:rFonts w:ascii="Arial" w:hAnsi="Arial"/>
          <w:b/>
          <w:w w:val="125"/>
          <w:sz w:val="24"/>
        </w:rPr>
        <w:t>§ </w:t>
      </w:r>
      <w:r>
        <w:rPr>
          <w:w w:val="125"/>
          <w:sz w:val="24"/>
        </w:rPr>
        <w:t>(1) E rendelet rendelkezéseit a fogyasztónak nyújtott hitelről szóló 2009. évi CLXII. törvény (a továbbiakban: Fhtv.) hatálya alá tartozó jelzáloghitelre és pénzügyi lízingre (a továbbiakban együtt: jelzáloghitel) kell</w:t>
      </w:r>
      <w:r>
        <w:rPr>
          <w:spacing w:val="-2"/>
          <w:w w:val="125"/>
          <w:sz w:val="24"/>
        </w:rPr>
        <w:t> </w:t>
      </w:r>
      <w:r>
        <w:rPr>
          <w:w w:val="125"/>
          <w:sz w:val="24"/>
        </w:rPr>
        <w:t>alkalmazni.</w:t>
      </w:r>
    </w:p>
    <w:p>
      <w:pPr>
        <w:pStyle w:val="BodyText"/>
        <w:spacing w:line="225" w:lineRule="auto" w:before="2"/>
        <w:ind w:right="150"/>
      </w:pPr>
      <w:r>
        <w:rPr>
          <w:w w:val="130"/>
        </w:rPr>
        <w:t>(2) E rendeletben használt fogalmak értelmezése tekintetében az Fhtv. rendelkezéseit kell alkalmazni.</w:t>
      </w:r>
    </w:p>
    <w:p>
      <w:pPr>
        <w:pStyle w:val="ListParagraph"/>
        <w:numPr>
          <w:ilvl w:val="0"/>
          <w:numId w:val="1"/>
        </w:numPr>
        <w:tabs>
          <w:tab w:pos="664" w:val="left" w:leader="none"/>
        </w:tabs>
        <w:spacing w:line="256" w:lineRule="exact" w:before="0" w:after="0"/>
        <w:ind w:left="663" w:right="0" w:hanging="346"/>
        <w:jc w:val="left"/>
        <w:rPr>
          <w:sz w:val="24"/>
        </w:rPr>
      </w:pPr>
      <w:r>
        <w:rPr>
          <w:rFonts w:ascii="Arial" w:hAnsi="Arial"/>
          <w:b/>
          <w:w w:val="120"/>
          <w:sz w:val="24"/>
        </w:rPr>
        <w:t>§ </w:t>
      </w:r>
      <w:r>
        <w:rPr>
          <w:w w:val="120"/>
          <w:sz w:val="24"/>
        </w:rPr>
        <w:t>(1) A hitelező, a hitelközvetítő vagy a közvetítői alvállalkozó az Fhtv.</w:t>
      </w:r>
      <w:r>
        <w:rPr>
          <w:spacing w:val="59"/>
          <w:w w:val="120"/>
          <w:sz w:val="24"/>
        </w:rPr>
        <w:t> </w:t>
      </w:r>
      <w:r>
        <w:rPr>
          <w:w w:val="120"/>
          <w:sz w:val="24"/>
        </w:rPr>
        <w:t>12.</w:t>
      </w:r>
    </w:p>
    <w:p>
      <w:pPr>
        <w:pStyle w:val="BodyText"/>
        <w:spacing w:line="225" w:lineRule="auto" w:before="5"/>
        <w:ind w:right="153" w:firstLine="0"/>
      </w:pPr>
      <w:r>
        <w:rPr>
          <w:w w:val="130"/>
        </w:rPr>
        <w:t>§ (1) bekezdése szerinti általános tájékoztatási kötelezettségének az 1. melléklet szerinti tartalmú tájékoztatás teljesítésével tesz eleget.</w:t>
      </w:r>
    </w:p>
    <w:p>
      <w:pPr>
        <w:pStyle w:val="ListParagraph"/>
        <w:numPr>
          <w:ilvl w:val="0"/>
          <w:numId w:val="2"/>
        </w:numPr>
        <w:tabs>
          <w:tab w:pos="737" w:val="left" w:leader="none"/>
        </w:tabs>
        <w:spacing w:line="225" w:lineRule="auto" w:before="1" w:after="0"/>
        <w:ind w:left="113" w:right="147" w:firstLine="204"/>
        <w:jc w:val="both"/>
        <w:rPr>
          <w:sz w:val="24"/>
        </w:rPr>
      </w:pPr>
      <w:r>
        <w:rPr>
          <w:w w:val="130"/>
          <w:sz w:val="24"/>
        </w:rPr>
        <w:t>A</w:t>
      </w:r>
      <w:r>
        <w:rPr>
          <w:spacing w:val="-38"/>
          <w:w w:val="130"/>
          <w:sz w:val="24"/>
        </w:rPr>
        <w:t> </w:t>
      </w:r>
      <w:r>
        <w:rPr>
          <w:w w:val="130"/>
          <w:sz w:val="24"/>
        </w:rPr>
        <w:t>hitelező,</w:t>
      </w:r>
      <w:r>
        <w:rPr>
          <w:spacing w:val="-37"/>
          <w:w w:val="130"/>
          <w:sz w:val="24"/>
        </w:rPr>
        <w:t> </w:t>
      </w:r>
      <w:r>
        <w:rPr>
          <w:w w:val="130"/>
          <w:sz w:val="24"/>
        </w:rPr>
        <w:t>a</w:t>
      </w:r>
      <w:r>
        <w:rPr>
          <w:spacing w:val="-38"/>
          <w:w w:val="130"/>
          <w:sz w:val="24"/>
        </w:rPr>
        <w:t> </w:t>
      </w:r>
      <w:r>
        <w:rPr>
          <w:w w:val="130"/>
          <w:sz w:val="24"/>
        </w:rPr>
        <w:t>hitelközvetítő</w:t>
      </w:r>
      <w:r>
        <w:rPr>
          <w:spacing w:val="-37"/>
          <w:w w:val="130"/>
          <w:sz w:val="24"/>
        </w:rPr>
        <w:t> </w:t>
      </w:r>
      <w:r>
        <w:rPr>
          <w:w w:val="130"/>
          <w:sz w:val="24"/>
        </w:rPr>
        <w:t>vagy</w:t>
      </w:r>
      <w:r>
        <w:rPr>
          <w:spacing w:val="-37"/>
          <w:w w:val="130"/>
          <w:sz w:val="24"/>
        </w:rPr>
        <w:t> </w:t>
      </w:r>
      <w:r>
        <w:rPr>
          <w:w w:val="130"/>
          <w:sz w:val="24"/>
        </w:rPr>
        <w:t>a</w:t>
      </w:r>
      <w:r>
        <w:rPr>
          <w:spacing w:val="-38"/>
          <w:w w:val="130"/>
          <w:sz w:val="24"/>
        </w:rPr>
        <w:t> </w:t>
      </w:r>
      <w:r>
        <w:rPr>
          <w:w w:val="130"/>
          <w:sz w:val="24"/>
        </w:rPr>
        <w:t>közvetítői</w:t>
      </w:r>
      <w:r>
        <w:rPr>
          <w:spacing w:val="-37"/>
          <w:w w:val="130"/>
          <w:sz w:val="24"/>
        </w:rPr>
        <w:t> </w:t>
      </w:r>
      <w:r>
        <w:rPr>
          <w:w w:val="130"/>
          <w:sz w:val="24"/>
        </w:rPr>
        <w:t>alvállalkozó</w:t>
      </w:r>
      <w:r>
        <w:rPr>
          <w:spacing w:val="-38"/>
          <w:w w:val="130"/>
          <w:sz w:val="24"/>
        </w:rPr>
        <w:t> </w:t>
      </w:r>
      <w:r>
        <w:rPr>
          <w:w w:val="130"/>
          <w:sz w:val="24"/>
        </w:rPr>
        <w:t>az</w:t>
      </w:r>
      <w:r>
        <w:rPr>
          <w:spacing w:val="-37"/>
          <w:w w:val="130"/>
          <w:sz w:val="24"/>
        </w:rPr>
        <w:t> </w:t>
      </w:r>
      <w:r>
        <w:rPr>
          <w:w w:val="130"/>
          <w:sz w:val="24"/>
        </w:rPr>
        <w:t>Fhtv.</w:t>
      </w:r>
      <w:r>
        <w:rPr>
          <w:spacing w:val="-37"/>
          <w:w w:val="130"/>
          <w:sz w:val="24"/>
        </w:rPr>
        <w:t> </w:t>
      </w:r>
      <w:r>
        <w:rPr>
          <w:w w:val="130"/>
          <w:sz w:val="24"/>
        </w:rPr>
        <w:t>12.</w:t>
      </w:r>
      <w:r>
        <w:rPr>
          <w:spacing w:val="-38"/>
          <w:w w:val="130"/>
          <w:sz w:val="24"/>
        </w:rPr>
        <w:t> </w:t>
      </w:r>
      <w:r>
        <w:rPr>
          <w:w w:val="130"/>
          <w:sz w:val="24"/>
        </w:rPr>
        <w:t>§</w:t>
      </w:r>
      <w:r>
        <w:rPr>
          <w:spacing w:val="-37"/>
          <w:w w:val="130"/>
          <w:sz w:val="24"/>
        </w:rPr>
        <w:t> </w:t>
      </w:r>
      <w:r>
        <w:rPr>
          <w:w w:val="130"/>
          <w:sz w:val="24"/>
        </w:rPr>
        <w:t>(2) bekezdése szerinti személyre szóló tájékoztatási kötelezettségének a 2. melléklet szerinti formában történő tájékoztatás átadásával tesz</w:t>
      </w:r>
      <w:r>
        <w:rPr>
          <w:spacing w:val="-57"/>
          <w:w w:val="130"/>
          <w:sz w:val="24"/>
        </w:rPr>
        <w:t> </w:t>
      </w:r>
      <w:r>
        <w:rPr>
          <w:w w:val="130"/>
          <w:sz w:val="24"/>
        </w:rPr>
        <w:t>eleget.</w:t>
      </w:r>
    </w:p>
    <w:p>
      <w:pPr>
        <w:pStyle w:val="ListParagraph"/>
        <w:numPr>
          <w:ilvl w:val="0"/>
          <w:numId w:val="2"/>
        </w:numPr>
        <w:tabs>
          <w:tab w:pos="734" w:val="left" w:leader="none"/>
        </w:tabs>
        <w:spacing w:line="256" w:lineRule="exact" w:before="0" w:after="0"/>
        <w:ind w:left="733" w:right="0" w:hanging="416"/>
        <w:jc w:val="left"/>
        <w:rPr>
          <w:sz w:val="24"/>
        </w:rPr>
      </w:pPr>
      <w:r>
        <w:rPr>
          <w:w w:val="125"/>
          <w:sz w:val="24"/>
        </w:rPr>
        <w:t>A 2. melléklet szerinti adatokat egyetlen dokumentumban kell</w:t>
      </w:r>
      <w:r>
        <w:rPr>
          <w:spacing w:val="41"/>
          <w:w w:val="125"/>
          <w:sz w:val="24"/>
        </w:rPr>
        <w:t> </w:t>
      </w:r>
      <w:r>
        <w:rPr>
          <w:w w:val="125"/>
          <w:sz w:val="24"/>
        </w:rPr>
        <w:t>megadni.</w:t>
      </w:r>
    </w:p>
    <w:p>
      <w:pPr>
        <w:pStyle w:val="ListParagraph"/>
        <w:numPr>
          <w:ilvl w:val="0"/>
          <w:numId w:val="2"/>
        </w:numPr>
        <w:tabs>
          <w:tab w:pos="837" w:val="left" w:leader="none"/>
        </w:tabs>
        <w:spacing w:line="225" w:lineRule="auto" w:before="6" w:after="0"/>
        <w:ind w:left="113" w:right="151" w:firstLine="204"/>
        <w:jc w:val="both"/>
        <w:rPr>
          <w:sz w:val="24"/>
        </w:rPr>
      </w:pPr>
      <w:r>
        <w:rPr>
          <w:w w:val="125"/>
          <w:sz w:val="24"/>
        </w:rPr>
        <w:t>A személyre szóló tájékoztatás kitöltésénél figyelembe kell venni a fogyasztó által megadott információkat az igényeiről, pénzügyi helyzetéről és az általa előnyben részesített</w:t>
      </w:r>
      <w:r>
        <w:rPr>
          <w:spacing w:val="8"/>
          <w:w w:val="125"/>
          <w:sz w:val="24"/>
        </w:rPr>
        <w:t> </w:t>
      </w:r>
      <w:r>
        <w:rPr>
          <w:w w:val="125"/>
          <w:sz w:val="24"/>
        </w:rPr>
        <w:t>feltételekről.</w:t>
      </w:r>
    </w:p>
    <w:p>
      <w:pPr>
        <w:pStyle w:val="ListParagraph"/>
        <w:numPr>
          <w:ilvl w:val="0"/>
          <w:numId w:val="2"/>
        </w:numPr>
        <w:tabs>
          <w:tab w:pos="765" w:val="left" w:leader="none"/>
        </w:tabs>
        <w:spacing w:line="225" w:lineRule="auto" w:before="2" w:after="0"/>
        <w:ind w:left="113" w:right="151" w:firstLine="204"/>
        <w:jc w:val="both"/>
        <w:rPr>
          <w:sz w:val="24"/>
        </w:rPr>
      </w:pPr>
      <w:r>
        <w:rPr>
          <w:w w:val="125"/>
          <w:sz w:val="24"/>
        </w:rPr>
        <w:t>A személyre szóló tájékoztatás kitöltésének szabályait a 3. mellékletben foglalt kitöltési útmutató határozza</w:t>
      </w:r>
      <w:r>
        <w:rPr>
          <w:spacing w:val="7"/>
          <w:w w:val="125"/>
          <w:sz w:val="24"/>
        </w:rPr>
        <w:t> </w:t>
      </w:r>
      <w:r>
        <w:rPr>
          <w:w w:val="125"/>
          <w:sz w:val="24"/>
        </w:rPr>
        <w:t>meg.</w:t>
      </w:r>
    </w:p>
    <w:p>
      <w:pPr>
        <w:pStyle w:val="ListParagraph"/>
        <w:numPr>
          <w:ilvl w:val="0"/>
          <w:numId w:val="1"/>
        </w:numPr>
        <w:tabs>
          <w:tab w:pos="652" w:val="left" w:leader="none"/>
        </w:tabs>
        <w:spacing w:line="255" w:lineRule="exact" w:before="0" w:after="0"/>
        <w:ind w:left="651" w:right="0" w:hanging="334"/>
        <w:jc w:val="left"/>
        <w:rPr>
          <w:sz w:val="24"/>
        </w:rPr>
      </w:pPr>
      <w:r>
        <w:rPr>
          <w:rFonts w:ascii="Arial" w:hAnsi="Arial"/>
          <w:b/>
          <w:w w:val="125"/>
          <w:sz w:val="24"/>
        </w:rPr>
        <w:t>§ </w:t>
      </w:r>
      <w:r>
        <w:rPr>
          <w:w w:val="125"/>
          <w:sz w:val="24"/>
        </w:rPr>
        <w:t>Ez a rendelet 2016. március 21-én lép</w:t>
      </w:r>
      <w:r>
        <w:rPr>
          <w:spacing w:val="8"/>
          <w:w w:val="125"/>
          <w:sz w:val="24"/>
        </w:rPr>
        <w:t> </w:t>
      </w:r>
      <w:r>
        <w:rPr>
          <w:w w:val="125"/>
          <w:sz w:val="24"/>
        </w:rPr>
        <w:t>hatályba.</w:t>
      </w:r>
    </w:p>
    <w:p>
      <w:pPr>
        <w:pStyle w:val="ListParagraph"/>
        <w:numPr>
          <w:ilvl w:val="0"/>
          <w:numId w:val="1"/>
        </w:numPr>
        <w:tabs>
          <w:tab w:pos="902" w:val="left" w:leader="none"/>
          <w:tab w:pos="903" w:val="left" w:leader="none"/>
          <w:tab w:pos="1362" w:val="left" w:leader="none"/>
          <w:tab w:pos="1990" w:val="left" w:leader="none"/>
          <w:tab w:pos="2473" w:val="left" w:leader="none"/>
          <w:tab w:pos="3810" w:val="left" w:leader="none"/>
          <w:tab w:pos="4282" w:val="left" w:leader="none"/>
          <w:tab w:pos="6824" w:val="left" w:leader="none"/>
          <w:tab w:pos="8510" w:val="left" w:leader="none"/>
        </w:tabs>
        <w:spacing w:line="269" w:lineRule="exact" w:before="0" w:after="0"/>
        <w:ind w:left="902" w:right="0" w:hanging="585"/>
        <w:jc w:val="left"/>
        <w:rPr>
          <w:sz w:val="24"/>
        </w:rPr>
      </w:pPr>
      <w:r>
        <w:rPr>
          <w:rFonts w:ascii="Arial" w:hAnsi="Arial"/>
          <w:b/>
          <w:w w:val="125"/>
          <w:sz w:val="24"/>
        </w:rPr>
        <w:t>§</w:t>
        <w:tab/>
      </w:r>
      <w:r>
        <w:rPr>
          <w:w w:val="125"/>
          <w:sz w:val="24"/>
        </w:rPr>
        <w:t>Ez</w:t>
        <w:tab/>
        <w:t>a</w:t>
        <w:tab/>
        <w:t>rendelet</w:t>
        <w:tab/>
        <w:t>a</w:t>
        <w:tab/>
        <w:t>lakóingatlanokhoz</w:t>
        <w:tab/>
        <w:t>kapcsolódó</w:t>
        <w:tab/>
        <w:t>fogyasztói</w:t>
      </w:r>
    </w:p>
    <w:p>
      <w:pPr>
        <w:pStyle w:val="BodyText"/>
        <w:spacing w:line="225" w:lineRule="auto" w:before="110"/>
        <w:ind w:left="132" w:right="118" w:firstLine="0"/>
      </w:pPr>
      <w:r>
        <w:rPr>
          <w:w w:val="125"/>
        </w:rPr>
        <w:t>hitelmegállapodásokról, valamint a 2008/48/EK és a 2013/36/EU irányelv és az 1093/2010/EU rendelet módosításáról szóló, 2014. február 4-i 2014/17/EU európai parlamenti és tanácsi irányelvnek való megfelelést szolgálja.</w:t>
      </w:r>
    </w:p>
    <w:p>
      <w:pPr>
        <w:pStyle w:val="ListParagraph"/>
        <w:numPr>
          <w:ilvl w:val="0"/>
          <w:numId w:val="1"/>
        </w:numPr>
        <w:tabs>
          <w:tab w:pos="941" w:val="left" w:leader="none"/>
        </w:tabs>
        <w:spacing w:line="225" w:lineRule="auto" w:before="0" w:after="0"/>
        <w:ind w:left="132" w:right="100" w:firstLine="400"/>
        <w:jc w:val="both"/>
        <w:rPr>
          <w:sz w:val="24"/>
        </w:rPr>
      </w:pPr>
      <w:r>
        <w:rPr>
          <w:rFonts w:ascii="Arial" w:hAnsi="Arial"/>
          <w:b/>
          <w:w w:val="125"/>
          <w:sz w:val="24"/>
        </w:rPr>
        <w:t>§</w:t>
      </w:r>
      <w:r>
        <w:rPr>
          <w:i/>
          <w:w w:val="125"/>
          <w:position w:val="3"/>
          <w:sz w:val="18"/>
        </w:rPr>
        <w:t>1 </w:t>
      </w:r>
      <w:r>
        <w:rPr>
          <w:w w:val="125"/>
          <w:sz w:val="24"/>
        </w:rPr>
        <w:t>Az 1. melléklet 2. pont 2.5. alpontja a pénzügyi eszközökben és pénzügyi ügyletekben referenciamutatóként vagy a befektetési alapok teljesítményének  méréséhez felhasznált  indexekről, valamint a 2008/48/EK és a 2014/17/EU irányelv, továbbá az 596/2014/EU rendelet módosításáról szóló, 2016. június 8-i (EU) 2016/1011 európai parlamenti és tanácsi rendelet 58. cikkének való megfelelést szolgálja.</w:t>
      </w:r>
    </w:p>
    <w:p>
      <w:pPr>
        <w:pStyle w:val="ListParagraph"/>
        <w:numPr>
          <w:ilvl w:val="0"/>
          <w:numId w:val="3"/>
        </w:numPr>
        <w:tabs>
          <w:tab w:pos="438" w:val="left" w:leader="none"/>
        </w:tabs>
        <w:spacing w:line="240" w:lineRule="auto" w:before="230" w:after="0"/>
        <w:ind w:left="437" w:right="0" w:hanging="305"/>
        <w:jc w:val="both"/>
        <w:rPr>
          <w:i/>
          <w:sz w:val="24"/>
        </w:rPr>
      </w:pPr>
      <w:r>
        <w:rPr>
          <w:i/>
          <w:strike/>
          <w:w w:val="125"/>
          <w:sz w:val="24"/>
        </w:rPr>
        <w:t>melléklet a 3/2016. (I. 7.) NGM</w:t>
      </w:r>
      <w:r>
        <w:rPr>
          <w:i/>
          <w:strike/>
          <w:spacing w:val="8"/>
          <w:w w:val="125"/>
          <w:sz w:val="24"/>
        </w:rPr>
        <w:t> </w:t>
      </w:r>
      <w:r>
        <w:rPr>
          <w:i/>
          <w:strike/>
          <w:w w:val="125"/>
          <w:sz w:val="24"/>
        </w:rPr>
        <w:t>rendelethez</w:t>
      </w:r>
    </w:p>
    <w:p>
      <w:pPr>
        <w:pStyle w:val="BodyText"/>
        <w:spacing w:before="3"/>
        <w:ind w:left="0" w:firstLine="0"/>
        <w:jc w:val="left"/>
        <w:rPr>
          <w:i/>
          <w:sz w:val="40"/>
        </w:rPr>
      </w:pPr>
    </w:p>
    <w:p>
      <w:pPr>
        <w:pStyle w:val="Heading1"/>
        <w:spacing w:before="0"/>
        <w:jc w:val="both"/>
      </w:pPr>
      <w:r>
        <w:rPr>
          <w:w w:val="120"/>
        </w:rPr>
        <w:t>A jelzáloghitelekről szóló általános tájékoztatás tartalmi követelményei</w:t>
      </w:r>
    </w:p>
    <w:p>
      <w:pPr>
        <w:pStyle w:val="ListParagraph"/>
        <w:numPr>
          <w:ilvl w:val="1"/>
          <w:numId w:val="3"/>
        </w:numPr>
        <w:tabs>
          <w:tab w:pos="623" w:val="left" w:leader="none"/>
        </w:tabs>
        <w:spacing w:line="268" w:lineRule="exact" w:before="113" w:after="0"/>
        <w:ind w:left="622" w:right="0" w:hanging="305"/>
        <w:jc w:val="left"/>
        <w:rPr>
          <w:sz w:val="24"/>
        </w:rPr>
      </w:pPr>
      <w:r>
        <w:rPr>
          <w:w w:val="120"/>
          <w:sz w:val="24"/>
        </w:rPr>
        <w:t>A hitelezővel kapcsolatos</w:t>
      </w:r>
      <w:r>
        <w:rPr>
          <w:spacing w:val="16"/>
          <w:w w:val="120"/>
          <w:sz w:val="24"/>
        </w:rPr>
        <w:t> </w:t>
      </w:r>
      <w:r>
        <w:rPr>
          <w:w w:val="120"/>
          <w:sz w:val="24"/>
        </w:rPr>
        <w:t>adatok:</w:t>
      </w:r>
    </w:p>
    <w:p>
      <w:pPr>
        <w:pStyle w:val="ListParagraph"/>
        <w:numPr>
          <w:ilvl w:val="2"/>
          <w:numId w:val="3"/>
        </w:numPr>
        <w:tabs>
          <w:tab w:pos="852" w:val="left" w:leader="none"/>
        </w:tabs>
        <w:spacing w:line="260" w:lineRule="exact" w:before="0" w:after="0"/>
        <w:ind w:left="851" w:right="0" w:hanging="534"/>
        <w:jc w:val="left"/>
        <w:rPr>
          <w:sz w:val="24"/>
        </w:rPr>
      </w:pPr>
      <w:r>
        <w:rPr>
          <w:w w:val="125"/>
          <w:sz w:val="24"/>
        </w:rPr>
        <w:t>a hitelező neve (cégneve) és címe</w:t>
      </w:r>
      <w:r>
        <w:rPr>
          <w:spacing w:val="5"/>
          <w:w w:val="125"/>
          <w:sz w:val="24"/>
        </w:rPr>
        <w:t> </w:t>
      </w:r>
      <w:r>
        <w:rPr>
          <w:w w:val="125"/>
          <w:sz w:val="24"/>
        </w:rPr>
        <w:t>(székhelye),</w:t>
      </w:r>
    </w:p>
    <w:p>
      <w:pPr>
        <w:pStyle w:val="ListParagraph"/>
        <w:numPr>
          <w:ilvl w:val="2"/>
          <w:numId w:val="3"/>
        </w:numPr>
        <w:tabs>
          <w:tab w:pos="873" w:val="left" w:leader="none"/>
        </w:tabs>
        <w:spacing w:line="225" w:lineRule="auto" w:before="5" w:after="0"/>
        <w:ind w:left="113" w:right="147" w:firstLine="204"/>
        <w:jc w:val="both"/>
        <w:rPr>
          <w:sz w:val="24"/>
        </w:rPr>
      </w:pPr>
      <w:r>
        <w:rPr>
          <w:w w:val="125"/>
          <w:sz w:val="24"/>
        </w:rPr>
        <w:t>adott esetben a hitelközvetítő, közvetítői alvállalkozó neve (cégneve) és címe (székhelye).</w:t>
      </w: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7"/>
        </w:rPr>
      </w:pPr>
      <w:r>
        <w:rPr/>
        <w:pict>
          <v:line style="position:absolute;mso-position-horizontal-relative:page;mso-position-vertical-relative:paragraph;z-index:-1024;mso-wrap-distance-left:0;mso-wrap-distance-right:0" from="56.693001pt,12.200622pt" to="538.583001pt,12.20062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3/2018. (VI. 29.) PM rendelet 1. §. Hatályos: 2018. VII.</w:t>
      </w:r>
      <w:r>
        <w:rPr>
          <w:i/>
          <w:spacing w:val="-14"/>
          <w:w w:val="125"/>
          <w:sz w:val="18"/>
        </w:rPr>
        <w:t> </w:t>
      </w:r>
      <w:r>
        <w:rPr>
          <w:i/>
          <w:w w:val="125"/>
          <w:sz w:val="18"/>
        </w:rPr>
        <w:t>1-től.</w:t>
      </w:r>
    </w:p>
    <w:p>
      <w:pPr>
        <w:spacing w:after="0"/>
        <w:jc w:val="left"/>
        <w:rPr>
          <w:sz w:val="18"/>
        </w:rPr>
        <w:sectPr>
          <w:headerReference w:type="default" r:id="rId5"/>
          <w:type w:val="continuous"/>
          <w:pgSz w:w="11900" w:h="16820"/>
          <w:pgMar w:header="1104" w:top="1840" w:bottom="280" w:left="1020" w:right="980"/>
          <w:pgNumType w:start="1"/>
        </w:sectPr>
      </w:pPr>
    </w:p>
    <w:p>
      <w:pPr>
        <w:pStyle w:val="BodyText"/>
        <w:spacing w:before="1"/>
        <w:ind w:left="0" w:firstLine="0"/>
        <w:jc w:val="left"/>
        <w:rPr>
          <w:i/>
          <w:sz w:val="26"/>
        </w:rPr>
      </w:pPr>
    </w:p>
    <w:p>
      <w:pPr>
        <w:pStyle w:val="BodyText"/>
        <w:spacing w:line="268" w:lineRule="exact" w:before="99"/>
        <w:ind w:left="513" w:firstLine="0"/>
        <w:jc w:val="left"/>
      </w:pPr>
      <w:r>
        <w:rPr>
          <w:w w:val="120"/>
        </w:rPr>
        <w:t>2.</w:t>
      </w:r>
      <w:r>
        <w:rPr>
          <w:i/>
          <w:w w:val="120"/>
          <w:position w:val="3"/>
          <w:sz w:val="18"/>
        </w:rPr>
        <w:t>1 </w:t>
      </w:r>
      <w:r>
        <w:rPr>
          <w:w w:val="120"/>
        </w:rPr>
        <w:t>A jelzáloghitellel kapcsolatos adatok:</w:t>
      </w:r>
    </w:p>
    <w:p>
      <w:pPr>
        <w:pStyle w:val="ListParagraph"/>
        <w:numPr>
          <w:ilvl w:val="1"/>
          <w:numId w:val="4"/>
        </w:numPr>
        <w:tabs>
          <w:tab w:pos="1048" w:val="left" w:leader="none"/>
        </w:tabs>
        <w:spacing w:line="260" w:lineRule="exact" w:before="0" w:after="0"/>
        <w:ind w:left="1047" w:right="0" w:hanging="534"/>
        <w:jc w:val="left"/>
        <w:rPr>
          <w:sz w:val="24"/>
        </w:rPr>
      </w:pPr>
      <w:r>
        <w:rPr>
          <w:w w:val="130"/>
          <w:sz w:val="24"/>
        </w:rPr>
        <w:t>felhasználási célok, amelyre a hitel</w:t>
      </w:r>
      <w:r>
        <w:rPr>
          <w:spacing w:val="-29"/>
          <w:w w:val="130"/>
          <w:sz w:val="24"/>
        </w:rPr>
        <w:t> </w:t>
      </w:r>
      <w:r>
        <w:rPr>
          <w:w w:val="130"/>
          <w:sz w:val="24"/>
        </w:rPr>
        <w:t>fordítható,</w:t>
      </w:r>
    </w:p>
    <w:p>
      <w:pPr>
        <w:pStyle w:val="ListParagraph"/>
        <w:numPr>
          <w:ilvl w:val="1"/>
          <w:numId w:val="4"/>
        </w:numPr>
        <w:tabs>
          <w:tab w:pos="1069" w:val="left" w:leader="none"/>
        </w:tabs>
        <w:spacing w:line="225" w:lineRule="auto" w:before="6" w:after="0"/>
        <w:ind w:left="113" w:right="148" w:firstLine="400"/>
        <w:jc w:val="both"/>
        <w:rPr>
          <w:sz w:val="24"/>
        </w:rPr>
      </w:pPr>
      <w:r>
        <w:rPr>
          <w:w w:val="130"/>
          <w:sz w:val="24"/>
        </w:rPr>
        <w:t>a jelzáloghitel biztosítékai, adott esetben annak lehetősége, hogy más tagállamban is</w:t>
      </w:r>
      <w:r>
        <w:rPr>
          <w:spacing w:val="-6"/>
          <w:w w:val="130"/>
          <w:sz w:val="24"/>
        </w:rPr>
        <w:t> </w:t>
      </w:r>
      <w:r>
        <w:rPr>
          <w:w w:val="130"/>
          <w:sz w:val="24"/>
        </w:rPr>
        <w:t>lehet,</w:t>
      </w:r>
    </w:p>
    <w:p>
      <w:pPr>
        <w:pStyle w:val="ListParagraph"/>
        <w:numPr>
          <w:ilvl w:val="1"/>
          <w:numId w:val="4"/>
        </w:numPr>
        <w:tabs>
          <w:tab w:pos="1048" w:val="left" w:leader="none"/>
        </w:tabs>
        <w:spacing w:line="256" w:lineRule="exact" w:before="0" w:after="0"/>
        <w:ind w:left="1047" w:right="0" w:hanging="534"/>
        <w:jc w:val="left"/>
        <w:rPr>
          <w:sz w:val="24"/>
        </w:rPr>
      </w:pPr>
      <w:r>
        <w:rPr>
          <w:w w:val="130"/>
          <w:sz w:val="24"/>
        </w:rPr>
        <w:t>a hitel lehetséges</w:t>
      </w:r>
      <w:r>
        <w:rPr>
          <w:spacing w:val="-11"/>
          <w:w w:val="130"/>
          <w:sz w:val="24"/>
        </w:rPr>
        <w:t> </w:t>
      </w:r>
      <w:r>
        <w:rPr>
          <w:w w:val="130"/>
          <w:sz w:val="24"/>
        </w:rPr>
        <w:t>futamideje,</w:t>
      </w:r>
    </w:p>
    <w:p>
      <w:pPr>
        <w:pStyle w:val="ListParagraph"/>
        <w:numPr>
          <w:ilvl w:val="1"/>
          <w:numId w:val="4"/>
        </w:numPr>
        <w:tabs>
          <w:tab w:pos="1226" w:val="left" w:leader="none"/>
        </w:tabs>
        <w:spacing w:line="225" w:lineRule="auto" w:before="5" w:after="0"/>
        <w:ind w:left="123" w:right="139" w:firstLine="400"/>
        <w:jc w:val="both"/>
        <w:rPr>
          <w:sz w:val="24"/>
        </w:rPr>
      </w:pPr>
      <w:r>
        <w:rPr>
          <w:w w:val="130"/>
          <w:sz w:val="24"/>
        </w:rPr>
        <w:t>a hitelező által kínált jelzáloghitelek típusai, fix kamatozású,</w:t>
      </w:r>
      <w:r>
        <w:rPr>
          <w:spacing w:val="78"/>
          <w:w w:val="130"/>
          <w:sz w:val="24"/>
        </w:rPr>
        <w:t> </w:t>
      </w:r>
      <w:r>
        <w:rPr>
          <w:w w:val="130"/>
          <w:sz w:val="24"/>
        </w:rPr>
        <w:t>referencia-kamatlábhoz kötött vagy kamatperiódusokban rögzített, a kamatozás jellemzőinek rövid ismertetetése, beleértve a fogyasztót érintő hatásokat; alkalmazása esetén kamatfelár, kamatváltoztatási vagy kamatfelár-változtatási</w:t>
      </w:r>
      <w:r>
        <w:rPr>
          <w:spacing w:val="-5"/>
          <w:w w:val="130"/>
          <w:sz w:val="24"/>
        </w:rPr>
        <w:t> </w:t>
      </w:r>
      <w:r>
        <w:rPr>
          <w:w w:val="130"/>
          <w:sz w:val="24"/>
        </w:rPr>
        <w:t>mutató,</w:t>
      </w:r>
    </w:p>
    <w:p>
      <w:pPr>
        <w:pStyle w:val="ListParagraph"/>
        <w:numPr>
          <w:ilvl w:val="1"/>
          <w:numId w:val="4"/>
        </w:numPr>
        <w:tabs>
          <w:tab w:pos="1050" w:val="left" w:leader="none"/>
        </w:tabs>
        <w:spacing w:line="225" w:lineRule="auto" w:before="3" w:after="0"/>
        <w:ind w:left="123" w:right="135" w:firstLine="390"/>
        <w:jc w:val="both"/>
        <w:rPr>
          <w:sz w:val="24"/>
        </w:rPr>
      </w:pPr>
      <w:r>
        <w:rPr>
          <w:w w:val="130"/>
          <w:sz w:val="24"/>
        </w:rPr>
        <w:t>olyan</w:t>
      </w:r>
      <w:r>
        <w:rPr>
          <w:spacing w:val="-17"/>
          <w:w w:val="130"/>
          <w:sz w:val="24"/>
        </w:rPr>
        <w:t> </w:t>
      </w:r>
      <w:r>
        <w:rPr>
          <w:w w:val="130"/>
          <w:sz w:val="24"/>
        </w:rPr>
        <w:t>hitelszerződés</w:t>
      </w:r>
      <w:r>
        <w:rPr>
          <w:spacing w:val="-33"/>
          <w:w w:val="130"/>
          <w:sz w:val="24"/>
        </w:rPr>
        <w:t> </w:t>
      </w:r>
      <w:r>
        <w:rPr>
          <w:w w:val="130"/>
          <w:sz w:val="24"/>
        </w:rPr>
        <w:t>esetén,</w:t>
      </w:r>
      <w:r>
        <w:rPr>
          <w:spacing w:val="-35"/>
          <w:w w:val="130"/>
          <w:sz w:val="24"/>
        </w:rPr>
        <w:t> </w:t>
      </w:r>
      <w:r>
        <w:rPr>
          <w:w w:val="130"/>
          <w:sz w:val="24"/>
        </w:rPr>
        <w:t>amely</w:t>
      </w:r>
      <w:r>
        <w:rPr>
          <w:spacing w:val="-28"/>
          <w:w w:val="130"/>
          <w:sz w:val="24"/>
        </w:rPr>
        <w:t> </w:t>
      </w:r>
      <w:r>
        <w:rPr>
          <w:w w:val="130"/>
          <w:sz w:val="24"/>
        </w:rPr>
        <w:t>a</w:t>
      </w:r>
      <w:r>
        <w:rPr>
          <w:spacing w:val="-28"/>
          <w:w w:val="130"/>
          <w:sz w:val="24"/>
        </w:rPr>
        <w:t> </w:t>
      </w:r>
      <w:r>
        <w:rPr>
          <w:w w:val="130"/>
          <w:sz w:val="24"/>
        </w:rPr>
        <w:t>2016/1011/EU</w:t>
      </w:r>
      <w:r>
        <w:rPr>
          <w:spacing w:val="-28"/>
          <w:w w:val="130"/>
          <w:sz w:val="24"/>
        </w:rPr>
        <w:t> </w:t>
      </w:r>
      <w:r>
        <w:rPr>
          <w:w w:val="130"/>
          <w:sz w:val="24"/>
        </w:rPr>
        <w:t>európai</w:t>
      </w:r>
      <w:r>
        <w:rPr>
          <w:spacing w:val="-29"/>
          <w:w w:val="130"/>
          <w:sz w:val="24"/>
        </w:rPr>
        <w:t> </w:t>
      </w:r>
      <w:r>
        <w:rPr>
          <w:w w:val="130"/>
          <w:sz w:val="24"/>
        </w:rPr>
        <w:t>parlamenti és tanácsi rendelet 3. cikk (1) bekezdésének 3. pontjában meghatározott referenciamutatóra</w:t>
      </w:r>
      <w:r>
        <w:rPr>
          <w:spacing w:val="-9"/>
          <w:w w:val="130"/>
          <w:sz w:val="24"/>
        </w:rPr>
        <w:t> </w:t>
      </w:r>
      <w:r>
        <w:rPr>
          <w:w w:val="130"/>
          <w:sz w:val="24"/>
        </w:rPr>
        <w:t>hivatkozik,</w:t>
      </w:r>
      <w:r>
        <w:rPr>
          <w:spacing w:val="-9"/>
          <w:w w:val="130"/>
          <w:sz w:val="24"/>
        </w:rPr>
        <w:t> </w:t>
      </w:r>
      <w:r>
        <w:rPr>
          <w:w w:val="130"/>
          <w:sz w:val="24"/>
        </w:rPr>
        <w:t>a</w:t>
      </w:r>
      <w:r>
        <w:rPr>
          <w:spacing w:val="-9"/>
          <w:w w:val="130"/>
          <w:sz w:val="24"/>
        </w:rPr>
        <w:t> </w:t>
      </w:r>
      <w:r>
        <w:rPr>
          <w:w w:val="130"/>
          <w:sz w:val="24"/>
        </w:rPr>
        <w:t>referenciamutatók</w:t>
      </w:r>
      <w:r>
        <w:rPr>
          <w:spacing w:val="-8"/>
          <w:w w:val="130"/>
          <w:sz w:val="24"/>
        </w:rPr>
        <w:t> </w:t>
      </w:r>
      <w:r>
        <w:rPr>
          <w:w w:val="130"/>
          <w:sz w:val="24"/>
        </w:rPr>
        <w:t>és</w:t>
      </w:r>
      <w:r>
        <w:rPr>
          <w:spacing w:val="-9"/>
          <w:w w:val="130"/>
          <w:sz w:val="24"/>
        </w:rPr>
        <w:t> </w:t>
      </w:r>
      <w:r>
        <w:rPr>
          <w:w w:val="130"/>
          <w:sz w:val="24"/>
        </w:rPr>
        <w:t>azok</w:t>
      </w:r>
      <w:r>
        <w:rPr>
          <w:spacing w:val="-9"/>
          <w:w w:val="130"/>
          <w:sz w:val="24"/>
        </w:rPr>
        <w:t> </w:t>
      </w:r>
      <w:r>
        <w:rPr>
          <w:w w:val="130"/>
          <w:sz w:val="24"/>
        </w:rPr>
        <w:t>kezelőinek</w:t>
      </w:r>
      <w:r>
        <w:rPr>
          <w:spacing w:val="-8"/>
          <w:w w:val="130"/>
          <w:sz w:val="24"/>
        </w:rPr>
        <w:t> </w:t>
      </w:r>
      <w:r>
        <w:rPr>
          <w:w w:val="130"/>
          <w:sz w:val="24"/>
        </w:rPr>
        <w:t>nevei, valamint következményei a fogyasztóra</w:t>
      </w:r>
      <w:r>
        <w:rPr>
          <w:spacing w:val="-17"/>
          <w:w w:val="130"/>
          <w:sz w:val="24"/>
        </w:rPr>
        <w:t> </w:t>
      </w:r>
      <w:r>
        <w:rPr>
          <w:w w:val="130"/>
          <w:sz w:val="24"/>
        </w:rPr>
        <w:t>nézve,</w:t>
      </w:r>
    </w:p>
    <w:p>
      <w:pPr>
        <w:pStyle w:val="ListParagraph"/>
        <w:numPr>
          <w:ilvl w:val="1"/>
          <w:numId w:val="4"/>
        </w:numPr>
        <w:tabs>
          <w:tab w:pos="1069" w:val="left" w:leader="none"/>
        </w:tabs>
        <w:spacing w:line="225" w:lineRule="auto" w:before="2" w:after="0"/>
        <w:ind w:left="123" w:right="143" w:firstLine="400"/>
        <w:jc w:val="both"/>
        <w:rPr>
          <w:sz w:val="24"/>
        </w:rPr>
      </w:pPr>
      <w:r>
        <w:rPr>
          <w:w w:val="130"/>
          <w:sz w:val="24"/>
        </w:rPr>
        <w:t>forinttól eltérő devizanem esetén annak törlesztéskor és adott esetben átváltáskor jelentkező következményei a fogyasztóra</w:t>
      </w:r>
      <w:r>
        <w:rPr>
          <w:spacing w:val="-46"/>
          <w:w w:val="130"/>
          <w:sz w:val="24"/>
        </w:rPr>
        <w:t> </w:t>
      </w:r>
      <w:r>
        <w:rPr>
          <w:w w:val="130"/>
          <w:sz w:val="24"/>
        </w:rPr>
        <w:t>nézve,</w:t>
      </w:r>
    </w:p>
    <w:p>
      <w:pPr>
        <w:pStyle w:val="ListParagraph"/>
        <w:numPr>
          <w:ilvl w:val="1"/>
          <w:numId w:val="4"/>
        </w:numPr>
        <w:tabs>
          <w:tab w:pos="1108" w:val="left" w:leader="none"/>
        </w:tabs>
        <w:spacing w:line="225" w:lineRule="auto" w:before="2" w:after="0"/>
        <w:ind w:left="123" w:right="136" w:firstLine="400"/>
        <w:jc w:val="both"/>
        <w:rPr>
          <w:sz w:val="24"/>
        </w:rPr>
      </w:pPr>
      <w:r>
        <w:rPr>
          <w:w w:val="130"/>
          <w:sz w:val="24"/>
        </w:rPr>
        <w:t>egy reprezentatív példával a hitel teljes összege, a hitel teljes díja, a fogyasztó</w:t>
      </w:r>
      <w:r>
        <w:rPr>
          <w:spacing w:val="-8"/>
          <w:w w:val="130"/>
          <w:sz w:val="24"/>
        </w:rPr>
        <w:t> </w:t>
      </w:r>
      <w:r>
        <w:rPr>
          <w:w w:val="130"/>
          <w:sz w:val="24"/>
        </w:rPr>
        <w:t>által</w:t>
      </w:r>
      <w:r>
        <w:rPr>
          <w:spacing w:val="-9"/>
          <w:w w:val="130"/>
          <w:sz w:val="24"/>
        </w:rPr>
        <w:t> </w:t>
      </w:r>
      <w:r>
        <w:rPr>
          <w:w w:val="130"/>
          <w:sz w:val="24"/>
        </w:rPr>
        <w:t>fizetendő</w:t>
      </w:r>
      <w:r>
        <w:rPr>
          <w:spacing w:val="-8"/>
          <w:w w:val="130"/>
          <w:sz w:val="24"/>
        </w:rPr>
        <w:t> </w:t>
      </w:r>
      <w:r>
        <w:rPr>
          <w:w w:val="130"/>
          <w:sz w:val="24"/>
        </w:rPr>
        <w:t>teljes</w:t>
      </w:r>
      <w:r>
        <w:rPr>
          <w:spacing w:val="-9"/>
          <w:w w:val="130"/>
          <w:sz w:val="24"/>
        </w:rPr>
        <w:t> </w:t>
      </w:r>
      <w:r>
        <w:rPr>
          <w:w w:val="130"/>
          <w:sz w:val="24"/>
        </w:rPr>
        <w:t>összeg</w:t>
      </w:r>
      <w:r>
        <w:rPr>
          <w:spacing w:val="-8"/>
          <w:w w:val="130"/>
          <w:sz w:val="24"/>
        </w:rPr>
        <w:t> </w:t>
      </w:r>
      <w:r>
        <w:rPr>
          <w:w w:val="130"/>
          <w:sz w:val="24"/>
        </w:rPr>
        <w:t>és</w:t>
      </w:r>
      <w:r>
        <w:rPr>
          <w:spacing w:val="-9"/>
          <w:w w:val="130"/>
          <w:sz w:val="24"/>
        </w:rPr>
        <w:t> </w:t>
      </w:r>
      <w:r>
        <w:rPr>
          <w:w w:val="130"/>
          <w:sz w:val="24"/>
        </w:rPr>
        <w:t>a</w:t>
      </w:r>
      <w:r>
        <w:rPr>
          <w:spacing w:val="-9"/>
          <w:w w:val="130"/>
          <w:sz w:val="24"/>
        </w:rPr>
        <w:t> </w:t>
      </w:r>
      <w:r>
        <w:rPr>
          <w:w w:val="130"/>
          <w:sz w:val="24"/>
        </w:rPr>
        <w:t>teljes</w:t>
      </w:r>
      <w:r>
        <w:rPr>
          <w:spacing w:val="-6"/>
          <w:w w:val="130"/>
          <w:sz w:val="24"/>
        </w:rPr>
        <w:t> </w:t>
      </w:r>
      <w:r>
        <w:rPr>
          <w:w w:val="130"/>
          <w:sz w:val="24"/>
        </w:rPr>
        <w:t>hiteldíjmutató,</w:t>
      </w:r>
    </w:p>
    <w:p>
      <w:pPr>
        <w:pStyle w:val="ListParagraph"/>
        <w:numPr>
          <w:ilvl w:val="1"/>
          <w:numId w:val="4"/>
        </w:numPr>
        <w:tabs>
          <w:tab w:pos="1083" w:val="left" w:leader="none"/>
        </w:tabs>
        <w:spacing w:line="225" w:lineRule="auto" w:before="1" w:after="0"/>
        <w:ind w:left="123" w:right="142" w:firstLine="400"/>
        <w:jc w:val="both"/>
        <w:rPr>
          <w:sz w:val="24"/>
        </w:rPr>
      </w:pPr>
      <w:r>
        <w:rPr>
          <w:w w:val="130"/>
          <w:sz w:val="24"/>
        </w:rPr>
        <w:t>a hitel teljes díjába bele nem számított további költségek és díjak, ha van</w:t>
      </w:r>
      <w:r>
        <w:rPr>
          <w:spacing w:val="-4"/>
          <w:w w:val="130"/>
          <w:sz w:val="24"/>
        </w:rPr>
        <w:t> </w:t>
      </w:r>
      <w:r>
        <w:rPr>
          <w:w w:val="130"/>
          <w:sz w:val="24"/>
        </w:rPr>
        <w:t>ilyen,</w:t>
      </w:r>
    </w:p>
    <w:p>
      <w:pPr>
        <w:pStyle w:val="ListParagraph"/>
        <w:numPr>
          <w:ilvl w:val="1"/>
          <w:numId w:val="4"/>
        </w:numPr>
        <w:tabs>
          <w:tab w:pos="1048" w:val="left" w:leader="none"/>
        </w:tabs>
        <w:spacing w:line="251" w:lineRule="exact" w:before="0" w:after="0"/>
        <w:ind w:left="1047" w:right="0" w:hanging="534"/>
        <w:jc w:val="left"/>
        <w:rPr>
          <w:sz w:val="24"/>
        </w:rPr>
      </w:pPr>
      <w:r>
        <w:rPr>
          <w:w w:val="130"/>
          <w:sz w:val="24"/>
        </w:rPr>
        <w:t>az előtörlesztés lehetősége és annak</w:t>
      </w:r>
      <w:r>
        <w:rPr>
          <w:spacing w:val="-22"/>
          <w:w w:val="130"/>
          <w:sz w:val="24"/>
        </w:rPr>
        <w:t> </w:t>
      </w:r>
      <w:r>
        <w:rPr>
          <w:w w:val="130"/>
          <w:sz w:val="24"/>
        </w:rPr>
        <w:t>feltételei,</w:t>
      </w:r>
    </w:p>
    <w:p>
      <w:pPr>
        <w:pStyle w:val="ListParagraph"/>
        <w:numPr>
          <w:ilvl w:val="1"/>
          <w:numId w:val="4"/>
        </w:numPr>
        <w:tabs>
          <w:tab w:pos="1417" w:val="left" w:leader="none"/>
        </w:tabs>
        <w:spacing w:line="225" w:lineRule="auto" w:before="0" w:after="0"/>
        <w:ind w:left="123" w:right="142" w:firstLine="400"/>
        <w:jc w:val="both"/>
        <w:rPr>
          <w:sz w:val="24"/>
        </w:rPr>
      </w:pPr>
      <w:r>
        <w:rPr>
          <w:w w:val="130"/>
          <w:sz w:val="24"/>
        </w:rPr>
        <w:t>a hitelező által kínált törlesztési lehetőségek, beleértve a törlesztőrészletek számát, összegét és a törlesztés gyakoriságát</w:t>
      </w:r>
      <w:r>
        <w:rPr>
          <w:spacing w:val="-41"/>
          <w:w w:val="130"/>
          <w:sz w:val="24"/>
        </w:rPr>
        <w:t> </w:t>
      </w:r>
      <w:r>
        <w:rPr>
          <w:w w:val="130"/>
          <w:sz w:val="24"/>
        </w:rPr>
        <w:t>is,</w:t>
      </w:r>
    </w:p>
    <w:p>
      <w:pPr>
        <w:pStyle w:val="ListParagraph"/>
        <w:numPr>
          <w:ilvl w:val="1"/>
          <w:numId w:val="4"/>
        </w:numPr>
        <w:tabs>
          <w:tab w:pos="1350" w:val="left" w:leader="none"/>
        </w:tabs>
        <w:spacing w:line="225" w:lineRule="auto" w:before="11" w:after="0"/>
        <w:ind w:left="113" w:right="150" w:firstLine="400"/>
        <w:jc w:val="both"/>
        <w:rPr>
          <w:sz w:val="24"/>
        </w:rPr>
      </w:pPr>
      <w:r>
        <w:rPr>
          <w:w w:val="130"/>
          <w:sz w:val="24"/>
        </w:rPr>
        <w:t>a fedezetül szolgáló ingatlan értékelésének szükségessége, ki végezteti el az értékelést, és a fogyasztót ezzel kapcsolatban milyen költség terheli,</w:t>
      </w:r>
    </w:p>
    <w:p>
      <w:pPr>
        <w:pStyle w:val="ListParagraph"/>
        <w:numPr>
          <w:ilvl w:val="1"/>
          <w:numId w:val="4"/>
        </w:numPr>
        <w:tabs>
          <w:tab w:pos="1225" w:val="left" w:leader="none"/>
        </w:tabs>
        <w:spacing w:line="225" w:lineRule="auto" w:before="2" w:after="0"/>
        <w:ind w:left="113" w:right="146" w:firstLine="400"/>
        <w:jc w:val="both"/>
        <w:rPr>
          <w:sz w:val="24"/>
        </w:rPr>
      </w:pPr>
      <w:r>
        <w:rPr>
          <w:w w:val="130"/>
          <w:sz w:val="24"/>
        </w:rPr>
        <w:t>azok</w:t>
      </w:r>
      <w:r>
        <w:rPr>
          <w:spacing w:val="-17"/>
          <w:w w:val="130"/>
          <w:sz w:val="24"/>
        </w:rPr>
        <w:t> </w:t>
      </w:r>
      <w:r>
        <w:rPr>
          <w:w w:val="130"/>
          <w:sz w:val="24"/>
        </w:rPr>
        <w:t>a</w:t>
      </w:r>
      <w:r>
        <w:rPr>
          <w:spacing w:val="-16"/>
          <w:w w:val="130"/>
          <w:sz w:val="24"/>
        </w:rPr>
        <w:t> </w:t>
      </w:r>
      <w:r>
        <w:rPr>
          <w:w w:val="130"/>
          <w:sz w:val="24"/>
        </w:rPr>
        <w:t>kapcsolódó</w:t>
      </w:r>
      <w:r>
        <w:rPr>
          <w:spacing w:val="-16"/>
          <w:w w:val="130"/>
          <w:sz w:val="24"/>
        </w:rPr>
        <w:t> </w:t>
      </w:r>
      <w:r>
        <w:rPr>
          <w:w w:val="130"/>
          <w:sz w:val="24"/>
        </w:rPr>
        <w:t>szolgáltatások,</w:t>
      </w:r>
      <w:r>
        <w:rPr>
          <w:spacing w:val="-16"/>
          <w:w w:val="130"/>
          <w:sz w:val="24"/>
        </w:rPr>
        <w:t> </w:t>
      </w:r>
      <w:r>
        <w:rPr>
          <w:w w:val="130"/>
          <w:sz w:val="24"/>
        </w:rPr>
        <w:t>amelyeket</w:t>
      </w:r>
      <w:r>
        <w:rPr>
          <w:spacing w:val="-16"/>
          <w:w w:val="130"/>
          <w:sz w:val="24"/>
        </w:rPr>
        <w:t> </w:t>
      </w:r>
      <w:r>
        <w:rPr>
          <w:w w:val="130"/>
          <w:sz w:val="24"/>
        </w:rPr>
        <w:t>a</w:t>
      </w:r>
      <w:r>
        <w:rPr>
          <w:spacing w:val="-17"/>
          <w:w w:val="130"/>
          <w:sz w:val="24"/>
        </w:rPr>
        <w:t> </w:t>
      </w:r>
      <w:r>
        <w:rPr>
          <w:w w:val="130"/>
          <w:sz w:val="24"/>
        </w:rPr>
        <w:t>fogyasztónak</w:t>
      </w:r>
      <w:r>
        <w:rPr>
          <w:spacing w:val="-16"/>
          <w:w w:val="130"/>
          <w:sz w:val="24"/>
        </w:rPr>
        <w:t> </w:t>
      </w:r>
      <w:r>
        <w:rPr>
          <w:w w:val="130"/>
          <w:sz w:val="24"/>
        </w:rPr>
        <w:t>igénybe kell vennie a hitel felvételéhez vagy a meghirdetett feltételek melletti felvételéhez, ha van rá lehetőség, annak feltüntetése, hogy a kapcsolódó szolgáltatásokat a hitelezőtől eltérő szolgáltatótól lehet megvenni, illetve a kapcsolódó</w:t>
      </w:r>
      <w:r>
        <w:rPr>
          <w:spacing w:val="-28"/>
          <w:w w:val="130"/>
          <w:sz w:val="24"/>
        </w:rPr>
        <w:t> </w:t>
      </w:r>
      <w:r>
        <w:rPr>
          <w:w w:val="130"/>
          <w:sz w:val="24"/>
        </w:rPr>
        <w:t>szolgáltatás</w:t>
      </w:r>
      <w:r>
        <w:rPr>
          <w:spacing w:val="-26"/>
          <w:w w:val="130"/>
          <w:sz w:val="24"/>
        </w:rPr>
        <w:t> </w:t>
      </w:r>
      <w:r>
        <w:rPr>
          <w:w w:val="130"/>
          <w:sz w:val="24"/>
        </w:rPr>
        <w:t>külön</w:t>
      </w:r>
      <w:r>
        <w:rPr>
          <w:spacing w:val="-27"/>
          <w:w w:val="130"/>
          <w:sz w:val="24"/>
        </w:rPr>
        <w:t> </w:t>
      </w:r>
      <w:r>
        <w:rPr>
          <w:w w:val="130"/>
          <w:sz w:val="24"/>
        </w:rPr>
        <w:t>szerződéses</w:t>
      </w:r>
      <w:r>
        <w:rPr>
          <w:spacing w:val="-15"/>
          <w:w w:val="130"/>
          <w:sz w:val="24"/>
        </w:rPr>
        <w:t> </w:t>
      </w:r>
      <w:r>
        <w:rPr>
          <w:w w:val="130"/>
          <w:sz w:val="24"/>
        </w:rPr>
        <w:t>jogviszony</w:t>
      </w:r>
      <w:r>
        <w:rPr>
          <w:spacing w:val="-39"/>
          <w:w w:val="130"/>
          <w:sz w:val="24"/>
        </w:rPr>
        <w:t> </w:t>
      </w:r>
      <w:r>
        <w:rPr>
          <w:w w:val="130"/>
          <w:sz w:val="24"/>
        </w:rPr>
        <w:t>létrejöttéhez</w:t>
      </w:r>
      <w:r>
        <w:rPr>
          <w:spacing w:val="-27"/>
          <w:w w:val="130"/>
          <w:sz w:val="24"/>
        </w:rPr>
        <w:t> </w:t>
      </w:r>
      <w:r>
        <w:rPr>
          <w:w w:val="130"/>
          <w:sz w:val="24"/>
        </w:rPr>
        <w:t>kötött-e,</w:t>
      </w:r>
    </w:p>
    <w:p>
      <w:pPr>
        <w:pStyle w:val="ListParagraph"/>
        <w:numPr>
          <w:ilvl w:val="1"/>
          <w:numId w:val="4"/>
        </w:numPr>
        <w:tabs>
          <w:tab w:pos="1375" w:val="left" w:leader="none"/>
        </w:tabs>
        <w:spacing w:line="225" w:lineRule="auto" w:before="3" w:after="0"/>
        <w:ind w:left="113" w:right="144" w:firstLine="400"/>
        <w:jc w:val="both"/>
        <w:rPr>
          <w:sz w:val="24"/>
        </w:rPr>
      </w:pPr>
      <w:r>
        <w:rPr>
          <w:w w:val="130"/>
          <w:sz w:val="24"/>
        </w:rPr>
        <w:t>általános figyelmeztetés a hitelszerződés be nem tartásának lehetséges</w:t>
      </w:r>
      <w:r>
        <w:rPr>
          <w:spacing w:val="-5"/>
          <w:w w:val="130"/>
          <w:sz w:val="24"/>
        </w:rPr>
        <w:t> </w:t>
      </w:r>
      <w:r>
        <w:rPr>
          <w:w w:val="130"/>
          <w:sz w:val="24"/>
        </w:rPr>
        <w:t>következményeire,</w:t>
      </w:r>
    </w:p>
    <w:p>
      <w:pPr>
        <w:pStyle w:val="ListParagraph"/>
        <w:numPr>
          <w:ilvl w:val="1"/>
          <w:numId w:val="4"/>
        </w:numPr>
        <w:tabs>
          <w:tab w:pos="1227" w:val="left" w:leader="none"/>
        </w:tabs>
        <w:spacing w:line="225" w:lineRule="auto" w:before="1" w:after="0"/>
        <w:ind w:left="113" w:right="157" w:firstLine="400"/>
        <w:jc w:val="both"/>
        <w:rPr>
          <w:sz w:val="24"/>
        </w:rPr>
      </w:pPr>
      <w:r>
        <w:rPr>
          <w:w w:val="125"/>
          <w:sz w:val="24"/>
        </w:rPr>
        <w:t>a lakáshitelek törlesztéséhez kapcsolódó adókedvezményre és egyéb állami támogatásra vonatkozó általános tájékoztatás, illetve tájékoztatás arról, hogy hol lehet további felvilágosítást</w:t>
      </w:r>
      <w:r>
        <w:rPr>
          <w:spacing w:val="3"/>
          <w:w w:val="125"/>
          <w:sz w:val="24"/>
        </w:rPr>
        <w:t> </w:t>
      </w:r>
      <w:r>
        <w:rPr>
          <w:w w:val="125"/>
          <w:sz w:val="24"/>
        </w:rPr>
        <w:t>kapni,</w:t>
      </w:r>
    </w:p>
    <w:p>
      <w:pPr>
        <w:pStyle w:val="ListParagraph"/>
        <w:numPr>
          <w:ilvl w:val="1"/>
          <w:numId w:val="4"/>
        </w:numPr>
        <w:tabs>
          <w:tab w:pos="1203" w:val="left" w:leader="none"/>
        </w:tabs>
        <w:spacing w:line="256" w:lineRule="exact" w:before="0" w:after="0"/>
        <w:ind w:left="1202" w:right="0" w:hanging="689"/>
        <w:jc w:val="left"/>
        <w:rPr>
          <w:sz w:val="24"/>
        </w:rPr>
      </w:pPr>
      <w:r>
        <w:rPr>
          <w:w w:val="130"/>
          <w:sz w:val="24"/>
        </w:rPr>
        <w:t>a hitelbírálat</w:t>
      </w:r>
      <w:r>
        <w:rPr>
          <w:spacing w:val="-7"/>
          <w:w w:val="130"/>
          <w:sz w:val="24"/>
        </w:rPr>
        <w:t> </w:t>
      </w:r>
      <w:r>
        <w:rPr>
          <w:w w:val="130"/>
          <w:sz w:val="24"/>
        </w:rPr>
        <w:t>időtartama,</w:t>
      </w:r>
    </w:p>
    <w:p>
      <w:pPr>
        <w:pStyle w:val="ListParagraph"/>
        <w:numPr>
          <w:ilvl w:val="1"/>
          <w:numId w:val="4"/>
        </w:numPr>
        <w:tabs>
          <w:tab w:pos="1268" w:val="left" w:leader="none"/>
        </w:tabs>
        <w:spacing w:line="225" w:lineRule="auto" w:before="5" w:after="0"/>
        <w:ind w:left="113" w:right="144" w:firstLine="400"/>
        <w:jc w:val="both"/>
        <w:rPr>
          <w:sz w:val="24"/>
        </w:rPr>
      </w:pPr>
      <w:r>
        <w:rPr>
          <w:w w:val="130"/>
          <w:sz w:val="24"/>
        </w:rPr>
        <w:t>adott esetben, például ha a fogyasztó által fizetett részletek nem eredményezik haladéktalanul</w:t>
      </w:r>
      <w:r>
        <w:rPr>
          <w:spacing w:val="78"/>
          <w:w w:val="130"/>
          <w:sz w:val="24"/>
        </w:rPr>
        <w:t> </w:t>
      </w:r>
      <w:r>
        <w:rPr>
          <w:w w:val="130"/>
          <w:sz w:val="24"/>
        </w:rPr>
        <w:t>a hitelösszeg törlesztését, hanem a hitelszerződésben vagy ahhoz kapcsolódó megállapodásban meghatározott időszakokban</w:t>
      </w:r>
      <w:r>
        <w:rPr>
          <w:spacing w:val="-24"/>
          <w:w w:val="130"/>
          <w:sz w:val="24"/>
        </w:rPr>
        <w:t> </w:t>
      </w:r>
      <w:r>
        <w:rPr>
          <w:w w:val="130"/>
          <w:sz w:val="24"/>
        </w:rPr>
        <w:t>és</w:t>
      </w:r>
      <w:r>
        <w:rPr>
          <w:spacing w:val="-23"/>
          <w:w w:val="130"/>
          <w:sz w:val="24"/>
        </w:rPr>
        <w:t> </w:t>
      </w:r>
      <w:r>
        <w:rPr>
          <w:w w:val="130"/>
          <w:sz w:val="24"/>
        </w:rPr>
        <w:t>feltételek</w:t>
      </w:r>
      <w:r>
        <w:rPr>
          <w:spacing w:val="-23"/>
          <w:w w:val="130"/>
          <w:sz w:val="24"/>
        </w:rPr>
        <w:t> </w:t>
      </w:r>
      <w:r>
        <w:rPr>
          <w:w w:val="130"/>
          <w:sz w:val="24"/>
        </w:rPr>
        <w:t>szerint</w:t>
      </w:r>
      <w:r>
        <w:rPr>
          <w:spacing w:val="-22"/>
          <w:w w:val="130"/>
          <w:sz w:val="24"/>
        </w:rPr>
        <w:t> </w:t>
      </w:r>
      <w:r>
        <w:rPr>
          <w:w w:val="130"/>
          <w:sz w:val="24"/>
        </w:rPr>
        <w:t>tőkeképzésre</w:t>
      </w:r>
      <w:r>
        <w:rPr>
          <w:spacing w:val="-23"/>
          <w:w w:val="130"/>
          <w:sz w:val="24"/>
        </w:rPr>
        <w:t> </w:t>
      </w:r>
      <w:r>
        <w:rPr>
          <w:w w:val="130"/>
          <w:sz w:val="24"/>
        </w:rPr>
        <w:t>fordítják,</w:t>
      </w:r>
      <w:r>
        <w:rPr>
          <w:spacing w:val="-23"/>
          <w:w w:val="130"/>
          <w:sz w:val="24"/>
        </w:rPr>
        <w:t> </w:t>
      </w:r>
      <w:r>
        <w:rPr>
          <w:w w:val="130"/>
          <w:sz w:val="24"/>
        </w:rPr>
        <w:t>egyértelmű</w:t>
      </w:r>
      <w:r>
        <w:rPr>
          <w:spacing w:val="-19"/>
          <w:w w:val="130"/>
          <w:sz w:val="24"/>
        </w:rPr>
        <w:t> </w:t>
      </w:r>
      <w:r>
        <w:rPr>
          <w:w w:val="130"/>
          <w:sz w:val="24"/>
        </w:rPr>
        <w:t>és</w:t>
      </w:r>
      <w:r>
        <w:rPr>
          <w:spacing w:val="-27"/>
          <w:w w:val="130"/>
          <w:sz w:val="24"/>
        </w:rPr>
        <w:t> </w:t>
      </w:r>
      <w:r>
        <w:rPr>
          <w:w w:val="130"/>
          <w:sz w:val="24"/>
        </w:rPr>
        <w:t>tömör tájékoztatás arról, hogy a hitelszerződés feltételeinek betartása nem eredményezi</w:t>
      </w:r>
      <w:r>
        <w:rPr>
          <w:spacing w:val="-11"/>
          <w:w w:val="130"/>
          <w:sz w:val="24"/>
        </w:rPr>
        <w:t> </w:t>
      </w:r>
      <w:r>
        <w:rPr>
          <w:w w:val="130"/>
          <w:sz w:val="24"/>
        </w:rPr>
        <w:t>automatikusan</w:t>
      </w:r>
      <w:r>
        <w:rPr>
          <w:spacing w:val="-11"/>
          <w:w w:val="130"/>
          <w:sz w:val="24"/>
        </w:rPr>
        <w:t> </w:t>
      </w:r>
      <w:r>
        <w:rPr>
          <w:w w:val="130"/>
          <w:sz w:val="24"/>
        </w:rPr>
        <w:t>a</w:t>
      </w:r>
      <w:r>
        <w:rPr>
          <w:spacing w:val="-11"/>
          <w:w w:val="130"/>
          <w:sz w:val="24"/>
        </w:rPr>
        <w:t> </w:t>
      </w:r>
      <w:r>
        <w:rPr>
          <w:w w:val="130"/>
          <w:sz w:val="24"/>
        </w:rPr>
        <w:t>hitel</w:t>
      </w:r>
      <w:r>
        <w:rPr>
          <w:spacing w:val="-9"/>
          <w:w w:val="130"/>
          <w:sz w:val="24"/>
        </w:rPr>
        <w:t> </w:t>
      </w:r>
      <w:r>
        <w:rPr>
          <w:w w:val="130"/>
          <w:sz w:val="24"/>
        </w:rPr>
        <w:t>teljes</w:t>
      </w:r>
      <w:r>
        <w:rPr>
          <w:spacing w:val="-11"/>
          <w:w w:val="130"/>
          <w:sz w:val="24"/>
        </w:rPr>
        <w:t> </w:t>
      </w:r>
      <w:r>
        <w:rPr>
          <w:w w:val="130"/>
          <w:sz w:val="24"/>
        </w:rPr>
        <w:t>összegének</w:t>
      </w:r>
      <w:r>
        <w:rPr>
          <w:spacing w:val="-10"/>
          <w:w w:val="130"/>
          <w:sz w:val="24"/>
        </w:rPr>
        <w:t> </w:t>
      </w:r>
      <w:r>
        <w:rPr>
          <w:w w:val="130"/>
          <w:sz w:val="24"/>
        </w:rPr>
        <w:t>visszafizetését.</w:t>
      </w:r>
    </w:p>
    <w:p>
      <w:pPr>
        <w:pStyle w:val="ListParagraph"/>
        <w:numPr>
          <w:ilvl w:val="1"/>
          <w:numId w:val="3"/>
        </w:numPr>
        <w:tabs>
          <w:tab w:pos="419" w:val="left" w:leader="none"/>
        </w:tabs>
        <w:spacing w:line="240" w:lineRule="auto" w:before="230" w:after="0"/>
        <w:ind w:left="418" w:right="0" w:hanging="305"/>
        <w:jc w:val="left"/>
        <w:rPr>
          <w:i/>
          <w:sz w:val="24"/>
        </w:rPr>
      </w:pPr>
      <w:r>
        <w:rPr>
          <w:i/>
          <w:w w:val="125"/>
          <w:sz w:val="24"/>
          <w:u w:val="single"/>
        </w:rPr>
        <w:t>melléklet a 3/2016. (I. 7.) NGM</w:t>
      </w:r>
      <w:r>
        <w:rPr>
          <w:i/>
          <w:spacing w:val="9"/>
          <w:w w:val="125"/>
          <w:sz w:val="24"/>
          <w:u w:val="single"/>
        </w:rPr>
        <w:t> </w:t>
      </w:r>
      <w:r>
        <w:rPr>
          <w:i/>
          <w:w w:val="125"/>
          <w:sz w:val="24"/>
          <w:u w:val="single"/>
        </w:rPr>
        <w:t>rendelethez</w:t>
      </w:r>
    </w:p>
    <w:p>
      <w:pPr>
        <w:pStyle w:val="BodyText"/>
        <w:ind w:left="0" w:firstLine="0"/>
        <w:jc w:val="left"/>
        <w:rPr>
          <w:i/>
          <w:sz w:val="20"/>
        </w:rPr>
      </w:pPr>
    </w:p>
    <w:p>
      <w:pPr>
        <w:pStyle w:val="Heading1"/>
        <w:ind w:left="453"/>
      </w:pPr>
      <w:r>
        <w:rPr>
          <w:w w:val="115"/>
        </w:rPr>
        <w:t>A jelzáloghitellel kapcsolatos személyre szóló tájékoztatás formája</w:t>
      </w:r>
    </w:p>
    <w:p>
      <w:pPr>
        <w:pStyle w:val="BodyText"/>
        <w:spacing w:before="3"/>
        <w:ind w:left="0" w:firstLine="0"/>
        <w:jc w:val="left"/>
        <w:rPr>
          <w:rFonts w:ascii="Arial-BoldItalicMT"/>
          <w:b/>
          <w:i/>
          <w:sz w:val="22"/>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1"/>
      </w:tblGrid>
      <w:tr>
        <w:trPr>
          <w:trHeight w:val="230" w:hRule="atLeast"/>
        </w:trPr>
        <w:tc>
          <w:tcPr>
            <w:tcW w:w="8031" w:type="dxa"/>
          </w:tcPr>
          <w:p>
            <w:pPr>
              <w:pStyle w:val="TableParagraph"/>
              <w:spacing w:line="210" w:lineRule="exact"/>
              <w:ind w:left="103"/>
              <w:rPr>
                <w:sz w:val="20"/>
              </w:rPr>
            </w:pPr>
            <w:r>
              <w:rPr>
                <w:w w:val="125"/>
                <w:sz w:val="20"/>
              </w:rPr>
              <w:t>Bevezető szöveg</w:t>
            </w:r>
          </w:p>
        </w:tc>
      </w:tr>
    </w:tbl>
    <w:p>
      <w:pPr>
        <w:pStyle w:val="BodyText"/>
        <w:spacing w:before="1"/>
        <w:ind w:left="0" w:firstLine="0"/>
        <w:jc w:val="left"/>
        <w:rPr>
          <w:rFonts w:ascii="Arial-BoldItalicMT"/>
          <w:b/>
          <w:i/>
          <w:sz w:val="13"/>
        </w:rPr>
      </w:pPr>
      <w:r>
        <w:rPr/>
        <w:pict>
          <v:line style="position:absolute;mso-position-horizontal-relative:page;mso-position-vertical-relative:paragraph;z-index:-1000;mso-wrap-distance-left:0;mso-wrap-distance-right:0" from="56.693001pt,9.754pt" to="538.583001pt,9.75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3/2018. (VI. 29.) PM rendelet 2. §, 1. melléklet 1. Hatályos: 2018. VII.</w:t>
      </w:r>
      <w:r>
        <w:rPr>
          <w:i/>
          <w:spacing w:val="-37"/>
          <w:w w:val="125"/>
          <w:sz w:val="18"/>
        </w:rPr>
        <w:t> </w:t>
      </w:r>
      <w:r>
        <w:rPr>
          <w:i/>
          <w:w w:val="125"/>
          <w:sz w:val="18"/>
        </w:rPr>
        <w:t>1-től.</w:t>
      </w:r>
    </w:p>
    <w:p>
      <w:pPr>
        <w:spacing w:after="0"/>
        <w:jc w:val="left"/>
        <w:rPr>
          <w:sz w:val="18"/>
        </w:rPr>
        <w:sectPr>
          <w:pgSz w:w="11900" w:h="16820"/>
          <w:pgMar w:header="1104" w:footer="0" w:top="1840" w:bottom="280" w:left="1020" w:right="980"/>
        </w:sectPr>
      </w:pPr>
    </w:p>
    <w:p>
      <w:pPr>
        <w:pStyle w:val="BodyText"/>
        <w:ind w:left="0" w:firstLine="0"/>
        <w:jc w:val="left"/>
        <w:rPr>
          <w:sz w:val="10"/>
        </w:rPr>
      </w:pPr>
    </w:p>
    <w:p>
      <w:pPr>
        <w:pStyle w:val="BodyText"/>
        <w:spacing w:line="20" w:lineRule="exact"/>
        <w:ind w:left="108" w:firstLine="0"/>
        <w:jc w:val="left"/>
        <w:rPr>
          <w:sz w:val="2"/>
        </w:rPr>
      </w:pPr>
      <w:r>
        <w:rPr>
          <w:sz w:val="2"/>
        </w:rPr>
        <w:pict>
          <v:group style="width:481.9pt;height:.5pt;mso-position-horizontal-relative:char;mso-position-vertical-relative:line" coordorigin="0,0" coordsize="9638,10">
            <v:line style="position:absolute" from="0,5" to="9638,5" stroked="true" strokeweight=".5pt" strokecolor="#000000">
              <v:stroke dashstyle="solid"/>
            </v:line>
          </v:group>
        </w:pict>
      </w:r>
      <w:r>
        <w:rPr>
          <w:sz w:val="2"/>
        </w:rPr>
      </w:r>
    </w:p>
    <w:p>
      <w:pPr>
        <w:pStyle w:val="BodyText"/>
        <w:spacing w:before="7"/>
        <w:ind w:left="0" w:firstLine="0"/>
        <w:jc w:val="left"/>
        <w:rPr>
          <w:sz w:val="15"/>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1"/>
      </w:tblGrid>
      <w:tr>
        <w:trPr>
          <w:trHeight w:val="1770" w:hRule="atLeast"/>
        </w:trPr>
        <w:tc>
          <w:tcPr>
            <w:tcW w:w="8031" w:type="dxa"/>
          </w:tcPr>
          <w:p>
            <w:pPr>
              <w:pStyle w:val="TableParagraph"/>
              <w:spacing w:line="230" w:lineRule="auto" w:before="7"/>
              <w:ind w:right="33" w:firstLine="63"/>
              <w:jc w:val="both"/>
              <w:rPr>
                <w:sz w:val="20"/>
              </w:rPr>
            </w:pPr>
            <w:r>
              <w:rPr>
                <w:w w:val="125"/>
                <w:sz w:val="20"/>
              </w:rPr>
              <w:t>Ez a dokumentum [aktuális dátum]-án/-én [a fogyasztó neve] részére készült. Ez a dokumentum az Ön által ezidáig megadott adatok és a jelenlegi pénzügyi piaci feltételek alapján készült.</w:t>
            </w:r>
          </w:p>
          <w:p>
            <w:pPr>
              <w:pStyle w:val="TableParagraph"/>
              <w:spacing w:line="230" w:lineRule="auto"/>
              <w:ind w:right="42"/>
              <w:jc w:val="both"/>
              <w:rPr>
                <w:sz w:val="20"/>
              </w:rPr>
            </w:pPr>
            <w:r>
              <w:rPr>
                <w:w w:val="125"/>
                <w:sz w:val="20"/>
              </w:rPr>
              <w:t>Az alábbi tájékoztatás (adott esetben) a kamat és egyéb költségek kivételével [érvényességi dátum]-ig érvényes.</w:t>
            </w:r>
          </w:p>
          <w:p>
            <w:pPr>
              <w:pStyle w:val="TableParagraph"/>
              <w:spacing w:line="216" w:lineRule="exact"/>
              <w:rPr>
                <w:sz w:val="20"/>
              </w:rPr>
            </w:pPr>
            <w:r>
              <w:rPr>
                <w:w w:val="125"/>
                <w:sz w:val="20"/>
              </w:rPr>
              <w:t>Ezt követően a piaci feltételek függvényében változhat.</w:t>
            </w:r>
          </w:p>
          <w:p>
            <w:pPr>
              <w:pStyle w:val="TableParagraph"/>
              <w:spacing w:line="220" w:lineRule="exact" w:before="4"/>
              <w:ind w:right="34"/>
              <w:jc w:val="both"/>
              <w:rPr>
                <w:sz w:val="20"/>
              </w:rPr>
            </w:pPr>
            <w:r>
              <w:rPr>
                <w:w w:val="125"/>
                <w:sz w:val="20"/>
              </w:rPr>
              <w:t>(Adott esetben) Ez a dokumentum nem kötelezi [a hitelező neve]-t arra, hogy hitelt nyújtson Önnek.</w:t>
            </w:r>
          </w:p>
        </w:tc>
      </w:tr>
      <w:tr>
        <w:trPr>
          <w:trHeight w:val="229" w:hRule="atLeast"/>
        </w:trPr>
        <w:tc>
          <w:tcPr>
            <w:tcW w:w="8031" w:type="dxa"/>
          </w:tcPr>
          <w:p>
            <w:pPr>
              <w:pStyle w:val="TableParagraph"/>
              <w:spacing w:line="209" w:lineRule="exact"/>
              <w:ind w:left="103"/>
              <w:rPr>
                <w:sz w:val="20"/>
              </w:rPr>
            </w:pPr>
            <w:r>
              <w:rPr>
                <w:w w:val="125"/>
                <w:sz w:val="20"/>
              </w:rPr>
              <w:t>1. Hitelező</w:t>
            </w:r>
          </w:p>
        </w:tc>
      </w:tr>
      <w:tr>
        <w:trPr>
          <w:trHeight w:val="2650" w:hRule="atLeast"/>
        </w:trPr>
        <w:tc>
          <w:tcPr>
            <w:tcW w:w="8031" w:type="dxa"/>
          </w:tcPr>
          <w:p>
            <w:pPr>
              <w:pStyle w:val="TableParagraph"/>
              <w:spacing w:line="230" w:lineRule="auto" w:before="7"/>
              <w:ind w:right="5979" w:firstLine="63"/>
              <w:rPr>
                <w:sz w:val="20"/>
              </w:rPr>
            </w:pPr>
            <w:r>
              <w:rPr>
                <w:w w:val="120"/>
                <w:sz w:val="20"/>
              </w:rPr>
              <w:t>[Név] [Telefonszám] [Levelezési cím]</w:t>
            </w:r>
          </w:p>
          <w:p>
            <w:pPr>
              <w:pStyle w:val="TableParagraph"/>
              <w:spacing w:line="230" w:lineRule="auto"/>
              <w:ind w:right="5115"/>
              <w:rPr>
                <w:sz w:val="20"/>
              </w:rPr>
            </w:pPr>
            <w:r>
              <w:rPr>
                <w:w w:val="120"/>
                <w:sz w:val="20"/>
              </w:rPr>
              <w:t>(Nem kötelező) [E-mail cím] (Nem kötelező) [Fax]</w:t>
            </w:r>
          </w:p>
          <w:p>
            <w:pPr>
              <w:pStyle w:val="TableParagraph"/>
              <w:spacing w:line="216" w:lineRule="exact"/>
              <w:rPr>
                <w:sz w:val="20"/>
              </w:rPr>
            </w:pPr>
            <w:r>
              <w:rPr>
                <w:w w:val="125"/>
                <w:sz w:val="20"/>
              </w:rPr>
              <w:t>(Nem kötelező) [Internetcím]</w:t>
            </w:r>
          </w:p>
          <w:p>
            <w:pPr>
              <w:pStyle w:val="TableParagraph"/>
              <w:spacing w:line="220" w:lineRule="exact"/>
              <w:rPr>
                <w:sz w:val="20"/>
              </w:rPr>
            </w:pPr>
            <w:r>
              <w:rPr>
                <w:w w:val="125"/>
                <w:sz w:val="20"/>
              </w:rPr>
              <w:t>(Nem kötelező) [Kapcsolattartó személy/pont]</w:t>
            </w:r>
          </w:p>
          <w:p>
            <w:pPr>
              <w:pStyle w:val="TableParagraph"/>
              <w:spacing w:line="220" w:lineRule="exact" w:before="4"/>
              <w:ind w:right="35"/>
              <w:jc w:val="both"/>
              <w:rPr>
                <w:sz w:val="20"/>
              </w:rPr>
            </w:pPr>
            <w:r>
              <w:rPr>
                <w:w w:val="125"/>
                <w:sz w:val="20"/>
              </w:rPr>
              <w:t>(Adott esetben tájékoztatás arról, hogy hiteltanácsadás igénybe vehető-e:) [(Igényének és körülményeinek értékelése alapján ezt a jelzáloghitelt ajánljuk Önnek./Nem ajánljuk Önnek az adott jelzáloghitelt. Egyes kérdésekre adott válaszai alapján azonban tájékoztatjuk az adott jelzáloghitel feltételeiről, hogy Ön dönthessen.)]</w:t>
            </w:r>
          </w:p>
        </w:tc>
      </w:tr>
      <w:tr>
        <w:trPr>
          <w:trHeight w:val="229" w:hRule="atLeast"/>
        </w:trPr>
        <w:tc>
          <w:tcPr>
            <w:tcW w:w="8031" w:type="dxa"/>
          </w:tcPr>
          <w:p>
            <w:pPr>
              <w:pStyle w:val="TableParagraph"/>
              <w:spacing w:line="209" w:lineRule="exact"/>
              <w:ind w:left="103"/>
              <w:rPr>
                <w:sz w:val="20"/>
              </w:rPr>
            </w:pPr>
            <w:r>
              <w:rPr>
                <w:w w:val="125"/>
                <w:sz w:val="20"/>
              </w:rPr>
              <w:t>2. (Adott esetben): Hitelközvetítő</w:t>
            </w:r>
          </w:p>
        </w:tc>
      </w:tr>
      <w:tr>
        <w:trPr>
          <w:trHeight w:val="2870" w:hRule="atLeast"/>
        </w:trPr>
        <w:tc>
          <w:tcPr>
            <w:tcW w:w="8031" w:type="dxa"/>
          </w:tcPr>
          <w:p>
            <w:pPr>
              <w:pStyle w:val="TableParagraph"/>
              <w:spacing w:line="230" w:lineRule="auto" w:before="7"/>
              <w:ind w:right="5979" w:firstLine="63"/>
              <w:rPr>
                <w:sz w:val="20"/>
              </w:rPr>
            </w:pPr>
            <w:r>
              <w:rPr>
                <w:w w:val="120"/>
                <w:sz w:val="20"/>
              </w:rPr>
              <w:t>[Név] [Telefonszám] [Levelezési cím]</w:t>
            </w:r>
          </w:p>
          <w:p>
            <w:pPr>
              <w:pStyle w:val="TableParagraph"/>
              <w:spacing w:line="230" w:lineRule="auto"/>
              <w:ind w:right="5115"/>
              <w:rPr>
                <w:sz w:val="20"/>
              </w:rPr>
            </w:pPr>
            <w:r>
              <w:rPr>
                <w:w w:val="125"/>
                <w:sz w:val="20"/>
              </w:rPr>
              <w:t>(Nem kötelező)[E-mail cím] (Nem kötelező) [Fax]</w:t>
            </w:r>
          </w:p>
          <w:p>
            <w:pPr>
              <w:pStyle w:val="TableParagraph"/>
              <w:spacing w:line="216" w:lineRule="exact"/>
              <w:rPr>
                <w:sz w:val="20"/>
              </w:rPr>
            </w:pPr>
            <w:r>
              <w:rPr>
                <w:w w:val="125"/>
                <w:sz w:val="20"/>
              </w:rPr>
              <w:t>(Nem kötelező) [Internetcím]</w:t>
            </w:r>
          </w:p>
          <w:p>
            <w:pPr>
              <w:pStyle w:val="TableParagraph"/>
              <w:spacing w:line="220" w:lineRule="exact"/>
              <w:rPr>
                <w:sz w:val="20"/>
              </w:rPr>
            </w:pPr>
            <w:r>
              <w:rPr>
                <w:w w:val="125"/>
                <w:sz w:val="20"/>
              </w:rPr>
              <w:t>(Nem kötelező) [Kapcsolattartó személy/pont]</w:t>
            </w:r>
          </w:p>
          <w:p>
            <w:pPr>
              <w:pStyle w:val="TableParagraph"/>
              <w:spacing w:line="230" w:lineRule="auto" w:before="1"/>
              <w:rPr>
                <w:sz w:val="20"/>
              </w:rPr>
            </w:pPr>
            <w:r>
              <w:rPr>
                <w:w w:val="125"/>
                <w:sz w:val="20"/>
              </w:rPr>
              <w:t>(Adott esetben [tájékoztatás arról, hogy hiteltanácsadás igénybe vehető-e) [(Igényének és körülményeinek értékelése alapján ezt a jelzáloghitelt ajánljuk Önnek./Nem ajánljuk Önnek az adott jelzáloghitelt. Egyes kérdésekre adott válaszai alapján azonban tájékoztatjuk erről a jelzáloghitelről, hogy Ön dönthessen.)]</w:t>
            </w:r>
          </w:p>
          <w:p>
            <w:pPr>
              <w:pStyle w:val="TableParagraph"/>
              <w:spacing w:line="198" w:lineRule="exact"/>
              <w:rPr>
                <w:sz w:val="20"/>
              </w:rPr>
            </w:pPr>
            <w:r>
              <w:rPr>
                <w:w w:val="120"/>
                <w:sz w:val="20"/>
              </w:rPr>
              <w:t>[Díjazás]</w:t>
            </w:r>
          </w:p>
        </w:tc>
      </w:tr>
      <w:tr>
        <w:trPr>
          <w:trHeight w:val="230" w:hRule="atLeast"/>
        </w:trPr>
        <w:tc>
          <w:tcPr>
            <w:tcW w:w="8031" w:type="dxa"/>
          </w:tcPr>
          <w:p>
            <w:pPr>
              <w:pStyle w:val="TableParagraph"/>
              <w:spacing w:line="210" w:lineRule="exact"/>
              <w:ind w:left="103"/>
              <w:rPr>
                <w:sz w:val="20"/>
              </w:rPr>
            </w:pPr>
            <w:r>
              <w:rPr>
                <w:w w:val="120"/>
                <w:sz w:val="20"/>
              </w:rPr>
              <w:t>3. A hitel fő jellemzői</w:t>
            </w:r>
          </w:p>
        </w:tc>
      </w:tr>
    </w:tbl>
    <w:p>
      <w:pPr>
        <w:spacing w:after="0" w:line="210" w:lineRule="exact"/>
        <w:rPr>
          <w:sz w:val="20"/>
        </w:rPr>
        <w:sectPr>
          <w:headerReference w:type="default" r:id="rId6"/>
          <w:pgSz w:w="11900" w:h="16820"/>
          <w:pgMar w:header="1104" w:footer="0" w:top="1700" w:bottom="280" w:left="1020" w:right="980"/>
          <w:pgNumType w:start="3"/>
        </w:sectPr>
      </w:pPr>
    </w:p>
    <w:p>
      <w:pPr>
        <w:pStyle w:val="BodyText"/>
        <w:ind w:left="0" w:firstLine="0"/>
        <w:jc w:val="left"/>
        <w:rPr>
          <w:sz w:val="10"/>
        </w:rPr>
      </w:pPr>
    </w:p>
    <w:p>
      <w:pPr>
        <w:pStyle w:val="BodyText"/>
        <w:spacing w:line="20" w:lineRule="exact"/>
        <w:ind w:left="108" w:firstLine="0"/>
        <w:jc w:val="left"/>
        <w:rPr>
          <w:sz w:val="2"/>
        </w:rPr>
      </w:pPr>
      <w:r>
        <w:rPr>
          <w:sz w:val="2"/>
        </w:rPr>
        <w:pict>
          <v:group style="width:481.9pt;height:.5pt;mso-position-horizontal-relative:char;mso-position-vertical-relative:line" coordorigin="0,0" coordsize="9638,10">
            <v:line style="position:absolute" from="0,5" to="9638,5" stroked="true" strokeweight=".5pt" strokecolor="#000000">
              <v:stroke dashstyle="solid"/>
            </v:line>
          </v:group>
        </w:pict>
      </w:r>
      <w:r>
        <w:rPr>
          <w:sz w:val="2"/>
        </w:rPr>
      </w:r>
    </w:p>
    <w:p>
      <w:pPr>
        <w:pStyle w:val="BodyText"/>
        <w:spacing w:before="7"/>
        <w:ind w:left="0" w:firstLine="0"/>
        <w:jc w:val="left"/>
        <w:rPr>
          <w:sz w:val="15"/>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1"/>
      </w:tblGrid>
      <w:tr>
        <w:trPr>
          <w:trHeight w:val="6830" w:hRule="atLeast"/>
        </w:trPr>
        <w:tc>
          <w:tcPr>
            <w:tcW w:w="8031" w:type="dxa"/>
          </w:tcPr>
          <w:p>
            <w:pPr>
              <w:pStyle w:val="TableParagraph"/>
              <w:spacing w:line="230" w:lineRule="auto" w:before="7"/>
              <w:ind w:right="2377" w:firstLine="63"/>
              <w:rPr>
                <w:sz w:val="20"/>
              </w:rPr>
            </w:pPr>
            <w:r>
              <w:rPr>
                <w:w w:val="125"/>
                <w:sz w:val="20"/>
              </w:rPr>
              <w:t>A hitel összege és pénzneme: [összeg][pénznem] (Adott esetben) Ez a hitel nem forint hitel.</w:t>
            </w:r>
          </w:p>
          <w:p>
            <w:pPr>
              <w:pStyle w:val="TableParagraph"/>
              <w:spacing w:line="230" w:lineRule="auto"/>
              <w:ind w:right="29"/>
              <w:jc w:val="both"/>
              <w:rPr>
                <w:sz w:val="20"/>
              </w:rPr>
            </w:pPr>
            <w:r>
              <w:rPr>
                <w:w w:val="125"/>
                <w:sz w:val="20"/>
              </w:rPr>
              <w:t>(Adott esetben) Az Ön által felvett hitel forintra átszámított összege változhat. (Adott esetben) Például amennyiben a forint árfolyama a [hitel pénzneme]-hoz/-hez/-höz képest 20%-kal gyengül, akkor az Ön által felvett hitel összege [forint összeg]-re növekedne. Az összeg azonban még ennél magasabb is lehet, ha a forint árfolyama több mint 20%-kal gyengül a hitel devizaneméhez képest.</w:t>
            </w:r>
          </w:p>
          <w:p>
            <w:pPr>
              <w:pStyle w:val="TableParagraph"/>
              <w:spacing w:line="230" w:lineRule="auto"/>
              <w:ind w:right="35"/>
              <w:jc w:val="both"/>
              <w:rPr>
                <w:sz w:val="20"/>
              </w:rPr>
            </w:pPr>
            <w:r>
              <w:rPr>
                <w:w w:val="130"/>
                <w:sz w:val="20"/>
              </w:rPr>
              <w:t>(Adott</w:t>
            </w:r>
            <w:r>
              <w:rPr>
                <w:spacing w:val="-10"/>
                <w:w w:val="130"/>
                <w:sz w:val="20"/>
              </w:rPr>
              <w:t> </w:t>
            </w:r>
            <w:r>
              <w:rPr>
                <w:w w:val="130"/>
                <w:sz w:val="20"/>
              </w:rPr>
              <w:t>esetben)</w:t>
            </w:r>
            <w:r>
              <w:rPr>
                <w:spacing w:val="-4"/>
                <w:w w:val="130"/>
                <w:sz w:val="20"/>
              </w:rPr>
              <w:t> </w:t>
            </w:r>
            <w:r>
              <w:rPr>
                <w:w w:val="130"/>
                <w:sz w:val="20"/>
              </w:rPr>
              <w:t>Az</w:t>
            </w:r>
            <w:r>
              <w:rPr>
                <w:spacing w:val="-14"/>
                <w:w w:val="130"/>
                <w:sz w:val="20"/>
              </w:rPr>
              <w:t> </w:t>
            </w:r>
            <w:r>
              <w:rPr>
                <w:w w:val="130"/>
                <w:sz w:val="20"/>
              </w:rPr>
              <w:t>Ön</w:t>
            </w:r>
            <w:r>
              <w:rPr>
                <w:spacing w:val="-9"/>
                <w:w w:val="130"/>
                <w:sz w:val="20"/>
              </w:rPr>
              <w:t> </w:t>
            </w:r>
            <w:r>
              <w:rPr>
                <w:w w:val="130"/>
                <w:sz w:val="20"/>
              </w:rPr>
              <w:t>által</w:t>
            </w:r>
            <w:r>
              <w:rPr>
                <w:spacing w:val="-10"/>
                <w:w w:val="130"/>
                <w:sz w:val="20"/>
              </w:rPr>
              <w:t> </w:t>
            </w:r>
            <w:r>
              <w:rPr>
                <w:w w:val="130"/>
                <w:sz w:val="20"/>
              </w:rPr>
              <w:t>felvett</w:t>
            </w:r>
            <w:r>
              <w:rPr>
                <w:spacing w:val="-9"/>
                <w:w w:val="130"/>
                <w:sz w:val="20"/>
              </w:rPr>
              <w:t> </w:t>
            </w:r>
            <w:r>
              <w:rPr>
                <w:w w:val="130"/>
                <w:sz w:val="20"/>
              </w:rPr>
              <w:t>hitel</w:t>
            </w:r>
            <w:r>
              <w:rPr>
                <w:spacing w:val="-6"/>
                <w:w w:val="130"/>
                <w:sz w:val="20"/>
              </w:rPr>
              <w:t> </w:t>
            </w:r>
            <w:r>
              <w:rPr>
                <w:w w:val="130"/>
                <w:sz w:val="20"/>
              </w:rPr>
              <w:t>legmagasabb</w:t>
            </w:r>
            <w:r>
              <w:rPr>
                <w:spacing w:val="-12"/>
                <w:w w:val="130"/>
                <w:sz w:val="20"/>
              </w:rPr>
              <w:t> </w:t>
            </w:r>
            <w:r>
              <w:rPr>
                <w:w w:val="130"/>
                <w:sz w:val="20"/>
              </w:rPr>
              <w:t>összege</w:t>
            </w:r>
            <w:r>
              <w:rPr>
                <w:spacing w:val="-9"/>
                <w:w w:val="130"/>
                <w:sz w:val="20"/>
              </w:rPr>
              <w:t> </w:t>
            </w:r>
            <w:r>
              <w:rPr>
                <w:w w:val="130"/>
                <w:sz w:val="20"/>
              </w:rPr>
              <w:t>[forint</w:t>
            </w:r>
            <w:r>
              <w:rPr>
                <w:spacing w:val="-10"/>
                <w:w w:val="130"/>
                <w:sz w:val="20"/>
              </w:rPr>
              <w:t> </w:t>
            </w:r>
            <w:r>
              <w:rPr>
                <w:w w:val="130"/>
                <w:sz w:val="20"/>
              </w:rPr>
              <w:t>összeg] lehet.</w:t>
            </w:r>
          </w:p>
          <w:p>
            <w:pPr>
              <w:pStyle w:val="TableParagraph"/>
              <w:spacing w:line="230" w:lineRule="auto"/>
              <w:ind w:right="28"/>
              <w:jc w:val="both"/>
              <w:rPr>
                <w:sz w:val="20"/>
              </w:rPr>
            </w:pPr>
            <w:r>
              <w:rPr>
                <w:w w:val="130"/>
                <w:sz w:val="20"/>
              </w:rPr>
              <w:t>(Adott esetben) Figyelmeztetést küldünk Önnek, ha a hitelösszeg eléri a [forint összeg]-t.</w:t>
            </w:r>
          </w:p>
          <w:p>
            <w:pPr>
              <w:pStyle w:val="TableParagraph"/>
              <w:spacing w:line="230" w:lineRule="auto"/>
              <w:ind w:right="20"/>
              <w:jc w:val="both"/>
              <w:rPr>
                <w:sz w:val="20"/>
              </w:rPr>
            </w:pPr>
            <w:r>
              <w:rPr>
                <w:w w:val="130"/>
                <w:sz w:val="20"/>
              </w:rPr>
              <w:t>(Adott esetben) Lehetősége lesz [az idegen pénznemben felvett hitel újratárgyalásának</w:t>
            </w:r>
            <w:r>
              <w:rPr>
                <w:spacing w:val="-6"/>
                <w:w w:val="130"/>
                <w:sz w:val="20"/>
              </w:rPr>
              <w:t> </w:t>
            </w:r>
            <w:r>
              <w:rPr>
                <w:w w:val="130"/>
                <w:sz w:val="20"/>
              </w:rPr>
              <w:t>joga</w:t>
            </w:r>
            <w:r>
              <w:rPr>
                <w:spacing w:val="-14"/>
                <w:w w:val="130"/>
                <w:sz w:val="20"/>
              </w:rPr>
              <w:t> </w:t>
            </w:r>
            <w:r>
              <w:rPr>
                <w:w w:val="130"/>
                <w:sz w:val="20"/>
              </w:rPr>
              <w:t>vagy</w:t>
            </w:r>
            <w:r>
              <w:rPr>
                <w:spacing w:val="-10"/>
                <w:w w:val="130"/>
                <w:sz w:val="20"/>
              </w:rPr>
              <w:t> </w:t>
            </w:r>
            <w:r>
              <w:rPr>
                <w:w w:val="130"/>
                <w:sz w:val="20"/>
              </w:rPr>
              <w:t>a</w:t>
            </w:r>
            <w:r>
              <w:rPr>
                <w:spacing w:val="-9"/>
                <w:w w:val="130"/>
                <w:sz w:val="20"/>
              </w:rPr>
              <w:t> </w:t>
            </w:r>
            <w:r>
              <w:rPr>
                <w:w w:val="130"/>
                <w:sz w:val="20"/>
              </w:rPr>
              <w:t>hitel</w:t>
            </w:r>
            <w:r>
              <w:rPr>
                <w:spacing w:val="-10"/>
                <w:w w:val="130"/>
                <w:sz w:val="20"/>
              </w:rPr>
              <w:t> </w:t>
            </w:r>
            <w:r>
              <w:rPr>
                <w:w w:val="130"/>
                <w:sz w:val="20"/>
              </w:rPr>
              <w:t>[adott</w:t>
            </w:r>
            <w:r>
              <w:rPr>
                <w:spacing w:val="-9"/>
                <w:w w:val="130"/>
                <w:sz w:val="20"/>
              </w:rPr>
              <w:t> </w:t>
            </w:r>
            <w:r>
              <w:rPr>
                <w:w w:val="130"/>
                <w:sz w:val="20"/>
              </w:rPr>
              <w:t>pénznem]-ra/re</w:t>
            </w:r>
            <w:r>
              <w:rPr>
                <w:spacing w:val="-10"/>
                <w:w w:val="130"/>
                <w:sz w:val="20"/>
              </w:rPr>
              <w:t> </w:t>
            </w:r>
            <w:r>
              <w:rPr>
                <w:w w:val="130"/>
                <w:sz w:val="20"/>
              </w:rPr>
              <w:t>való</w:t>
            </w:r>
            <w:r>
              <w:rPr>
                <w:spacing w:val="-10"/>
                <w:w w:val="130"/>
                <w:sz w:val="20"/>
              </w:rPr>
              <w:t> </w:t>
            </w:r>
            <w:r>
              <w:rPr>
                <w:w w:val="130"/>
                <w:sz w:val="20"/>
              </w:rPr>
              <w:t>átváltásának a joga és</w:t>
            </w:r>
            <w:r>
              <w:rPr>
                <w:spacing w:val="-5"/>
                <w:w w:val="130"/>
                <w:sz w:val="20"/>
              </w:rPr>
              <w:t> </w:t>
            </w:r>
            <w:r>
              <w:rPr>
                <w:w w:val="130"/>
                <w:sz w:val="20"/>
              </w:rPr>
              <w:t>feltételei]</w:t>
            </w:r>
          </w:p>
          <w:p>
            <w:pPr>
              <w:pStyle w:val="TableParagraph"/>
              <w:spacing w:line="230" w:lineRule="auto"/>
              <w:ind w:right="4848"/>
              <w:rPr>
                <w:sz w:val="20"/>
              </w:rPr>
            </w:pPr>
            <w:r>
              <w:rPr>
                <w:w w:val="120"/>
                <w:sz w:val="20"/>
              </w:rPr>
              <w:t>A hitel futamideje: [futamidő] [A hitel típusa]</w:t>
            </w:r>
          </w:p>
          <w:p>
            <w:pPr>
              <w:pStyle w:val="TableParagraph"/>
              <w:spacing w:line="230" w:lineRule="auto"/>
              <w:ind w:right="4413"/>
              <w:rPr>
                <w:sz w:val="20"/>
              </w:rPr>
            </w:pPr>
            <w:r>
              <w:rPr>
                <w:w w:val="125"/>
                <w:sz w:val="20"/>
              </w:rPr>
              <w:t>[Az alkalmazandó kamatláb típusa] Az Ön által fizetendő teljes összeg</w:t>
            </w:r>
          </w:p>
          <w:p>
            <w:pPr>
              <w:pStyle w:val="TableParagraph"/>
              <w:spacing w:line="230" w:lineRule="auto"/>
              <w:ind w:right="12"/>
              <w:jc w:val="both"/>
              <w:rPr>
                <w:sz w:val="20"/>
              </w:rPr>
            </w:pPr>
            <w:r>
              <w:rPr>
                <w:w w:val="125"/>
                <w:sz w:val="20"/>
              </w:rPr>
              <w:t>Ez azt jelenti, hogy [hitelösszeg]-ért, amelyet hitelként  felvesz,  [összeg]-et kell visszafizetnie.</w:t>
            </w:r>
          </w:p>
          <w:p>
            <w:pPr>
              <w:pStyle w:val="TableParagraph"/>
              <w:spacing w:line="230" w:lineRule="auto"/>
              <w:ind w:right="24"/>
              <w:jc w:val="both"/>
              <w:rPr>
                <w:sz w:val="20"/>
              </w:rPr>
            </w:pPr>
            <w:r>
              <w:rPr>
                <w:w w:val="130"/>
                <w:sz w:val="20"/>
              </w:rPr>
              <w:t>(Adott esetben) [Ez a hitel/Ennek a hitelnek egy része] halasztott tőketörlesztésű hitel. Ez azt eredményezheti, hogy a jelzáloghitel futamideje végén még [törlesztendő összeg]-et kell fizetnie.</w:t>
            </w:r>
          </w:p>
          <w:p>
            <w:pPr>
              <w:pStyle w:val="TableParagraph"/>
              <w:spacing w:line="230" w:lineRule="auto"/>
              <w:ind w:right="43"/>
              <w:jc w:val="both"/>
              <w:rPr>
                <w:sz w:val="20"/>
              </w:rPr>
            </w:pPr>
            <w:r>
              <w:rPr>
                <w:w w:val="130"/>
                <w:sz w:val="20"/>
              </w:rPr>
              <w:t>(Adott</w:t>
            </w:r>
            <w:r>
              <w:rPr>
                <w:spacing w:val="-12"/>
                <w:w w:val="130"/>
                <w:sz w:val="20"/>
              </w:rPr>
              <w:t> </w:t>
            </w:r>
            <w:r>
              <w:rPr>
                <w:w w:val="130"/>
                <w:sz w:val="20"/>
              </w:rPr>
              <w:t>esetben)</w:t>
            </w:r>
            <w:r>
              <w:rPr>
                <w:spacing w:val="-12"/>
                <w:w w:val="130"/>
                <w:sz w:val="20"/>
              </w:rPr>
              <w:t> </w:t>
            </w:r>
            <w:r>
              <w:rPr>
                <w:w w:val="130"/>
                <w:sz w:val="20"/>
              </w:rPr>
              <w:t>Ennek</w:t>
            </w:r>
            <w:r>
              <w:rPr>
                <w:spacing w:val="-12"/>
                <w:w w:val="130"/>
                <w:sz w:val="20"/>
              </w:rPr>
              <w:t> </w:t>
            </w:r>
            <w:r>
              <w:rPr>
                <w:w w:val="130"/>
                <w:sz w:val="20"/>
              </w:rPr>
              <w:t>a</w:t>
            </w:r>
            <w:r>
              <w:rPr>
                <w:spacing w:val="-12"/>
                <w:w w:val="130"/>
                <w:sz w:val="20"/>
              </w:rPr>
              <w:t> </w:t>
            </w:r>
            <w:r>
              <w:rPr>
                <w:w w:val="130"/>
                <w:sz w:val="20"/>
              </w:rPr>
              <w:t>tájékoztatásnak</w:t>
            </w:r>
            <w:r>
              <w:rPr>
                <w:spacing w:val="-11"/>
                <w:w w:val="130"/>
                <w:sz w:val="20"/>
              </w:rPr>
              <w:t> </w:t>
            </w:r>
            <w:r>
              <w:rPr>
                <w:w w:val="130"/>
                <w:sz w:val="20"/>
              </w:rPr>
              <w:t>az</w:t>
            </w:r>
            <w:r>
              <w:rPr>
                <w:spacing w:val="-12"/>
                <w:w w:val="130"/>
                <w:sz w:val="20"/>
              </w:rPr>
              <w:t> </w:t>
            </w:r>
            <w:r>
              <w:rPr>
                <w:w w:val="130"/>
                <w:sz w:val="20"/>
              </w:rPr>
              <w:t>elkészítéséhez</w:t>
            </w:r>
            <w:r>
              <w:rPr>
                <w:spacing w:val="-12"/>
                <w:w w:val="130"/>
                <w:sz w:val="20"/>
              </w:rPr>
              <w:t> </w:t>
            </w:r>
            <w:r>
              <w:rPr>
                <w:w w:val="130"/>
                <w:sz w:val="20"/>
              </w:rPr>
              <w:t>az</w:t>
            </w:r>
            <w:r>
              <w:rPr>
                <w:spacing w:val="-12"/>
                <w:w w:val="130"/>
                <w:sz w:val="20"/>
              </w:rPr>
              <w:t> </w:t>
            </w:r>
            <w:r>
              <w:rPr>
                <w:w w:val="130"/>
                <w:sz w:val="20"/>
              </w:rPr>
              <w:t>ingatlan</w:t>
            </w:r>
            <w:r>
              <w:rPr>
                <w:spacing w:val="-11"/>
                <w:w w:val="130"/>
                <w:sz w:val="20"/>
              </w:rPr>
              <w:t> </w:t>
            </w:r>
            <w:r>
              <w:rPr>
                <w:w w:val="130"/>
                <w:sz w:val="20"/>
              </w:rPr>
              <w:t>értékét [összeg]-nak/nek</w:t>
            </w:r>
            <w:r>
              <w:rPr>
                <w:spacing w:val="13"/>
                <w:w w:val="130"/>
                <w:sz w:val="20"/>
              </w:rPr>
              <w:t> </w:t>
            </w:r>
            <w:r>
              <w:rPr>
                <w:w w:val="130"/>
                <w:sz w:val="20"/>
              </w:rPr>
              <w:t>tekintettük.</w:t>
            </w:r>
          </w:p>
          <w:p>
            <w:pPr>
              <w:pStyle w:val="TableParagraph"/>
              <w:spacing w:line="230" w:lineRule="auto"/>
              <w:ind w:right="37"/>
              <w:jc w:val="both"/>
              <w:rPr>
                <w:sz w:val="20"/>
              </w:rPr>
            </w:pPr>
            <w:r>
              <w:rPr>
                <w:w w:val="125"/>
                <w:sz w:val="20"/>
              </w:rPr>
              <w:t>(Adott esetben) A maximálisan igénybe vehető hitelösszeg az ingatlan értékéhez viszonyítva [arány] vagy</w:t>
            </w:r>
          </w:p>
          <w:p>
            <w:pPr>
              <w:pStyle w:val="TableParagraph"/>
              <w:spacing w:line="230" w:lineRule="auto"/>
              <w:ind w:right="31"/>
              <w:jc w:val="both"/>
              <w:rPr>
                <w:sz w:val="20"/>
              </w:rPr>
            </w:pPr>
            <w:r>
              <w:rPr>
                <w:w w:val="125"/>
                <w:sz w:val="20"/>
              </w:rPr>
              <w:t>A példaként szereplő összeg felvételéhez szükséges minimális ingatlanérték [összeg]</w:t>
            </w:r>
          </w:p>
          <w:p>
            <w:pPr>
              <w:pStyle w:val="TableParagraph"/>
              <w:spacing w:line="201" w:lineRule="exact"/>
              <w:jc w:val="both"/>
              <w:rPr>
                <w:sz w:val="20"/>
              </w:rPr>
            </w:pPr>
            <w:r>
              <w:rPr>
                <w:w w:val="130"/>
                <w:sz w:val="20"/>
              </w:rPr>
              <w:t>(Adott esetben) [Fedezet]</w:t>
            </w:r>
          </w:p>
        </w:tc>
      </w:tr>
      <w:tr>
        <w:trPr>
          <w:trHeight w:val="229" w:hRule="atLeast"/>
        </w:trPr>
        <w:tc>
          <w:tcPr>
            <w:tcW w:w="8031" w:type="dxa"/>
          </w:tcPr>
          <w:p>
            <w:pPr>
              <w:pStyle w:val="TableParagraph"/>
              <w:spacing w:line="209" w:lineRule="exact"/>
              <w:ind w:left="103"/>
              <w:rPr>
                <w:sz w:val="20"/>
              </w:rPr>
            </w:pPr>
            <w:r>
              <w:rPr>
                <w:w w:val="125"/>
                <w:sz w:val="20"/>
              </w:rPr>
              <w:t>4. Kamat és egyéb költségek</w:t>
            </w:r>
          </w:p>
        </w:tc>
      </w:tr>
      <w:tr>
        <w:trPr>
          <w:trHeight w:val="6170" w:hRule="atLeast"/>
        </w:trPr>
        <w:tc>
          <w:tcPr>
            <w:tcW w:w="8031" w:type="dxa"/>
          </w:tcPr>
          <w:p>
            <w:pPr>
              <w:pStyle w:val="TableParagraph"/>
              <w:spacing w:line="230" w:lineRule="auto" w:before="7"/>
              <w:ind w:firstLine="160"/>
              <w:rPr>
                <w:sz w:val="20"/>
              </w:rPr>
            </w:pPr>
            <w:r>
              <w:rPr>
                <w:w w:val="125"/>
                <w:sz w:val="20"/>
              </w:rPr>
              <w:t>A teljes hiteldíj mutató (THM) a hitel teljes éves díját mutatja meg százalékban kifejezve. A THM a különböző ajánlatok összehasonlítását szolgálja.</w:t>
            </w:r>
          </w:p>
          <w:p>
            <w:pPr>
              <w:pStyle w:val="TableParagraph"/>
              <w:spacing w:line="230" w:lineRule="auto"/>
              <w:ind w:right="4095"/>
              <w:rPr>
                <w:sz w:val="20"/>
              </w:rPr>
            </w:pPr>
            <w:r>
              <w:rPr>
                <w:w w:val="120"/>
                <w:sz w:val="20"/>
              </w:rPr>
              <w:t>Az Ön hitelére érvényes THM [THM]. A THM az alábbiakat tartalmazza:</w:t>
            </w:r>
          </w:p>
          <w:p>
            <w:pPr>
              <w:pStyle w:val="TableParagraph"/>
              <w:tabs>
                <w:tab w:pos="1271" w:val="left" w:leader="none"/>
                <w:tab w:pos="1731" w:val="left" w:leader="none"/>
                <w:tab w:pos="2622" w:val="left" w:leader="none"/>
                <w:tab w:pos="3737" w:val="left" w:leader="none"/>
                <w:tab w:pos="5283" w:val="left" w:leader="none"/>
                <w:tab w:pos="6017" w:val="left" w:leader="none"/>
                <w:tab w:pos="6808" w:val="left" w:leader="none"/>
                <w:tab w:pos="7876" w:val="left" w:leader="none"/>
              </w:tabs>
              <w:spacing w:line="230" w:lineRule="auto"/>
              <w:ind w:right="23"/>
              <w:rPr>
                <w:sz w:val="20"/>
              </w:rPr>
            </w:pPr>
            <w:r>
              <w:rPr>
                <w:w w:val="130"/>
                <w:sz w:val="20"/>
              </w:rPr>
              <w:t>Kamatláb</w:t>
              <w:tab/>
              <w:t>[a</w:t>
              <w:tab/>
              <w:t>kamat</w:t>
              <w:tab/>
              <w:t>mértéke</w:t>
              <w:tab/>
              <w:t>százalékban,</w:t>
              <w:tab/>
              <w:t>vagy</w:t>
              <w:tab/>
              <w:t>adott</w:t>
              <w:tab/>
              <w:t>esetben</w:t>
              <w:tab/>
            </w:r>
            <w:r>
              <w:rPr>
                <w:spacing w:val="-18"/>
                <w:w w:val="130"/>
                <w:sz w:val="20"/>
              </w:rPr>
              <w:t>a </w:t>
            </w:r>
            <w:r>
              <w:rPr>
                <w:w w:val="130"/>
                <w:sz w:val="20"/>
              </w:rPr>
              <w:t>referencia-kamatláb és a kamatfelár százalékos</w:t>
            </w:r>
            <w:r>
              <w:rPr>
                <w:spacing w:val="-24"/>
                <w:w w:val="130"/>
                <w:sz w:val="20"/>
              </w:rPr>
              <w:t> </w:t>
            </w:r>
            <w:r>
              <w:rPr>
                <w:w w:val="130"/>
                <w:sz w:val="20"/>
              </w:rPr>
              <w:t>mértéke]</w:t>
            </w:r>
          </w:p>
          <w:p>
            <w:pPr>
              <w:pStyle w:val="TableParagraph"/>
              <w:spacing w:line="216" w:lineRule="exact"/>
              <w:rPr>
                <w:sz w:val="20"/>
              </w:rPr>
            </w:pPr>
            <w:r>
              <w:rPr>
                <w:w w:val="120"/>
                <w:sz w:val="20"/>
              </w:rPr>
              <w:t>[A THM egyéb összetevői]</w:t>
            </w:r>
          </w:p>
          <w:p>
            <w:pPr>
              <w:pStyle w:val="TableParagraph"/>
              <w:spacing w:line="220" w:lineRule="exact"/>
              <w:rPr>
                <w:sz w:val="20"/>
              </w:rPr>
            </w:pPr>
            <w:r>
              <w:rPr>
                <w:w w:val="125"/>
                <w:sz w:val="20"/>
              </w:rPr>
              <w:t>Egyszer fizetendő költségek</w:t>
            </w:r>
          </w:p>
          <w:p>
            <w:pPr>
              <w:pStyle w:val="TableParagraph"/>
              <w:spacing w:line="230" w:lineRule="auto"/>
              <w:ind w:right="23"/>
              <w:rPr>
                <w:sz w:val="20"/>
              </w:rPr>
            </w:pPr>
            <w:r>
              <w:rPr>
                <w:w w:val="125"/>
                <w:sz w:val="20"/>
              </w:rPr>
              <w:t>(Adott esetben) A jelzálogjog bejegyzéséért díjat kell fizetnie. [A díj összege, ha ismert vagy a számítás alapja.] Rendszeresen fizetendő költségek</w:t>
            </w:r>
          </w:p>
          <w:p>
            <w:pPr>
              <w:pStyle w:val="TableParagraph"/>
              <w:spacing w:line="230" w:lineRule="auto"/>
              <w:rPr>
                <w:sz w:val="20"/>
              </w:rPr>
            </w:pPr>
            <w:r>
              <w:rPr>
                <w:w w:val="130"/>
                <w:sz w:val="20"/>
              </w:rPr>
              <w:t>(Adott esetben) Ez a THM a kamatlábra vonatkozó feltételezések alapján került kiszámításra.</w:t>
            </w:r>
          </w:p>
          <w:p>
            <w:pPr>
              <w:pStyle w:val="TableParagraph"/>
              <w:tabs>
                <w:tab w:pos="1415" w:val="left" w:leader="none"/>
                <w:tab w:pos="2228" w:val="left" w:leader="none"/>
                <w:tab w:pos="2773" w:val="left" w:leader="none"/>
                <w:tab w:pos="3607" w:val="left" w:leader="none"/>
                <w:tab w:pos="3939" w:val="left" w:leader="none"/>
                <w:tab w:pos="4449" w:val="left" w:leader="none"/>
                <w:tab w:pos="4672" w:val="left" w:leader="none"/>
                <w:tab w:pos="5075" w:val="left" w:leader="none"/>
                <w:tab w:pos="5526" w:val="left" w:leader="none"/>
                <w:tab w:pos="6990" w:val="left" w:leader="none"/>
                <w:tab w:pos="7163" w:val="left" w:leader="none"/>
                <w:tab w:pos="7871" w:val="left" w:leader="none"/>
              </w:tabs>
              <w:spacing w:line="230" w:lineRule="auto"/>
              <w:ind w:right="26"/>
              <w:rPr>
                <w:sz w:val="20"/>
              </w:rPr>
            </w:pPr>
            <w:r>
              <w:rPr>
                <w:w w:val="125"/>
                <w:sz w:val="20"/>
              </w:rPr>
              <w:t>(Adott esetben) Mivel az Ön hitele [az Ön hitelének egy része] változó kamatlábú hitel, a mindenkori THM eltérhet az előbbiekben meghatározott THM mértékétől, ha a hitel kamatlába változik. Például amennyiben a kamatláb [a személyre szóló tájékoztatás kitöltési útmutatójában bemutatott forgatókönyv]-ra/re</w:t>
              <w:tab/>
              <w:t>emelkedne,</w:t>
              <w:tab/>
              <w:t>a</w:t>
              <w:tab/>
              <w:t>THM</w:t>
              <w:tab/>
              <w:t>[a</w:t>
              <w:tab/>
              <w:t>forgatókönyvnek</w:t>
              <w:tab/>
            </w:r>
            <w:r>
              <w:rPr>
                <w:w w:val="120"/>
                <w:sz w:val="20"/>
              </w:rPr>
              <w:t>megfelelő </w:t>
            </w:r>
            <w:r>
              <w:rPr>
                <w:w w:val="125"/>
                <w:sz w:val="20"/>
              </w:rPr>
              <w:t>szemléltető</w:t>
              <w:tab/>
              <w:t>THM]-ra/re</w:t>
              <w:tab/>
              <w:t>nőhet.  </w:t>
            </w:r>
            <w:r>
              <w:rPr>
                <w:spacing w:val="5"/>
                <w:w w:val="125"/>
                <w:sz w:val="20"/>
              </w:rPr>
              <w:t> </w:t>
            </w:r>
            <w:r>
              <w:rPr>
                <w:w w:val="125"/>
                <w:sz w:val="20"/>
              </w:rPr>
              <w:t>(Adott</w:t>
              <w:tab/>
              <w:t>esetben)</w:t>
              <w:tab/>
              <w:t>Tájékoztatjuk,</w:t>
              <w:tab/>
              <w:tab/>
              <w:t>hogy</w:t>
              <w:tab/>
            </w:r>
            <w:r>
              <w:rPr>
                <w:spacing w:val="-16"/>
                <w:w w:val="125"/>
                <w:sz w:val="20"/>
              </w:rPr>
              <w:t>a </w:t>
            </w:r>
            <w:r>
              <w:rPr>
                <w:w w:val="125"/>
                <w:sz w:val="20"/>
              </w:rPr>
              <w:t>bemutatott THM azzal a  feltételezéssel  került kiszámításra, hogy  a kamatláb a szerződés teljes időtartama alatt a  kezdeti  időszakra  rögzített  szinten marad.</w:t>
            </w:r>
          </w:p>
          <w:p>
            <w:pPr>
              <w:pStyle w:val="TableParagraph"/>
              <w:spacing w:line="230" w:lineRule="auto"/>
              <w:rPr>
                <w:sz w:val="20"/>
              </w:rPr>
            </w:pPr>
            <w:r>
              <w:rPr>
                <w:w w:val="125"/>
                <w:sz w:val="20"/>
              </w:rPr>
              <w:t>(Adott esetben) Az alábbi költségek nem ismertek a hitelező számára, és így azokat a THM nem foglalja magában:</w:t>
            </w:r>
          </w:p>
          <w:p>
            <w:pPr>
              <w:pStyle w:val="TableParagraph"/>
              <w:spacing w:line="216" w:lineRule="exact"/>
              <w:rPr>
                <w:sz w:val="20"/>
              </w:rPr>
            </w:pPr>
            <w:r>
              <w:rPr>
                <w:w w:val="125"/>
                <w:sz w:val="20"/>
              </w:rPr>
              <w:t>[Költségek]</w:t>
            </w:r>
          </w:p>
          <w:p>
            <w:pPr>
              <w:pStyle w:val="TableParagraph"/>
              <w:spacing w:line="220" w:lineRule="exact"/>
              <w:rPr>
                <w:sz w:val="20"/>
              </w:rPr>
            </w:pPr>
            <w:r>
              <w:rPr>
                <w:w w:val="125"/>
                <w:sz w:val="20"/>
              </w:rPr>
              <w:t>(Adott esetben) A jelzálogjog bejegyzéséért díjat kell fizetnie.</w:t>
            </w:r>
          </w:p>
          <w:p>
            <w:pPr>
              <w:pStyle w:val="TableParagraph"/>
              <w:spacing w:line="220" w:lineRule="exact"/>
              <w:ind w:right="67"/>
              <w:rPr>
                <w:sz w:val="20"/>
              </w:rPr>
            </w:pPr>
            <w:r>
              <w:rPr>
                <w:w w:val="125"/>
                <w:sz w:val="20"/>
              </w:rPr>
              <w:t>Kérjük, tájékozódjon az ehhez a hitelhez kapcsolódó minden egyéb illetékről és költségről.</w:t>
            </w:r>
          </w:p>
        </w:tc>
      </w:tr>
      <w:tr>
        <w:trPr>
          <w:trHeight w:val="224" w:hRule="atLeast"/>
        </w:trPr>
        <w:tc>
          <w:tcPr>
            <w:tcW w:w="8031" w:type="dxa"/>
          </w:tcPr>
          <w:p>
            <w:pPr>
              <w:pStyle w:val="TableParagraph"/>
              <w:spacing w:line="204" w:lineRule="exact"/>
              <w:ind w:left="103"/>
              <w:rPr>
                <w:sz w:val="20"/>
              </w:rPr>
            </w:pPr>
            <w:r>
              <w:rPr>
                <w:w w:val="125"/>
                <w:sz w:val="20"/>
              </w:rPr>
              <w:t>5. A törlesztések gyakorisága és száma</w:t>
            </w:r>
          </w:p>
        </w:tc>
      </w:tr>
    </w:tbl>
    <w:p>
      <w:pPr>
        <w:spacing w:after="0" w:line="204" w:lineRule="exact"/>
        <w:rPr>
          <w:sz w:val="20"/>
        </w:rPr>
        <w:sectPr>
          <w:pgSz w:w="11900" w:h="16820"/>
          <w:pgMar w:header="1104" w:footer="0" w:top="1700" w:bottom="280" w:left="1020" w:right="980"/>
        </w:sectPr>
      </w:pPr>
    </w:p>
    <w:p>
      <w:pPr>
        <w:pStyle w:val="BodyText"/>
        <w:ind w:left="0" w:firstLine="0"/>
        <w:jc w:val="left"/>
        <w:rPr>
          <w:sz w:val="10"/>
        </w:rPr>
      </w:pPr>
    </w:p>
    <w:p>
      <w:pPr>
        <w:pStyle w:val="BodyText"/>
        <w:spacing w:line="20" w:lineRule="exact"/>
        <w:ind w:left="108" w:firstLine="0"/>
        <w:jc w:val="left"/>
        <w:rPr>
          <w:sz w:val="2"/>
        </w:rPr>
      </w:pPr>
      <w:r>
        <w:rPr>
          <w:sz w:val="2"/>
        </w:rPr>
        <w:pict>
          <v:group style="width:481.9pt;height:.5pt;mso-position-horizontal-relative:char;mso-position-vertical-relative:line" coordorigin="0,0" coordsize="9638,10">
            <v:line style="position:absolute" from="0,5" to="9638,5" stroked="true" strokeweight=".5pt" strokecolor="#000000">
              <v:stroke dashstyle="solid"/>
            </v:line>
          </v:group>
        </w:pict>
      </w:r>
      <w:r>
        <w:rPr>
          <w:sz w:val="2"/>
        </w:rPr>
      </w:r>
    </w:p>
    <w:p>
      <w:pPr>
        <w:pStyle w:val="BodyText"/>
        <w:spacing w:before="7"/>
        <w:ind w:left="0" w:firstLine="0"/>
        <w:jc w:val="left"/>
        <w:rPr>
          <w:sz w:val="15"/>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1"/>
      </w:tblGrid>
      <w:tr>
        <w:trPr>
          <w:trHeight w:val="450" w:hRule="atLeast"/>
        </w:trPr>
        <w:tc>
          <w:tcPr>
            <w:tcW w:w="8031" w:type="dxa"/>
          </w:tcPr>
          <w:p>
            <w:pPr>
              <w:pStyle w:val="TableParagraph"/>
              <w:spacing w:line="220" w:lineRule="exact" w:before="11"/>
              <w:ind w:right="3668" w:firstLine="63"/>
              <w:rPr>
                <w:sz w:val="20"/>
              </w:rPr>
            </w:pPr>
            <w:r>
              <w:rPr>
                <w:w w:val="125"/>
                <w:sz w:val="20"/>
              </w:rPr>
              <w:t>A törlesztések gyakorisága: [gyakoriság] A törlesztések száma: [szám]</w:t>
            </w:r>
          </w:p>
        </w:tc>
      </w:tr>
      <w:tr>
        <w:trPr>
          <w:trHeight w:val="229" w:hRule="atLeast"/>
        </w:trPr>
        <w:tc>
          <w:tcPr>
            <w:tcW w:w="8031" w:type="dxa"/>
          </w:tcPr>
          <w:p>
            <w:pPr>
              <w:pStyle w:val="TableParagraph"/>
              <w:spacing w:line="209" w:lineRule="exact"/>
              <w:ind w:left="103"/>
              <w:rPr>
                <w:sz w:val="20"/>
              </w:rPr>
            </w:pPr>
            <w:r>
              <w:rPr>
                <w:w w:val="125"/>
                <w:sz w:val="20"/>
              </w:rPr>
              <w:t>6. Az egyes törlesztőrészletek összege</w:t>
            </w:r>
          </w:p>
        </w:tc>
      </w:tr>
      <w:tr>
        <w:trPr>
          <w:trHeight w:val="6830" w:hRule="atLeast"/>
        </w:trPr>
        <w:tc>
          <w:tcPr>
            <w:tcW w:w="8031" w:type="dxa"/>
          </w:tcPr>
          <w:p>
            <w:pPr>
              <w:pStyle w:val="TableParagraph"/>
              <w:spacing w:line="225" w:lineRule="exact"/>
              <w:ind w:left="103"/>
              <w:rPr>
                <w:sz w:val="20"/>
              </w:rPr>
            </w:pPr>
            <w:r>
              <w:rPr>
                <w:w w:val="125"/>
                <w:sz w:val="20"/>
              </w:rPr>
              <w:t>[összeg][pénznem]</w:t>
            </w:r>
          </w:p>
          <w:p>
            <w:pPr>
              <w:pStyle w:val="TableParagraph"/>
              <w:spacing w:line="230" w:lineRule="auto" w:before="2"/>
              <w:ind w:right="32"/>
              <w:jc w:val="both"/>
              <w:rPr>
                <w:sz w:val="20"/>
              </w:rPr>
            </w:pPr>
            <w:r>
              <w:rPr>
                <w:w w:val="125"/>
                <w:sz w:val="20"/>
              </w:rPr>
              <w:t>Az Ön jövedelme változhat. Kérjük, gondolja át, hogy a jövedelme csökkenése esetén is képes lesz-e törleszteni a [gyakoriság] részleteket.</w:t>
            </w:r>
          </w:p>
          <w:p>
            <w:pPr>
              <w:pStyle w:val="TableParagraph"/>
              <w:tabs>
                <w:tab w:pos="895" w:val="left" w:leader="none"/>
                <w:tab w:pos="1805" w:val="left" w:leader="none"/>
                <w:tab w:pos="1990" w:val="left" w:leader="none"/>
                <w:tab w:pos="2447" w:val="left" w:leader="none"/>
                <w:tab w:pos="2537" w:val="left" w:leader="none"/>
                <w:tab w:pos="2777" w:val="left" w:leader="none"/>
                <w:tab w:pos="3303" w:val="left" w:leader="none"/>
                <w:tab w:pos="3410" w:val="left" w:leader="none"/>
                <w:tab w:pos="3521" w:val="left" w:leader="none"/>
                <w:tab w:pos="3646" w:val="left" w:leader="none"/>
                <w:tab w:pos="4184" w:val="left" w:leader="none"/>
                <w:tab w:pos="4512" w:val="left" w:leader="none"/>
                <w:tab w:pos="4763" w:val="left" w:leader="none"/>
                <w:tab w:pos="5297" w:val="left" w:leader="none"/>
                <w:tab w:pos="5560" w:val="left" w:leader="none"/>
                <w:tab w:pos="6143" w:val="left" w:leader="none"/>
                <w:tab w:pos="6386" w:val="left" w:leader="none"/>
                <w:tab w:pos="6697" w:val="left" w:leader="none"/>
                <w:tab w:pos="6992" w:val="left" w:leader="none"/>
                <w:tab w:pos="7157" w:val="left" w:leader="none"/>
                <w:tab w:pos="7872" w:val="left" w:leader="none"/>
              </w:tabs>
              <w:spacing w:line="230" w:lineRule="auto"/>
              <w:ind w:right="25"/>
              <w:rPr>
                <w:sz w:val="20"/>
              </w:rPr>
            </w:pPr>
            <w:r>
              <w:rPr>
                <w:w w:val="130"/>
                <w:sz w:val="20"/>
              </w:rPr>
              <w:t>(Adott</w:t>
              <w:tab/>
              <w:t>esetben)</w:t>
              <w:tab/>
              <w:tab/>
              <w:t>Mivel</w:t>
              <w:tab/>
              <w:t>[ez</w:t>
              <w:tab/>
              <w:t>a</w:t>
              <w:tab/>
              <w:tab/>
              <w:t>hitel/e</w:t>
              <w:tab/>
              <w:t>hitelnek</w:t>
              <w:tab/>
              <w:t>egy</w:t>
              <w:tab/>
              <w:t>része]</w:t>
              <w:tab/>
            </w:r>
            <w:r>
              <w:rPr>
                <w:spacing w:val="-1"/>
                <w:w w:val="130"/>
                <w:sz w:val="20"/>
              </w:rPr>
              <w:t>halasztott </w:t>
            </w:r>
            <w:r>
              <w:rPr>
                <w:w w:val="130"/>
                <w:sz w:val="20"/>
              </w:rPr>
              <w:t>tőketörlesztésű</w:t>
              <w:tab/>
              <w:t>hitel,</w:t>
              <w:tab/>
              <w:tab/>
              <w:t>Önnek</w:t>
              <w:tab/>
              <w:tab/>
              <w:t>külön</w:t>
              <w:tab/>
              <w:t>kell</w:t>
              <w:tab/>
              <w:t>gondoskodnia</w:t>
              <w:tab/>
              <w:t>arról,</w:t>
              <w:tab/>
              <w:tab/>
              <w:t>hogy</w:t>
              <w:tab/>
            </w:r>
            <w:r>
              <w:rPr>
                <w:spacing w:val="-16"/>
                <w:w w:val="130"/>
                <w:sz w:val="20"/>
              </w:rPr>
              <w:t>a </w:t>
            </w:r>
            <w:r>
              <w:rPr>
                <w:w w:val="130"/>
                <w:sz w:val="20"/>
              </w:rPr>
              <w:t>jelzáloghitel futamideje végén visszafizesse a még fennálló [a halasztott tőketörlesztésű </w:t>
            </w:r>
            <w:r>
              <w:rPr>
                <w:spacing w:val="51"/>
                <w:w w:val="130"/>
                <w:sz w:val="20"/>
              </w:rPr>
              <w:t> </w:t>
            </w:r>
            <w:r>
              <w:rPr>
                <w:w w:val="130"/>
                <w:sz w:val="20"/>
              </w:rPr>
              <w:t>hitel</w:t>
              <w:tab/>
              <w:t>összege]</w:t>
              <w:tab/>
              <w:tab/>
              <w:t>tartozását.  </w:t>
            </w:r>
            <w:r>
              <w:rPr>
                <w:spacing w:val="10"/>
                <w:w w:val="130"/>
                <w:sz w:val="20"/>
              </w:rPr>
              <w:t> </w:t>
            </w:r>
            <w:r>
              <w:rPr>
                <w:w w:val="130"/>
                <w:sz w:val="20"/>
              </w:rPr>
              <w:t>Ne</w:t>
              <w:tab/>
              <w:t>feledkezzen</w:t>
              <w:tab/>
              <w:t>meg az itt feltüntetett</w:t>
            </w:r>
            <w:r>
              <w:rPr>
                <w:spacing w:val="-20"/>
                <w:w w:val="130"/>
                <w:sz w:val="20"/>
              </w:rPr>
              <w:t> </w:t>
            </w:r>
            <w:r>
              <w:rPr>
                <w:w w:val="130"/>
                <w:sz w:val="20"/>
              </w:rPr>
              <w:t>törlesztőrészleteken</w:t>
            </w:r>
            <w:r>
              <w:rPr>
                <w:spacing w:val="-20"/>
                <w:w w:val="130"/>
                <w:sz w:val="20"/>
              </w:rPr>
              <w:t> </w:t>
            </w:r>
            <w:r>
              <w:rPr>
                <w:w w:val="130"/>
                <w:sz w:val="20"/>
              </w:rPr>
              <w:t>felül</w:t>
            </w:r>
            <w:r>
              <w:rPr>
                <w:spacing w:val="-18"/>
                <w:w w:val="130"/>
                <w:sz w:val="20"/>
              </w:rPr>
              <w:t> </w:t>
            </w:r>
            <w:r>
              <w:rPr>
                <w:w w:val="130"/>
                <w:sz w:val="20"/>
              </w:rPr>
              <w:t>fizetendő</w:t>
            </w:r>
            <w:r>
              <w:rPr>
                <w:spacing w:val="-19"/>
                <w:w w:val="130"/>
                <w:sz w:val="20"/>
              </w:rPr>
              <w:t> </w:t>
            </w:r>
            <w:r>
              <w:rPr>
                <w:w w:val="130"/>
                <w:sz w:val="20"/>
              </w:rPr>
              <w:t>esetleges</w:t>
            </w:r>
            <w:r>
              <w:rPr>
                <w:spacing w:val="-23"/>
                <w:w w:val="130"/>
                <w:sz w:val="20"/>
              </w:rPr>
              <w:t> </w:t>
            </w:r>
            <w:r>
              <w:rPr>
                <w:w w:val="130"/>
                <w:sz w:val="20"/>
              </w:rPr>
              <w:t>további</w:t>
            </w:r>
            <w:r>
              <w:rPr>
                <w:spacing w:val="-20"/>
                <w:w w:val="130"/>
                <w:sz w:val="20"/>
              </w:rPr>
              <w:t> </w:t>
            </w:r>
            <w:r>
              <w:rPr>
                <w:w w:val="130"/>
                <w:sz w:val="20"/>
              </w:rPr>
              <w:t>összegekről sem.</w:t>
            </w:r>
          </w:p>
          <w:p>
            <w:pPr>
              <w:pStyle w:val="TableParagraph"/>
              <w:spacing w:line="230" w:lineRule="auto"/>
              <w:ind w:right="31"/>
              <w:jc w:val="both"/>
              <w:rPr>
                <w:sz w:val="20"/>
              </w:rPr>
            </w:pPr>
            <w:r>
              <w:rPr>
                <w:w w:val="125"/>
                <w:sz w:val="20"/>
              </w:rPr>
              <w:t>(Adott esetben) E hitelnek [/e hitel egy részének] a kamata változhat. Ez azt jelenti, hogy az Ön által fizetendő törlesztőrészletek összege nőhet vagy csökkenhet. Például amennyiben a kamat [a személyre szóló tájékoztatás kitöltési útmutatójában bemutatott forgatókönyv]-ra/re emelkedne,  az  Ön  által fizetendő részlet [a forgatókönyvnek megfelelő törlesztőrészlet összege]-ra/re nőne.</w:t>
            </w:r>
          </w:p>
          <w:p>
            <w:pPr>
              <w:pStyle w:val="TableParagraph"/>
              <w:spacing w:line="230" w:lineRule="auto"/>
              <w:ind w:right="36"/>
              <w:jc w:val="both"/>
              <w:rPr>
                <w:sz w:val="20"/>
              </w:rPr>
            </w:pPr>
            <w:r>
              <w:rPr>
                <w:w w:val="125"/>
                <w:sz w:val="20"/>
              </w:rPr>
              <w:t>(Adott esetben) Az Ön által fizetendő összeg forintban kifejezett értéke az egyes [gyakoriság]-ban/-ben eltérő lehet.</w:t>
            </w:r>
          </w:p>
          <w:p>
            <w:pPr>
              <w:pStyle w:val="TableParagraph"/>
              <w:spacing w:line="230" w:lineRule="auto"/>
              <w:ind w:right="25"/>
              <w:jc w:val="both"/>
              <w:rPr>
                <w:sz w:val="20"/>
              </w:rPr>
            </w:pPr>
            <w:r>
              <w:rPr>
                <w:w w:val="125"/>
                <w:sz w:val="20"/>
              </w:rPr>
              <w:t>(Adott esetben) Az Ön által fizetendő összeg az egyes [gyakoriság]-ban/-ben [forintban kifejezett maximális összeg]-ra/re növekedhet.</w:t>
            </w:r>
          </w:p>
          <w:p>
            <w:pPr>
              <w:pStyle w:val="TableParagraph"/>
              <w:spacing w:line="230" w:lineRule="auto"/>
              <w:ind w:right="27"/>
              <w:jc w:val="both"/>
              <w:rPr>
                <w:sz w:val="20"/>
              </w:rPr>
            </w:pPr>
            <w:r>
              <w:rPr>
                <w:w w:val="125"/>
                <w:sz w:val="20"/>
              </w:rPr>
              <w:t>(Adott esetben) Például amennyiben a forint árfolyama a [hitel pénzneme]-hoz/-hez/-höz képest 20%-kal gyengülne, akkor Önnek az egyes [gyakoriság]-ban/-ben [forintban kifejezett összeg]-val/vel többet kellene törlesztenie. Az Ön által fizetendő összegek ennél magasabbra is emelkedhetnek.</w:t>
            </w:r>
          </w:p>
          <w:p>
            <w:pPr>
              <w:pStyle w:val="TableParagraph"/>
              <w:spacing w:line="230" w:lineRule="auto"/>
              <w:ind w:right="25"/>
              <w:jc w:val="both"/>
              <w:rPr>
                <w:sz w:val="20"/>
              </w:rPr>
            </w:pPr>
            <w:r>
              <w:rPr>
                <w:w w:val="130"/>
                <w:sz w:val="20"/>
              </w:rPr>
              <w:t>(Adott esetben) Az Ön [a hitel pénzneme]-ban/-ben megállapított törlesztőrészleteinek</w:t>
            </w:r>
            <w:r>
              <w:rPr>
                <w:spacing w:val="-22"/>
                <w:w w:val="130"/>
                <w:sz w:val="20"/>
              </w:rPr>
              <w:t> </w:t>
            </w:r>
            <w:r>
              <w:rPr>
                <w:w w:val="130"/>
                <w:sz w:val="20"/>
              </w:rPr>
              <w:t>a(z)</w:t>
            </w:r>
            <w:r>
              <w:rPr>
                <w:spacing w:val="-22"/>
                <w:w w:val="130"/>
                <w:sz w:val="20"/>
              </w:rPr>
              <w:t> </w:t>
            </w:r>
            <w:r>
              <w:rPr>
                <w:w w:val="130"/>
                <w:sz w:val="20"/>
              </w:rPr>
              <w:t>forintra</w:t>
            </w:r>
            <w:r>
              <w:rPr>
                <w:spacing w:val="-21"/>
                <w:w w:val="130"/>
                <w:sz w:val="20"/>
              </w:rPr>
              <w:t> </w:t>
            </w:r>
            <w:r>
              <w:rPr>
                <w:w w:val="130"/>
                <w:sz w:val="20"/>
              </w:rPr>
              <w:t>való</w:t>
            </w:r>
            <w:r>
              <w:rPr>
                <w:spacing w:val="-22"/>
                <w:w w:val="130"/>
                <w:sz w:val="20"/>
              </w:rPr>
              <w:t> </w:t>
            </w:r>
            <w:r>
              <w:rPr>
                <w:w w:val="130"/>
                <w:sz w:val="20"/>
              </w:rPr>
              <w:t>átváltásához</w:t>
            </w:r>
            <w:r>
              <w:rPr>
                <w:spacing w:val="-21"/>
                <w:w w:val="130"/>
                <w:sz w:val="20"/>
              </w:rPr>
              <w:t> </w:t>
            </w:r>
            <w:r>
              <w:rPr>
                <w:w w:val="130"/>
                <w:sz w:val="20"/>
              </w:rPr>
              <w:t>alkalmazott</w:t>
            </w:r>
            <w:r>
              <w:rPr>
                <w:spacing w:val="-22"/>
                <w:w w:val="130"/>
                <w:sz w:val="20"/>
              </w:rPr>
              <w:t> </w:t>
            </w:r>
            <w:r>
              <w:rPr>
                <w:w w:val="130"/>
                <w:sz w:val="20"/>
              </w:rPr>
              <w:t>árfolyam</w:t>
            </w:r>
            <w:r>
              <w:rPr>
                <w:spacing w:val="-14"/>
                <w:w w:val="130"/>
                <w:sz w:val="20"/>
              </w:rPr>
              <w:t> </w:t>
            </w:r>
            <w:r>
              <w:rPr>
                <w:w w:val="130"/>
                <w:sz w:val="20"/>
              </w:rPr>
              <w:t>a(z) [az árfolyamot közzétevő intézmény neve] által [dátum]-án/-én közzétett devizaárfolyam, vagy pedig a kiszámítás [dátum]-án/-én a [a referenciaérték vagy a kiszámítási módszer] alkalmazásával</w:t>
            </w:r>
            <w:r>
              <w:rPr>
                <w:spacing w:val="-31"/>
                <w:w w:val="130"/>
                <w:sz w:val="20"/>
              </w:rPr>
              <w:t> </w:t>
            </w:r>
            <w:r>
              <w:rPr>
                <w:w w:val="130"/>
                <w:sz w:val="20"/>
              </w:rPr>
              <w:t>történik.</w:t>
            </w:r>
          </w:p>
          <w:p>
            <w:pPr>
              <w:pStyle w:val="TableParagraph"/>
              <w:spacing w:line="214" w:lineRule="exact"/>
              <w:jc w:val="both"/>
              <w:rPr>
                <w:sz w:val="20"/>
              </w:rPr>
            </w:pPr>
            <w:r>
              <w:rPr>
                <w:w w:val="130"/>
                <w:sz w:val="20"/>
              </w:rPr>
              <w:t>(Adott esetben) [Részletes adatok a kapcsolt megtakarítási termékekről és</w:t>
            </w:r>
            <w:r>
              <w:rPr>
                <w:spacing w:val="56"/>
                <w:w w:val="130"/>
                <w:sz w:val="20"/>
              </w:rPr>
              <w:t> </w:t>
            </w:r>
            <w:r>
              <w:rPr>
                <w:w w:val="130"/>
                <w:sz w:val="20"/>
              </w:rPr>
              <w:t>a</w:t>
            </w:r>
          </w:p>
          <w:p>
            <w:pPr>
              <w:pStyle w:val="TableParagraph"/>
              <w:spacing w:line="205" w:lineRule="exact"/>
              <w:jc w:val="both"/>
              <w:rPr>
                <w:sz w:val="20"/>
              </w:rPr>
            </w:pPr>
            <w:r>
              <w:rPr>
                <w:w w:val="130"/>
                <w:sz w:val="20"/>
              </w:rPr>
              <w:t>halasztott kamatfizetésű hitelekről]</w:t>
            </w:r>
          </w:p>
        </w:tc>
      </w:tr>
      <w:tr>
        <w:trPr>
          <w:trHeight w:val="230" w:hRule="atLeast"/>
        </w:trPr>
        <w:tc>
          <w:tcPr>
            <w:tcW w:w="8031" w:type="dxa"/>
          </w:tcPr>
          <w:p>
            <w:pPr>
              <w:pStyle w:val="TableParagraph"/>
              <w:spacing w:line="210" w:lineRule="exact"/>
              <w:ind w:left="103"/>
              <w:rPr>
                <w:sz w:val="20"/>
              </w:rPr>
            </w:pPr>
            <w:r>
              <w:rPr>
                <w:w w:val="130"/>
                <w:sz w:val="20"/>
              </w:rPr>
              <w:t>7. Szemléltető törlesztési táblázat</w:t>
            </w:r>
          </w:p>
        </w:tc>
      </w:tr>
      <w:tr>
        <w:trPr>
          <w:trHeight w:val="1990" w:hRule="atLeast"/>
        </w:trPr>
        <w:tc>
          <w:tcPr>
            <w:tcW w:w="8031" w:type="dxa"/>
          </w:tcPr>
          <w:p>
            <w:pPr>
              <w:pStyle w:val="TableParagraph"/>
              <w:spacing w:line="225" w:lineRule="exact"/>
              <w:ind w:left="103"/>
              <w:rPr>
                <w:sz w:val="20"/>
              </w:rPr>
            </w:pPr>
            <w:r>
              <w:rPr>
                <w:w w:val="130"/>
                <w:sz w:val="20"/>
              </w:rPr>
              <w:t>Ebben a táblázatban a [gyakoriság] fizetendő összeg látható.</w:t>
            </w:r>
          </w:p>
          <w:p>
            <w:pPr>
              <w:pStyle w:val="TableParagraph"/>
              <w:spacing w:line="230" w:lineRule="auto" w:before="2"/>
              <w:ind w:right="32"/>
              <w:jc w:val="both"/>
              <w:rPr>
                <w:sz w:val="20"/>
              </w:rPr>
            </w:pPr>
            <w:r>
              <w:rPr>
                <w:w w:val="125"/>
                <w:sz w:val="20"/>
              </w:rPr>
              <w:t>A törlesztőrészletek ([a megfelelő oszlop száma]. oszlop) a fizetendő kamat  ([a megfelelő oszlop száma]. oszlop), adott esetben a fizetendő tőke ([a megfelelő oszlop száma]. oszlop) és adott esetben az egyéb költségek ([a megfelelő oszlop száma]. oszlop) összegéből állnak. (Adott esetben) Az egyéb költségek oszlopban szereplő költségek [költségek felsorolása]-hoz/-hez/-höz kapcsolódnak. A fennmaradó tőke ([a megfelelő oszlop száma]. oszlop) az egyes törlesztőrészletek után még törlesztendő</w:t>
            </w:r>
            <w:r>
              <w:rPr>
                <w:spacing w:val="21"/>
                <w:w w:val="125"/>
                <w:sz w:val="20"/>
              </w:rPr>
              <w:t> </w:t>
            </w:r>
            <w:r>
              <w:rPr>
                <w:w w:val="125"/>
                <w:sz w:val="20"/>
              </w:rPr>
              <w:t>hitelösszeg.</w:t>
            </w:r>
          </w:p>
          <w:p>
            <w:pPr>
              <w:pStyle w:val="TableParagraph"/>
              <w:spacing w:line="197" w:lineRule="exact"/>
              <w:jc w:val="both"/>
              <w:rPr>
                <w:sz w:val="20"/>
              </w:rPr>
            </w:pPr>
            <w:r>
              <w:rPr>
                <w:w w:val="125"/>
                <w:sz w:val="20"/>
              </w:rPr>
              <w:t>[Táblázat]</w:t>
            </w:r>
          </w:p>
        </w:tc>
      </w:tr>
      <w:tr>
        <w:trPr>
          <w:trHeight w:val="230" w:hRule="atLeast"/>
        </w:trPr>
        <w:tc>
          <w:tcPr>
            <w:tcW w:w="8031" w:type="dxa"/>
          </w:tcPr>
          <w:p>
            <w:pPr>
              <w:pStyle w:val="TableParagraph"/>
              <w:spacing w:line="210" w:lineRule="exact"/>
              <w:ind w:left="103"/>
              <w:rPr>
                <w:sz w:val="20"/>
              </w:rPr>
            </w:pPr>
            <w:r>
              <w:rPr>
                <w:w w:val="125"/>
                <w:sz w:val="20"/>
              </w:rPr>
              <w:t>8. További kötelezettségek</w:t>
            </w:r>
          </w:p>
        </w:tc>
      </w:tr>
      <w:tr>
        <w:trPr>
          <w:trHeight w:val="2210" w:hRule="atLeast"/>
        </w:trPr>
        <w:tc>
          <w:tcPr>
            <w:tcW w:w="8031" w:type="dxa"/>
          </w:tcPr>
          <w:p>
            <w:pPr>
              <w:pStyle w:val="TableParagraph"/>
              <w:spacing w:line="230" w:lineRule="auto" w:before="7"/>
              <w:ind w:firstLine="81"/>
              <w:rPr>
                <w:sz w:val="20"/>
              </w:rPr>
            </w:pPr>
            <w:r>
              <w:rPr>
                <w:w w:val="125"/>
                <w:sz w:val="20"/>
              </w:rPr>
              <w:t>A fogyasztónak a következő kötelezettségeket kell teljesítenie ahhoz, hogy az ebben a dokumentumban ismertetett feltételekkel juthasson hitelhez: [Kötelezettségek]</w:t>
            </w:r>
          </w:p>
          <w:p>
            <w:pPr>
              <w:pStyle w:val="TableParagraph"/>
              <w:spacing w:line="230" w:lineRule="auto"/>
              <w:ind w:right="35"/>
              <w:jc w:val="both"/>
              <w:rPr>
                <w:sz w:val="20"/>
              </w:rPr>
            </w:pPr>
            <w:r>
              <w:rPr>
                <w:w w:val="130"/>
                <w:sz w:val="20"/>
              </w:rPr>
              <w:t>(Adott esetben) Felhívjuk figyelmét, hogy az ebben a dokumentumban ismertetett hitelfeltételek (a kamatlábat is beleértve) változhatnak, amennyiben Ön nem tesz eleget e kötelezettségeknek.</w:t>
            </w:r>
          </w:p>
          <w:p>
            <w:pPr>
              <w:pStyle w:val="TableParagraph"/>
              <w:spacing w:line="230" w:lineRule="auto"/>
              <w:ind w:right="36"/>
              <w:jc w:val="both"/>
              <w:rPr>
                <w:sz w:val="20"/>
              </w:rPr>
            </w:pPr>
            <w:r>
              <w:rPr>
                <w:w w:val="125"/>
                <w:sz w:val="20"/>
              </w:rPr>
              <w:t>(Adott esetben) Felhívjuk figyelmét, hogy ha később eláll a hitelhez kapcsolódó bármely kapcsolódó szolgáltatás igénybevételétől, az az alábbi következményekkel járhat:</w:t>
            </w:r>
          </w:p>
          <w:p>
            <w:pPr>
              <w:pStyle w:val="TableParagraph"/>
              <w:spacing w:line="200" w:lineRule="exact"/>
              <w:jc w:val="both"/>
              <w:rPr>
                <w:sz w:val="20"/>
              </w:rPr>
            </w:pPr>
            <w:r>
              <w:rPr>
                <w:w w:val="120"/>
                <w:sz w:val="20"/>
              </w:rPr>
              <w:t>[Következmények]</w:t>
            </w:r>
          </w:p>
        </w:tc>
      </w:tr>
      <w:tr>
        <w:trPr>
          <w:trHeight w:val="230" w:hRule="atLeast"/>
        </w:trPr>
        <w:tc>
          <w:tcPr>
            <w:tcW w:w="8031" w:type="dxa"/>
          </w:tcPr>
          <w:p>
            <w:pPr>
              <w:pStyle w:val="TableParagraph"/>
              <w:spacing w:line="210" w:lineRule="exact"/>
              <w:ind w:left="103"/>
              <w:rPr>
                <w:sz w:val="20"/>
              </w:rPr>
            </w:pPr>
            <w:r>
              <w:rPr>
                <w:w w:val="125"/>
                <w:sz w:val="20"/>
              </w:rPr>
              <w:t>9. Előtörlesztés</w:t>
            </w:r>
          </w:p>
        </w:tc>
      </w:tr>
    </w:tbl>
    <w:p>
      <w:pPr>
        <w:spacing w:after="0" w:line="210" w:lineRule="exact"/>
        <w:rPr>
          <w:sz w:val="20"/>
        </w:rPr>
        <w:sectPr>
          <w:pgSz w:w="11900" w:h="16820"/>
          <w:pgMar w:header="1104" w:footer="0" w:top="1700" w:bottom="280" w:left="1020" w:right="980"/>
        </w:sectPr>
      </w:pPr>
    </w:p>
    <w:p>
      <w:pPr>
        <w:pStyle w:val="BodyText"/>
        <w:ind w:left="0" w:firstLine="0"/>
        <w:jc w:val="left"/>
        <w:rPr>
          <w:sz w:val="10"/>
        </w:rPr>
      </w:pPr>
    </w:p>
    <w:p>
      <w:pPr>
        <w:pStyle w:val="BodyText"/>
        <w:spacing w:line="20" w:lineRule="exact"/>
        <w:ind w:left="108" w:firstLine="0"/>
        <w:jc w:val="left"/>
        <w:rPr>
          <w:sz w:val="2"/>
        </w:rPr>
      </w:pPr>
      <w:r>
        <w:rPr>
          <w:sz w:val="2"/>
        </w:rPr>
        <w:pict>
          <v:group style="width:481.9pt;height:.5pt;mso-position-horizontal-relative:char;mso-position-vertical-relative:line" coordorigin="0,0" coordsize="9638,10">
            <v:line style="position:absolute" from="0,5" to="9638,5" stroked="true" strokeweight=".5pt" strokecolor="#000000">
              <v:stroke dashstyle="solid"/>
            </v:line>
          </v:group>
        </w:pict>
      </w:r>
      <w:r>
        <w:rPr>
          <w:sz w:val="2"/>
        </w:rPr>
      </w:r>
    </w:p>
    <w:p>
      <w:pPr>
        <w:pStyle w:val="BodyText"/>
        <w:spacing w:before="7"/>
        <w:ind w:left="0" w:firstLine="0"/>
        <w:jc w:val="left"/>
        <w:rPr>
          <w:sz w:val="15"/>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1"/>
      </w:tblGrid>
      <w:tr>
        <w:trPr>
          <w:trHeight w:val="1550" w:hRule="atLeast"/>
        </w:trPr>
        <w:tc>
          <w:tcPr>
            <w:tcW w:w="8031" w:type="dxa"/>
          </w:tcPr>
          <w:p>
            <w:pPr>
              <w:pStyle w:val="TableParagraph"/>
              <w:spacing w:line="230" w:lineRule="auto" w:before="7"/>
              <w:ind w:right="1519" w:firstLine="63"/>
              <w:rPr>
                <w:sz w:val="20"/>
              </w:rPr>
            </w:pPr>
            <w:r>
              <w:rPr>
                <w:w w:val="130"/>
                <w:sz w:val="20"/>
              </w:rPr>
              <w:t>Ön</w:t>
            </w:r>
            <w:r>
              <w:rPr>
                <w:spacing w:val="-20"/>
                <w:w w:val="130"/>
                <w:sz w:val="20"/>
              </w:rPr>
              <w:t> </w:t>
            </w:r>
            <w:r>
              <w:rPr>
                <w:w w:val="130"/>
                <w:sz w:val="20"/>
              </w:rPr>
              <w:t>jogosult</w:t>
            </w:r>
            <w:r>
              <w:rPr>
                <w:spacing w:val="-19"/>
                <w:w w:val="130"/>
                <w:sz w:val="20"/>
              </w:rPr>
              <w:t> </w:t>
            </w:r>
            <w:r>
              <w:rPr>
                <w:w w:val="130"/>
                <w:sz w:val="20"/>
              </w:rPr>
              <w:t>a</w:t>
            </w:r>
            <w:r>
              <w:rPr>
                <w:spacing w:val="-20"/>
                <w:w w:val="130"/>
                <w:sz w:val="20"/>
              </w:rPr>
              <w:t> </w:t>
            </w:r>
            <w:r>
              <w:rPr>
                <w:w w:val="130"/>
                <w:sz w:val="20"/>
              </w:rPr>
              <w:t>hitel</w:t>
            </w:r>
            <w:r>
              <w:rPr>
                <w:spacing w:val="-19"/>
                <w:w w:val="130"/>
                <w:sz w:val="20"/>
              </w:rPr>
              <w:t> </w:t>
            </w:r>
            <w:r>
              <w:rPr>
                <w:w w:val="130"/>
                <w:sz w:val="20"/>
              </w:rPr>
              <w:t>részleges</w:t>
            </w:r>
            <w:r>
              <w:rPr>
                <w:spacing w:val="-20"/>
                <w:w w:val="130"/>
                <w:sz w:val="20"/>
              </w:rPr>
              <w:t> </w:t>
            </w:r>
            <w:r>
              <w:rPr>
                <w:w w:val="130"/>
                <w:sz w:val="20"/>
              </w:rPr>
              <w:t>vagy</w:t>
            </w:r>
            <w:r>
              <w:rPr>
                <w:spacing w:val="-19"/>
                <w:w w:val="130"/>
                <w:sz w:val="20"/>
              </w:rPr>
              <w:t> </w:t>
            </w:r>
            <w:r>
              <w:rPr>
                <w:w w:val="130"/>
                <w:sz w:val="20"/>
              </w:rPr>
              <w:t>teljes</w:t>
            </w:r>
            <w:r>
              <w:rPr>
                <w:spacing w:val="-20"/>
                <w:w w:val="130"/>
                <w:sz w:val="20"/>
              </w:rPr>
              <w:t> </w:t>
            </w:r>
            <w:r>
              <w:rPr>
                <w:w w:val="130"/>
                <w:sz w:val="20"/>
              </w:rPr>
              <w:t>előtörlesztésére. (Adott esetben)</w:t>
            </w:r>
            <w:r>
              <w:rPr>
                <w:spacing w:val="-8"/>
                <w:w w:val="130"/>
                <w:sz w:val="20"/>
              </w:rPr>
              <w:t> </w:t>
            </w:r>
            <w:r>
              <w:rPr>
                <w:w w:val="130"/>
                <w:sz w:val="20"/>
              </w:rPr>
              <w:t>[Feltételek]</w:t>
            </w:r>
          </w:p>
          <w:p>
            <w:pPr>
              <w:pStyle w:val="TableParagraph"/>
              <w:spacing w:line="230" w:lineRule="auto"/>
              <w:ind w:right="28"/>
              <w:jc w:val="both"/>
              <w:rPr>
                <w:sz w:val="20"/>
              </w:rPr>
            </w:pPr>
            <w:r>
              <w:rPr>
                <w:w w:val="125"/>
                <w:sz w:val="20"/>
              </w:rPr>
              <w:t>(Adott esetben) Előtörlesztési díj: [az összeg, vagy ha nem lehetséges, akkor a kiszámítás módja]</w:t>
            </w:r>
          </w:p>
          <w:p>
            <w:pPr>
              <w:pStyle w:val="TableParagraph"/>
              <w:spacing w:line="220" w:lineRule="exact" w:before="1"/>
              <w:ind w:right="37"/>
              <w:jc w:val="both"/>
              <w:rPr>
                <w:sz w:val="20"/>
              </w:rPr>
            </w:pPr>
            <w:r>
              <w:rPr>
                <w:w w:val="125"/>
                <w:sz w:val="20"/>
              </w:rPr>
              <w:t>(Adott esetben) Amennyiben a hitel előtörlesztése mellett dönt, kérem vegye fel a kapcsolatot velünk, hogy pontosan megállapítsuk az előtörlesztés időpontjában esedékes előtörlesztési</w:t>
            </w:r>
            <w:r>
              <w:rPr>
                <w:spacing w:val="4"/>
                <w:w w:val="125"/>
                <w:sz w:val="20"/>
              </w:rPr>
              <w:t> </w:t>
            </w:r>
            <w:r>
              <w:rPr>
                <w:w w:val="125"/>
                <w:sz w:val="20"/>
              </w:rPr>
              <w:t>díjat.</w:t>
            </w:r>
          </w:p>
        </w:tc>
      </w:tr>
      <w:tr>
        <w:trPr>
          <w:trHeight w:val="229" w:hRule="atLeast"/>
        </w:trPr>
        <w:tc>
          <w:tcPr>
            <w:tcW w:w="8031" w:type="dxa"/>
          </w:tcPr>
          <w:p>
            <w:pPr>
              <w:pStyle w:val="TableParagraph"/>
              <w:spacing w:line="209" w:lineRule="exact"/>
              <w:ind w:left="103"/>
              <w:rPr>
                <w:sz w:val="20"/>
              </w:rPr>
            </w:pPr>
            <w:r>
              <w:rPr>
                <w:w w:val="125"/>
                <w:sz w:val="20"/>
              </w:rPr>
              <w:t>10. Rugalmas elemek</w:t>
            </w:r>
          </w:p>
        </w:tc>
      </w:tr>
      <w:tr>
        <w:trPr>
          <w:trHeight w:val="1990" w:hRule="atLeast"/>
        </w:trPr>
        <w:tc>
          <w:tcPr>
            <w:tcW w:w="8031" w:type="dxa"/>
          </w:tcPr>
          <w:p>
            <w:pPr>
              <w:pStyle w:val="TableParagraph"/>
              <w:spacing w:line="230" w:lineRule="auto" w:before="7"/>
              <w:ind w:firstLine="122"/>
              <w:rPr>
                <w:sz w:val="20"/>
              </w:rPr>
            </w:pPr>
            <w:r>
              <w:rPr>
                <w:w w:val="130"/>
                <w:sz w:val="20"/>
              </w:rPr>
              <w:t>(Adott esetben) [Tájékoztatás a fedezetcseréről/a szerződés átruházásról] Önnek lehetősége van ezt a hitelt más</w:t>
            </w:r>
          </w:p>
          <w:p>
            <w:pPr>
              <w:pStyle w:val="TableParagraph"/>
              <w:spacing w:line="216" w:lineRule="exact"/>
              <w:rPr>
                <w:sz w:val="20"/>
              </w:rPr>
            </w:pPr>
            <w:r>
              <w:rPr>
                <w:w w:val="125"/>
                <w:sz w:val="20"/>
              </w:rPr>
              <w:t>[hitelezőhöz] [vagy] [ingatlanra] átvinni.[Feltételek]</w:t>
            </w:r>
          </w:p>
          <w:p>
            <w:pPr>
              <w:pStyle w:val="TableParagraph"/>
              <w:spacing w:line="230" w:lineRule="auto" w:before="3"/>
              <w:ind w:right="35"/>
              <w:jc w:val="both"/>
              <w:rPr>
                <w:sz w:val="20"/>
              </w:rPr>
            </w:pPr>
            <w:r>
              <w:rPr>
                <w:w w:val="130"/>
                <w:sz w:val="20"/>
              </w:rPr>
              <w:t>(Adott esetben) Nincs lehetősége ezt a hitelt más [hitelezőhöz] [vagy] [ingatlanra] átvinni.</w:t>
            </w:r>
          </w:p>
          <w:p>
            <w:pPr>
              <w:pStyle w:val="TableParagraph"/>
              <w:spacing w:line="220" w:lineRule="exact" w:before="2"/>
              <w:ind w:right="30"/>
              <w:jc w:val="both"/>
              <w:rPr>
                <w:sz w:val="20"/>
              </w:rPr>
            </w:pPr>
            <w:r>
              <w:rPr>
                <w:w w:val="130"/>
                <w:sz w:val="20"/>
              </w:rPr>
              <w:t>(Adott</w:t>
            </w:r>
            <w:r>
              <w:rPr>
                <w:spacing w:val="-10"/>
                <w:w w:val="130"/>
                <w:sz w:val="20"/>
              </w:rPr>
              <w:t> </w:t>
            </w:r>
            <w:r>
              <w:rPr>
                <w:w w:val="130"/>
                <w:sz w:val="20"/>
              </w:rPr>
              <w:t>esetben)</w:t>
            </w:r>
            <w:r>
              <w:rPr>
                <w:spacing w:val="-9"/>
                <w:w w:val="130"/>
                <w:sz w:val="20"/>
              </w:rPr>
              <w:t> </w:t>
            </w:r>
            <w:r>
              <w:rPr>
                <w:w w:val="130"/>
                <w:sz w:val="20"/>
              </w:rPr>
              <w:t>További</w:t>
            </w:r>
            <w:r>
              <w:rPr>
                <w:spacing w:val="-9"/>
                <w:w w:val="130"/>
                <w:sz w:val="20"/>
              </w:rPr>
              <w:t> </w:t>
            </w:r>
            <w:r>
              <w:rPr>
                <w:w w:val="130"/>
                <w:sz w:val="20"/>
              </w:rPr>
              <w:t>elemek:</w:t>
            </w:r>
            <w:r>
              <w:rPr>
                <w:spacing w:val="-9"/>
                <w:w w:val="130"/>
                <w:sz w:val="20"/>
              </w:rPr>
              <w:t> </w:t>
            </w:r>
            <w:r>
              <w:rPr>
                <w:w w:val="130"/>
                <w:sz w:val="20"/>
              </w:rPr>
              <w:t>[magyarázat</w:t>
            </w:r>
            <w:r>
              <w:rPr>
                <w:spacing w:val="-9"/>
                <w:w w:val="130"/>
                <w:sz w:val="20"/>
              </w:rPr>
              <w:t> </w:t>
            </w:r>
            <w:r>
              <w:rPr>
                <w:w w:val="130"/>
                <w:sz w:val="20"/>
              </w:rPr>
              <w:t>a</w:t>
            </w:r>
            <w:r>
              <w:rPr>
                <w:spacing w:val="-9"/>
                <w:w w:val="130"/>
                <w:sz w:val="20"/>
              </w:rPr>
              <w:t> </w:t>
            </w:r>
            <w:r>
              <w:rPr>
                <w:w w:val="130"/>
                <w:sz w:val="20"/>
              </w:rPr>
              <w:t>személyre</w:t>
            </w:r>
            <w:r>
              <w:rPr>
                <w:spacing w:val="-9"/>
                <w:w w:val="130"/>
                <w:sz w:val="20"/>
              </w:rPr>
              <w:t> </w:t>
            </w:r>
            <w:r>
              <w:rPr>
                <w:w w:val="130"/>
                <w:sz w:val="20"/>
              </w:rPr>
              <w:t>szóló</w:t>
            </w:r>
            <w:r>
              <w:rPr>
                <w:spacing w:val="-9"/>
                <w:w w:val="130"/>
                <w:sz w:val="20"/>
              </w:rPr>
              <w:t> </w:t>
            </w:r>
            <w:r>
              <w:rPr>
                <w:w w:val="130"/>
                <w:sz w:val="20"/>
              </w:rPr>
              <w:t>tájékoztatás kitöltési</w:t>
            </w:r>
            <w:r>
              <w:rPr>
                <w:spacing w:val="-24"/>
                <w:w w:val="130"/>
                <w:sz w:val="20"/>
              </w:rPr>
              <w:t> </w:t>
            </w:r>
            <w:r>
              <w:rPr>
                <w:w w:val="130"/>
                <w:sz w:val="20"/>
              </w:rPr>
              <w:t>útmutatójában</w:t>
            </w:r>
            <w:r>
              <w:rPr>
                <w:spacing w:val="-22"/>
                <w:w w:val="130"/>
                <w:sz w:val="20"/>
              </w:rPr>
              <w:t> </w:t>
            </w:r>
            <w:r>
              <w:rPr>
                <w:w w:val="130"/>
                <w:sz w:val="20"/>
              </w:rPr>
              <w:t>felsorolt</w:t>
            </w:r>
            <w:r>
              <w:rPr>
                <w:spacing w:val="-22"/>
                <w:w w:val="130"/>
                <w:sz w:val="20"/>
              </w:rPr>
              <w:t> </w:t>
            </w:r>
            <w:r>
              <w:rPr>
                <w:w w:val="130"/>
                <w:sz w:val="20"/>
              </w:rPr>
              <w:t>további</w:t>
            </w:r>
            <w:r>
              <w:rPr>
                <w:spacing w:val="-24"/>
                <w:w w:val="130"/>
                <w:sz w:val="20"/>
              </w:rPr>
              <w:t> </w:t>
            </w:r>
            <w:r>
              <w:rPr>
                <w:w w:val="130"/>
                <w:sz w:val="20"/>
              </w:rPr>
              <w:t>elemekről,</w:t>
            </w:r>
            <w:r>
              <w:rPr>
                <w:spacing w:val="-23"/>
                <w:w w:val="130"/>
                <w:sz w:val="20"/>
              </w:rPr>
              <w:t> </w:t>
            </w:r>
            <w:r>
              <w:rPr>
                <w:w w:val="130"/>
                <w:sz w:val="20"/>
              </w:rPr>
              <w:t>és</w:t>
            </w:r>
            <w:r>
              <w:rPr>
                <w:spacing w:val="-23"/>
                <w:w w:val="130"/>
                <w:sz w:val="20"/>
              </w:rPr>
              <w:t> </w:t>
            </w:r>
            <w:r>
              <w:rPr>
                <w:w w:val="130"/>
                <w:sz w:val="20"/>
              </w:rPr>
              <w:t>-</w:t>
            </w:r>
            <w:r>
              <w:rPr>
                <w:spacing w:val="-16"/>
                <w:w w:val="130"/>
                <w:sz w:val="20"/>
              </w:rPr>
              <w:t> </w:t>
            </w:r>
            <w:r>
              <w:rPr>
                <w:w w:val="130"/>
                <w:sz w:val="20"/>
              </w:rPr>
              <w:t>választható</w:t>
            </w:r>
            <w:r>
              <w:rPr>
                <w:spacing w:val="-24"/>
                <w:w w:val="130"/>
                <w:sz w:val="20"/>
              </w:rPr>
              <w:t> </w:t>
            </w:r>
            <w:r>
              <w:rPr>
                <w:w w:val="130"/>
                <w:sz w:val="20"/>
              </w:rPr>
              <w:t>jelleggel</w:t>
            </w:r>
            <w:r>
              <w:rPr>
                <w:spacing w:val="-28"/>
                <w:w w:val="130"/>
                <w:sz w:val="20"/>
              </w:rPr>
              <w:t> </w:t>
            </w:r>
            <w:r>
              <w:rPr>
                <w:w w:val="130"/>
                <w:sz w:val="20"/>
              </w:rPr>
              <w:t>- a hitelező részéről a hitelszerződés részeként kínált, a megelőző szakaszokban nem említett egyéb</w:t>
            </w:r>
            <w:r>
              <w:rPr>
                <w:spacing w:val="-18"/>
                <w:w w:val="130"/>
                <w:sz w:val="20"/>
              </w:rPr>
              <w:t> </w:t>
            </w:r>
            <w:r>
              <w:rPr>
                <w:w w:val="130"/>
                <w:sz w:val="20"/>
              </w:rPr>
              <w:t>elemekről].</w:t>
            </w:r>
          </w:p>
        </w:tc>
      </w:tr>
      <w:tr>
        <w:trPr>
          <w:trHeight w:val="229" w:hRule="atLeast"/>
        </w:trPr>
        <w:tc>
          <w:tcPr>
            <w:tcW w:w="8031" w:type="dxa"/>
          </w:tcPr>
          <w:p>
            <w:pPr>
              <w:pStyle w:val="TableParagraph"/>
              <w:spacing w:line="209" w:lineRule="exact"/>
              <w:ind w:left="103"/>
              <w:rPr>
                <w:sz w:val="20"/>
              </w:rPr>
            </w:pPr>
            <w:r>
              <w:rPr>
                <w:w w:val="120"/>
                <w:sz w:val="20"/>
              </w:rPr>
              <w:t>11. A fogyasztó egyéb jogai</w:t>
            </w:r>
          </w:p>
        </w:tc>
      </w:tr>
      <w:tr>
        <w:trPr>
          <w:trHeight w:val="2650" w:hRule="atLeast"/>
        </w:trPr>
        <w:tc>
          <w:tcPr>
            <w:tcW w:w="8031" w:type="dxa"/>
          </w:tcPr>
          <w:p>
            <w:pPr>
              <w:pStyle w:val="TableParagraph"/>
              <w:spacing w:line="230" w:lineRule="auto" w:before="7"/>
              <w:ind w:right="29" w:firstLine="137"/>
              <w:jc w:val="both"/>
              <w:rPr>
                <w:sz w:val="20"/>
              </w:rPr>
            </w:pPr>
            <w:r>
              <w:rPr>
                <w:w w:val="130"/>
                <w:sz w:val="20"/>
              </w:rPr>
              <w:t>15 nap gondolkodási idő áll a rendelkezésére a hitel felvételéről szóló döntéshez. Miután kézhez kapta a hitelszerződés tervezetét a hitelezőtől, csak 3 nap eltelte után fogadhatja el az ajánlatot.</w:t>
            </w:r>
          </w:p>
          <w:p>
            <w:pPr>
              <w:pStyle w:val="TableParagraph"/>
              <w:spacing w:line="230" w:lineRule="auto"/>
              <w:ind w:right="67"/>
              <w:rPr>
                <w:sz w:val="20"/>
              </w:rPr>
            </w:pPr>
            <w:r>
              <w:rPr>
                <w:w w:val="125"/>
                <w:sz w:val="20"/>
              </w:rPr>
              <w:t>(Adott esetben) Önnek [az elállási időszak kezdete]-tól/-től számítva [az elállási időszak hossza] belül joga van elállni a megállapodástól. [Feltételek] [Eljárás]</w:t>
            </w:r>
          </w:p>
          <w:p>
            <w:pPr>
              <w:pStyle w:val="TableParagraph"/>
              <w:spacing w:line="230" w:lineRule="auto"/>
              <w:rPr>
                <w:sz w:val="20"/>
              </w:rPr>
            </w:pPr>
            <w:r>
              <w:rPr>
                <w:w w:val="130"/>
                <w:sz w:val="20"/>
              </w:rPr>
              <w:t>(Adott esetben) Az elállás jogát elveszítheti, amennyiben az elállási időszak alatt e hitelszerződéshez kapcsolódó ingatlant vásárol vagy értékesít.</w:t>
            </w:r>
          </w:p>
          <w:p>
            <w:pPr>
              <w:pStyle w:val="TableParagraph"/>
              <w:spacing w:line="220" w:lineRule="exact"/>
              <w:ind w:right="35"/>
              <w:jc w:val="both"/>
              <w:rPr>
                <w:sz w:val="20"/>
              </w:rPr>
            </w:pPr>
            <w:r>
              <w:rPr>
                <w:w w:val="125"/>
                <w:sz w:val="20"/>
              </w:rPr>
              <w:t>(Adott esetben) Ha úgy dönt, hogy él [a hitelszerződést érintő] elállás jogával, kérjük, ellenőrizze, hogy továbbra is vonatkoznak-e Önre a [8. szakaszban említett], a hitelhez [és a hitelhez kötődő kapcsolódó szolgáltatásokhoz] kapcsolódó egyéb kötelezettségek.</w:t>
            </w:r>
          </w:p>
        </w:tc>
      </w:tr>
      <w:tr>
        <w:trPr>
          <w:trHeight w:val="227" w:hRule="atLeast"/>
        </w:trPr>
        <w:tc>
          <w:tcPr>
            <w:tcW w:w="8031" w:type="dxa"/>
          </w:tcPr>
          <w:p>
            <w:pPr>
              <w:pStyle w:val="TableParagraph"/>
              <w:spacing w:line="207" w:lineRule="exact"/>
              <w:ind w:left="103"/>
              <w:rPr>
                <w:sz w:val="20"/>
              </w:rPr>
            </w:pPr>
            <w:r>
              <w:rPr>
                <w:w w:val="125"/>
                <w:sz w:val="20"/>
              </w:rPr>
              <w:t>12. Panaszok</w:t>
            </w:r>
          </w:p>
        </w:tc>
      </w:tr>
      <w:tr>
        <w:trPr>
          <w:trHeight w:val="1770" w:hRule="atLeast"/>
        </w:trPr>
        <w:tc>
          <w:tcPr>
            <w:tcW w:w="8031" w:type="dxa"/>
          </w:tcPr>
          <w:p>
            <w:pPr>
              <w:pStyle w:val="TableParagraph"/>
              <w:tabs>
                <w:tab w:pos="4977" w:val="left" w:leader="none"/>
              </w:tabs>
              <w:spacing w:line="230" w:lineRule="auto" w:before="7"/>
              <w:ind w:right="67" w:firstLine="191"/>
              <w:rPr>
                <w:sz w:val="20"/>
              </w:rPr>
            </w:pPr>
            <w:r>
              <w:rPr>
                <w:w w:val="125"/>
                <w:sz w:val="20"/>
              </w:rPr>
              <w:t>Amennyiben   panasza   van, </w:t>
            </w:r>
            <w:r>
              <w:rPr>
                <w:spacing w:val="39"/>
                <w:w w:val="125"/>
                <w:sz w:val="20"/>
              </w:rPr>
              <w:t> </w:t>
            </w:r>
            <w:r>
              <w:rPr>
                <w:w w:val="125"/>
                <w:sz w:val="20"/>
              </w:rPr>
              <w:t>kérjük, </w:t>
            </w:r>
            <w:r>
              <w:rPr>
                <w:spacing w:val="56"/>
                <w:w w:val="125"/>
                <w:sz w:val="20"/>
              </w:rPr>
              <w:t> </w:t>
            </w:r>
            <w:r>
              <w:rPr>
                <w:w w:val="125"/>
                <w:sz w:val="20"/>
              </w:rPr>
              <w:t>vegye</w:t>
              <w:tab/>
              <w:t>fel a kapcsolatot [a belső kapcsolattartó pont és az eljárásra vonatkozó</w:t>
            </w:r>
            <w:r>
              <w:rPr>
                <w:spacing w:val="20"/>
                <w:w w:val="125"/>
                <w:sz w:val="20"/>
              </w:rPr>
              <w:t> </w:t>
            </w:r>
            <w:r>
              <w:rPr>
                <w:w w:val="125"/>
                <w:sz w:val="20"/>
              </w:rPr>
              <w:t>információforrás].</w:t>
            </w:r>
          </w:p>
          <w:p>
            <w:pPr>
              <w:pStyle w:val="TableParagraph"/>
              <w:spacing w:line="230" w:lineRule="auto"/>
              <w:rPr>
                <w:sz w:val="20"/>
              </w:rPr>
            </w:pPr>
            <w:r>
              <w:rPr>
                <w:w w:val="125"/>
                <w:sz w:val="20"/>
              </w:rPr>
              <w:t>(Adott esetben) A panasz kezelésére rendelkezésre álló idő legfeljebb [időtartam].</w:t>
            </w:r>
          </w:p>
          <w:p>
            <w:pPr>
              <w:pStyle w:val="TableParagraph"/>
              <w:spacing w:line="220" w:lineRule="exact" w:before="1"/>
              <w:ind w:right="32"/>
              <w:jc w:val="both"/>
              <w:rPr>
                <w:sz w:val="20"/>
              </w:rPr>
            </w:pPr>
            <w:r>
              <w:rPr>
                <w:w w:val="130"/>
                <w:sz w:val="20"/>
              </w:rPr>
              <w:t>[Amennyiben</w:t>
            </w:r>
            <w:r>
              <w:rPr>
                <w:spacing w:val="-19"/>
                <w:w w:val="130"/>
                <w:sz w:val="20"/>
              </w:rPr>
              <w:t> </w:t>
            </w:r>
            <w:r>
              <w:rPr>
                <w:w w:val="130"/>
                <w:sz w:val="20"/>
              </w:rPr>
              <w:t>a</w:t>
            </w:r>
            <w:r>
              <w:rPr>
                <w:spacing w:val="-12"/>
                <w:w w:val="130"/>
                <w:sz w:val="20"/>
              </w:rPr>
              <w:t> </w:t>
            </w:r>
            <w:r>
              <w:rPr>
                <w:w w:val="130"/>
                <w:sz w:val="20"/>
              </w:rPr>
              <w:t>panasza</w:t>
            </w:r>
            <w:r>
              <w:rPr>
                <w:spacing w:val="-27"/>
                <w:w w:val="130"/>
                <w:sz w:val="20"/>
              </w:rPr>
              <w:t> </w:t>
            </w:r>
            <w:r>
              <w:rPr>
                <w:w w:val="130"/>
                <w:sz w:val="20"/>
              </w:rPr>
              <w:t>helyben</w:t>
            </w:r>
            <w:r>
              <w:rPr>
                <w:spacing w:val="-19"/>
                <w:w w:val="130"/>
                <w:sz w:val="20"/>
              </w:rPr>
              <w:t> </w:t>
            </w:r>
            <w:r>
              <w:rPr>
                <w:w w:val="130"/>
                <w:sz w:val="20"/>
              </w:rPr>
              <w:t>nem</w:t>
            </w:r>
            <w:r>
              <w:rPr>
                <w:spacing w:val="-19"/>
                <w:w w:val="130"/>
                <w:sz w:val="20"/>
              </w:rPr>
              <w:t> </w:t>
            </w:r>
            <w:r>
              <w:rPr>
                <w:w w:val="130"/>
                <w:sz w:val="20"/>
              </w:rPr>
              <w:t>rendeződik</w:t>
            </w:r>
            <w:r>
              <w:rPr>
                <w:spacing w:val="-19"/>
                <w:w w:val="130"/>
                <w:sz w:val="20"/>
              </w:rPr>
              <w:t> </w:t>
            </w:r>
            <w:r>
              <w:rPr>
                <w:w w:val="130"/>
                <w:sz w:val="20"/>
              </w:rPr>
              <w:t>az</w:t>
            </w:r>
            <w:r>
              <w:rPr>
                <w:spacing w:val="-19"/>
                <w:w w:val="130"/>
                <w:sz w:val="20"/>
              </w:rPr>
              <w:t> </w:t>
            </w:r>
            <w:r>
              <w:rPr>
                <w:w w:val="130"/>
                <w:sz w:val="20"/>
              </w:rPr>
              <w:t>Ön</w:t>
            </w:r>
            <w:r>
              <w:rPr>
                <w:spacing w:val="-19"/>
                <w:w w:val="130"/>
                <w:sz w:val="20"/>
              </w:rPr>
              <w:t> </w:t>
            </w:r>
            <w:r>
              <w:rPr>
                <w:w w:val="130"/>
                <w:sz w:val="20"/>
              </w:rPr>
              <w:t>számára</w:t>
            </w:r>
            <w:r>
              <w:rPr>
                <w:spacing w:val="-19"/>
                <w:w w:val="130"/>
                <w:sz w:val="20"/>
              </w:rPr>
              <w:t> </w:t>
            </w:r>
            <w:r>
              <w:rPr>
                <w:w w:val="130"/>
                <w:sz w:val="20"/>
              </w:rPr>
              <w:t>kielégítően,] a</w:t>
            </w:r>
            <w:r>
              <w:rPr>
                <w:spacing w:val="-14"/>
                <w:w w:val="130"/>
                <w:sz w:val="20"/>
              </w:rPr>
              <w:t> </w:t>
            </w:r>
            <w:r>
              <w:rPr>
                <w:w w:val="130"/>
                <w:sz w:val="20"/>
              </w:rPr>
              <w:t>következő</w:t>
            </w:r>
            <w:r>
              <w:rPr>
                <w:spacing w:val="-7"/>
                <w:w w:val="130"/>
                <w:sz w:val="20"/>
              </w:rPr>
              <w:t> </w:t>
            </w:r>
            <w:r>
              <w:rPr>
                <w:w w:val="130"/>
                <w:sz w:val="20"/>
              </w:rPr>
              <w:t>szervezetekhez</w:t>
            </w:r>
            <w:r>
              <w:rPr>
                <w:spacing w:val="-20"/>
                <w:w w:val="130"/>
                <w:sz w:val="20"/>
              </w:rPr>
              <w:t> </w:t>
            </w:r>
            <w:r>
              <w:rPr>
                <w:w w:val="130"/>
                <w:sz w:val="20"/>
              </w:rPr>
              <w:t>is</w:t>
            </w:r>
            <w:r>
              <w:rPr>
                <w:spacing w:val="-14"/>
                <w:w w:val="130"/>
                <w:sz w:val="20"/>
              </w:rPr>
              <w:t> </w:t>
            </w:r>
            <w:r>
              <w:rPr>
                <w:w w:val="130"/>
                <w:sz w:val="20"/>
              </w:rPr>
              <w:t>fordulhat:</w:t>
            </w:r>
            <w:r>
              <w:rPr>
                <w:spacing w:val="-13"/>
                <w:w w:val="130"/>
                <w:sz w:val="20"/>
              </w:rPr>
              <w:t> </w:t>
            </w:r>
            <w:r>
              <w:rPr>
                <w:w w:val="130"/>
                <w:sz w:val="20"/>
              </w:rPr>
              <w:t>Pénzügyi</w:t>
            </w:r>
            <w:r>
              <w:rPr>
                <w:spacing w:val="-13"/>
                <w:w w:val="130"/>
                <w:sz w:val="20"/>
              </w:rPr>
              <w:t> </w:t>
            </w:r>
            <w:r>
              <w:rPr>
                <w:w w:val="130"/>
                <w:sz w:val="20"/>
              </w:rPr>
              <w:t>Békéltető</w:t>
            </w:r>
            <w:r>
              <w:rPr>
                <w:spacing w:val="-14"/>
                <w:w w:val="130"/>
                <w:sz w:val="20"/>
              </w:rPr>
              <w:t> </w:t>
            </w:r>
            <w:r>
              <w:rPr>
                <w:w w:val="130"/>
                <w:sz w:val="20"/>
              </w:rPr>
              <w:t>Testület,</w:t>
            </w:r>
            <w:r>
              <w:rPr>
                <w:spacing w:val="-13"/>
                <w:w w:val="130"/>
                <w:sz w:val="20"/>
              </w:rPr>
              <w:t> </w:t>
            </w:r>
            <w:r>
              <w:rPr>
                <w:w w:val="130"/>
                <w:sz w:val="20"/>
              </w:rPr>
              <w:t>(Adott esetben)</w:t>
            </w:r>
            <w:r>
              <w:rPr>
                <w:spacing w:val="-18"/>
                <w:w w:val="130"/>
                <w:sz w:val="20"/>
              </w:rPr>
              <w:t> </w:t>
            </w:r>
            <w:r>
              <w:rPr>
                <w:w w:val="130"/>
                <w:sz w:val="20"/>
              </w:rPr>
              <w:t>vagy</w:t>
            </w:r>
            <w:r>
              <w:rPr>
                <w:spacing w:val="-18"/>
                <w:w w:val="130"/>
                <w:sz w:val="20"/>
              </w:rPr>
              <w:t> </w:t>
            </w:r>
            <w:r>
              <w:rPr>
                <w:w w:val="130"/>
                <w:sz w:val="20"/>
              </w:rPr>
              <w:t>kapcsolatba</w:t>
            </w:r>
            <w:r>
              <w:rPr>
                <w:spacing w:val="-18"/>
                <w:w w:val="130"/>
                <w:sz w:val="20"/>
              </w:rPr>
              <w:t> </w:t>
            </w:r>
            <w:r>
              <w:rPr>
                <w:w w:val="130"/>
                <w:sz w:val="20"/>
              </w:rPr>
              <w:t>léphet</w:t>
            </w:r>
            <w:r>
              <w:rPr>
                <w:spacing w:val="-16"/>
                <w:w w:val="130"/>
                <w:sz w:val="20"/>
              </w:rPr>
              <w:t> </w:t>
            </w:r>
            <w:r>
              <w:rPr>
                <w:w w:val="130"/>
                <w:sz w:val="20"/>
              </w:rPr>
              <w:t>a</w:t>
            </w:r>
            <w:r>
              <w:rPr>
                <w:spacing w:val="-20"/>
                <w:w w:val="130"/>
                <w:sz w:val="20"/>
              </w:rPr>
              <w:t> </w:t>
            </w:r>
            <w:r>
              <w:rPr>
                <w:w w:val="130"/>
                <w:sz w:val="20"/>
              </w:rPr>
              <w:t>FIN-NET</w:t>
            </w:r>
            <w:r>
              <w:rPr>
                <w:spacing w:val="-18"/>
                <w:w w:val="130"/>
                <w:sz w:val="20"/>
              </w:rPr>
              <w:t> </w:t>
            </w:r>
            <w:r>
              <w:rPr>
                <w:w w:val="130"/>
                <w:sz w:val="20"/>
              </w:rPr>
              <w:t>hálózattal,</w:t>
            </w:r>
            <w:r>
              <w:rPr>
                <w:spacing w:val="-18"/>
                <w:w w:val="130"/>
                <w:sz w:val="20"/>
              </w:rPr>
              <w:t> </w:t>
            </w:r>
            <w:r>
              <w:rPr>
                <w:w w:val="130"/>
                <w:sz w:val="20"/>
              </w:rPr>
              <w:t>amelytől</w:t>
            </w:r>
            <w:r>
              <w:rPr>
                <w:spacing w:val="-18"/>
                <w:w w:val="130"/>
                <w:sz w:val="20"/>
              </w:rPr>
              <w:t> </w:t>
            </w:r>
            <w:r>
              <w:rPr>
                <w:w w:val="130"/>
                <w:sz w:val="20"/>
              </w:rPr>
              <w:t>elkérheti</w:t>
            </w:r>
            <w:r>
              <w:rPr>
                <w:spacing w:val="-17"/>
                <w:w w:val="130"/>
                <w:sz w:val="20"/>
              </w:rPr>
              <w:t> </w:t>
            </w:r>
            <w:r>
              <w:rPr>
                <w:w w:val="130"/>
                <w:sz w:val="20"/>
              </w:rPr>
              <w:t>az Ön országában ezzel egyenértékű szerv</w:t>
            </w:r>
            <w:r>
              <w:rPr>
                <w:spacing w:val="-18"/>
                <w:w w:val="130"/>
                <w:sz w:val="20"/>
              </w:rPr>
              <w:t> </w:t>
            </w:r>
            <w:r>
              <w:rPr>
                <w:w w:val="130"/>
                <w:sz w:val="20"/>
              </w:rPr>
              <w:t>adatait.</w:t>
            </w:r>
          </w:p>
        </w:tc>
      </w:tr>
      <w:tr>
        <w:trPr>
          <w:trHeight w:val="449" w:hRule="atLeast"/>
        </w:trPr>
        <w:tc>
          <w:tcPr>
            <w:tcW w:w="8031" w:type="dxa"/>
          </w:tcPr>
          <w:p>
            <w:pPr>
              <w:pStyle w:val="TableParagraph"/>
              <w:tabs>
                <w:tab w:pos="766" w:val="left" w:leader="none"/>
                <w:tab w:pos="1114" w:val="left" w:leader="none"/>
                <w:tab w:pos="2126" w:val="left" w:leader="none"/>
                <w:tab w:pos="3462" w:val="left" w:leader="none"/>
                <w:tab w:pos="5624" w:val="left" w:leader="none"/>
                <w:tab w:pos="6243" w:val="left" w:leader="none"/>
                <w:tab w:pos="6884" w:val="left" w:leader="none"/>
              </w:tabs>
              <w:spacing w:line="220" w:lineRule="exact" w:before="10"/>
              <w:ind w:right="39" w:firstLine="204"/>
              <w:rPr>
                <w:sz w:val="20"/>
              </w:rPr>
            </w:pPr>
            <w:r>
              <w:rPr>
                <w:w w:val="125"/>
                <w:sz w:val="20"/>
              </w:rPr>
              <w:t>13.</w:t>
              <w:tab/>
              <w:t>A</w:t>
              <w:tab/>
              <w:t>hitelhez</w:t>
              <w:tab/>
              <w:t>kapcsolódó</w:t>
              <w:tab/>
              <w:t>kötelezettségeknek</w:t>
              <w:tab/>
              <w:t>való</w:t>
              <w:tab/>
              <w:t>nem</w:t>
              <w:tab/>
            </w:r>
            <w:r>
              <w:rPr>
                <w:spacing w:val="-1"/>
                <w:w w:val="125"/>
                <w:sz w:val="20"/>
              </w:rPr>
              <w:t>megfelelés </w:t>
            </w:r>
            <w:r>
              <w:rPr>
                <w:w w:val="125"/>
                <w:sz w:val="20"/>
              </w:rPr>
              <w:t>következményei a fogyasztóra</w:t>
            </w:r>
            <w:r>
              <w:rPr>
                <w:spacing w:val="1"/>
                <w:w w:val="125"/>
                <w:sz w:val="20"/>
              </w:rPr>
              <w:t> </w:t>
            </w:r>
            <w:r>
              <w:rPr>
                <w:w w:val="125"/>
                <w:sz w:val="20"/>
              </w:rPr>
              <w:t>nézve</w:t>
            </w:r>
          </w:p>
        </w:tc>
      </w:tr>
      <w:tr>
        <w:trPr>
          <w:trHeight w:val="1549" w:hRule="atLeast"/>
        </w:trPr>
        <w:tc>
          <w:tcPr>
            <w:tcW w:w="8031" w:type="dxa"/>
          </w:tcPr>
          <w:p>
            <w:pPr>
              <w:pStyle w:val="TableParagraph"/>
              <w:spacing w:line="224" w:lineRule="exact"/>
              <w:ind w:left="103"/>
              <w:rPr>
                <w:sz w:val="20"/>
              </w:rPr>
            </w:pPr>
            <w:r>
              <w:rPr>
                <w:w w:val="125"/>
                <w:sz w:val="20"/>
              </w:rPr>
              <w:t>[A nem megfelelés típusai]</w:t>
            </w:r>
          </w:p>
          <w:p>
            <w:pPr>
              <w:pStyle w:val="TableParagraph"/>
              <w:spacing w:line="220" w:lineRule="exact"/>
              <w:rPr>
                <w:sz w:val="20"/>
              </w:rPr>
            </w:pPr>
            <w:r>
              <w:rPr>
                <w:w w:val="125"/>
                <w:sz w:val="20"/>
              </w:rPr>
              <w:t>[Pénzügyi és/vagy jogi következmények]</w:t>
            </w:r>
          </w:p>
          <w:p>
            <w:pPr>
              <w:pStyle w:val="TableParagraph"/>
              <w:spacing w:line="230" w:lineRule="auto" w:before="2"/>
              <w:ind w:right="34"/>
              <w:jc w:val="both"/>
              <w:rPr>
                <w:sz w:val="20"/>
              </w:rPr>
            </w:pPr>
            <w:r>
              <w:rPr>
                <w:w w:val="130"/>
                <w:sz w:val="20"/>
              </w:rPr>
              <w:t>Amennyiben nehézségei támadnak a [gyakoriság] törlesztőrészletek fizetésével kapcsolatban, kérjük, mielőbb keressen meg minket, hogy megfelelő megoldást találjunk a problémára.</w:t>
            </w:r>
          </w:p>
          <w:p>
            <w:pPr>
              <w:pStyle w:val="TableParagraph"/>
              <w:spacing w:line="220" w:lineRule="exact" w:before="1"/>
              <w:rPr>
                <w:sz w:val="20"/>
              </w:rPr>
            </w:pPr>
            <w:r>
              <w:rPr>
                <w:w w:val="130"/>
                <w:sz w:val="20"/>
              </w:rPr>
              <w:t>(Adott esetben) A részletfizetések elmaradása esetén otthona végső esetben végrehajtás alá kerülhet.</w:t>
            </w:r>
          </w:p>
        </w:tc>
      </w:tr>
      <w:tr>
        <w:trPr>
          <w:trHeight w:val="229" w:hRule="atLeast"/>
        </w:trPr>
        <w:tc>
          <w:tcPr>
            <w:tcW w:w="8031" w:type="dxa"/>
          </w:tcPr>
          <w:p>
            <w:pPr>
              <w:pStyle w:val="TableParagraph"/>
              <w:spacing w:line="209" w:lineRule="exact"/>
              <w:ind w:left="103"/>
              <w:rPr>
                <w:sz w:val="20"/>
              </w:rPr>
            </w:pPr>
            <w:r>
              <w:rPr>
                <w:w w:val="130"/>
                <w:sz w:val="20"/>
              </w:rPr>
              <w:t>(Adott esetben) 14. További tájékoztatás</w:t>
            </w:r>
          </w:p>
        </w:tc>
      </w:tr>
      <w:tr>
        <w:trPr>
          <w:trHeight w:val="1330" w:hRule="atLeast"/>
        </w:trPr>
        <w:tc>
          <w:tcPr>
            <w:tcW w:w="8031" w:type="dxa"/>
          </w:tcPr>
          <w:p>
            <w:pPr>
              <w:pStyle w:val="TableParagraph"/>
              <w:spacing w:line="225" w:lineRule="exact"/>
              <w:ind w:left="103"/>
              <w:rPr>
                <w:sz w:val="20"/>
              </w:rPr>
            </w:pPr>
            <w:r>
              <w:rPr>
                <w:w w:val="125"/>
                <w:sz w:val="20"/>
              </w:rPr>
              <w:t>(Adott esetben) [A hitelszerződésre alkalmazandó jog].</w:t>
            </w:r>
          </w:p>
          <w:p>
            <w:pPr>
              <w:pStyle w:val="TableParagraph"/>
              <w:spacing w:line="230" w:lineRule="auto" w:before="2"/>
              <w:ind w:right="31"/>
              <w:jc w:val="both"/>
              <w:rPr>
                <w:sz w:val="20"/>
              </w:rPr>
            </w:pPr>
            <w:r>
              <w:rPr>
                <w:w w:val="125"/>
                <w:sz w:val="20"/>
              </w:rPr>
              <w:t>(Amennyiben a hitelező a személyre szóló tájékoztatás nyelvétől eltérő  nyelvet kíván használni) Az információkat és a szerződési feltételeket [nyelv] nyelven fogjuk rendelkezésére bocsátani. A hitelszerződés időtartama alatt az Ön hozzájárulásával [nyelv] nyelven kívánunk Önnel kapcsolatot</w:t>
            </w:r>
            <w:r>
              <w:rPr>
                <w:spacing w:val="-4"/>
                <w:w w:val="125"/>
                <w:sz w:val="20"/>
              </w:rPr>
              <w:t> </w:t>
            </w:r>
            <w:r>
              <w:rPr>
                <w:w w:val="125"/>
                <w:sz w:val="20"/>
              </w:rPr>
              <w:t>tartani.</w:t>
            </w:r>
          </w:p>
          <w:p>
            <w:pPr>
              <w:pStyle w:val="TableParagraph"/>
              <w:spacing w:line="199" w:lineRule="exact"/>
              <w:jc w:val="both"/>
              <w:rPr>
                <w:sz w:val="20"/>
              </w:rPr>
            </w:pPr>
            <w:r>
              <w:rPr>
                <w:w w:val="125"/>
                <w:sz w:val="20"/>
              </w:rPr>
              <w:t>[A hitelszerződés tervezetében rögzített irányadó jog]</w:t>
            </w:r>
          </w:p>
        </w:tc>
      </w:tr>
      <w:tr>
        <w:trPr>
          <w:trHeight w:val="230" w:hRule="atLeast"/>
        </w:trPr>
        <w:tc>
          <w:tcPr>
            <w:tcW w:w="8031" w:type="dxa"/>
          </w:tcPr>
          <w:p>
            <w:pPr>
              <w:pStyle w:val="TableParagraph"/>
              <w:spacing w:line="210" w:lineRule="exact"/>
              <w:ind w:left="103"/>
              <w:rPr>
                <w:sz w:val="20"/>
              </w:rPr>
            </w:pPr>
            <w:r>
              <w:rPr>
                <w:w w:val="125"/>
                <w:sz w:val="20"/>
              </w:rPr>
              <w:t>15. Felügyelet</w:t>
            </w:r>
          </w:p>
        </w:tc>
      </w:tr>
      <w:tr>
        <w:trPr>
          <w:trHeight w:val="890" w:hRule="atLeast"/>
        </w:trPr>
        <w:tc>
          <w:tcPr>
            <w:tcW w:w="8031" w:type="dxa"/>
          </w:tcPr>
          <w:p>
            <w:pPr>
              <w:pStyle w:val="TableParagraph"/>
              <w:spacing w:line="230" w:lineRule="auto" w:before="7"/>
              <w:ind w:right="782" w:firstLine="63"/>
              <w:rPr>
                <w:sz w:val="20"/>
              </w:rPr>
            </w:pPr>
            <w:r>
              <w:rPr>
                <w:w w:val="125"/>
                <w:sz w:val="20"/>
              </w:rPr>
              <w:t>A hitelező a Magyar Nemzeti Bank, </w:t>
            </w:r>
            <w:hyperlink r:id="rId7">
              <w:r>
                <w:rPr>
                  <w:w w:val="125"/>
                  <w:sz w:val="20"/>
                </w:rPr>
                <w:t>http://www.mnb.hu/</w:t>
              </w:r>
            </w:hyperlink>
            <w:r>
              <w:rPr>
                <w:w w:val="125"/>
                <w:sz w:val="20"/>
              </w:rPr>
              <w:t> felügyelet alá tartozik.</w:t>
            </w:r>
          </w:p>
          <w:p>
            <w:pPr>
              <w:pStyle w:val="TableParagraph"/>
              <w:spacing w:line="220" w:lineRule="exact" w:before="2"/>
              <w:rPr>
                <w:sz w:val="20"/>
              </w:rPr>
            </w:pPr>
            <w:r>
              <w:rPr>
                <w:w w:val="125"/>
                <w:sz w:val="20"/>
              </w:rPr>
              <w:t>(Adott esetben) A hitelközvetítő a Magyar Nemzeti Bank, </w:t>
            </w:r>
            <w:hyperlink r:id="rId7">
              <w:r>
                <w:rPr>
                  <w:w w:val="125"/>
                  <w:sz w:val="20"/>
                </w:rPr>
                <w:t>http://www.mnb.hu/</w:t>
              </w:r>
            </w:hyperlink>
            <w:r>
              <w:rPr>
                <w:w w:val="125"/>
                <w:sz w:val="20"/>
              </w:rPr>
              <w:t> felügyelet alá tartozik.</w:t>
            </w:r>
          </w:p>
        </w:tc>
      </w:tr>
    </w:tbl>
    <w:p>
      <w:pPr>
        <w:spacing w:after="0" w:line="220" w:lineRule="exact"/>
        <w:rPr>
          <w:sz w:val="20"/>
        </w:rPr>
        <w:sectPr>
          <w:pgSz w:w="11900" w:h="16820"/>
          <w:pgMar w:header="1104" w:footer="0" w:top="1700" w:bottom="280" w:left="1020" w:right="980"/>
        </w:sectPr>
      </w:pPr>
    </w:p>
    <w:p>
      <w:pPr>
        <w:pStyle w:val="BodyText"/>
        <w:spacing w:before="1"/>
        <w:ind w:left="0" w:firstLine="0"/>
        <w:jc w:val="left"/>
        <w:rPr>
          <w:sz w:val="26"/>
        </w:rPr>
      </w:pPr>
    </w:p>
    <w:p>
      <w:pPr>
        <w:pStyle w:val="ListParagraph"/>
        <w:numPr>
          <w:ilvl w:val="1"/>
          <w:numId w:val="3"/>
        </w:numPr>
        <w:tabs>
          <w:tab w:pos="419" w:val="left" w:leader="none"/>
        </w:tabs>
        <w:spacing w:line="240" w:lineRule="auto" w:before="99" w:after="0"/>
        <w:ind w:left="418" w:right="0" w:hanging="305"/>
        <w:jc w:val="left"/>
        <w:rPr>
          <w:i/>
          <w:sz w:val="24"/>
        </w:rPr>
      </w:pPr>
      <w:r>
        <w:rPr>
          <w:i/>
          <w:w w:val="125"/>
          <w:sz w:val="24"/>
          <w:u w:val="single"/>
        </w:rPr>
        <w:t>melléklet a 3/2016. (I. 7.) NGM</w:t>
      </w:r>
      <w:r>
        <w:rPr>
          <w:i/>
          <w:spacing w:val="9"/>
          <w:w w:val="125"/>
          <w:sz w:val="24"/>
          <w:u w:val="single"/>
        </w:rPr>
        <w:t> </w:t>
      </w:r>
      <w:r>
        <w:rPr>
          <w:i/>
          <w:w w:val="125"/>
          <w:sz w:val="24"/>
          <w:u w:val="single"/>
        </w:rPr>
        <w:t>rendelethez</w:t>
      </w:r>
    </w:p>
    <w:p>
      <w:pPr>
        <w:pStyle w:val="BodyText"/>
        <w:ind w:left="0" w:firstLine="0"/>
        <w:jc w:val="left"/>
        <w:rPr>
          <w:i/>
          <w:sz w:val="20"/>
        </w:rPr>
      </w:pPr>
    </w:p>
    <w:p>
      <w:pPr>
        <w:pStyle w:val="Heading1"/>
        <w:ind w:left="1503"/>
      </w:pPr>
      <w:r>
        <w:rPr>
          <w:w w:val="120"/>
        </w:rPr>
        <w:t>A személyre szóló tájékoztatás kitöltési útmutatója</w:t>
      </w:r>
    </w:p>
    <w:p>
      <w:pPr>
        <w:pStyle w:val="BodyText"/>
        <w:spacing w:line="225" w:lineRule="auto" w:before="239"/>
        <w:ind w:right="156"/>
      </w:pPr>
      <w:r>
        <w:rPr>
          <w:w w:val="125"/>
        </w:rPr>
        <w:t>A személyre szóló tájékoztatás kitöltésekor legalább  a  következő utasításokat kell</w:t>
      </w:r>
      <w:r>
        <w:rPr>
          <w:spacing w:val="1"/>
          <w:w w:val="125"/>
        </w:rPr>
        <w:t> </w:t>
      </w:r>
      <w:r>
        <w:rPr>
          <w:w w:val="125"/>
        </w:rPr>
        <w:t>követni.</w:t>
      </w:r>
    </w:p>
    <w:p>
      <w:pPr>
        <w:pStyle w:val="BodyText"/>
        <w:spacing w:line="225" w:lineRule="auto" w:before="1"/>
        <w:ind w:right="148"/>
      </w:pPr>
      <w:r>
        <w:rPr>
          <w:w w:val="125"/>
        </w:rPr>
        <w:t>A szögletes zárójelben megadott szövegek helyére a megfelelő adatokat kell behelyettesíteni.</w:t>
      </w:r>
    </w:p>
    <w:p>
      <w:pPr>
        <w:pStyle w:val="BodyText"/>
        <w:spacing w:line="225" w:lineRule="auto" w:before="1"/>
        <w:ind w:right="145"/>
      </w:pPr>
      <w:r>
        <w:rPr>
          <w:w w:val="125"/>
        </w:rPr>
        <w:t>Ahol az „adott esetben” kifejezés van feltüntetve, a hitelezőnek akkor kell megadnia a kért adatot, ha az az adott hitelszerződés szempontjából alkalmazható. Ha az adat nem releváns, a hitelező törli a  kérdéses adatot vagy  a teljes szakaszt (például azokban az esetekben, amikor a szakasz nem alkalmazandó). A teljes szakasz törlése esetén a személyre szóló tájékoztatás szakaszainak számozását ennek megfelelően módosítani</w:t>
      </w:r>
      <w:r>
        <w:rPr>
          <w:spacing w:val="8"/>
          <w:w w:val="125"/>
        </w:rPr>
        <w:t> </w:t>
      </w:r>
      <w:r>
        <w:rPr>
          <w:w w:val="125"/>
        </w:rPr>
        <w:t>kell.</w:t>
      </w:r>
    </w:p>
    <w:p>
      <w:pPr>
        <w:pStyle w:val="BodyText"/>
        <w:spacing w:line="225" w:lineRule="auto" w:before="4"/>
        <w:ind w:right="145"/>
      </w:pPr>
      <w:r>
        <w:rPr>
          <w:w w:val="125"/>
        </w:rPr>
        <w:t>A használt betűtípusnak és betűméretnek világosan olvashatónak kell lennie. Azok az információk, amelyeket ki kell emelni, félkövér betűkkel, árnyékolással vagy nagyobb betűmérettel jelölendők. Minden kockázati figyelmeztetést ki kell emelni.</w:t>
      </w:r>
    </w:p>
    <w:p>
      <w:pPr>
        <w:pStyle w:val="BodyText"/>
        <w:spacing w:line="257" w:lineRule="exact"/>
        <w:ind w:left="317" w:firstLine="0"/>
        <w:jc w:val="left"/>
      </w:pPr>
      <w:r>
        <w:rPr>
          <w:w w:val="125"/>
        </w:rPr>
        <w:t>„Bevezető szöveg”</w:t>
      </w:r>
    </w:p>
    <w:p>
      <w:pPr>
        <w:pStyle w:val="BodyText"/>
        <w:spacing w:line="225" w:lineRule="auto" w:before="5"/>
        <w:ind w:right="137"/>
      </w:pPr>
      <w:r>
        <w:rPr>
          <w:w w:val="130"/>
        </w:rPr>
        <w:t>Az</w:t>
      </w:r>
      <w:r>
        <w:rPr>
          <w:spacing w:val="-10"/>
          <w:w w:val="130"/>
        </w:rPr>
        <w:t> </w:t>
      </w:r>
      <w:r>
        <w:rPr>
          <w:w w:val="130"/>
        </w:rPr>
        <w:t>érvényesség</w:t>
      </w:r>
      <w:r>
        <w:rPr>
          <w:spacing w:val="-11"/>
          <w:w w:val="130"/>
        </w:rPr>
        <w:t> </w:t>
      </w:r>
      <w:r>
        <w:rPr>
          <w:w w:val="130"/>
        </w:rPr>
        <w:t>dátumát</w:t>
      </w:r>
      <w:r>
        <w:rPr>
          <w:spacing w:val="-10"/>
          <w:w w:val="130"/>
        </w:rPr>
        <w:t> </w:t>
      </w:r>
      <w:r>
        <w:rPr>
          <w:w w:val="130"/>
        </w:rPr>
        <w:t>megfelelően</w:t>
      </w:r>
      <w:r>
        <w:rPr>
          <w:spacing w:val="-10"/>
          <w:w w:val="130"/>
        </w:rPr>
        <w:t> </w:t>
      </w:r>
      <w:r>
        <w:rPr>
          <w:w w:val="130"/>
        </w:rPr>
        <w:t>ki</w:t>
      </w:r>
      <w:r>
        <w:rPr>
          <w:spacing w:val="-11"/>
          <w:w w:val="130"/>
        </w:rPr>
        <w:t> </w:t>
      </w:r>
      <w:r>
        <w:rPr>
          <w:w w:val="130"/>
        </w:rPr>
        <w:t>kell</w:t>
      </w:r>
      <w:r>
        <w:rPr>
          <w:spacing w:val="-10"/>
          <w:w w:val="130"/>
        </w:rPr>
        <w:t> </w:t>
      </w:r>
      <w:r>
        <w:rPr>
          <w:w w:val="130"/>
        </w:rPr>
        <w:t>emelni.</w:t>
      </w:r>
      <w:r>
        <w:rPr>
          <w:spacing w:val="-11"/>
          <w:w w:val="130"/>
        </w:rPr>
        <w:t> </w:t>
      </w:r>
      <w:r>
        <w:rPr>
          <w:w w:val="130"/>
        </w:rPr>
        <w:t>E</w:t>
      </w:r>
      <w:r>
        <w:rPr>
          <w:spacing w:val="-4"/>
          <w:w w:val="130"/>
        </w:rPr>
        <w:t> </w:t>
      </w:r>
      <w:r>
        <w:rPr>
          <w:w w:val="130"/>
        </w:rPr>
        <w:t>pont</w:t>
      </w:r>
      <w:r>
        <w:rPr>
          <w:spacing w:val="-17"/>
          <w:w w:val="130"/>
        </w:rPr>
        <w:t> </w:t>
      </w:r>
      <w:r>
        <w:rPr>
          <w:w w:val="130"/>
        </w:rPr>
        <w:t>alkalmazásában az érvényességi dátum az az időszak, ami alatt a személyre szóló tájékoztatásban</w:t>
      </w:r>
      <w:r>
        <w:rPr>
          <w:spacing w:val="78"/>
          <w:w w:val="130"/>
        </w:rPr>
        <w:t> </w:t>
      </w:r>
      <w:r>
        <w:rPr>
          <w:w w:val="130"/>
        </w:rPr>
        <w:t>feltüntetett információk,</w:t>
      </w:r>
      <w:r>
        <w:rPr>
          <w:spacing w:val="78"/>
          <w:w w:val="130"/>
        </w:rPr>
        <w:t> </w:t>
      </w:r>
      <w:r>
        <w:rPr>
          <w:w w:val="130"/>
        </w:rPr>
        <w:t>például</w:t>
      </w:r>
      <w:r>
        <w:rPr>
          <w:spacing w:val="78"/>
          <w:w w:val="130"/>
        </w:rPr>
        <w:t> </w:t>
      </w:r>
      <w:r>
        <w:rPr>
          <w:w w:val="130"/>
        </w:rPr>
        <w:t>a</w:t>
      </w:r>
      <w:r>
        <w:rPr>
          <w:spacing w:val="78"/>
          <w:w w:val="130"/>
        </w:rPr>
        <w:t> </w:t>
      </w:r>
      <w:r>
        <w:rPr>
          <w:w w:val="130"/>
        </w:rPr>
        <w:t>hitelkamatláb, változatlanok</w:t>
      </w:r>
      <w:r>
        <w:rPr>
          <w:spacing w:val="-11"/>
          <w:w w:val="130"/>
        </w:rPr>
        <w:t> </w:t>
      </w:r>
      <w:r>
        <w:rPr>
          <w:w w:val="130"/>
        </w:rPr>
        <w:t>és</w:t>
      </w:r>
      <w:r>
        <w:rPr>
          <w:spacing w:val="-10"/>
          <w:w w:val="130"/>
        </w:rPr>
        <w:t> </w:t>
      </w:r>
      <w:r>
        <w:rPr>
          <w:w w:val="130"/>
        </w:rPr>
        <w:t>alkalmazandók</w:t>
      </w:r>
      <w:r>
        <w:rPr>
          <w:spacing w:val="-11"/>
          <w:w w:val="130"/>
        </w:rPr>
        <w:t> </w:t>
      </w:r>
      <w:r>
        <w:rPr>
          <w:w w:val="130"/>
        </w:rPr>
        <w:t>maradnak,</w:t>
      </w:r>
      <w:r>
        <w:rPr>
          <w:spacing w:val="-10"/>
          <w:w w:val="130"/>
        </w:rPr>
        <w:t> </w:t>
      </w:r>
      <w:r>
        <w:rPr>
          <w:w w:val="130"/>
        </w:rPr>
        <w:t>ha</w:t>
      </w:r>
      <w:r>
        <w:rPr>
          <w:spacing w:val="-10"/>
          <w:w w:val="130"/>
        </w:rPr>
        <w:t> </w:t>
      </w:r>
      <w:r>
        <w:rPr>
          <w:w w:val="130"/>
        </w:rPr>
        <w:t>a</w:t>
      </w:r>
      <w:r>
        <w:rPr>
          <w:spacing w:val="-11"/>
          <w:w w:val="130"/>
        </w:rPr>
        <w:t> </w:t>
      </w:r>
      <w:r>
        <w:rPr>
          <w:w w:val="130"/>
        </w:rPr>
        <w:t>hitelező</w:t>
      </w:r>
      <w:r>
        <w:rPr>
          <w:spacing w:val="-10"/>
          <w:w w:val="130"/>
        </w:rPr>
        <w:t> </w:t>
      </w:r>
      <w:r>
        <w:rPr>
          <w:w w:val="130"/>
        </w:rPr>
        <w:t>úgy</w:t>
      </w:r>
      <w:r>
        <w:rPr>
          <w:spacing w:val="-10"/>
          <w:w w:val="130"/>
        </w:rPr>
        <w:t> </w:t>
      </w:r>
      <w:r>
        <w:rPr>
          <w:w w:val="130"/>
        </w:rPr>
        <w:t>dönt,</w:t>
      </w:r>
      <w:r>
        <w:rPr>
          <w:spacing w:val="-11"/>
          <w:w w:val="130"/>
        </w:rPr>
        <w:t> </w:t>
      </w:r>
      <w:r>
        <w:rPr>
          <w:w w:val="130"/>
        </w:rPr>
        <w:t>hogy</w:t>
      </w:r>
      <w:r>
        <w:rPr>
          <w:spacing w:val="-10"/>
          <w:w w:val="130"/>
        </w:rPr>
        <w:t> </w:t>
      </w:r>
      <w:r>
        <w:rPr>
          <w:w w:val="130"/>
        </w:rPr>
        <w:t>hitelt nyújt ezen időszakon belül. Ha az alkalmazandó hitelkamatláb és egyéb költségek meghatározása az alapul szolgáló kötvények értékesítésének</w:t>
      </w:r>
      <w:r>
        <w:rPr>
          <w:spacing w:val="78"/>
          <w:w w:val="130"/>
        </w:rPr>
        <w:t> </w:t>
      </w:r>
      <w:r>
        <w:rPr>
          <w:w w:val="130"/>
        </w:rPr>
        <w:t>eredményétől függenek, a tényleges hitelkamatláb és egyéb költségek</w:t>
      </w:r>
      <w:r>
        <w:rPr>
          <w:spacing w:val="78"/>
          <w:w w:val="130"/>
        </w:rPr>
        <w:t> </w:t>
      </w:r>
      <w:r>
        <w:rPr>
          <w:w w:val="130"/>
        </w:rPr>
        <w:t>eltérhetnek a feltüntetettektől. Csak ebben az esetben elő kell írni, hogy az érvényességi dátum nem alkalmazandó a hitelkamatláb és egyéb költségek tekintetében és fel kell tüntetni „a kamat és egyéb költségek kivételével” szöveget.</w:t>
      </w:r>
    </w:p>
    <w:p>
      <w:pPr>
        <w:pStyle w:val="ListParagraph"/>
        <w:numPr>
          <w:ilvl w:val="0"/>
          <w:numId w:val="5"/>
        </w:numPr>
        <w:tabs>
          <w:tab w:pos="623" w:val="left" w:leader="none"/>
        </w:tabs>
        <w:spacing w:line="268" w:lineRule="exact" w:before="233" w:after="0"/>
        <w:ind w:left="622" w:right="0" w:hanging="305"/>
        <w:jc w:val="left"/>
        <w:rPr>
          <w:sz w:val="24"/>
        </w:rPr>
      </w:pPr>
      <w:r>
        <w:rPr>
          <w:w w:val="120"/>
          <w:sz w:val="24"/>
        </w:rPr>
        <w:t>A</w:t>
      </w:r>
      <w:r>
        <w:rPr>
          <w:spacing w:val="4"/>
          <w:w w:val="120"/>
          <w:sz w:val="24"/>
        </w:rPr>
        <w:t> </w:t>
      </w:r>
      <w:r>
        <w:rPr>
          <w:w w:val="120"/>
          <w:sz w:val="24"/>
        </w:rPr>
        <w:t>hitelező</w:t>
      </w:r>
    </w:p>
    <w:p>
      <w:pPr>
        <w:pStyle w:val="ListParagraph"/>
        <w:numPr>
          <w:ilvl w:val="1"/>
          <w:numId w:val="5"/>
        </w:numPr>
        <w:tabs>
          <w:tab w:pos="855" w:val="left" w:leader="none"/>
        </w:tabs>
        <w:spacing w:line="225" w:lineRule="auto" w:before="5" w:after="0"/>
        <w:ind w:left="113" w:right="150" w:firstLine="204"/>
        <w:jc w:val="both"/>
        <w:rPr>
          <w:sz w:val="24"/>
        </w:rPr>
      </w:pPr>
      <w:r>
        <w:rPr>
          <w:w w:val="130"/>
          <w:sz w:val="24"/>
        </w:rPr>
        <w:t>A</w:t>
      </w:r>
      <w:r>
        <w:rPr>
          <w:spacing w:val="-27"/>
          <w:w w:val="130"/>
          <w:sz w:val="24"/>
        </w:rPr>
        <w:t> </w:t>
      </w:r>
      <w:r>
        <w:rPr>
          <w:w w:val="130"/>
          <w:sz w:val="24"/>
        </w:rPr>
        <w:t>hitelező</w:t>
      </w:r>
      <w:r>
        <w:rPr>
          <w:spacing w:val="-25"/>
          <w:w w:val="130"/>
          <w:sz w:val="24"/>
        </w:rPr>
        <w:t> </w:t>
      </w:r>
      <w:r>
        <w:rPr>
          <w:w w:val="130"/>
          <w:sz w:val="24"/>
        </w:rPr>
        <w:t>neve,</w:t>
      </w:r>
      <w:r>
        <w:rPr>
          <w:spacing w:val="-26"/>
          <w:w w:val="130"/>
          <w:sz w:val="24"/>
        </w:rPr>
        <w:t> </w:t>
      </w:r>
      <w:r>
        <w:rPr>
          <w:w w:val="130"/>
          <w:sz w:val="24"/>
        </w:rPr>
        <w:t>telefonszáma</w:t>
      </w:r>
      <w:r>
        <w:rPr>
          <w:spacing w:val="-26"/>
          <w:w w:val="130"/>
          <w:sz w:val="24"/>
        </w:rPr>
        <w:t> </w:t>
      </w:r>
      <w:r>
        <w:rPr>
          <w:w w:val="130"/>
          <w:sz w:val="24"/>
        </w:rPr>
        <w:t>és</w:t>
      </w:r>
      <w:r>
        <w:rPr>
          <w:spacing w:val="-26"/>
          <w:w w:val="130"/>
          <w:sz w:val="24"/>
        </w:rPr>
        <w:t> </w:t>
      </w:r>
      <w:r>
        <w:rPr>
          <w:w w:val="130"/>
          <w:sz w:val="24"/>
        </w:rPr>
        <w:t>levelezési</w:t>
      </w:r>
      <w:r>
        <w:rPr>
          <w:spacing w:val="-26"/>
          <w:w w:val="130"/>
          <w:sz w:val="24"/>
        </w:rPr>
        <w:t> </w:t>
      </w:r>
      <w:r>
        <w:rPr>
          <w:w w:val="130"/>
          <w:sz w:val="24"/>
        </w:rPr>
        <w:t>címe</w:t>
      </w:r>
      <w:r>
        <w:rPr>
          <w:spacing w:val="-26"/>
          <w:w w:val="130"/>
          <w:sz w:val="24"/>
        </w:rPr>
        <w:t> </w:t>
      </w:r>
      <w:r>
        <w:rPr>
          <w:w w:val="130"/>
          <w:sz w:val="24"/>
        </w:rPr>
        <w:t>a</w:t>
      </w:r>
      <w:r>
        <w:rPr>
          <w:spacing w:val="-26"/>
          <w:w w:val="130"/>
          <w:sz w:val="24"/>
        </w:rPr>
        <w:t> </w:t>
      </w:r>
      <w:r>
        <w:rPr>
          <w:w w:val="130"/>
          <w:sz w:val="24"/>
        </w:rPr>
        <w:t>hitelező</w:t>
      </w:r>
      <w:r>
        <w:rPr>
          <w:spacing w:val="-25"/>
          <w:w w:val="130"/>
          <w:sz w:val="24"/>
        </w:rPr>
        <w:t> </w:t>
      </w:r>
      <w:r>
        <w:rPr>
          <w:w w:val="130"/>
          <w:sz w:val="24"/>
        </w:rPr>
        <w:t>elérhetőségét jelenti,</w:t>
      </w:r>
      <w:r>
        <w:rPr>
          <w:spacing w:val="-10"/>
          <w:w w:val="130"/>
          <w:sz w:val="24"/>
        </w:rPr>
        <w:t> </w:t>
      </w:r>
      <w:r>
        <w:rPr>
          <w:w w:val="130"/>
          <w:sz w:val="24"/>
        </w:rPr>
        <w:t>melyet</w:t>
      </w:r>
      <w:r>
        <w:rPr>
          <w:spacing w:val="-10"/>
          <w:w w:val="130"/>
          <w:sz w:val="24"/>
        </w:rPr>
        <w:t> </w:t>
      </w:r>
      <w:r>
        <w:rPr>
          <w:w w:val="130"/>
          <w:sz w:val="24"/>
        </w:rPr>
        <w:t>a</w:t>
      </w:r>
      <w:r>
        <w:rPr>
          <w:spacing w:val="-10"/>
          <w:w w:val="130"/>
          <w:sz w:val="24"/>
        </w:rPr>
        <w:t> </w:t>
      </w:r>
      <w:r>
        <w:rPr>
          <w:w w:val="130"/>
          <w:sz w:val="24"/>
        </w:rPr>
        <w:t>fogyasztó</w:t>
      </w:r>
      <w:r>
        <w:rPr>
          <w:spacing w:val="-9"/>
          <w:w w:val="130"/>
          <w:sz w:val="24"/>
        </w:rPr>
        <w:t> </w:t>
      </w:r>
      <w:r>
        <w:rPr>
          <w:w w:val="130"/>
          <w:sz w:val="24"/>
        </w:rPr>
        <w:t>a</w:t>
      </w:r>
      <w:r>
        <w:rPr>
          <w:spacing w:val="-10"/>
          <w:w w:val="130"/>
          <w:sz w:val="24"/>
        </w:rPr>
        <w:t> </w:t>
      </w:r>
      <w:r>
        <w:rPr>
          <w:w w:val="130"/>
          <w:sz w:val="24"/>
        </w:rPr>
        <w:t>későbbi</w:t>
      </w:r>
      <w:r>
        <w:rPr>
          <w:spacing w:val="-10"/>
          <w:w w:val="130"/>
          <w:sz w:val="24"/>
        </w:rPr>
        <w:t> </w:t>
      </w:r>
      <w:r>
        <w:rPr>
          <w:w w:val="130"/>
          <w:sz w:val="24"/>
        </w:rPr>
        <w:t>kapcsolattartáshoz</w:t>
      </w:r>
      <w:r>
        <w:rPr>
          <w:spacing w:val="-10"/>
          <w:w w:val="130"/>
          <w:sz w:val="24"/>
        </w:rPr>
        <w:t> </w:t>
      </w:r>
      <w:r>
        <w:rPr>
          <w:w w:val="130"/>
          <w:sz w:val="24"/>
        </w:rPr>
        <w:t>használhat.</w:t>
      </w:r>
    </w:p>
    <w:p>
      <w:pPr>
        <w:pStyle w:val="BodyText"/>
        <w:spacing w:line="225" w:lineRule="auto" w:before="2"/>
        <w:ind w:right="152"/>
      </w:pPr>
      <w:r>
        <w:rPr>
          <w:w w:val="130"/>
        </w:rPr>
        <w:t>Az e-mail cím, a faxszám, az internetcím és a kapcsolattartó személy/kapcsolattartó pont megadása nem kötelező.</w:t>
      </w:r>
    </w:p>
    <w:p>
      <w:pPr>
        <w:pStyle w:val="ListParagraph"/>
        <w:numPr>
          <w:ilvl w:val="1"/>
          <w:numId w:val="5"/>
        </w:numPr>
        <w:tabs>
          <w:tab w:pos="1009" w:val="left" w:leader="none"/>
        </w:tabs>
        <w:spacing w:line="225" w:lineRule="auto" w:before="1" w:after="0"/>
        <w:ind w:left="113" w:right="145" w:firstLine="204"/>
        <w:jc w:val="both"/>
        <w:rPr>
          <w:sz w:val="24"/>
        </w:rPr>
      </w:pPr>
      <w:r>
        <w:rPr>
          <w:w w:val="125"/>
          <w:sz w:val="24"/>
        </w:rPr>
        <w:t>A távértékesítés keretében kötött pénzügyi ágazati szolgáltatási szerződésekről szóló 2005. évi XXV. törvény 3. § (2) bekezdés </w:t>
      </w:r>
      <w:r>
        <w:rPr>
          <w:i/>
          <w:w w:val="125"/>
          <w:sz w:val="24"/>
        </w:rPr>
        <w:t>ab) </w:t>
      </w:r>
      <w:r>
        <w:rPr>
          <w:w w:val="125"/>
          <w:sz w:val="24"/>
        </w:rPr>
        <w:t>pontjával összhangban, ha az ügyletet távértékesítés keretében kínálják, a hitelezőnek adott esetben meg kell adnia a fogyasztó lakóhelye szerinti tagállamban lévő képviselőjének nevét és levelezési címét. A hitelező képviselője telefonszámának, e-mail címének és internetcímének megadása nem</w:t>
      </w:r>
      <w:r>
        <w:rPr>
          <w:spacing w:val="8"/>
          <w:w w:val="125"/>
          <w:sz w:val="24"/>
        </w:rPr>
        <w:t> </w:t>
      </w:r>
      <w:r>
        <w:rPr>
          <w:w w:val="125"/>
          <w:sz w:val="24"/>
        </w:rPr>
        <w:t>kötelező.</w:t>
      </w:r>
    </w:p>
    <w:p>
      <w:pPr>
        <w:pStyle w:val="ListParagraph"/>
        <w:numPr>
          <w:ilvl w:val="1"/>
          <w:numId w:val="5"/>
        </w:numPr>
        <w:tabs>
          <w:tab w:pos="883" w:val="left" w:leader="none"/>
        </w:tabs>
        <w:spacing w:line="225" w:lineRule="auto" w:before="3" w:after="0"/>
        <w:ind w:left="113" w:right="144" w:firstLine="204"/>
        <w:jc w:val="both"/>
        <w:rPr>
          <w:sz w:val="24"/>
        </w:rPr>
      </w:pPr>
      <w:r>
        <w:rPr>
          <w:w w:val="125"/>
          <w:sz w:val="24"/>
        </w:rPr>
        <w:t>Amennyiben a 2. pont nem alkalmazandó, a hitelező a személyre szóló tájékoztatás megfogalmazását felhasználva tájékoztatja a fogyasztót  arról,  hogy nyújt-e hiteltanácsadást és milyen</w:t>
      </w:r>
      <w:r>
        <w:rPr>
          <w:spacing w:val="9"/>
          <w:w w:val="125"/>
          <w:sz w:val="24"/>
        </w:rPr>
        <w:t> </w:t>
      </w:r>
      <w:r>
        <w:rPr>
          <w:w w:val="125"/>
          <w:sz w:val="24"/>
        </w:rPr>
        <w:t>feltételekkel.</w:t>
      </w:r>
    </w:p>
    <w:p>
      <w:pPr>
        <w:pStyle w:val="BodyText"/>
        <w:spacing w:line="268" w:lineRule="exact" w:before="229"/>
        <w:ind w:left="317" w:firstLine="0"/>
        <w:jc w:val="left"/>
      </w:pPr>
      <w:r>
        <w:rPr>
          <w:w w:val="130"/>
        </w:rPr>
        <w:t>(Adott esetben)</w:t>
      </w:r>
    </w:p>
    <w:p>
      <w:pPr>
        <w:pStyle w:val="ListParagraph"/>
        <w:numPr>
          <w:ilvl w:val="0"/>
          <w:numId w:val="5"/>
        </w:numPr>
        <w:tabs>
          <w:tab w:pos="623" w:val="left" w:leader="none"/>
        </w:tabs>
        <w:spacing w:line="260" w:lineRule="exact" w:before="0" w:after="0"/>
        <w:ind w:left="622" w:right="0" w:hanging="305"/>
        <w:jc w:val="left"/>
        <w:rPr>
          <w:sz w:val="24"/>
        </w:rPr>
      </w:pPr>
      <w:r>
        <w:rPr>
          <w:w w:val="115"/>
          <w:sz w:val="24"/>
        </w:rPr>
        <w:t>A</w:t>
      </w:r>
      <w:r>
        <w:rPr>
          <w:spacing w:val="7"/>
          <w:w w:val="115"/>
          <w:sz w:val="24"/>
        </w:rPr>
        <w:t> </w:t>
      </w:r>
      <w:r>
        <w:rPr>
          <w:w w:val="115"/>
          <w:sz w:val="24"/>
        </w:rPr>
        <w:t>hitelközvetítő</w:t>
      </w:r>
    </w:p>
    <w:p>
      <w:pPr>
        <w:pStyle w:val="BodyText"/>
        <w:spacing w:line="225" w:lineRule="auto" w:before="5"/>
        <w:ind w:right="150"/>
      </w:pPr>
      <w:r>
        <w:rPr>
          <w:w w:val="125"/>
        </w:rPr>
        <w:t>Amennyiben a fogyasztót hitelközvetítő tájékoztatja a termékről, a hitelközvetítőnek közölnie kell az alábbi információkat is:</w:t>
      </w:r>
    </w:p>
    <w:p>
      <w:pPr>
        <w:spacing w:after="0" w:line="225" w:lineRule="auto"/>
        <w:sectPr>
          <w:headerReference w:type="default" r:id="rId8"/>
          <w:pgSz w:w="11900" w:h="16820"/>
          <w:pgMar w:header="1104" w:footer="0" w:top="1840" w:bottom="280" w:left="1020" w:right="980"/>
          <w:pgNumType w:start="7"/>
        </w:sectPr>
      </w:pPr>
    </w:p>
    <w:p>
      <w:pPr>
        <w:pStyle w:val="ListParagraph"/>
        <w:numPr>
          <w:ilvl w:val="1"/>
          <w:numId w:val="5"/>
        </w:numPr>
        <w:tabs>
          <w:tab w:pos="895" w:val="left" w:leader="none"/>
        </w:tabs>
        <w:spacing w:line="225" w:lineRule="auto" w:before="173" w:after="0"/>
        <w:ind w:left="113" w:right="147" w:firstLine="204"/>
        <w:jc w:val="both"/>
        <w:rPr>
          <w:sz w:val="24"/>
        </w:rPr>
      </w:pPr>
      <w:r>
        <w:rPr>
          <w:w w:val="130"/>
          <w:sz w:val="24"/>
        </w:rPr>
        <w:t>A hitelközvetítő neve, telefonszáma és levelezési címe a hitelközvetítő elérhetőségét jelenti, melyet a fogyasztó a későbbi kapcsolattartáshoz</w:t>
      </w:r>
      <w:r>
        <w:rPr>
          <w:spacing w:val="78"/>
          <w:w w:val="130"/>
          <w:sz w:val="24"/>
        </w:rPr>
        <w:t> </w:t>
      </w:r>
      <w:r>
        <w:rPr>
          <w:w w:val="130"/>
          <w:sz w:val="24"/>
        </w:rPr>
        <w:t>használhat.</w:t>
      </w:r>
    </w:p>
    <w:p>
      <w:pPr>
        <w:pStyle w:val="ListParagraph"/>
        <w:numPr>
          <w:ilvl w:val="1"/>
          <w:numId w:val="5"/>
        </w:numPr>
        <w:tabs>
          <w:tab w:pos="1012" w:val="left" w:leader="none"/>
        </w:tabs>
        <w:spacing w:line="225" w:lineRule="auto" w:before="1" w:after="0"/>
        <w:ind w:left="113" w:right="152" w:firstLine="204"/>
        <w:jc w:val="both"/>
        <w:rPr>
          <w:sz w:val="24"/>
        </w:rPr>
      </w:pPr>
      <w:r>
        <w:rPr>
          <w:w w:val="130"/>
          <w:sz w:val="24"/>
        </w:rPr>
        <w:t>Az e-mail cím, a faxszám, az internetcím és a kapcsolattartó személy/kapcsolattartó pont megadása nem</w:t>
      </w:r>
      <w:r>
        <w:rPr>
          <w:spacing w:val="-23"/>
          <w:w w:val="130"/>
          <w:sz w:val="24"/>
        </w:rPr>
        <w:t> </w:t>
      </w:r>
      <w:r>
        <w:rPr>
          <w:w w:val="130"/>
          <w:sz w:val="24"/>
        </w:rPr>
        <w:t>kötelező.</w:t>
      </w:r>
    </w:p>
    <w:p>
      <w:pPr>
        <w:pStyle w:val="ListParagraph"/>
        <w:numPr>
          <w:ilvl w:val="1"/>
          <w:numId w:val="5"/>
        </w:numPr>
        <w:tabs>
          <w:tab w:pos="999" w:val="left" w:leader="none"/>
        </w:tabs>
        <w:spacing w:line="225" w:lineRule="auto" w:before="2" w:after="0"/>
        <w:ind w:left="113" w:right="146" w:firstLine="204"/>
        <w:jc w:val="both"/>
        <w:rPr>
          <w:sz w:val="24"/>
        </w:rPr>
      </w:pPr>
      <w:r>
        <w:rPr>
          <w:w w:val="125"/>
          <w:sz w:val="24"/>
        </w:rPr>
        <w:t>A hitelközvetítő a személyre szóló tájékoztatás megfogalmazását felhasználva tájékoztatja a fogyasztót arról, hogy nyújt-e hiteltanácsadást és milyen</w:t>
      </w:r>
      <w:r>
        <w:rPr>
          <w:spacing w:val="-1"/>
          <w:w w:val="125"/>
          <w:sz w:val="24"/>
        </w:rPr>
        <w:t> </w:t>
      </w:r>
      <w:r>
        <w:rPr>
          <w:w w:val="125"/>
          <w:sz w:val="24"/>
        </w:rPr>
        <w:t>feltételekkel.</w:t>
      </w:r>
    </w:p>
    <w:p>
      <w:pPr>
        <w:pStyle w:val="ListParagraph"/>
        <w:numPr>
          <w:ilvl w:val="1"/>
          <w:numId w:val="5"/>
        </w:numPr>
        <w:tabs>
          <w:tab w:pos="855" w:val="left" w:leader="none"/>
        </w:tabs>
        <w:spacing w:line="225" w:lineRule="auto" w:before="1" w:after="0"/>
        <w:ind w:left="113" w:right="144" w:firstLine="204"/>
        <w:jc w:val="both"/>
        <w:rPr>
          <w:sz w:val="24"/>
        </w:rPr>
      </w:pPr>
      <w:r>
        <w:rPr>
          <w:w w:val="125"/>
          <w:sz w:val="24"/>
        </w:rPr>
        <w:t>Tájékoztatás arról, hogy a hitelközvetítő milyen módon kapja a díjazását, mekkora a díj összege és mi az esedékessége. Amennyiben  valamely hitelezőtől kap jutalékot, meg kell adni a jutalék összegét, és ha ez a hitelező nem azonos az 1. pontban szereplővel, akkor a hitelező nevét</w:t>
      </w:r>
      <w:r>
        <w:rPr>
          <w:spacing w:val="26"/>
          <w:w w:val="125"/>
          <w:sz w:val="24"/>
        </w:rPr>
        <w:t> </w:t>
      </w:r>
      <w:r>
        <w:rPr>
          <w:w w:val="125"/>
          <w:sz w:val="24"/>
        </w:rPr>
        <w:t>is.</w:t>
      </w:r>
    </w:p>
    <w:p>
      <w:pPr>
        <w:pStyle w:val="ListParagraph"/>
        <w:numPr>
          <w:ilvl w:val="0"/>
          <w:numId w:val="5"/>
        </w:numPr>
        <w:tabs>
          <w:tab w:pos="623" w:val="left" w:leader="none"/>
        </w:tabs>
        <w:spacing w:line="268" w:lineRule="exact" w:before="229" w:after="0"/>
        <w:ind w:left="622" w:right="0" w:hanging="305"/>
        <w:jc w:val="left"/>
        <w:rPr>
          <w:sz w:val="24"/>
        </w:rPr>
      </w:pPr>
      <w:r>
        <w:rPr>
          <w:w w:val="120"/>
          <w:sz w:val="24"/>
        </w:rPr>
        <w:t>A hitel fő</w:t>
      </w:r>
      <w:r>
        <w:rPr>
          <w:spacing w:val="11"/>
          <w:w w:val="120"/>
          <w:sz w:val="24"/>
        </w:rPr>
        <w:t> </w:t>
      </w:r>
      <w:r>
        <w:rPr>
          <w:w w:val="120"/>
          <w:sz w:val="24"/>
        </w:rPr>
        <w:t>jellemzői</w:t>
      </w:r>
    </w:p>
    <w:p>
      <w:pPr>
        <w:pStyle w:val="ListParagraph"/>
        <w:numPr>
          <w:ilvl w:val="1"/>
          <w:numId w:val="5"/>
        </w:numPr>
        <w:tabs>
          <w:tab w:pos="857" w:val="left" w:leader="none"/>
        </w:tabs>
        <w:spacing w:line="225" w:lineRule="auto" w:before="6" w:after="0"/>
        <w:ind w:left="113" w:right="142" w:firstLine="204"/>
        <w:jc w:val="both"/>
        <w:rPr>
          <w:sz w:val="24"/>
        </w:rPr>
      </w:pPr>
      <w:r>
        <w:rPr>
          <w:w w:val="130"/>
          <w:sz w:val="24"/>
        </w:rPr>
        <w:t>Ebben</w:t>
      </w:r>
      <w:r>
        <w:rPr>
          <w:spacing w:val="-20"/>
          <w:w w:val="130"/>
          <w:sz w:val="24"/>
        </w:rPr>
        <w:t> </w:t>
      </w:r>
      <w:r>
        <w:rPr>
          <w:w w:val="130"/>
          <w:sz w:val="24"/>
        </w:rPr>
        <w:t>a</w:t>
      </w:r>
      <w:r>
        <w:rPr>
          <w:spacing w:val="-20"/>
          <w:w w:val="130"/>
          <w:sz w:val="24"/>
        </w:rPr>
        <w:t> </w:t>
      </w:r>
      <w:r>
        <w:rPr>
          <w:w w:val="130"/>
          <w:sz w:val="24"/>
        </w:rPr>
        <w:t>pontban</w:t>
      </w:r>
      <w:r>
        <w:rPr>
          <w:spacing w:val="-13"/>
          <w:w w:val="130"/>
          <w:sz w:val="24"/>
        </w:rPr>
        <w:t> </w:t>
      </w:r>
      <w:r>
        <w:rPr>
          <w:w w:val="130"/>
          <w:sz w:val="24"/>
        </w:rPr>
        <w:t>világosan</w:t>
      </w:r>
      <w:r>
        <w:rPr>
          <w:spacing w:val="-26"/>
          <w:w w:val="130"/>
          <w:sz w:val="24"/>
        </w:rPr>
        <w:t> </w:t>
      </w:r>
      <w:r>
        <w:rPr>
          <w:w w:val="130"/>
          <w:sz w:val="24"/>
        </w:rPr>
        <w:t>ismertetni</w:t>
      </w:r>
      <w:r>
        <w:rPr>
          <w:spacing w:val="-20"/>
          <w:w w:val="130"/>
          <w:sz w:val="24"/>
        </w:rPr>
        <w:t> </w:t>
      </w:r>
      <w:r>
        <w:rPr>
          <w:w w:val="130"/>
          <w:sz w:val="24"/>
        </w:rPr>
        <w:t>kell</w:t>
      </w:r>
      <w:r>
        <w:rPr>
          <w:spacing w:val="-20"/>
          <w:w w:val="130"/>
          <w:sz w:val="24"/>
        </w:rPr>
        <w:t> </w:t>
      </w:r>
      <w:r>
        <w:rPr>
          <w:w w:val="130"/>
          <w:sz w:val="24"/>
        </w:rPr>
        <w:t>a</w:t>
      </w:r>
      <w:r>
        <w:rPr>
          <w:spacing w:val="-20"/>
          <w:w w:val="130"/>
          <w:sz w:val="24"/>
        </w:rPr>
        <w:t> </w:t>
      </w:r>
      <w:r>
        <w:rPr>
          <w:w w:val="130"/>
          <w:sz w:val="24"/>
        </w:rPr>
        <w:t>hitel</w:t>
      </w:r>
      <w:r>
        <w:rPr>
          <w:spacing w:val="-19"/>
          <w:w w:val="130"/>
          <w:sz w:val="24"/>
        </w:rPr>
        <w:t> </w:t>
      </w:r>
      <w:r>
        <w:rPr>
          <w:w w:val="130"/>
          <w:sz w:val="24"/>
        </w:rPr>
        <w:t>fő</w:t>
      </w:r>
      <w:r>
        <w:rPr>
          <w:spacing w:val="-20"/>
          <w:w w:val="130"/>
          <w:sz w:val="24"/>
        </w:rPr>
        <w:t> </w:t>
      </w:r>
      <w:r>
        <w:rPr>
          <w:w w:val="130"/>
          <w:sz w:val="24"/>
        </w:rPr>
        <w:t>jellemzőit,</w:t>
      </w:r>
      <w:r>
        <w:rPr>
          <w:spacing w:val="-20"/>
          <w:w w:val="130"/>
          <w:sz w:val="24"/>
        </w:rPr>
        <w:t> </w:t>
      </w:r>
      <w:r>
        <w:rPr>
          <w:w w:val="130"/>
          <w:sz w:val="24"/>
        </w:rPr>
        <w:t>beleértve az összegét és a pénznemét, a hitelkamatlábbal összefüggő potenciális kockázatokat, beleértve a 8. pontban említetteket is, továbbá a törlesztési struktúrát.</w:t>
      </w:r>
    </w:p>
    <w:p>
      <w:pPr>
        <w:pStyle w:val="ListParagraph"/>
        <w:numPr>
          <w:ilvl w:val="1"/>
          <w:numId w:val="5"/>
        </w:numPr>
        <w:tabs>
          <w:tab w:pos="866" w:val="left" w:leader="none"/>
        </w:tabs>
        <w:spacing w:line="225" w:lineRule="auto" w:before="2" w:after="0"/>
        <w:ind w:left="113" w:right="143" w:firstLine="204"/>
        <w:jc w:val="both"/>
        <w:rPr>
          <w:sz w:val="24"/>
        </w:rPr>
      </w:pPr>
      <w:r>
        <w:rPr>
          <w:w w:val="125"/>
          <w:sz w:val="24"/>
        </w:rPr>
        <w:t>Amennyiben a hitel pénzneme forinttól eltér, a hitelezőnek jeleznie kell, hogy a fogyasztó rendszeresen figyelmeztetést kap majd, mégpedig legalább akkor, ha az árfolyam 20%-ot meghaladó mértékben változik, és a hitelezőnek adott esetben jeleznie kell a hitelszerződés pénznemének más pénznemre történő átváltásának a jogát vagy a feltételek újratárgyalásának a lehetőségét, valamint bármely más intézkedést, amellyel a fogyasztó korlátozhatja vagy kiküszöbölheti az árfolyamkockázatot. Amennyiben a hitelszerződés az árfolyamkockázat korlátozására vagy kiküszöbölésére vonatkozó rendelkezést tartalmaz, a hitelezőnek jeleznie kell azt a maximális összeget, amelyet a fogyasztónak adott esetben vissza kell fizetnie. Amennyiben a hitelszerződés nem tartalmaz olyan rendelkezést, amely a fogyasztó árfolyamkockázatát az árfolyam 20%-nál kisebb mértékű változására korlátozza, a hitelezőnek szemléltetésként be kell mutatnia, hogy milyen következménnyel jár a hitel összegére, ha a forint árfolyama a hitel pénzneméhez képest 20%-kal</w:t>
      </w:r>
      <w:r>
        <w:rPr>
          <w:spacing w:val="4"/>
          <w:w w:val="125"/>
          <w:sz w:val="24"/>
        </w:rPr>
        <w:t> </w:t>
      </w:r>
      <w:r>
        <w:rPr>
          <w:w w:val="125"/>
          <w:sz w:val="24"/>
        </w:rPr>
        <w:t>gyengül.</w:t>
      </w:r>
    </w:p>
    <w:p>
      <w:pPr>
        <w:pStyle w:val="ListParagraph"/>
        <w:numPr>
          <w:ilvl w:val="1"/>
          <w:numId w:val="5"/>
        </w:numPr>
        <w:tabs>
          <w:tab w:pos="964" w:val="left" w:leader="none"/>
        </w:tabs>
        <w:spacing w:line="225" w:lineRule="auto" w:before="8" w:after="0"/>
        <w:ind w:left="113" w:right="146" w:firstLine="204"/>
        <w:jc w:val="both"/>
        <w:rPr>
          <w:sz w:val="24"/>
        </w:rPr>
      </w:pPr>
      <w:r>
        <w:rPr>
          <w:w w:val="125"/>
          <w:sz w:val="24"/>
        </w:rPr>
        <w:t>A hitel futamidejét években vagy hónapokban kell kifejezni, attól függően, hogy melyik felel meg jobban a fogyasztó igényeinek. Ha a hitel futamideje változhat a szerződés időtartama alatt, a hitelezőnek el kell magyaráznia, hogy ez mikor és milyen körülmények között fordulhat elő. Ha a hitel nyílt végű, például fedezett hitelkártya esetében, akkor ezt a tényt a hitelezőnek egyértelműen jeleznie</w:t>
      </w:r>
      <w:r>
        <w:rPr>
          <w:spacing w:val="3"/>
          <w:w w:val="125"/>
          <w:sz w:val="24"/>
        </w:rPr>
        <w:t> </w:t>
      </w:r>
      <w:r>
        <w:rPr>
          <w:w w:val="125"/>
          <w:sz w:val="24"/>
        </w:rPr>
        <w:t>kell.</w:t>
      </w:r>
    </w:p>
    <w:p>
      <w:pPr>
        <w:pStyle w:val="ListParagraph"/>
        <w:numPr>
          <w:ilvl w:val="1"/>
          <w:numId w:val="5"/>
        </w:numPr>
        <w:tabs>
          <w:tab w:pos="895" w:val="left" w:leader="none"/>
        </w:tabs>
        <w:spacing w:line="225" w:lineRule="auto" w:before="4" w:after="0"/>
        <w:ind w:left="113" w:right="153" w:firstLine="204"/>
        <w:jc w:val="both"/>
        <w:rPr>
          <w:sz w:val="24"/>
        </w:rPr>
      </w:pPr>
      <w:r>
        <w:rPr>
          <w:w w:val="125"/>
          <w:sz w:val="24"/>
        </w:rPr>
        <w:t>A hitel típusát (például ingatlan-jelzáloghitel, lakáshitel) egyértelműen fel kell tüntetni. A hitel típusának ismertetésénél egyértelműen fel  kell  tüntetni, hogy hogyan kell törleszteni a tőkét és a kamatot a hitel futamideje alatt (azaz a törlesztési struktúrát), és egyértelműen meg kell adni, hogy a hitelszerződés tőketörlesztéses vagy halasztott tőketörlesztésű hitel, vagy a kettő ötvözete.</w:t>
      </w:r>
    </w:p>
    <w:p>
      <w:pPr>
        <w:pStyle w:val="ListParagraph"/>
        <w:numPr>
          <w:ilvl w:val="1"/>
          <w:numId w:val="5"/>
        </w:numPr>
        <w:tabs>
          <w:tab w:pos="855" w:val="left" w:leader="none"/>
        </w:tabs>
        <w:spacing w:line="225" w:lineRule="auto" w:before="3" w:after="0"/>
        <w:ind w:left="113" w:right="148" w:firstLine="204"/>
        <w:jc w:val="both"/>
        <w:rPr>
          <w:sz w:val="24"/>
        </w:rPr>
      </w:pPr>
      <w:r>
        <w:rPr>
          <w:w w:val="125"/>
          <w:sz w:val="24"/>
        </w:rPr>
        <w:t>Amennyiben a teljes hitel vagy egy része halasztott tőketörlesztésű hitel, akkor e pont végén, a személyre szóló tájékoztatásban  szereplő megfogalmazást felhasználva feltűnően el kell helyezni az erre egyértelműen utaló figyelemfelhívást.</w:t>
      </w:r>
    </w:p>
    <w:p>
      <w:pPr>
        <w:spacing w:after="0" w:line="225" w:lineRule="auto"/>
        <w:jc w:val="both"/>
        <w:rPr>
          <w:sz w:val="24"/>
        </w:rPr>
        <w:sectPr>
          <w:pgSz w:w="11900" w:h="16820"/>
          <w:pgMar w:header="1104" w:footer="0" w:top="1840" w:bottom="280" w:left="1020" w:right="980"/>
        </w:sectPr>
      </w:pPr>
    </w:p>
    <w:p>
      <w:pPr>
        <w:pStyle w:val="ListParagraph"/>
        <w:numPr>
          <w:ilvl w:val="1"/>
          <w:numId w:val="5"/>
        </w:numPr>
        <w:tabs>
          <w:tab w:pos="903" w:val="left" w:leader="none"/>
        </w:tabs>
        <w:spacing w:line="225" w:lineRule="auto" w:before="173" w:after="0"/>
        <w:ind w:left="113" w:right="148" w:firstLine="204"/>
        <w:jc w:val="both"/>
        <w:rPr>
          <w:sz w:val="24"/>
        </w:rPr>
      </w:pPr>
      <w:r>
        <w:rPr>
          <w:w w:val="125"/>
          <w:sz w:val="24"/>
        </w:rPr>
        <w:t>Ebben a pontban ismertetni kell, hogy a hitelkamatláb rögzített vagy változó, és adott esetben azon időtartamokat is, amelyek  során  rögzített  marad; valamint a későbbi hitelkamatláb-felülvizsgálat gyakoriságát és a hitelkamatláb-változásra vonatkozó korlátok, például felső vagy alsó határértékek</w:t>
      </w:r>
      <w:r>
        <w:rPr>
          <w:spacing w:val="2"/>
          <w:w w:val="125"/>
          <w:sz w:val="24"/>
        </w:rPr>
        <w:t> </w:t>
      </w:r>
      <w:r>
        <w:rPr>
          <w:w w:val="125"/>
          <w:sz w:val="24"/>
        </w:rPr>
        <w:t>létezését.</w:t>
      </w:r>
    </w:p>
    <w:p>
      <w:pPr>
        <w:pStyle w:val="BodyText"/>
        <w:spacing w:line="225" w:lineRule="auto" w:before="3"/>
        <w:ind w:right="146"/>
      </w:pPr>
      <w:r>
        <w:rPr>
          <w:w w:val="130"/>
        </w:rPr>
        <w:t>Ismertetni kell azt a képletet, amely alapján a hitelkamatlábat felülvizsgálják,</w:t>
      </w:r>
      <w:r>
        <w:rPr>
          <w:spacing w:val="78"/>
          <w:w w:val="130"/>
        </w:rPr>
        <w:t> </w:t>
      </w:r>
      <w:r>
        <w:rPr>
          <w:w w:val="130"/>
        </w:rPr>
        <w:t>továbbá</w:t>
      </w:r>
      <w:r>
        <w:rPr>
          <w:spacing w:val="78"/>
          <w:w w:val="130"/>
        </w:rPr>
        <w:t> </w:t>
      </w:r>
      <w:r>
        <w:rPr>
          <w:w w:val="130"/>
        </w:rPr>
        <w:t>annak</w:t>
      </w:r>
      <w:r>
        <w:rPr>
          <w:spacing w:val="78"/>
          <w:w w:val="130"/>
        </w:rPr>
        <w:t> </w:t>
      </w:r>
      <w:r>
        <w:rPr>
          <w:w w:val="130"/>
        </w:rPr>
        <w:t>egyes</w:t>
      </w:r>
      <w:r>
        <w:rPr>
          <w:spacing w:val="78"/>
          <w:w w:val="130"/>
        </w:rPr>
        <w:t> </w:t>
      </w:r>
      <w:r>
        <w:rPr>
          <w:w w:val="130"/>
        </w:rPr>
        <w:t>összetevőit</w:t>
      </w:r>
      <w:r>
        <w:rPr>
          <w:spacing w:val="78"/>
          <w:w w:val="130"/>
        </w:rPr>
        <w:t> </w:t>
      </w:r>
      <w:r>
        <w:rPr>
          <w:w w:val="130"/>
        </w:rPr>
        <w:t>(például</w:t>
      </w:r>
      <w:r>
        <w:rPr>
          <w:spacing w:val="78"/>
          <w:w w:val="130"/>
        </w:rPr>
        <w:t> </w:t>
      </w:r>
      <w:r>
        <w:rPr>
          <w:w w:val="130"/>
        </w:rPr>
        <w:t>a</w:t>
      </w:r>
      <w:r>
        <w:rPr>
          <w:spacing w:val="78"/>
          <w:w w:val="130"/>
        </w:rPr>
        <w:t> </w:t>
      </w:r>
      <w:r>
        <w:rPr>
          <w:w w:val="130"/>
        </w:rPr>
        <w:t>referencia-kamatlábat és a kamat-felárat). A hitelezőnek fel kell tüntetnie, például internetcím megadásával, hogy hol találhatók további információk a képletben</w:t>
      </w:r>
      <w:r>
        <w:rPr>
          <w:spacing w:val="-12"/>
          <w:w w:val="130"/>
        </w:rPr>
        <w:t> </w:t>
      </w:r>
      <w:r>
        <w:rPr>
          <w:w w:val="130"/>
        </w:rPr>
        <w:t>szereplő</w:t>
      </w:r>
      <w:r>
        <w:rPr>
          <w:spacing w:val="-11"/>
          <w:w w:val="130"/>
        </w:rPr>
        <w:t> </w:t>
      </w:r>
      <w:r>
        <w:rPr>
          <w:w w:val="130"/>
        </w:rPr>
        <w:t>indexekről</w:t>
      </w:r>
      <w:r>
        <w:rPr>
          <w:spacing w:val="-11"/>
          <w:w w:val="130"/>
        </w:rPr>
        <w:t> </w:t>
      </w:r>
      <w:r>
        <w:rPr>
          <w:w w:val="130"/>
        </w:rPr>
        <w:t>és</w:t>
      </w:r>
      <w:r>
        <w:rPr>
          <w:spacing w:val="-11"/>
          <w:w w:val="130"/>
        </w:rPr>
        <w:t> </w:t>
      </w:r>
      <w:r>
        <w:rPr>
          <w:w w:val="130"/>
        </w:rPr>
        <w:t>kamatlábakról,</w:t>
      </w:r>
      <w:r>
        <w:rPr>
          <w:spacing w:val="-7"/>
          <w:w w:val="130"/>
        </w:rPr>
        <w:t> </w:t>
      </w:r>
      <w:r>
        <w:rPr>
          <w:w w:val="130"/>
        </w:rPr>
        <w:t>pl.</w:t>
      </w:r>
      <w:r>
        <w:rPr>
          <w:spacing w:val="-15"/>
          <w:w w:val="130"/>
        </w:rPr>
        <w:t> </w:t>
      </w:r>
      <w:r>
        <w:rPr>
          <w:w w:val="130"/>
        </w:rPr>
        <w:t>a</w:t>
      </w:r>
      <w:r>
        <w:rPr>
          <w:spacing w:val="-11"/>
          <w:w w:val="130"/>
        </w:rPr>
        <w:t> </w:t>
      </w:r>
      <w:r>
        <w:rPr>
          <w:w w:val="130"/>
        </w:rPr>
        <w:t>BUBOR-ról,</w:t>
      </w:r>
      <w:r>
        <w:rPr>
          <w:spacing w:val="-12"/>
          <w:w w:val="130"/>
        </w:rPr>
        <w:t> </w:t>
      </w:r>
      <w:r>
        <w:rPr>
          <w:w w:val="130"/>
        </w:rPr>
        <w:t>a</w:t>
      </w:r>
      <w:r>
        <w:rPr>
          <w:spacing w:val="-10"/>
          <w:w w:val="130"/>
        </w:rPr>
        <w:t> </w:t>
      </w:r>
      <w:r>
        <w:rPr>
          <w:w w:val="130"/>
        </w:rPr>
        <w:t>központi banki</w:t>
      </w:r>
      <w:r>
        <w:rPr>
          <w:spacing w:val="-9"/>
          <w:w w:val="130"/>
        </w:rPr>
        <w:t> </w:t>
      </w:r>
      <w:r>
        <w:rPr>
          <w:w w:val="130"/>
        </w:rPr>
        <w:t>irányadó</w:t>
      </w:r>
      <w:r>
        <w:rPr>
          <w:spacing w:val="-9"/>
          <w:w w:val="130"/>
        </w:rPr>
        <w:t> </w:t>
      </w:r>
      <w:r>
        <w:rPr>
          <w:w w:val="130"/>
        </w:rPr>
        <w:t>kamatlábról,</w:t>
      </w:r>
      <w:r>
        <w:rPr>
          <w:spacing w:val="-9"/>
          <w:w w:val="130"/>
        </w:rPr>
        <w:t> </w:t>
      </w:r>
      <w:r>
        <w:rPr>
          <w:w w:val="130"/>
        </w:rPr>
        <w:t>vagy</w:t>
      </w:r>
      <w:r>
        <w:rPr>
          <w:spacing w:val="-9"/>
          <w:w w:val="130"/>
        </w:rPr>
        <w:t> </w:t>
      </w:r>
      <w:r>
        <w:rPr>
          <w:w w:val="130"/>
        </w:rPr>
        <w:t>a</w:t>
      </w:r>
      <w:r>
        <w:rPr>
          <w:spacing w:val="-3"/>
          <w:w w:val="130"/>
        </w:rPr>
        <w:t> </w:t>
      </w:r>
      <w:r>
        <w:rPr>
          <w:w w:val="130"/>
        </w:rPr>
        <w:t>kamatváltoztatási,</w:t>
      </w:r>
      <w:r>
        <w:rPr>
          <w:spacing w:val="-15"/>
          <w:w w:val="130"/>
        </w:rPr>
        <w:t> </w:t>
      </w:r>
      <w:r>
        <w:rPr>
          <w:w w:val="130"/>
        </w:rPr>
        <w:t>kamatfelár</w:t>
      </w:r>
      <w:r>
        <w:rPr>
          <w:spacing w:val="-9"/>
          <w:w w:val="130"/>
        </w:rPr>
        <w:t> </w:t>
      </w:r>
      <w:r>
        <w:rPr>
          <w:w w:val="130"/>
        </w:rPr>
        <w:t>változtatási mutatókról.</w:t>
      </w:r>
    </w:p>
    <w:p>
      <w:pPr>
        <w:pStyle w:val="ListParagraph"/>
        <w:numPr>
          <w:ilvl w:val="1"/>
          <w:numId w:val="5"/>
        </w:numPr>
        <w:tabs>
          <w:tab w:pos="977" w:val="left" w:leader="none"/>
        </w:tabs>
        <w:spacing w:line="225" w:lineRule="auto" w:before="4" w:after="0"/>
        <w:ind w:left="113" w:right="151" w:firstLine="204"/>
        <w:jc w:val="both"/>
        <w:rPr>
          <w:sz w:val="24"/>
        </w:rPr>
      </w:pPr>
      <w:r>
        <w:rPr>
          <w:w w:val="125"/>
          <w:sz w:val="24"/>
        </w:rPr>
        <w:t>Amennyiben eltérő körülmények között különböző hitelkamatlábak alkalmazandók, az információkat valamennyi alkalmazható hitelkamatláb esetében meg kell</w:t>
      </w:r>
      <w:r>
        <w:rPr>
          <w:spacing w:val="11"/>
          <w:w w:val="125"/>
          <w:sz w:val="24"/>
        </w:rPr>
        <w:t> </w:t>
      </w:r>
      <w:r>
        <w:rPr>
          <w:w w:val="125"/>
          <w:sz w:val="24"/>
        </w:rPr>
        <w:t>adni.</w:t>
      </w:r>
    </w:p>
    <w:p>
      <w:pPr>
        <w:pStyle w:val="ListParagraph"/>
        <w:numPr>
          <w:ilvl w:val="1"/>
          <w:numId w:val="5"/>
        </w:numPr>
        <w:tabs>
          <w:tab w:pos="957" w:val="left" w:leader="none"/>
        </w:tabs>
        <w:spacing w:line="225" w:lineRule="auto" w:before="1" w:after="0"/>
        <w:ind w:left="113" w:right="142" w:firstLine="204"/>
        <w:jc w:val="both"/>
        <w:rPr>
          <w:sz w:val="24"/>
        </w:rPr>
      </w:pPr>
      <w:r>
        <w:rPr>
          <w:w w:val="125"/>
          <w:sz w:val="24"/>
        </w:rPr>
        <w:t>A „fizetendő teljes összeg” a fogyasztó által visszafizetendő teljes összegnek felel meg. Ezt a hitel teljes összegéből és a hitel teljes díjából álló összegként kell feltüntetni. Amennyiben a hitelkamatláb nincs rögzítve a szerződés időtartamára, ki kell emelni, hogy az összeg csupán szemléltető jellegű, és változhat, különösen a hitelkamatláb változása</w:t>
      </w:r>
      <w:r>
        <w:rPr>
          <w:spacing w:val="22"/>
          <w:w w:val="125"/>
          <w:sz w:val="24"/>
        </w:rPr>
        <w:t> </w:t>
      </w:r>
      <w:r>
        <w:rPr>
          <w:w w:val="125"/>
          <w:sz w:val="24"/>
        </w:rPr>
        <w:t>alapján.</w:t>
      </w:r>
    </w:p>
    <w:p>
      <w:pPr>
        <w:pStyle w:val="ListParagraph"/>
        <w:numPr>
          <w:ilvl w:val="1"/>
          <w:numId w:val="5"/>
        </w:numPr>
        <w:tabs>
          <w:tab w:pos="950" w:val="left" w:leader="none"/>
        </w:tabs>
        <w:spacing w:line="225" w:lineRule="auto" w:before="3" w:after="0"/>
        <w:ind w:left="113" w:right="148" w:firstLine="204"/>
        <w:jc w:val="both"/>
        <w:rPr>
          <w:sz w:val="24"/>
        </w:rPr>
      </w:pPr>
      <w:r>
        <w:rPr>
          <w:w w:val="130"/>
          <w:sz w:val="24"/>
        </w:rPr>
        <w:t>Ha a hitelt az ingatlanra bejegyzett jelzálogjog vagy más hasonló biztosíték</w:t>
      </w:r>
      <w:r>
        <w:rPr>
          <w:spacing w:val="-26"/>
          <w:w w:val="130"/>
          <w:sz w:val="24"/>
        </w:rPr>
        <w:t> </w:t>
      </w:r>
      <w:r>
        <w:rPr>
          <w:w w:val="130"/>
          <w:sz w:val="24"/>
        </w:rPr>
        <w:t>vagy</w:t>
      </w:r>
      <w:r>
        <w:rPr>
          <w:spacing w:val="-25"/>
          <w:w w:val="130"/>
          <w:sz w:val="24"/>
        </w:rPr>
        <w:t> </w:t>
      </w:r>
      <w:r>
        <w:rPr>
          <w:w w:val="130"/>
          <w:sz w:val="24"/>
        </w:rPr>
        <w:t>ingatlanhoz</w:t>
      </w:r>
      <w:r>
        <w:rPr>
          <w:spacing w:val="-25"/>
          <w:w w:val="130"/>
          <w:sz w:val="24"/>
        </w:rPr>
        <w:t> </w:t>
      </w:r>
      <w:r>
        <w:rPr>
          <w:w w:val="130"/>
          <w:sz w:val="24"/>
        </w:rPr>
        <w:t>fűződő</w:t>
      </w:r>
      <w:r>
        <w:rPr>
          <w:spacing w:val="-25"/>
          <w:w w:val="130"/>
          <w:sz w:val="24"/>
        </w:rPr>
        <w:t> </w:t>
      </w:r>
      <w:r>
        <w:rPr>
          <w:w w:val="130"/>
          <w:sz w:val="24"/>
        </w:rPr>
        <w:t>jog</w:t>
      </w:r>
      <w:r>
        <w:rPr>
          <w:spacing w:val="-25"/>
          <w:w w:val="130"/>
          <w:sz w:val="24"/>
        </w:rPr>
        <w:t> </w:t>
      </w:r>
      <w:r>
        <w:rPr>
          <w:w w:val="130"/>
          <w:sz w:val="24"/>
        </w:rPr>
        <w:t>fedezi,</w:t>
      </w:r>
      <w:r>
        <w:rPr>
          <w:spacing w:val="-25"/>
          <w:w w:val="130"/>
          <w:sz w:val="24"/>
        </w:rPr>
        <w:t> </w:t>
      </w:r>
      <w:r>
        <w:rPr>
          <w:w w:val="130"/>
          <w:sz w:val="24"/>
        </w:rPr>
        <w:t>a</w:t>
      </w:r>
      <w:r>
        <w:rPr>
          <w:spacing w:val="-25"/>
          <w:w w:val="130"/>
          <w:sz w:val="24"/>
        </w:rPr>
        <w:t> </w:t>
      </w:r>
      <w:r>
        <w:rPr>
          <w:w w:val="130"/>
          <w:sz w:val="24"/>
        </w:rPr>
        <w:t>hitelezőnek</w:t>
      </w:r>
      <w:r>
        <w:rPr>
          <w:spacing w:val="-25"/>
          <w:w w:val="130"/>
          <w:sz w:val="24"/>
        </w:rPr>
        <w:t> </w:t>
      </w:r>
      <w:r>
        <w:rPr>
          <w:w w:val="130"/>
          <w:sz w:val="24"/>
        </w:rPr>
        <w:t>erre</w:t>
      </w:r>
      <w:r>
        <w:rPr>
          <w:spacing w:val="-25"/>
          <w:w w:val="130"/>
          <w:sz w:val="24"/>
        </w:rPr>
        <w:t> </w:t>
      </w:r>
      <w:r>
        <w:rPr>
          <w:w w:val="130"/>
          <w:sz w:val="24"/>
        </w:rPr>
        <w:t>fel</w:t>
      </w:r>
      <w:r>
        <w:rPr>
          <w:spacing w:val="-25"/>
          <w:w w:val="130"/>
          <w:sz w:val="24"/>
        </w:rPr>
        <w:t> </w:t>
      </w:r>
      <w:r>
        <w:rPr>
          <w:w w:val="130"/>
          <w:sz w:val="24"/>
        </w:rPr>
        <w:t>kell</w:t>
      </w:r>
      <w:r>
        <w:rPr>
          <w:spacing w:val="-25"/>
          <w:w w:val="130"/>
          <w:sz w:val="24"/>
        </w:rPr>
        <w:t> </w:t>
      </w:r>
      <w:r>
        <w:rPr>
          <w:w w:val="130"/>
          <w:sz w:val="24"/>
        </w:rPr>
        <w:t>hívnia a fogyasztó figyelmét. Adott esetben a hitelezőnek fel kell tüntetnie, hogy az ingatlant vagy más biztosítékot milyen értéken vette figyelembe ezen adatlap elkészítéséhez.</w:t>
      </w:r>
    </w:p>
    <w:p>
      <w:pPr>
        <w:pStyle w:val="ListParagraph"/>
        <w:numPr>
          <w:ilvl w:val="1"/>
          <w:numId w:val="5"/>
        </w:numPr>
        <w:tabs>
          <w:tab w:pos="1005" w:val="left" w:leader="none"/>
        </w:tabs>
        <w:spacing w:line="257" w:lineRule="exact" w:before="0" w:after="0"/>
        <w:ind w:left="1004" w:right="0" w:hanging="687"/>
        <w:jc w:val="left"/>
        <w:rPr>
          <w:sz w:val="24"/>
        </w:rPr>
      </w:pPr>
      <w:r>
        <w:rPr>
          <w:w w:val="125"/>
          <w:sz w:val="24"/>
        </w:rPr>
        <w:t>Adott esetben a hitelezőnek fel kell tüntetnie az alábbiak</w:t>
      </w:r>
      <w:r>
        <w:rPr>
          <w:spacing w:val="41"/>
          <w:w w:val="125"/>
          <w:sz w:val="24"/>
        </w:rPr>
        <w:t> </w:t>
      </w:r>
      <w:r>
        <w:rPr>
          <w:w w:val="125"/>
          <w:sz w:val="24"/>
        </w:rPr>
        <w:t>egyikét:</w:t>
      </w:r>
    </w:p>
    <w:p>
      <w:pPr>
        <w:pStyle w:val="ListParagraph"/>
        <w:numPr>
          <w:ilvl w:val="0"/>
          <w:numId w:val="6"/>
        </w:numPr>
        <w:tabs>
          <w:tab w:pos="812" w:val="left" w:leader="none"/>
        </w:tabs>
        <w:spacing w:line="225" w:lineRule="auto" w:before="6" w:after="0"/>
        <w:ind w:left="113" w:right="149" w:firstLine="204"/>
        <w:jc w:val="both"/>
        <w:rPr>
          <w:sz w:val="24"/>
        </w:rPr>
      </w:pPr>
      <w:r>
        <w:rPr>
          <w:w w:val="130"/>
          <w:sz w:val="24"/>
        </w:rPr>
        <w:t>az „igénybe vehető maximális hitelösszeg az ingatlan értékéhez viszonyítva”, megadva a hitel/érték arányt. Ezt példán keresztül is be kell mutatni, amely abszolút értékben megadja, hogy egy adott ingatlanérték esetén mekkora a felvehető maximális összeg;</w:t>
      </w:r>
      <w:r>
        <w:rPr>
          <w:spacing w:val="-41"/>
          <w:w w:val="130"/>
          <w:sz w:val="24"/>
        </w:rPr>
        <w:t> </w:t>
      </w:r>
      <w:r>
        <w:rPr>
          <w:w w:val="130"/>
          <w:sz w:val="24"/>
        </w:rPr>
        <w:t>vagy</w:t>
      </w:r>
    </w:p>
    <w:p>
      <w:pPr>
        <w:pStyle w:val="ListParagraph"/>
        <w:numPr>
          <w:ilvl w:val="0"/>
          <w:numId w:val="6"/>
        </w:numPr>
        <w:tabs>
          <w:tab w:pos="672" w:val="left" w:leader="none"/>
        </w:tabs>
        <w:spacing w:line="225" w:lineRule="auto" w:before="2" w:after="0"/>
        <w:ind w:left="113" w:right="141" w:firstLine="204"/>
        <w:jc w:val="both"/>
        <w:rPr>
          <w:sz w:val="24"/>
        </w:rPr>
      </w:pPr>
      <w:r>
        <w:rPr>
          <w:w w:val="130"/>
          <w:sz w:val="24"/>
        </w:rPr>
        <w:t>az „ingatlannak a példaként szereplő összeg felvételéhez a hitelező által megkövetelt minimális</w:t>
      </w:r>
      <w:r>
        <w:rPr>
          <w:spacing w:val="-10"/>
          <w:w w:val="130"/>
          <w:sz w:val="24"/>
        </w:rPr>
        <w:t> </w:t>
      </w:r>
      <w:r>
        <w:rPr>
          <w:w w:val="130"/>
          <w:sz w:val="24"/>
        </w:rPr>
        <w:t>értéke”.</w:t>
      </w:r>
    </w:p>
    <w:p>
      <w:pPr>
        <w:pStyle w:val="ListParagraph"/>
        <w:numPr>
          <w:ilvl w:val="1"/>
          <w:numId w:val="5"/>
        </w:numPr>
        <w:tabs>
          <w:tab w:pos="1015" w:val="left" w:leader="none"/>
        </w:tabs>
        <w:spacing w:line="225" w:lineRule="auto" w:before="1" w:after="0"/>
        <w:ind w:left="113" w:right="143" w:firstLine="204"/>
        <w:jc w:val="both"/>
        <w:rPr>
          <w:sz w:val="24"/>
        </w:rPr>
      </w:pPr>
      <w:r>
        <w:rPr>
          <w:w w:val="130"/>
          <w:sz w:val="24"/>
        </w:rPr>
        <w:t>Amennyiben</w:t>
      </w:r>
      <w:r>
        <w:rPr>
          <w:spacing w:val="-13"/>
          <w:w w:val="130"/>
          <w:sz w:val="24"/>
        </w:rPr>
        <w:t> </w:t>
      </w:r>
      <w:r>
        <w:rPr>
          <w:w w:val="130"/>
          <w:sz w:val="24"/>
        </w:rPr>
        <w:t>a</w:t>
      </w:r>
      <w:r>
        <w:rPr>
          <w:spacing w:val="-13"/>
          <w:w w:val="130"/>
          <w:sz w:val="24"/>
        </w:rPr>
        <w:t> </w:t>
      </w:r>
      <w:r>
        <w:rPr>
          <w:w w:val="130"/>
          <w:sz w:val="24"/>
        </w:rPr>
        <w:t>hitel</w:t>
      </w:r>
      <w:r>
        <w:rPr>
          <w:spacing w:val="-13"/>
          <w:w w:val="130"/>
          <w:sz w:val="24"/>
        </w:rPr>
        <w:t> </w:t>
      </w:r>
      <w:r>
        <w:rPr>
          <w:w w:val="130"/>
          <w:sz w:val="24"/>
        </w:rPr>
        <w:t>több</w:t>
      </w:r>
      <w:r>
        <w:rPr>
          <w:spacing w:val="-14"/>
          <w:w w:val="130"/>
          <w:sz w:val="24"/>
        </w:rPr>
        <w:t> </w:t>
      </w:r>
      <w:r>
        <w:rPr>
          <w:w w:val="130"/>
          <w:sz w:val="24"/>
        </w:rPr>
        <w:t>részből</w:t>
      </w:r>
      <w:r>
        <w:rPr>
          <w:spacing w:val="-9"/>
          <w:w w:val="130"/>
          <w:sz w:val="24"/>
        </w:rPr>
        <w:t> </w:t>
      </w:r>
      <w:r>
        <w:rPr>
          <w:w w:val="130"/>
          <w:sz w:val="24"/>
        </w:rPr>
        <w:t>áll</w:t>
      </w:r>
      <w:r>
        <w:rPr>
          <w:spacing w:val="-16"/>
          <w:w w:val="130"/>
          <w:sz w:val="24"/>
        </w:rPr>
        <w:t> </w:t>
      </w:r>
      <w:r>
        <w:rPr>
          <w:w w:val="130"/>
          <w:sz w:val="24"/>
        </w:rPr>
        <w:t>(például</w:t>
      </w:r>
      <w:r>
        <w:rPr>
          <w:spacing w:val="-13"/>
          <w:w w:val="130"/>
          <w:sz w:val="24"/>
        </w:rPr>
        <w:t> </w:t>
      </w:r>
      <w:r>
        <w:rPr>
          <w:w w:val="130"/>
          <w:sz w:val="24"/>
        </w:rPr>
        <w:t>részben</w:t>
      </w:r>
      <w:r>
        <w:rPr>
          <w:spacing w:val="-13"/>
          <w:w w:val="130"/>
          <w:sz w:val="24"/>
        </w:rPr>
        <w:t> </w:t>
      </w:r>
      <w:r>
        <w:rPr>
          <w:w w:val="130"/>
          <w:sz w:val="24"/>
        </w:rPr>
        <w:t>rögzített,</w:t>
      </w:r>
      <w:r>
        <w:rPr>
          <w:spacing w:val="-13"/>
          <w:w w:val="130"/>
          <w:sz w:val="24"/>
        </w:rPr>
        <w:t> </w:t>
      </w:r>
      <w:r>
        <w:rPr>
          <w:w w:val="130"/>
          <w:sz w:val="24"/>
        </w:rPr>
        <w:t>részben változó kamatozású), akkor ezt a hitel típusának megadásakor jelezni kell, és az előírt tájékoztatást a hitel minden részére meg kell</w:t>
      </w:r>
      <w:r>
        <w:rPr>
          <w:spacing w:val="-48"/>
          <w:w w:val="130"/>
          <w:sz w:val="24"/>
        </w:rPr>
        <w:t> </w:t>
      </w:r>
      <w:r>
        <w:rPr>
          <w:w w:val="130"/>
          <w:sz w:val="24"/>
        </w:rPr>
        <w:t>adni.</w:t>
      </w:r>
    </w:p>
    <w:p>
      <w:pPr>
        <w:pStyle w:val="ListParagraph"/>
        <w:numPr>
          <w:ilvl w:val="0"/>
          <w:numId w:val="5"/>
        </w:numPr>
        <w:tabs>
          <w:tab w:pos="623" w:val="left" w:leader="none"/>
        </w:tabs>
        <w:spacing w:line="268" w:lineRule="exact" w:before="229" w:after="0"/>
        <w:ind w:left="622" w:right="0" w:hanging="305"/>
        <w:jc w:val="left"/>
        <w:rPr>
          <w:sz w:val="24"/>
        </w:rPr>
      </w:pPr>
      <w:r>
        <w:rPr>
          <w:w w:val="125"/>
          <w:sz w:val="24"/>
        </w:rPr>
        <w:t>Kamat és egyéb</w:t>
      </w:r>
      <w:r>
        <w:rPr>
          <w:spacing w:val="1"/>
          <w:w w:val="125"/>
          <w:sz w:val="24"/>
        </w:rPr>
        <w:t> </w:t>
      </w:r>
      <w:r>
        <w:rPr>
          <w:w w:val="125"/>
          <w:sz w:val="24"/>
        </w:rPr>
        <w:t>költségek</w:t>
      </w:r>
    </w:p>
    <w:p>
      <w:pPr>
        <w:pStyle w:val="ListParagraph"/>
        <w:numPr>
          <w:ilvl w:val="1"/>
          <w:numId w:val="5"/>
        </w:numPr>
        <w:tabs>
          <w:tab w:pos="852" w:val="left" w:leader="none"/>
        </w:tabs>
        <w:spacing w:line="260" w:lineRule="exact" w:before="0" w:after="0"/>
        <w:ind w:left="851" w:right="0" w:hanging="534"/>
        <w:jc w:val="left"/>
        <w:rPr>
          <w:sz w:val="24"/>
        </w:rPr>
      </w:pPr>
      <w:r>
        <w:rPr>
          <w:w w:val="125"/>
          <w:sz w:val="24"/>
        </w:rPr>
        <w:t>A „kamat” a hitelkamatlábra vagy hitelkamatlábakra</w:t>
      </w:r>
      <w:r>
        <w:rPr>
          <w:spacing w:val="8"/>
          <w:w w:val="125"/>
          <w:sz w:val="24"/>
        </w:rPr>
        <w:t> </w:t>
      </w:r>
      <w:r>
        <w:rPr>
          <w:w w:val="125"/>
          <w:sz w:val="24"/>
        </w:rPr>
        <w:t>utal.</w:t>
      </w:r>
    </w:p>
    <w:p>
      <w:pPr>
        <w:pStyle w:val="ListParagraph"/>
        <w:numPr>
          <w:ilvl w:val="1"/>
          <w:numId w:val="5"/>
        </w:numPr>
        <w:tabs>
          <w:tab w:pos="1089" w:val="left" w:leader="none"/>
        </w:tabs>
        <w:spacing w:line="225" w:lineRule="auto" w:before="5" w:after="0"/>
        <w:ind w:left="113" w:right="144" w:firstLine="204"/>
        <w:jc w:val="both"/>
        <w:rPr>
          <w:sz w:val="24"/>
        </w:rPr>
      </w:pPr>
      <w:r>
        <w:rPr>
          <w:w w:val="130"/>
          <w:sz w:val="24"/>
        </w:rPr>
        <w:t>A hitelkamatlábat százalékban kell megadni. Amennyiben a hitelkamatláb változó és referencia-kamatlábon alapul, a hitelező a referencia-kamatlábbal és a hitelezői kamatfelár százalékos értékével adhatja meg a hitelkamatlábat. A hitelezőnek tehát meg kell adnia a referencia-kamatlábnak és a kamatfelárnak a személyre szóló tájékoztatás</w:t>
      </w:r>
      <w:r>
        <w:rPr>
          <w:spacing w:val="78"/>
          <w:w w:val="130"/>
          <w:sz w:val="24"/>
        </w:rPr>
        <w:t> </w:t>
      </w:r>
      <w:r>
        <w:rPr>
          <w:w w:val="130"/>
          <w:sz w:val="24"/>
        </w:rPr>
        <w:t>kiadásakor érvényes</w:t>
      </w:r>
      <w:r>
        <w:rPr>
          <w:spacing w:val="-6"/>
          <w:w w:val="130"/>
          <w:sz w:val="24"/>
        </w:rPr>
        <w:t> </w:t>
      </w:r>
      <w:r>
        <w:rPr>
          <w:w w:val="130"/>
          <w:sz w:val="24"/>
        </w:rPr>
        <w:t>értékét.</w:t>
      </w:r>
    </w:p>
    <w:p>
      <w:pPr>
        <w:pStyle w:val="BodyText"/>
        <w:spacing w:line="258" w:lineRule="exact"/>
        <w:ind w:left="317" w:firstLine="0"/>
        <w:jc w:val="left"/>
      </w:pPr>
      <w:r>
        <w:rPr>
          <w:w w:val="125"/>
        </w:rPr>
        <w:t>Változó hitelkamatláb esetén meg kell adni a következő információkat:</w:t>
      </w:r>
    </w:p>
    <w:p>
      <w:pPr>
        <w:pStyle w:val="ListParagraph"/>
        <w:numPr>
          <w:ilvl w:val="0"/>
          <w:numId w:val="7"/>
        </w:numPr>
        <w:tabs>
          <w:tab w:pos="631" w:val="left" w:leader="none"/>
        </w:tabs>
        <w:spacing w:line="260" w:lineRule="exact" w:before="0" w:after="0"/>
        <w:ind w:left="630" w:right="0" w:hanging="313"/>
        <w:jc w:val="left"/>
        <w:rPr>
          <w:sz w:val="24"/>
        </w:rPr>
      </w:pPr>
      <w:r>
        <w:rPr>
          <w:w w:val="125"/>
          <w:sz w:val="24"/>
        </w:rPr>
        <w:t>a THM kiszámításához alapul vett</w:t>
      </w:r>
      <w:r>
        <w:rPr>
          <w:spacing w:val="3"/>
          <w:w w:val="125"/>
          <w:sz w:val="24"/>
        </w:rPr>
        <w:t> </w:t>
      </w:r>
      <w:r>
        <w:rPr>
          <w:w w:val="125"/>
          <w:sz w:val="24"/>
        </w:rPr>
        <w:t>feltételezések;</w:t>
      </w:r>
    </w:p>
    <w:p>
      <w:pPr>
        <w:pStyle w:val="ListParagraph"/>
        <w:numPr>
          <w:ilvl w:val="0"/>
          <w:numId w:val="7"/>
        </w:numPr>
        <w:tabs>
          <w:tab w:pos="653" w:val="left" w:leader="none"/>
        </w:tabs>
        <w:spacing w:line="260" w:lineRule="exact" w:before="0" w:after="0"/>
        <w:ind w:left="652" w:right="0" w:hanging="335"/>
        <w:jc w:val="left"/>
        <w:rPr>
          <w:sz w:val="24"/>
        </w:rPr>
      </w:pPr>
      <w:r>
        <w:rPr>
          <w:w w:val="130"/>
          <w:sz w:val="24"/>
        </w:rPr>
        <w:t>adott</w:t>
      </w:r>
      <w:r>
        <w:rPr>
          <w:spacing w:val="-19"/>
          <w:w w:val="130"/>
          <w:sz w:val="24"/>
        </w:rPr>
        <w:t> </w:t>
      </w:r>
      <w:r>
        <w:rPr>
          <w:w w:val="130"/>
          <w:sz w:val="24"/>
        </w:rPr>
        <w:t>esetben</w:t>
      </w:r>
      <w:r>
        <w:rPr>
          <w:spacing w:val="-7"/>
          <w:w w:val="130"/>
          <w:sz w:val="24"/>
        </w:rPr>
        <w:t> </w:t>
      </w:r>
      <w:r>
        <w:rPr>
          <w:w w:val="130"/>
          <w:sz w:val="24"/>
        </w:rPr>
        <w:t>az</w:t>
      </w:r>
      <w:r>
        <w:rPr>
          <w:spacing w:val="-11"/>
          <w:w w:val="130"/>
          <w:sz w:val="24"/>
        </w:rPr>
        <w:t> </w:t>
      </w:r>
      <w:r>
        <w:rPr>
          <w:w w:val="130"/>
          <w:sz w:val="24"/>
        </w:rPr>
        <w:t>alkalmazandó</w:t>
      </w:r>
      <w:r>
        <w:rPr>
          <w:spacing w:val="-9"/>
          <w:w w:val="130"/>
          <w:sz w:val="24"/>
        </w:rPr>
        <w:t> </w:t>
      </w:r>
      <w:r>
        <w:rPr>
          <w:w w:val="130"/>
          <w:sz w:val="24"/>
        </w:rPr>
        <w:t>felső</w:t>
      </w:r>
      <w:r>
        <w:rPr>
          <w:spacing w:val="-8"/>
          <w:w w:val="130"/>
          <w:sz w:val="24"/>
        </w:rPr>
        <w:t> </w:t>
      </w:r>
      <w:r>
        <w:rPr>
          <w:w w:val="130"/>
          <w:sz w:val="24"/>
        </w:rPr>
        <w:t>és</w:t>
      </w:r>
      <w:r>
        <w:rPr>
          <w:spacing w:val="-10"/>
          <w:w w:val="130"/>
          <w:sz w:val="24"/>
        </w:rPr>
        <w:t> </w:t>
      </w:r>
      <w:r>
        <w:rPr>
          <w:w w:val="130"/>
          <w:sz w:val="24"/>
        </w:rPr>
        <w:t>alsó</w:t>
      </w:r>
      <w:r>
        <w:rPr>
          <w:spacing w:val="-9"/>
          <w:w w:val="130"/>
          <w:sz w:val="24"/>
        </w:rPr>
        <w:t> </w:t>
      </w:r>
      <w:r>
        <w:rPr>
          <w:w w:val="130"/>
          <w:sz w:val="24"/>
        </w:rPr>
        <w:t>értékhatárok;</w:t>
      </w:r>
      <w:r>
        <w:rPr>
          <w:spacing w:val="-9"/>
          <w:w w:val="130"/>
          <w:sz w:val="24"/>
        </w:rPr>
        <w:t> </w:t>
      </w:r>
      <w:r>
        <w:rPr>
          <w:w w:val="130"/>
          <w:sz w:val="24"/>
        </w:rPr>
        <w:t>valamint</w:t>
      </w:r>
    </w:p>
    <w:p>
      <w:pPr>
        <w:pStyle w:val="ListParagraph"/>
        <w:numPr>
          <w:ilvl w:val="0"/>
          <w:numId w:val="7"/>
        </w:numPr>
        <w:tabs>
          <w:tab w:pos="687" w:val="left" w:leader="none"/>
        </w:tabs>
        <w:spacing w:line="225" w:lineRule="auto" w:before="5" w:after="0"/>
        <w:ind w:left="113" w:right="147" w:firstLine="204"/>
        <w:jc w:val="both"/>
        <w:rPr>
          <w:sz w:val="24"/>
        </w:rPr>
      </w:pPr>
      <w:r>
        <w:rPr>
          <w:w w:val="125"/>
          <w:sz w:val="24"/>
        </w:rPr>
        <w:t>az arra vonatkozó figyelmeztetés, hogy a hitelkamatláb változó jellege befolyásolhatja a THM tényleges szintjét.</w:t>
      </w:r>
    </w:p>
    <w:p>
      <w:pPr>
        <w:spacing w:after="0" w:line="225" w:lineRule="auto"/>
        <w:jc w:val="both"/>
        <w:rPr>
          <w:sz w:val="24"/>
        </w:rPr>
        <w:sectPr>
          <w:pgSz w:w="11900" w:h="16820"/>
          <w:pgMar w:header="1104" w:footer="0" w:top="1840" w:bottom="280" w:left="1020" w:right="980"/>
        </w:sectPr>
      </w:pPr>
    </w:p>
    <w:p>
      <w:pPr>
        <w:pStyle w:val="BodyText"/>
        <w:spacing w:line="225" w:lineRule="auto" w:before="173"/>
        <w:ind w:right="142"/>
      </w:pPr>
      <w:r>
        <w:rPr>
          <w:w w:val="130"/>
        </w:rPr>
        <w:t>A fogyasztó figyelmének a felhívása érdekében a figyelmeztetést nagyobb betűmérettel és feltűnően kell megjeleníteni a személyre szóló tájékoztatás főszövegén belül. A figyelmeztetés mellett be kell mutatni egy a THM-re vonatkozó szemléltető példát. Amennyiben a hitelkamatlábnak felső értékhatára van, a példában azt kell feltételezni, hogy a hitelkamatláb az első lehetséges alkalommal a hitelszerződésben szereplő legmagasabb szintre emelkedik. Amennyiben nincs felső értékhatár, akkor a THM-hez az elmúlt legalább 20 éves időszakban előforduló legmagasabb hitelkamatlábat kell példaként venni, illetve ha a hitelkamatláb számítására szolgáló adatok 20 évnél rövidebb időre állnak csak rendelkezésre, akkor a leghosszabb olyan időszakot kell tekinteni, amelyre vonatkozóan ezek az adatok rendelkezésre állnak, és adott esetben a hitelkamatláb számításához használt külső referencia-kamatlábnak a legmagasabb értékét kell figyelembe venni, illetve ha a hitelező nem alkalmaz külső referencia-kamatlábat, akkor az EBH által megállapított legmagasabb referencia-kamatlábat kell figyelembe venni. Ez</w:t>
      </w:r>
      <w:r>
        <w:rPr>
          <w:spacing w:val="-49"/>
          <w:w w:val="130"/>
        </w:rPr>
        <w:t> </w:t>
      </w:r>
      <w:r>
        <w:rPr>
          <w:w w:val="130"/>
        </w:rPr>
        <w:t>a rendelkezés nem alkalmazandó azokra a hitelszerződésekre, amelyek a hitelkamatlábat egy hosszabb, többéves kezdeti időszakra rögzítik, majd a</w:t>
      </w:r>
      <w:r>
        <w:rPr>
          <w:spacing w:val="78"/>
          <w:w w:val="130"/>
        </w:rPr>
        <w:t> </w:t>
      </w:r>
      <w:r>
        <w:rPr>
          <w:w w:val="130"/>
        </w:rPr>
        <w:t>hitelkamatláb a hitelező és a fogyasztó közötti tárgyalást követően további időszakra rögzíthető. Olyan hitelszerződések esetében, amelyek a hitelkamatlábat egy hosszabb, többéves kezdeti időszakra rögzítik, majd a</w:t>
      </w:r>
      <w:r>
        <w:rPr>
          <w:spacing w:val="78"/>
          <w:w w:val="130"/>
        </w:rPr>
        <w:t> </w:t>
      </w:r>
      <w:r>
        <w:rPr>
          <w:w w:val="130"/>
        </w:rPr>
        <w:t>hitelkamatláb a hitelező és a fogyasztó közötti tárgyalást követően további időszakra rögzíthető, a tájékoztatásban szerepelnie kell az arra vonatkozó figyelmeztetésnek,</w:t>
      </w:r>
      <w:r>
        <w:rPr>
          <w:spacing w:val="-24"/>
          <w:w w:val="130"/>
        </w:rPr>
        <w:t> </w:t>
      </w:r>
      <w:r>
        <w:rPr>
          <w:w w:val="130"/>
        </w:rPr>
        <w:t>hogy</w:t>
      </w:r>
      <w:r>
        <w:rPr>
          <w:spacing w:val="-24"/>
          <w:w w:val="130"/>
        </w:rPr>
        <w:t> </w:t>
      </w:r>
      <w:r>
        <w:rPr>
          <w:w w:val="130"/>
        </w:rPr>
        <w:t>a</w:t>
      </w:r>
      <w:r>
        <w:rPr>
          <w:spacing w:val="-23"/>
          <w:w w:val="130"/>
        </w:rPr>
        <w:t> </w:t>
      </w:r>
      <w:r>
        <w:rPr>
          <w:w w:val="130"/>
        </w:rPr>
        <w:t>THM-et</w:t>
      </w:r>
      <w:r>
        <w:rPr>
          <w:spacing w:val="-24"/>
          <w:w w:val="130"/>
        </w:rPr>
        <w:t> </w:t>
      </w:r>
      <w:r>
        <w:rPr>
          <w:w w:val="130"/>
        </w:rPr>
        <w:t>a</w:t>
      </w:r>
      <w:r>
        <w:rPr>
          <w:spacing w:val="-24"/>
          <w:w w:val="130"/>
        </w:rPr>
        <w:t> </w:t>
      </w:r>
      <w:r>
        <w:rPr>
          <w:w w:val="130"/>
        </w:rPr>
        <w:t>kezdeti</w:t>
      </w:r>
      <w:r>
        <w:rPr>
          <w:spacing w:val="-24"/>
          <w:w w:val="130"/>
        </w:rPr>
        <w:t> </w:t>
      </w:r>
      <w:r>
        <w:rPr>
          <w:w w:val="130"/>
        </w:rPr>
        <w:t>időszakra</w:t>
      </w:r>
      <w:r>
        <w:rPr>
          <w:spacing w:val="-24"/>
          <w:w w:val="130"/>
        </w:rPr>
        <w:t> </w:t>
      </w:r>
      <w:r>
        <w:rPr>
          <w:w w:val="130"/>
        </w:rPr>
        <w:t>érvényes</w:t>
      </w:r>
      <w:r>
        <w:rPr>
          <w:spacing w:val="-25"/>
          <w:w w:val="130"/>
        </w:rPr>
        <w:t> </w:t>
      </w:r>
      <w:r>
        <w:rPr>
          <w:w w:val="130"/>
        </w:rPr>
        <w:t>hitelkamatláb alapján számították ki. A figyelmeztetés mellett a külön jogszabálynak megfelelően</w:t>
      </w:r>
      <w:r>
        <w:rPr>
          <w:spacing w:val="-24"/>
          <w:w w:val="130"/>
        </w:rPr>
        <w:t> </w:t>
      </w:r>
      <w:r>
        <w:rPr>
          <w:w w:val="130"/>
        </w:rPr>
        <w:t>számított</w:t>
      </w:r>
      <w:r>
        <w:rPr>
          <w:spacing w:val="-23"/>
          <w:w w:val="130"/>
        </w:rPr>
        <w:t> </w:t>
      </w:r>
      <w:r>
        <w:rPr>
          <w:w w:val="130"/>
        </w:rPr>
        <w:t>THM-re</w:t>
      </w:r>
      <w:r>
        <w:rPr>
          <w:spacing w:val="-24"/>
          <w:w w:val="130"/>
        </w:rPr>
        <w:t> </w:t>
      </w:r>
      <w:r>
        <w:rPr>
          <w:w w:val="130"/>
        </w:rPr>
        <w:t>vonatkozó</w:t>
      </w:r>
      <w:r>
        <w:rPr>
          <w:spacing w:val="-23"/>
          <w:w w:val="130"/>
        </w:rPr>
        <w:t> </w:t>
      </w:r>
      <w:r>
        <w:rPr>
          <w:w w:val="130"/>
        </w:rPr>
        <w:t>további</w:t>
      </w:r>
      <w:r>
        <w:rPr>
          <w:spacing w:val="-23"/>
          <w:w w:val="130"/>
        </w:rPr>
        <w:t> </w:t>
      </w:r>
      <w:r>
        <w:rPr>
          <w:w w:val="130"/>
        </w:rPr>
        <w:t>szemléltető</w:t>
      </w:r>
      <w:r>
        <w:rPr>
          <w:spacing w:val="-24"/>
          <w:w w:val="130"/>
        </w:rPr>
        <w:t> </w:t>
      </w:r>
      <w:r>
        <w:rPr>
          <w:w w:val="130"/>
        </w:rPr>
        <w:t>példát</w:t>
      </w:r>
      <w:r>
        <w:rPr>
          <w:spacing w:val="-23"/>
          <w:w w:val="130"/>
        </w:rPr>
        <w:t> </w:t>
      </w:r>
      <w:r>
        <w:rPr>
          <w:w w:val="130"/>
        </w:rPr>
        <w:t>is</w:t>
      </w:r>
      <w:r>
        <w:rPr>
          <w:spacing w:val="-23"/>
          <w:w w:val="130"/>
        </w:rPr>
        <w:t> </w:t>
      </w:r>
      <w:r>
        <w:rPr>
          <w:w w:val="130"/>
        </w:rPr>
        <w:t>be</w:t>
      </w:r>
      <w:r>
        <w:rPr>
          <w:spacing w:val="-24"/>
          <w:w w:val="130"/>
        </w:rPr>
        <w:t> </w:t>
      </w:r>
      <w:r>
        <w:rPr>
          <w:w w:val="130"/>
        </w:rPr>
        <w:t>kell mutatni. Amennyiben a hitel több részből áll (például részben rögzített, részben változó kamatozású), a tájékoztatást a hitel mindegyik részére meg kell</w:t>
      </w:r>
      <w:r>
        <w:rPr>
          <w:spacing w:val="-4"/>
          <w:w w:val="130"/>
        </w:rPr>
        <w:t> </w:t>
      </w:r>
      <w:r>
        <w:rPr>
          <w:w w:val="130"/>
        </w:rPr>
        <w:t>adni.</w:t>
      </w:r>
    </w:p>
    <w:p>
      <w:pPr>
        <w:pStyle w:val="ListParagraph"/>
        <w:numPr>
          <w:ilvl w:val="1"/>
          <w:numId w:val="5"/>
        </w:numPr>
        <w:tabs>
          <w:tab w:pos="858" w:val="left" w:leader="none"/>
        </w:tabs>
        <w:spacing w:line="225" w:lineRule="auto" w:before="16" w:after="0"/>
        <w:ind w:left="113" w:right="146" w:firstLine="204"/>
        <w:jc w:val="both"/>
        <w:rPr>
          <w:sz w:val="24"/>
        </w:rPr>
      </w:pPr>
      <w:r>
        <w:rPr>
          <w:w w:val="130"/>
          <w:sz w:val="24"/>
        </w:rPr>
        <w:t>A</w:t>
      </w:r>
      <w:r>
        <w:rPr>
          <w:spacing w:val="-47"/>
          <w:w w:val="130"/>
          <w:sz w:val="24"/>
        </w:rPr>
        <w:t> </w:t>
      </w:r>
      <w:r>
        <w:rPr>
          <w:w w:val="130"/>
          <w:sz w:val="24"/>
        </w:rPr>
        <w:t>„THM</w:t>
      </w:r>
      <w:r>
        <w:rPr>
          <w:spacing w:val="-46"/>
          <w:w w:val="130"/>
          <w:sz w:val="24"/>
        </w:rPr>
        <w:t> </w:t>
      </w:r>
      <w:r>
        <w:rPr>
          <w:w w:val="130"/>
          <w:sz w:val="24"/>
        </w:rPr>
        <w:t>egyéb</w:t>
      </w:r>
      <w:r>
        <w:rPr>
          <w:spacing w:val="-47"/>
          <w:w w:val="130"/>
          <w:sz w:val="24"/>
        </w:rPr>
        <w:t> </w:t>
      </w:r>
      <w:r>
        <w:rPr>
          <w:w w:val="130"/>
          <w:sz w:val="24"/>
        </w:rPr>
        <w:t>összetevői”</w:t>
      </w:r>
      <w:r>
        <w:rPr>
          <w:spacing w:val="-41"/>
          <w:w w:val="130"/>
          <w:sz w:val="24"/>
        </w:rPr>
        <w:t> </w:t>
      </w:r>
      <w:r>
        <w:rPr>
          <w:w w:val="130"/>
          <w:sz w:val="24"/>
        </w:rPr>
        <w:t>részben</w:t>
      </w:r>
      <w:r>
        <w:rPr>
          <w:spacing w:val="-52"/>
          <w:w w:val="130"/>
          <w:sz w:val="24"/>
        </w:rPr>
        <w:t> </w:t>
      </w:r>
      <w:r>
        <w:rPr>
          <w:w w:val="130"/>
          <w:sz w:val="24"/>
        </w:rPr>
        <w:t>a</w:t>
      </w:r>
      <w:r>
        <w:rPr>
          <w:spacing w:val="-46"/>
          <w:w w:val="130"/>
          <w:sz w:val="24"/>
        </w:rPr>
        <w:t> </w:t>
      </w:r>
      <w:r>
        <w:rPr>
          <w:w w:val="130"/>
          <w:sz w:val="24"/>
        </w:rPr>
        <w:t>THM-ben</w:t>
      </w:r>
      <w:r>
        <w:rPr>
          <w:spacing w:val="-47"/>
          <w:w w:val="130"/>
          <w:sz w:val="24"/>
        </w:rPr>
        <w:t> </w:t>
      </w:r>
      <w:r>
        <w:rPr>
          <w:w w:val="130"/>
          <w:sz w:val="24"/>
        </w:rPr>
        <w:t>foglalt</w:t>
      </w:r>
      <w:r>
        <w:rPr>
          <w:spacing w:val="-46"/>
          <w:w w:val="130"/>
          <w:sz w:val="24"/>
        </w:rPr>
        <w:t> </w:t>
      </w:r>
      <w:r>
        <w:rPr>
          <w:w w:val="130"/>
          <w:sz w:val="24"/>
        </w:rPr>
        <w:t>valamennyi</w:t>
      </w:r>
      <w:r>
        <w:rPr>
          <w:spacing w:val="-47"/>
          <w:w w:val="130"/>
          <w:sz w:val="24"/>
        </w:rPr>
        <w:t> </w:t>
      </w:r>
      <w:r>
        <w:rPr>
          <w:w w:val="130"/>
          <w:sz w:val="24"/>
        </w:rPr>
        <w:t>egyéb költséget fel kell sorolni, ideértve az olyan egyszeri költségeket, mint a</w:t>
      </w:r>
      <w:r>
        <w:rPr>
          <w:spacing w:val="78"/>
          <w:w w:val="130"/>
          <w:sz w:val="24"/>
        </w:rPr>
        <w:t> </w:t>
      </w:r>
      <w:r>
        <w:rPr>
          <w:w w:val="130"/>
          <w:sz w:val="24"/>
        </w:rPr>
        <w:t>kezelési költségek, valamint az olyan rendszeres költségeket is, mint az éves kezelési költségek. A hitelezőnek minden költséget a megfelelő kategóriába besorolva kell megjelenítenie (egyszeri költségek, rendszeresen fizetendő, a törlesztőrészletekben foglalt költségek, valamint rendszeresen fizetendő, a törlesztőrészleteken kívüli költségek), feltüntetve az összeget, továbbá azt, hogy kinek és mikor kell fizetni őket. Itt nem kell feltüntetni a szerződéses kötelezettségek megszegéséért felszámított költségeket. Amennyiben az összeg nem ismert, a hitelezőnek, ha lehetséges, meg kell adnia az összeg</w:t>
      </w:r>
      <w:r>
        <w:rPr>
          <w:spacing w:val="78"/>
          <w:w w:val="130"/>
          <w:sz w:val="24"/>
        </w:rPr>
        <w:t> </w:t>
      </w:r>
      <w:r>
        <w:rPr>
          <w:w w:val="130"/>
          <w:sz w:val="24"/>
        </w:rPr>
        <w:t>tájékoztató jellegű értékét, ha pedig ez nem lehetséges, azt, hogy miként számítják</w:t>
      </w:r>
      <w:r>
        <w:rPr>
          <w:spacing w:val="-13"/>
          <w:w w:val="130"/>
          <w:sz w:val="24"/>
        </w:rPr>
        <w:t> </w:t>
      </w:r>
      <w:r>
        <w:rPr>
          <w:w w:val="130"/>
          <w:sz w:val="24"/>
        </w:rPr>
        <w:t>majd</w:t>
      </w:r>
      <w:r>
        <w:rPr>
          <w:spacing w:val="-13"/>
          <w:w w:val="130"/>
          <w:sz w:val="24"/>
        </w:rPr>
        <w:t> </w:t>
      </w:r>
      <w:r>
        <w:rPr>
          <w:w w:val="130"/>
          <w:sz w:val="24"/>
        </w:rPr>
        <w:t>ki,</w:t>
      </w:r>
      <w:r>
        <w:rPr>
          <w:spacing w:val="-13"/>
          <w:w w:val="130"/>
          <w:sz w:val="24"/>
        </w:rPr>
        <w:t> </w:t>
      </w:r>
      <w:r>
        <w:rPr>
          <w:w w:val="130"/>
          <w:sz w:val="24"/>
        </w:rPr>
        <w:t>valamint</w:t>
      </w:r>
      <w:r>
        <w:rPr>
          <w:spacing w:val="-13"/>
          <w:w w:val="130"/>
          <w:sz w:val="24"/>
        </w:rPr>
        <w:t> </w:t>
      </w:r>
      <w:r>
        <w:rPr>
          <w:w w:val="130"/>
          <w:sz w:val="24"/>
        </w:rPr>
        <w:t>azt,</w:t>
      </w:r>
      <w:r>
        <w:rPr>
          <w:spacing w:val="-13"/>
          <w:w w:val="130"/>
          <w:sz w:val="24"/>
        </w:rPr>
        <w:t> </w:t>
      </w:r>
      <w:r>
        <w:rPr>
          <w:w w:val="130"/>
          <w:sz w:val="24"/>
        </w:rPr>
        <w:t>hogy</w:t>
      </w:r>
      <w:r>
        <w:rPr>
          <w:spacing w:val="-13"/>
          <w:w w:val="130"/>
          <w:sz w:val="24"/>
        </w:rPr>
        <w:t> </w:t>
      </w:r>
      <w:r>
        <w:rPr>
          <w:w w:val="130"/>
          <w:sz w:val="24"/>
        </w:rPr>
        <w:t>a</w:t>
      </w:r>
      <w:r>
        <w:rPr>
          <w:spacing w:val="-12"/>
          <w:w w:val="130"/>
          <w:sz w:val="24"/>
        </w:rPr>
        <w:t> </w:t>
      </w:r>
      <w:r>
        <w:rPr>
          <w:w w:val="130"/>
          <w:sz w:val="24"/>
        </w:rPr>
        <w:t>megadott</w:t>
      </w:r>
      <w:r>
        <w:rPr>
          <w:spacing w:val="-13"/>
          <w:w w:val="130"/>
          <w:sz w:val="24"/>
        </w:rPr>
        <w:t> </w:t>
      </w:r>
      <w:r>
        <w:rPr>
          <w:w w:val="130"/>
          <w:sz w:val="24"/>
        </w:rPr>
        <w:t>érték</w:t>
      </w:r>
      <w:r>
        <w:rPr>
          <w:spacing w:val="-13"/>
          <w:w w:val="130"/>
          <w:sz w:val="24"/>
        </w:rPr>
        <w:t> </w:t>
      </w:r>
      <w:r>
        <w:rPr>
          <w:w w:val="130"/>
          <w:sz w:val="24"/>
        </w:rPr>
        <w:t>tájékoztató</w:t>
      </w:r>
      <w:r>
        <w:rPr>
          <w:spacing w:val="-13"/>
          <w:w w:val="130"/>
          <w:sz w:val="24"/>
        </w:rPr>
        <w:t> </w:t>
      </w:r>
      <w:r>
        <w:rPr>
          <w:w w:val="130"/>
          <w:sz w:val="24"/>
        </w:rPr>
        <w:t>jellegű.</w:t>
      </w:r>
      <w:r>
        <w:rPr>
          <w:spacing w:val="-13"/>
          <w:w w:val="130"/>
          <w:sz w:val="24"/>
        </w:rPr>
        <w:t> </w:t>
      </w:r>
      <w:r>
        <w:rPr>
          <w:w w:val="130"/>
          <w:sz w:val="24"/>
        </w:rPr>
        <w:t>Ha a THM nem tartalmaz bizonyos költségeket, mivel nem ismertek a hitelező számára, ezt ki kell</w:t>
      </w:r>
      <w:r>
        <w:rPr>
          <w:spacing w:val="-5"/>
          <w:w w:val="130"/>
          <w:sz w:val="24"/>
        </w:rPr>
        <w:t> </w:t>
      </w:r>
      <w:r>
        <w:rPr>
          <w:w w:val="130"/>
          <w:sz w:val="24"/>
        </w:rPr>
        <w:t>emelni.</w:t>
      </w:r>
    </w:p>
    <w:p>
      <w:pPr>
        <w:spacing w:after="0" w:line="225" w:lineRule="auto"/>
        <w:jc w:val="both"/>
        <w:rPr>
          <w:sz w:val="24"/>
        </w:rPr>
        <w:sectPr>
          <w:pgSz w:w="11900" w:h="16820"/>
          <w:pgMar w:header="1104" w:footer="0" w:top="1840" w:bottom="280" w:left="1020" w:right="980"/>
        </w:sectPr>
      </w:pPr>
    </w:p>
    <w:p>
      <w:pPr>
        <w:pStyle w:val="BodyText"/>
        <w:spacing w:line="225" w:lineRule="auto" w:before="173"/>
        <w:ind w:right="146"/>
      </w:pPr>
      <w:r>
        <w:rPr>
          <w:w w:val="130"/>
        </w:rPr>
        <w:t>Ha a fogyasztó tájékoztatta a hitelezőt az általa előnyben részesített hitel egy</w:t>
      </w:r>
      <w:r>
        <w:rPr>
          <w:spacing w:val="-8"/>
          <w:w w:val="130"/>
        </w:rPr>
        <w:t> </w:t>
      </w:r>
      <w:r>
        <w:rPr>
          <w:w w:val="130"/>
        </w:rPr>
        <w:t>vagy</w:t>
      </w:r>
      <w:r>
        <w:rPr>
          <w:spacing w:val="-7"/>
          <w:w w:val="130"/>
        </w:rPr>
        <w:t> </w:t>
      </w:r>
      <w:r>
        <w:rPr>
          <w:w w:val="130"/>
        </w:rPr>
        <w:t>több</w:t>
      </w:r>
      <w:r>
        <w:rPr>
          <w:spacing w:val="-8"/>
          <w:w w:val="130"/>
        </w:rPr>
        <w:t> </w:t>
      </w:r>
      <w:r>
        <w:rPr>
          <w:w w:val="130"/>
        </w:rPr>
        <w:t>jellemzőjéről</w:t>
      </w:r>
      <w:r>
        <w:rPr>
          <w:spacing w:val="-7"/>
          <w:w w:val="130"/>
        </w:rPr>
        <w:t> </w:t>
      </w:r>
      <w:r>
        <w:rPr>
          <w:w w:val="130"/>
        </w:rPr>
        <w:t>-</w:t>
      </w:r>
      <w:r>
        <w:rPr>
          <w:spacing w:val="-8"/>
          <w:w w:val="130"/>
        </w:rPr>
        <w:t> </w:t>
      </w:r>
      <w:r>
        <w:rPr>
          <w:w w:val="130"/>
        </w:rPr>
        <w:t>például</w:t>
      </w:r>
      <w:r>
        <w:rPr>
          <w:spacing w:val="-7"/>
          <w:w w:val="130"/>
        </w:rPr>
        <w:t> </w:t>
      </w:r>
      <w:r>
        <w:rPr>
          <w:w w:val="130"/>
        </w:rPr>
        <w:t>a</w:t>
      </w:r>
      <w:r>
        <w:rPr>
          <w:spacing w:val="-8"/>
          <w:w w:val="130"/>
        </w:rPr>
        <w:t> </w:t>
      </w:r>
      <w:r>
        <w:rPr>
          <w:w w:val="130"/>
        </w:rPr>
        <w:t>hitelszerződés</w:t>
      </w:r>
      <w:r>
        <w:rPr>
          <w:spacing w:val="-7"/>
          <w:w w:val="130"/>
        </w:rPr>
        <w:t> </w:t>
      </w:r>
      <w:r>
        <w:rPr>
          <w:w w:val="130"/>
        </w:rPr>
        <w:t>futamidejéről</w:t>
      </w:r>
      <w:r>
        <w:rPr>
          <w:spacing w:val="6"/>
          <w:w w:val="130"/>
        </w:rPr>
        <w:t> </w:t>
      </w:r>
      <w:r>
        <w:rPr>
          <w:w w:val="130"/>
        </w:rPr>
        <w:t>és</w:t>
      </w:r>
      <w:r>
        <w:rPr>
          <w:spacing w:val="-21"/>
          <w:w w:val="130"/>
        </w:rPr>
        <w:t> </w:t>
      </w:r>
      <w:r>
        <w:rPr>
          <w:w w:val="130"/>
        </w:rPr>
        <w:t>a</w:t>
      </w:r>
      <w:r>
        <w:rPr>
          <w:spacing w:val="-7"/>
          <w:w w:val="130"/>
        </w:rPr>
        <w:t> </w:t>
      </w:r>
      <w:r>
        <w:rPr>
          <w:w w:val="130"/>
        </w:rPr>
        <w:t>hitel teljes összegéről - a hitelezőnek ezeket az összetevőket lehetőség szerint alkalmaznia</w:t>
      </w:r>
      <w:r>
        <w:rPr>
          <w:spacing w:val="-11"/>
          <w:w w:val="130"/>
        </w:rPr>
        <w:t> </w:t>
      </w:r>
      <w:r>
        <w:rPr>
          <w:w w:val="130"/>
        </w:rPr>
        <w:t>kell.</w:t>
      </w:r>
      <w:r>
        <w:rPr>
          <w:spacing w:val="-10"/>
          <w:w w:val="130"/>
        </w:rPr>
        <w:t> </w:t>
      </w:r>
      <w:r>
        <w:rPr>
          <w:w w:val="130"/>
        </w:rPr>
        <w:t>Ha</w:t>
      </w:r>
      <w:r>
        <w:rPr>
          <w:spacing w:val="-4"/>
          <w:w w:val="130"/>
        </w:rPr>
        <w:t> </w:t>
      </w:r>
      <w:r>
        <w:rPr>
          <w:w w:val="130"/>
        </w:rPr>
        <w:t>a</w:t>
      </w:r>
      <w:r>
        <w:rPr>
          <w:spacing w:val="-17"/>
          <w:w w:val="130"/>
        </w:rPr>
        <w:t> </w:t>
      </w:r>
      <w:r>
        <w:rPr>
          <w:w w:val="130"/>
        </w:rPr>
        <w:t>hitelszerződés</w:t>
      </w:r>
      <w:r>
        <w:rPr>
          <w:spacing w:val="-10"/>
          <w:w w:val="130"/>
        </w:rPr>
        <w:t> </w:t>
      </w:r>
      <w:r>
        <w:rPr>
          <w:w w:val="130"/>
        </w:rPr>
        <w:t>különböző</w:t>
      </w:r>
      <w:r>
        <w:rPr>
          <w:spacing w:val="-11"/>
          <w:w w:val="130"/>
        </w:rPr>
        <w:t> </w:t>
      </w:r>
      <w:r>
        <w:rPr>
          <w:w w:val="130"/>
        </w:rPr>
        <w:t>módokat</w:t>
      </w:r>
      <w:r>
        <w:rPr>
          <w:spacing w:val="-10"/>
          <w:w w:val="130"/>
        </w:rPr>
        <w:t> </w:t>
      </w:r>
      <w:r>
        <w:rPr>
          <w:w w:val="130"/>
        </w:rPr>
        <w:t>biztosít</w:t>
      </w:r>
      <w:r>
        <w:rPr>
          <w:spacing w:val="-10"/>
          <w:w w:val="130"/>
        </w:rPr>
        <w:t> </w:t>
      </w:r>
      <w:r>
        <w:rPr>
          <w:w w:val="130"/>
        </w:rPr>
        <w:t>a</w:t>
      </w:r>
      <w:r>
        <w:rPr>
          <w:spacing w:val="-11"/>
          <w:w w:val="130"/>
        </w:rPr>
        <w:t> </w:t>
      </w:r>
      <w:r>
        <w:rPr>
          <w:w w:val="130"/>
        </w:rPr>
        <w:t>lehívásra, amelyekhez</w:t>
      </w:r>
      <w:r>
        <w:rPr>
          <w:spacing w:val="-11"/>
          <w:w w:val="130"/>
        </w:rPr>
        <w:t> </w:t>
      </w:r>
      <w:r>
        <w:rPr>
          <w:w w:val="130"/>
        </w:rPr>
        <w:t>különböző</w:t>
      </w:r>
      <w:r>
        <w:rPr>
          <w:spacing w:val="-12"/>
          <w:w w:val="130"/>
        </w:rPr>
        <w:t> </w:t>
      </w:r>
      <w:r>
        <w:rPr>
          <w:w w:val="130"/>
        </w:rPr>
        <w:t>díjak</w:t>
      </w:r>
      <w:r>
        <w:rPr>
          <w:spacing w:val="-11"/>
          <w:w w:val="130"/>
        </w:rPr>
        <w:t> </w:t>
      </w:r>
      <w:r>
        <w:rPr>
          <w:w w:val="130"/>
        </w:rPr>
        <w:t>és</w:t>
      </w:r>
      <w:r>
        <w:rPr>
          <w:spacing w:val="-12"/>
          <w:w w:val="130"/>
        </w:rPr>
        <w:t> </w:t>
      </w:r>
      <w:r>
        <w:rPr>
          <w:w w:val="130"/>
        </w:rPr>
        <w:t>hitelkamatlábak</w:t>
      </w:r>
      <w:r>
        <w:rPr>
          <w:spacing w:val="-10"/>
          <w:w w:val="130"/>
        </w:rPr>
        <w:t> </w:t>
      </w:r>
      <w:r>
        <w:rPr>
          <w:w w:val="130"/>
        </w:rPr>
        <w:t>kapcsolódnak,</w:t>
      </w:r>
      <w:r>
        <w:rPr>
          <w:spacing w:val="-12"/>
          <w:w w:val="130"/>
        </w:rPr>
        <w:t> </w:t>
      </w:r>
      <w:r>
        <w:rPr>
          <w:w w:val="130"/>
        </w:rPr>
        <w:t>és</w:t>
      </w:r>
      <w:r>
        <w:rPr>
          <w:spacing w:val="-12"/>
          <w:w w:val="130"/>
        </w:rPr>
        <w:t> </w:t>
      </w:r>
      <w:r>
        <w:rPr>
          <w:w w:val="130"/>
        </w:rPr>
        <w:t>a</w:t>
      </w:r>
      <w:r>
        <w:rPr>
          <w:spacing w:val="-11"/>
          <w:w w:val="130"/>
        </w:rPr>
        <w:t> </w:t>
      </w:r>
      <w:r>
        <w:rPr>
          <w:w w:val="130"/>
        </w:rPr>
        <w:t>hitelező</w:t>
      </w:r>
      <w:r>
        <w:rPr>
          <w:spacing w:val="-11"/>
          <w:w w:val="130"/>
        </w:rPr>
        <w:t> </w:t>
      </w:r>
      <w:r>
        <w:rPr>
          <w:w w:val="130"/>
        </w:rPr>
        <w:t>a teljes hiteldíj mutató meghatározásáról, számításáról és közzétételéről szóló 83/2010. (III. 25.) Korm. rendelet 4. § (2) bekezdés </w:t>
      </w:r>
      <w:r>
        <w:rPr>
          <w:i/>
          <w:w w:val="130"/>
        </w:rPr>
        <w:t>d) </w:t>
      </w:r>
      <w:r>
        <w:rPr>
          <w:w w:val="130"/>
        </w:rPr>
        <w:t>pontjában meghatározott feltevésekkel él, jeleznie kell, hogy az ilyen típusú hitelszerződéshez</w:t>
      </w:r>
      <w:r>
        <w:rPr>
          <w:spacing w:val="-41"/>
          <w:w w:val="130"/>
        </w:rPr>
        <w:t> </w:t>
      </w:r>
      <w:r>
        <w:rPr>
          <w:w w:val="130"/>
        </w:rPr>
        <w:t>kapcsolódó</w:t>
      </w:r>
      <w:r>
        <w:rPr>
          <w:spacing w:val="-40"/>
          <w:w w:val="130"/>
        </w:rPr>
        <w:t> </w:t>
      </w:r>
      <w:r>
        <w:rPr>
          <w:w w:val="130"/>
        </w:rPr>
        <w:t>más</w:t>
      </w:r>
      <w:r>
        <w:rPr>
          <w:spacing w:val="-41"/>
          <w:w w:val="130"/>
        </w:rPr>
        <w:t> </w:t>
      </w:r>
      <w:r>
        <w:rPr>
          <w:w w:val="130"/>
        </w:rPr>
        <w:t>lehívási</w:t>
      </w:r>
      <w:r>
        <w:rPr>
          <w:spacing w:val="-40"/>
          <w:w w:val="130"/>
        </w:rPr>
        <w:t> </w:t>
      </w:r>
      <w:r>
        <w:rPr>
          <w:w w:val="130"/>
        </w:rPr>
        <w:t>mechanizmusok</w:t>
      </w:r>
      <w:r>
        <w:rPr>
          <w:spacing w:val="-41"/>
          <w:w w:val="130"/>
        </w:rPr>
        <w:t> </w:t>
      </w:r>
      <w:r>
        <w:rPr>
          <w:w w:val="130"/>
        </w:rPr>
        <w:t>magasabb</w:t>
      </w:r>
      <w:r>
        <w:rPr>
          <w:spacing w:val="-40"/>
          <w:w w:val="130"/>
        </w:rPr>
        <w:t> </w:t>
      </w:r>
      <w:r>
        <w:rPr>
          <w:w w:val="130"/>
        </w:rPr>
        <w:t>THM-et eredményezhetnek. Amennyiben a THM kiszámításához figyelembe veszik</w:t>
      </w:r>
      <w:r>
        <w:rPr>
          <w:spacing w:val="-42"/>
          <w:w w:val="130"/>
        </w:rPr>
        <w:t> </w:t>
      </w:r>
      <w:r>
        <w:rPr>
          <w:w w:val="130"/>
        </w:rPr>
        <w:t>a lehívási feltételeket, a hitelezőnek ki kell emelnie a THM kiszámításához</w:t>
      </w:r>
      <w:r>
        <w:rPr>
          <w:spacing w:val="78"/>
          <w:w w:val="130"/>
        </w:rPr>
        <w:t> </w:t>
      </w:r>
      <w:r>
        <w:rPr>
          <w:w w:val="130"/>
        </w:rPr>
        <w:t>használttól esetleg eltérő mechanizmusokhoz</w:t>
      </w:r>
      <w:r>
        <w:rPr>
          <w:spacing w:val="-59"/>
          <w:w w:val="130"/>
        </w:rPr>
        <w:t> </w:t>
      </w:r>
      <w:r>
        <w:rPr>
          <w:w w:val="130"/>
        </w:rPr>
        <w:t>kapcsolódó költségeket.</w:t>
      </w:r>
    </w:p>
    <w:p>
      <w:pPr>
        <w:pStyle w:val="ListParagraph"/>
        <w:numPr>
          <w:ilvl w:val="1"/>
          <w:numId w:val="5"/>
        </w:numPr>
        <w:tabs>
          <w:tab w:pos="912" w:val="left" w:leader="none"/>
        </w:tabs>
        <w:spacing w:line="225" w:lineRule="auto" w:before="7" w:after="0"/>
        <w:ind w:left="113" w:right="144" w:firstLine="204"/>
        <w:jc w:val="both"/>
        <w:rPr>
          <w:sz w:val="24"/>
        </w:rPr>
      </w:pPr>
      <w:r>
        <w:rPr>
          <w:w w:val="130"/>
          <w:sz w:val="24"/>
        </w:rPr>
        <w:t>Amennyiben a jelzálogjog vagy hasonló biztosíték bejegyzéséért díjat kell fizetni, ezt ebben a pontban kell közölni az összeg megadásával együtt, amennyiben az ismert, ha pedig ez nem lehetséges, akkor az összeg meghatározásának az alapját kell ismertetni. Ha a díj ismert és a THM tartalmazza,</w:t>
      </w:r>
      <w:r>
        <w:rPr>
          <w:spacing w:val="-12"/>
          <w:w w:val="130"/>
          <w:sz w:val="24"/>
        </w:rPr>
        <w:t> </w:t>
      </w:r>
      <w:r>
        <w:rPr>
          <w:w w:val="130"/>
          <w:sz w:val="24"/>
        </w:rPr>
        <w:t>akkor</w:t>
      </w:r>
      <w:r>
        <w:rPr>
          <w:spacing w:val="-12"/>
          <w:w w:val="130"/>
          <w:sz w:val="24"/>
        </w:rPr>
        <w:t> </w:t>
      </w:r>
      <w:r>
        <w:rPr>
          <w:w w:val="130"/>
          <w:sz w:val="24"/>
        </w:rPr>
        <w:t>a</w:t>
      </w:r>
      <w:r>
        <w:rPr>
          <w:spacing w:val="-11"/>
          <w:w w:val="130"/>
          <w:sz w:val="24"/>
        </w:rPr>
        <w:t> </w:t>
      </w:r>
      <w:r>
        <w:rPr>
          <w:w w:val="130"/>
          <w:sz w:val="24"/>
        </w:rPr>
        <w:t>díjat</w:t>
      </w:r>
      <w:r>
        <w:rPr>
          <w:spacing w:val="-12"/>
          <w:w w:val="130"/>
          <w:sz w:val="24"/>
        </w:rPr>
        <w:t> </w:t>
      </w:r>
      <w:r>
        <w:rPr>
          <w:w w:val="130"/>
          <w:sz w:val="24"/>
        </w:rPr>
        <w:t>és</w:t>
      </w:r>
      <w:r>
        <w:rPr>
          <w:spacing w:val="2"/>
          <w:w w:val="130"/>
          <w:sz w:val="24"/>
        </w:rPr>
        <w:t> </w:t>
      </w:r>
      <w:r>
        <w:rPr>
          <w:w w:val="130"/>
          <w:sz w:val="24"/>
        </w:rPr>
        <w:t>összegét</w:t>
      </w:r>
      <w:r>
        <w:rPr>
          <w:spacing w:val="-21"/>
          <w:w w:val="130"/>
          <w:sz w:val="24"/>
        </w:rPr>
        <w:t> </w:t>
      </w:r>
      <w:r>
        <w:rPr>
          <w:w w:val="130"/>
          <w:sz w:val="24"/>
        </w:rPr>
        <w:t>az</w:t>
      </w:r>
      <w:r>
        <w:rPr>
          <w:spacing w:val="-15"/>
          <w:w w:val="130"/>
          <w:sz w:val="24"/>
        </w:rPr>
        <w:t> </w:t>
      </w:r>
      <w:r>
        <w:rPr>
          <w:w w:val="130"/>
          <w:sz w:val="24"/>
        </w:rPr>
        <w:t>„Egyszer</w:t>
      </w:r>
      <w:r>
        <w:rPr>
          <w:spacing w:val="-12"/>
          <w:w w:val="130"/>
          <w:sz w:val="24"/>
        </w:rPr>
        <w:t> </w:t>
      </w:r>
      <w:r>
        <w:rPr>
          <w:w w:val="130"/>
          <w:sz w:val="24"/>
        </w:rPr>
        <w:t>fizetendő</w:t>
      </w:r>
      <w:r>
        <w:rPr>
          <w:spacing w:val="-11"/>
          <w:w w:val="130"/>
          <w:sz w:val="24"/>
        </w:rPr>
        <w:t> </w:t>
      </w:r>
      <w:r>
        <w:rPr>
          <w:w w:val="130"/>
          <w:sz w:val="24"/>
        </w:rPr>
        <w:t>költségek”</w:t>
      </w:r>
      <w:r>
        <w:rPr>
          <w:spacing w:val="-12"/>
          <w:w w:val="130"/>
          <w:sz w:val="24"/>
        </w:rPr>
        <w:t> </w:t>
      </w:r>
      <w:r>
        <w:rPr>
          <w:w w:val="130"/>
          <w:sz w:val="24"/>
        </w:rPr>
        <w:t>között kell feltüntetni. Ha a hitelező nem ismeri a díjat, és ezért a THM azt nem</w:t>
      </w:r>
      <w:r>
        <w:rPr>
          <w:spacing w:val="78"/>
          <w:w w:val="130"/>
          <w:sz w:val="24"/>
        </w:rPr>
        <w:t> </w:t>
      </w:r>
      <w:r>
        <w:rPr>
          <w:w w:val="130"/>
          <w:sz w:val="24"/>
        </w:rPr>
        <w:t>tartalmazza,</w:t>
      </w:r>
      <w:r>
        <w:rPr>
          <w:spacing w:val="-17"/>
          <w:w w:val="130"/>
          <w:sz w:val="24"/>
        </w:rPr>
        <w:t> </w:t>
      </w:r>
      <w:r>
        <w:rPr>
          <w:w w:val="130"/>
          <w:sz w:val="24"/>
        </w:rPr>
        <w:t>akkor</w:t>
      </w:r>
      <w:r>
        <w:rPr>
          <w:spacing w:val="-16"/>
          <w:w w:val="130"/>
          <w:sz w:val="24"/>
        </w:rPr>
        <w:t> </w:t>
      </w:r>
      <w:r>
        <w:rPr>
          <w:w w:val="130"/>
          <w:sz w:val="24"/>
        </w:rPr>
        <w:t>a</w:t>
      </w:r>
      <w:r>
        <w:rPr>
          <w:spacing w:val="-16"/>
          <w:w w:val="130"/>
          <w:sz w:val="24"/>
        </w:rPr>
        <w:t> </w:t>
      </w:r>
      <w:r>
        <w:rPr>
          <w:w w:val="130"/>
          <w:sz w:val="24"/>
        </w:rPr>
        <w:t>díjfizetési</w:t>
      </w:r>
      <w:r>
        <w:rPr>
          <w:spacing w:val="-16"/>
          <w:w w:val="130"/>
          <w:sz w:val="24"/>
        </w:rPr>
        <w:t> </w:t>
      </w:r>
      <w:r>
        <w:rPr>
          <w:w w:val="130"/>
          <w:sz w:val="24"/>
        </w:rPr>
        <w:t>kötelezettséget</w:t>
      </w:r>
      <w:r>
        <w:rPr>
          <w:spacing w:val="-16"/>
          <w:w w:val="130"/>
          <w:sz w:val="24"/>
        </w:rPr>
        <w:t> </w:t>
      </w:r>
      <w:r>
        <w:rPr>
          <w:w w:val="130"/>
          <w:sz w:val="24"/>
        </w:rPr>
        <w:t>egyértelműen</w:t>
      </w:r>
      <w:r>
        <w:rPr>
          <w:spacing w:val="-16"/>
          <w:w w:val="130"/>
          <w:sz w:val="24"/>
        </w:rPr>
        <w:t> </w:t>
      </w:r>
      <w:r>
        <w:rPr>
          <w:w w:val="130"/>
          <w:sz w:val="24"/>
        </w:rPr>
        <w:t>fel</w:t>
      </w:r>
      <w:r>
        <w:rPr>
          <w:spacing w:val="-12"/>
          <w:w w:val="130"/>
          <w:sz w:val="24"/>
        </w:rPr>
        <w:t> </w:t>
      </w:r>
      <w:r>
        <w:rPr>
          <w:w w:val="130"/>
          <w:sz w:val="24"/>
        </w:rPr>
        <w:t>kell</w:t>
      </w:r>
      <w:r>
        <w:rPr>
          <w:spacing w:val="-20"/>
          <w:w w:val="130"/>
          <w:sz w:val="24"/>
        </w:rPr>
        <w:t> </w:t>
      </w:r>
      <w:r>
        <w:rPr>
          <w:w w:val="130"/>
          <w:sz w:val="24"/>
        </w:rPr>
        <w:t>tüntetni</w:t>
      </w:r>
      <w:r>
        <w:rPr>
          <w:spacing w:val="-17"/>
          <w:w w:val="130"/>
          <w:sz w:val="24"/>
        </w:rPr>
        <w:t> </w:t>
      </w:r>
      <w:r>
        <w:rPr>
          <w:w w:val="130"/>
          <w:sz w:val="24"/>
        </w:rPr>
        <w:t>a hitelező számára nem ismert költségek között. Mindkét esetben a személyre szóló</w:t>
      </w:r>
      <w:r>
        <w:rPr>
          <w:spacing w:val="-20"/>
          <w:w w:val="130"/>
          <w:sz w:val="24"/>
        </w:rPr>
        <w:t> </w:t>
      </w:r>
      <w:r>
        <w:rPr>
          <w:w w:val="130"/>
          <w:sz w:val="24"/>
        </w:rPr>
        <w:t>tájékoztatásban</w:t>
      </w:r>
      <w:r>
        <w:rPr>
          <w:spacing w:val="-20"/>
          <w:w w:val="130"/>
          <w:sz w:val="24"/>
        </w:rPr>
        <w:t> </w:t>
      </w:r>
      <w:r>
        <w:rPr>
          <w:w w:val="130"/>
          <w:sz w:val="24"/>
        </w:rPr>
        <w:t>szereplő</w:t>
      </w:r>
      <w:r>
        <w:rPr>
          <w:spacing w:val="-20"/>
          <w:w w:val="130"/>
          <w:sz w:val="24"/>
        </w:rPr>
        <w:t> </w:t>
      </w:r>
      <w:r>
        <w:rPr>
          <w:w w:val="130"/>
          <w:sz w:val="24"/>
        </w:rPr>
        <w:t>standard</w:t>
      </w:r>
      <w:r>
        <w:rPr>
          <w:spacing w:val="-19"/>
          <w:w w:val="130"/>
          <w:sz w:val="24"/>
        </w:rPr>
        <w:t> </w:t>
      </w:r>
      <w:r>
        <w:rPr>
          <w:w w:val="130"/>
          <w:sz w:val="24"/>
        </w:rPr>
        <w:t>szöveget</w:t>
      </w:r>
      <w:r>
        <w:rPr>
          <w:spacing w:val="-20"/>
          <w:w w:val="130"/>
          <w:sz w:val="24"/>
        </w:rPr>
        <w:t> </w:t>
      </w:r>
      <w:r>
        <w:rPr>
          <w:w w:val="130"/>
          <w:sz w:val="24"/>
        </w:rPr>
        <w:t>kell</w:t>
      </w:r>
      <w:r>
        <w:rPr>
          <w:spacing w:val="-20"/>
          <w:w w:val="130"/>
          <w:sz w:val="24"/>
        </w:rPr>
        <w:t> </w:t>
      </w:r>
      <w:r>
        <w:rPr>
          <w:w w:val="130"/>
          <w:sz w:val="24"/>
        </w:rPr>
        <w:t>felhasználni</w:t>
      </w:r>
      <w:r>
        <w:rPr>
          <w:spacing w:val="-19"/>
          <w:w w:val="130"/>
          <w:sz w:val="24"/>
        </w:rPr>
        <w:t> </w:t>
      </w:r>
      <w:r>
        <w:rPr>
          <w:w w:val="130"/>
          <w:sz w:val="24"/>
        </w:rPr>
        <w:t>a</w:t>
      </w:r>
      <w:r>
        <w:rPr>
          <w:spacing w:val="-20"/>
          <w:w w:val="130"/>
          <w:sz w:val="24"/>
        </w:rPr>
        <w:t> </w:t>
      </w:r>
      <w:r>
        <w:rPr>
          <w:w w:val="130"/>
          <w:sz w:val="24"/>
        </w:rPr>
        <w:t>megfelelő megnevezés</w:t>
      </w:r>
      <w:r>
        <w:rPr>
          <w:spacing w:val="-4"/>
          <w:w w:val="130"/>
          <w:sz w:val="24"/>
        </w:rPr>
        <w:t> </w:t>
      </w:r>
      <w:r>
        <w:rPr>
          <w:w w:val="130"/>
          <w:sz w:val="24"/>
        </w:rPr>
        <w:t>alatt.</w:t>
      </w:r>
    </w:p>
    <w:p>
      <w:pPr>
        <w:pStyle w:val="ListParagraph"/>
        <w:numPr>
          <w:ilvl w:val="0"/>
          <w:numId w:val="5"/>
        </w:numPr>
        <w:tabs>
          <w:tab w:pos="623" w:val="left" w:leader="none"/>
        </w:tabs>
        <w:spacing w:line="268" w:lineRule="exact" w:before="232" w:after="0"/>
        <w:ind w:left="622" w:right="0" w:hanging="305"/>
        <w:jc w:val="left"/>
        <w:rPr>
          <w:sz w:val="24"/>
        </w:rPr>
      </w:pPr>
      <w:r>
        <w:rPr>
          <w:w w:val="125"/>
          <w:sz w:val="24"/>
        </w:rPr>
        <w:t>A törlesztések gyakorisága és</w:t>
      </w:r>
      <w:r>
        <w:rPr>
          <w:spacing w:val="4"/>
          <w:w w:val="125"/>
          <w:sz w:val="24"/>
        </w:rPr>
        <w:t> </w:t>
      </w:r>
      <w:r>
        <w:rPr>
          <w:w w:val="125"/>
          <w:sz w:val="24"/>
        </w:rPr>
        <w:t>száma</w:t>
      </w:r>
    </w:p>
    <w:p>
      <w:pPr>
        <w:pStyle w:val="ListParagraph"/>
        <w:numPr>
          <w:ilvl w:val="1"/>
          <w:numId w:val="5"/>
        </w:numPr>
        <w:tabs>
          <w:tab w:pos="909" w:val="left" w:leader="none"/>
        </w:tabs>
        <w:spacing w:line="225" w:lineRule="auto" w:before="5" w:after="0"/>
        <w:ind w:left="113" w:right="146" w:firstLine="204"/>
        <w:jc w:val="both"/>
        <w:rPr>
          <w:sz w:val="24"/>
        </w:rPr>
      </w:pPr>
      <w:r>
        <w:rPr>
          <w:w w:val="130"/>
          <w:sz w:val="24"/>
        </w:rPr>
        <w:t>Ha a törlesztéseket rendszeres időközönként kell teljesíteni, meg kell adni a törlesztések gyakoriságát (például havi). Ha a részleteket nem</w:t>
      </w:r>
      <w:r>
        <w:rPr>
          <w:spacing w:val="78"/>
          <w:w w:val="130"/>
          <w:sz w:val="24"/>
        </w:rPr>
        <w:t> </w:t>
      </w:r>
      <w:r>
        <w:rPr>
          <w:w w:val="130"/>
          <w:sz w:val="24"/>
        </w:rPr>
        <w:t>rendszeres időközönként kell majd törleszteni, ezt világosan el kell magyarázni a</w:t>
      </w:r>
      <w:r>
        <w:rPr>
          <w:spacing w:val="-9"/>
          <w:w w:val="130"/>
          <w:sz w:val="24"/>
        </w:rPr>
        <w:t> </w:t>
      </w:r>
      <w:r>
        <w:rPr>
          <w:w w:val="130"/>
          <w:sz w:val="24"/>
        </w:rPr>
        <w:t>fogyasztónak.</w:t>
      </w:r>
    </w:p>
    <w:p>
      <w:pPr>
        <w:pStyle w:val="ListParagraph"/>
        <w:numPr>
          <w:ilvl w:val="1"/>
          <w:numId w:val="5"/>
        </w:numPr>
        <w:tabs>
          <w:tab w:pos="932" w:val="left" w:leader="none"/>
        </w:tabs>
        <w:spacing w:line="225" w:lineRule="auto" w:before="3" w:after="0"/>
        <w:ind w:left="113" w:right="148" w:firstLine="204"/>
        <w:jc w:val="both"/>
        <w:rPr>
          <w:sz w:val="24"/>
        </w:rPr>
      </w:pPr>
      <w:r>
        <w:rPr>
          <w:w w:val="125"/>
          <w:sz w:val="24"/>
        </w:rPr>
        <w:t>A törlesztések feltüntetett számának a hitel teljes futamidejére kell vonatkoznia.</w:t>
      </w:r>
    </w:p>
    <w:p>
      <w:pPr>
        <w:pStyle w:val="ListParagraph"/>
        <w:numPr>
          <w:ilvl w:val="0"/>
          <w:numId w:val="5"/>
        </w:numPr>
        <w:tabs>
          <w:tab w:pos="623" w:val="left" w:leader="none"/>
        </w:tabs>
        <w:spacing w:line="268" w:lineRule="exact" w:before="227" w:after="0"/>
        <w:ind w:left="622" w:right="0" w:hanging="305"/>
        <w:jc w:val="left"/>
        <w:rPr>
          <w:sz w:val="24"/>
        </w:rPr>
      </w:pPr>
      <w:r>
        <w:rPr>
          <w:w w:val="125"/>
          <w:sz w:val="24"/>
        </w:rPr>
        <w:t>Az egyes törlesztőrészletek</w:t>
      </w:r>
      <w:r>
        <w:rPr>
          <w:spacing w:val="2"/>
          <w:w w:val="125"/>
          <w:sz w:val="24"/>
        </w:rPr>
        <w:t> </w:t>
      </w:r>
      <w:r>
        <w:rPr>
          <w:w w:val="125"/>
          <w:sz w:val="24"/>
        </w:rPr>
        <w:t>összege</w:t>
      </w:r>
    </w:p>
    <w:p>
      <w:pPr>
        <w:pStyle w:val="ListParagraph"/>
        <w:numPr>
          <w:ilvl w:val="1"/>
          <w:numId w:val="5"/>
        </w:numPr>
        <w:tabs>
          <w:tab w:pos="889" w:val="left" w:leader="none"/>
        </w:tabs>
        <w:spacing w:line="225" w:lineRule="auto" w:before="6" w:after="0"/>
        <w:ind w:left="113" w:right="152" w:firstLine="204"/>
        <w:jc w:val="both"/>
        <w:rPr>
          <w:sz w:val="24"/>
        </w:rPr>
      </w:pPr>
      <w:r>
        <w:rPr>
          <w:w w:val="125"/>
          <w:sz w:val="24"/>
        </w:rPr>
        <w:t>A hitel pénznemét és a törlesztőrészletek pénznemét egyértelműen fel kell tüntetni.</w:t>
      </w:r>
    </w:p>
    <w:p>
      <w:pPr>
        <w:pStyle w:val="ListParagraph"/>
        <w:numPr>
          <w:ilvl w:val="1"/>
          <w:numId w:val="5"/>
        </w:numPr>
        <w:tabs>
          <w:tab w:pos="924" w:val="left" w:leader="none"/>
        </w:tabs>
        <w:spacing w:line="225" w:lineRule="auto" w:before="1" w:after="0"/>
        <w:ind w:left="113" w:right="149" w:firstLine="204"/>
        <w:jc w:val="both"/>
        <w:rPr>
          <w:sz w:val="24"/>
        </w:rPr>
      </w:pPr>
      <w:r>
        <w:rPr>
          <w:w w:val="130"/>
          <w:sz w:val="24"/>
        </w:rPr>
        <w:t>Ha a törlesztőrészletek összege a hitel futamideje alatt változhat, a hitelezőnek meg kell adnia azt az időtartamot, amelynek során a kezdeti törlesztőrészlet mértéke változatlan marad, valamint meg kell adnia, hogy később</w:t>
      </w:r>
      <w:r>
        <w:rPr>
          <w:spacing w:val="-12"/>
          <w:w w:val="130"/>
          <w:sz w:val="24"/>
        </w:rPr>
        <w:t> </w:t>
      </w:r>
      <w:r>
        <w:rPr>
          <w:w w:val="130"/>
          <w:sz w:val="24"/>
        </w:rPr>
        <w:t>mikor</w:t>
      </w:r>
      <w:r>
        <w:rPr>
          <w:spacing w:val="-12"/>
          <w:w w:val="130"/>
          <w:sz w:val="24"/>
        </w:rPr>
        <w:t> </w:t>
      </w:r>
      <w:r>
        <w:rPr>
          <w:w w:val="130"/>
          <w:sz w:val="24"/>
        </w:rPr>
        <w:t>és</w:t>
      </w:r>
      <w:r>
        <w:rPr>
          <w:spacing w:val="-11"/>
          <w:w w:val="130"/>
          <w:sz w:val="24"/>
        </w:rPr>
        <w:t> </w:t>
      </w:r>
      <w:r>
        <w:rPr>
          <w:w w:val="130"/>
          <w:sz w:val="24"/>
        </w:rPr>
        <w:t>milyen</w:t>
      </w:r>
      <w:r>
        <w:rPr>
          <w:spacing w:val="-12"/>
          <w:w w:val="130"/>
          <w:sz w:val="24"/>
        </w:rPr>
        <w:t> </w:t>
      </w:r>
      <w:r>
        <w:rPr>
          <w:w w:val="130"/>
          <w:sz w:val="24"/>
        </w:rPr>
        <w:t>gyakorisággal</w:t>
      </w:r>
      <w:r>
        <w:rPr>
          <w:spacing w:val="-10"/>
          <w:w w:val="130"/>
          <w:sz w:val="24"/>
        </w:rPr>
        <w:t> </w:t>
      </w:r>
      <w:r>
        <w:rPr>
          <w:w w:val="130"/>
          <w:sz w:val="24"/>
        </w:rPr>
        <w:t>változik</w:t>
      </w:r>
      <w:r>
        <w:rPr>
          <w:spacing w:val="-12"/>
          <w:w w:val="130"/>
          <w:sz w:val="24"/>
        </w:rPr>
        <w:t> </w:t>
      </w:r>
      <w:r>
        <w:rPr>
          <w:w w:val="130"/>
          <w:sz w:val="24"/>
        </w:rPr>
        <w:t>a</w:t>
      </w:r>
      <w:r>
        <w:rPr>
          <w:spacing w:val="-11"/>
          <w:w w:val="130"/>
          <w:sz w:val="24"/>
        </w:rPr>
        <w:t> </w:t>
      </w:r>
      <w:r>
        <w:rPr>
          <w:w w:val="130"/>
          <w:sz w:val="24"/>
        </w:rPr>
        <w:t>törlesztőrészlet.</w:t>
      </w:r>
    </w:p>
    <w:p>
      <w:pPr>
        <w:pStyle w:val="ListParagraph"/>
        <w:numPr>
          <w:ilvl w:val="1"/>
          <w:numId w:val="5"/>
        </w:numPr>
        <w:tabs>
          <w:tab w:pos="855" w:val="left" w:leader="none"/>
        </w:tabs>
        <w:spacing w:line="225" w:lineRule="auto" w:before="2" w:after="0"/>
        <w:ind w:left="113" w:right="150" w:firstLine="204"/>
        <w:jc w:val="both"/>
        <w:rPr>
          <w:sz w:val="24"/>
        </w:rPr>
      </w:pPr>
      <w:r>
        <w:rPr>
          <w:w w:val="125"/>
          <w:sz w:val="24"/>
        </w:rPr>
        <w:t>Amennyiben a teljes hitel vagy egy része halasztott tőketörlesztésű hitel, akkor e pont végén, a személyre szóló tájékoztatásban szereplő megfogalmazással, feltűnően el kell helyezni az erre egyértelműen utaló nyilatkozatot.</w:t>
      </w:r>
    </w:p>
    <w:p>
      <w:pPr>
        <w:pStyle w:val="BodyText"/>
        <w:spacing w:line="225" w:lineRule="auto" w:before="3"/>
        <w:ind w:right="137"/>
      </w:pPr>
      <w:r>
        <w:rPr>
          <w:w w:val="130"/>
        </w:rPr>
        <w:t>Ha a fogyasztó csak úgy részesülhet halasztott tőketörlesztésű, jelzálogjoggal vagy más hasonló biztosítékkal fedezett hitelben, ha valamely kapcsolt megtakarítási terméket is megvásárol, akkor az ez utóbbi termékhez kapcsolódó fizetések összegét és gyakoriságát meg kell adni.</w:t>
      </w:r>
    </w:p>
    <w:p>
      <w:pPr>
        <w:spacing w:after="0" w:line="225" w:lineRule="auto"/>
        <w:sectPr>
          <w:pgSz w:w="11900" w:h="16820"/>
          <w:pgMar w:header="1104" w:footer="0" w:top="1840" w:bottom="280" w:left="1020" w:right="980"/>
        </w:sectPr>
      </w:pPr>
    </w:p>
    <w:p>
      <w:pPr>
        <w:pStyle w:val="ListParagraph"/>
        <w:numPr>
          <w:ilvl w:val="1"/>
          <w:numId w:val="5"/>
        </w:numPr>
        <w:tabs>
          <w:tab w:pos="860" w:val="left" w:leader="none"/>
        </w:tabs>
        <w:spacing w:line="225" w:lineRule="auto" w:before="173" w:after="0"/>
        <w:ind w:left="113" w:right="130" w:firstLine="204"/>
        <w:jc w:val="both"/>
        <w:rPr>
          <w:sz w:val="24"/>
        </w:rPr>
      </w:pPr>
      <w:r>
        <w:rPr>
          <w:w w:val="130"/>
          <w:sz w:val="24"/>
        </w:rPr>
        <w:t>Változó</w:t>
      </w:r>
      <w:r>
        <w:rPr>
          <w:spacing w:val="-13"/>
          <w:w w:val="130"/>
          <w:sz w:val="24"/>
        </w:rPr>
        <w:t> </w:t>
      </w:r>
      <w:r>
        <w:rPr>
          <w:w w:val="130"/>
          <w:sz w:val="24"/>
        </w:rPr>
        <w:t>hitelkamatláb</w:t>
      </w:r>
      <w:r>
        <w:rPr>
          <w:spacing w:val="-13"/>
          <w:w w:val="130"/>
          <w:sz w:val="24"/>
        </w:rPr>
        <w:t> </w:t>
      </w:r>
      <w:r>
        <w:rPr>
          <w:w w:val="130"/>
          <w:sz w:val="24"/>
        </w:rPr>
        <w:t>esetén</w:t>
      </w:r>
      <w:r>
        <w:rPr>
          <w:spacing w:val="-13"/>
          <w:w w:val="130"/>
          <w:sz w:val="24"/>
        </w:rPr>
        <w:t> </w:t>
      </w:r>
      <w:r>
        <w:rPr>
          <w:w w:val="130"/>
          <w:sz w:val="24"/>
        </w:rPr>
        <w:t>a</w:t>
      </w:r>
      <w:r>
        <w:rPr>
          <w:spacing w:val="-13"/>
          <w:w w:val="130"/>
          <w:sz w:val="24"/>
        </w:rPr>
        <w:t> </w:t>
      </w:r>
      <w:r>
        <w:rPr>
          <w:w w:val="130"/>
          <w:sz w:val="24"/>
        </w:rPr>
        <w:t>tájékoztatásban</w:t>
      </w:r>
      <w:r>
        <w:rPr>
          <w:spacing w:val="-13"/>
          <w:w w:val="130"/>
          <w:sz w:val="24"/>
        </w:rPr>
        <w:t> </w:t>
      </w:r>
      <w:r>
        <w:rPr>
          <w:w w:val="130"/>
          <w:sz w:val="24"/>
        </w:rPr>
        <w:t>szerepelnie</w:t>
      </w:r>
      <w:r>
        <w:rPr>
          <w:spacing w:val="-13"/>
          <w:w w:val="130"/>
          <w:sz w:val="24"/>
        </w:rPr>
        <w:t> </w:t>
      </w:r>
      <w:r>
        <w:rPr>
          <w:w w:val="130"/>
          <w:sz w:val="24"/>
        </w:rPr>
        <w:t>kell</w:t>
      </w:r>
      <w:r>
        <w:rPr>
          <w:spacing w:val="-13"/>
          <w:w w:val="130"/>
          <w:sz w:val="24"/>
        </w:rPr>
        <w:t> </w:t>
      </w:r>
      <w:r>
        <w:rPr>
          <w:w w:val="130"/>
          <w:sz w:val="24"/>
        </w:rPr>
        <w:t>egy</w:t>
      </w:r>
      <w:r>
        <w:rPr>
          <w:spacing w:val="-13"/>
          <w:w w:val="130"/>
          <w:sz w:val="24"/>
        </w:rPr>
        <w:t> </w:t>
      </w:r>
      <w:r>
        <w:rPr>
          <w:w w:val="130"/>
          <w:sz w:val="24"/>
        </w:rPr>
        <w:t>erre vonatkozó nyilatkozatnak a személyre szóló tájékoztatásban szereplő megfogalmazást felhasználva, valamint szemléltetni kell a törlesztőrészlet maximális összegét. Felső értékhatár megléte esetén a szemléltető példában a törlesztőrészlet azon összegét kell szerepeltetni, amely akkor állna elő, ha a hitelkamatláb eléri a maximális szintet. Amennyiben nincs felső értékhatár, a legrosszabb esetre szóló forgatókönyvet alkalmazva, az elmúlt 20 évben előforduló legmagasabb hitelkamatlábbal számított törlesztőrészletet kell példaként</w:t>
      </w:r>
      <w:r>
        <w:rPr>
          <w:spacing w:val="-18"/>
          <w:w w:val="130"/>
          <w:sz w:val="24"/>
        </w:rPr>
        <w:t> </w:t>
      </w:r>
      <w:r>
        <w:rPr>
          <w:w w:val="130"/>
          <w:sz w:val="24"/>
        </w:rPr>
        <w:t>bemutatni.</w:t>
      </w:r>
      <w:r>
        <w:rPr>
          <w:spacing w:val="-17"/>
          <w:w w:val="130"/>
          <w:sz w:val="24"/>
        </w:rPr>
        <w:t> </w:t>
      </w:r>
      <w:r>
        <w:rPr>
          <w:w w:val="130"/>
          <w:sz w:val="24"/>
        </w:rPr>
        <w:t>Ha</w:t>
      </w:r>
      <w:r>
        <w:rPr>
          <w:spacing w:val="-17"/>
          <w:w w:val="130"/>
          <w:sz w:val="24"/>
        </w:rPr>
        <w:t> </w:t>
      </w:r>
      <w:r>
        <w:rPr>
          <w:w w:val="130"/>
          <w:sz w:val="24"/>
        </w:rPr>
        <w:t>a</w:t>
      </w:r>
      <w:r>
        <w:rPr>
          <w:spacing w:val="-17"/>
          <w:w w:val="130"/>
          <w:sz w:val="24"/>
        </w:rPr>
        <w:t> </w:t>
      </w:r>
      <w:r>
        <w:rPr>
          <w:w w:val="130"/>
          <w:sz w:val="24"/>
        </w:rPr>
        <w:t>hitelkamatláb</w:t>
      </w:r>
      <w:r>
        <w:rPr>
          <w:spacing w:val="-17"/>
          <w:w w:val="130"/>
          <w:sz w:val="24"/>
        </w:rPr>
        <w:t> </w:t>
      </w:r>
      <w:r>
        <w:rPr>
          <w:w w:val="130"/>
          <w:sz w:val="24"/>
        </w:rPr>
        <w:t>számítására</w:t>
      </w:r>
      <w:r>
        <w:rPr>
          <w:spacing w:val="-17"/>
          <w:w w:val="130"/>
          <w:sz w:val="24"/>
        </w:rPr>
        <w:t> </w:t>
      </w:r>
      <w:r>
        <w:rPr>
          <w:w w:val="130"/>
          <w:sz w:val="24"/>
        </w:rPr>
        <w:t>szolgáló</w:t>
      </w:r>
      <w:r>
        <w:rPr>
          <w:spacing w:val="-17"/>
          <w:w w:val="130"/>
          <w:sz w:val="24"/>
        </w:rPr>
        <w:t> </w:t>
      </w:r>
      <w:r>
        <w:rPr>
          <w:w w:val="130"/>
          <w:sz w:val="24"/>
        </w:rPr>
        <w:t>adatok</w:t>
      </w:r>
      <w:r>
        <w:rPr>
          <w:spacing w:val="-17"/>
          <w:w w:val="130"/>
          <w:sz w:val="24"/>
        </w:rPr>
        <w:t> </w:t>
      </w:r>
      <w:r>
        <w:rPr>
          <w:w w:val="130"/>
          <w:sz w:val="24"/>
        </w:rPr>
        <w:t>20</w:t>
      </w:r>
      <w:r>
        <w:rPr>
          <w:spacing w:val="-7"/>
          <w:w w:val="130"/>
          <w:sz w:val="24"/>
        </w:rPr>
        <w:t> </w:t>
      </w:r>
      <w:r>
        <w:rPr>
          <w:w w:val="130"/>
          <w:sz w:val="24"/>
        </w:rPr>
        <w:t>évnél rövidebb időre állnak csak rendelkezésre, a leghosszabb olyan időszakot kell tekinteni, amelyre vonatkozóan ezek az adatok rendelkezésre állnak, és adott esetben a hitelkamatláb számításához használt külső referencia-kamatlábnak a legmagasabb értékét kell figyelembe venni, illetve ha a hitelező nem alkalmaz</w:t>
      </w:r>
      <w:r>
        <w:rPr>
          <w:spacing w:val="-36"/>
          <w:w w:val="130"/>
          <w:sz w:val="24"/>
        </w:rPr>
        <w:t> </w:t>
      </w:r>
      <w:r>
        <w:rPr>
          <w:w w:val="130"/>
          <w:sz w:val="24"/>
        </w:rPr>
        <w:t>külső</w:t>
      </w:r>
      <w:r>
        <w:rPr>
          <w:spacing w:val="-35"/>
          <w:w w:val="130"/>
          <w:sz w:val="24"/>
        </w:rPr>
        <w:t> </w:t>
      </w:r>
      <w:r>
        <w:rPr>
          <w:w w:val="130"/>
          <w:sz w:val="24"/>
        </w:rPr>
        <w:t>referencia-kamatlábat,</w:t>
      </w:r>
      <w:r>
        <w:rPr>
          <w:spacing w:val="-35"/>
          <w:w w:val="130"/>
          <w:sz w:val="24"/>
        </w:rPr>
        <w:t> </w:t>
      </w:r>
      <w:r>
        <w:rPr>
          <w:w w:val="130"/>
          <w:sz w:val="24"/>
        </w:rPr>
        <w:t>az</w:t>
      </w:r>
      <w:r>
        <w:rPr>
          <w:spacing w:val="-35"/>
          <w:w w:val="130"/>
          <w:sz w:val="24"/>
        </w:rPr>
        <w:t> </w:t>
      </w:r>
      <w:r>
        <w:rPr>
          <w:w w:val="130"/>
          <w:sz w:val="24"/>
        </w:rPr>
        <w:t>EBH</w:t>
      </w:r>
      <w:r>
        <w:rPr>
          <w:spacing w:val="-36"/>
          <w:w w:val="130"/>
          <w:sz w:val="24"/>
        </w:rPr>
        <w:t> </w:t>
      </w:r>
      <w:r>
        <w:rPr>
          <w:w w:val="130"/>
          <w:sz w:val="24"/>
        </w:rPr>
        <w:t>által</w:t>
      </w:r>
      <w:r>
        <w:rPr>
          <w:spacing w:val="-35"/>
          <w:w w:val="130"/>
          <w:sz w:val="24"/>
        </w:rPr>
        <w:t> </w:t>
      </w:r>
      <w:r>
        <w:rPr>
          <w:w w:val="130"/>
          <w:sz w:val="24"/>
        </w:rPr>
        <w:t>megállapított</w:t>
      </w:r>
      <w:r>
        <w:rPr>
          <w:spacing w:val="-35"/>
          <w:w w:val="130"/>
          <w:sz w:val="24"/>
        </w:rPr>
        <w:t> </w:t>
      </w:r>
      <w:r>
        <w:rPr>
          <w:w w:val="130"/>
          <w:sz w:val="24"/>
        </w:rPr>
        <w:t>legmagasabb referencia-kamatlábat kell figyelembe venni. A szemléltető példa bemutatására vonatkozó rendelkezés nem alkalmazandó</w:t>
      </w:r>
      <w:r>
        <w:rPr>
          <w:spacing w:val="78"/>
          <w:w w:val="130"/>
          <w:sz w:val="24"/>
        </w:rPr>
        <w:t> </w:t>
      </w:r>
      <w:r>
        <w:rPr>
          <w:w w:val="130"/>
          <w:sz w:val="24"/>
        </w:rPr>
        <w:t>azokra a hitelszerződésekre,</w:t>
      </w:r>
      <w:r>
        <w:rPr>
          <w:spacing w:val="-9"/>
          <w:w w:val="130"/>
          <w:sz w:val="24"/>
        </w:rPr>
        <w:t> </w:t>
      </w:r>
      <w:r>
        <w:rPr>
          <w:w w:val="130"/>
          <w:sz w:val="24"/>
        </w:rPr>
        <w:t>amelyek</w:t>
      </w:r>
      <w:r>
        <w:rPr>
          <w:spacing w:val="-27"/>
          <w:w w:val="130"/>
          <w:sz w:val="24"/>
        </w:rPr>
        <w:t> </w:t>
      </w:r>
      <w:r>
        <w:rPr>
          <w:w w:val="130"/>
          <w:sz w:val="24"/>
        </w:rPr>
        <w:t>a</w:t>
      </w:r>
      <w:r>
        <w:rPr>
          <w:spacing w:val="-18"/>
          <w:w w:val="130"/>
          <w:sz w:val="24"/>
        </w:rPr>
        <w:t> </w:t>
      </w:r>
      <w:r>
        <w:rPr>
          <w:w w:val="130"/>
          <w:sz w:val="24"/>
        </w:rPr>
        <w:t>hitelkamatlábat</w:t>
      </w:r>
      <w:r>
        <w:rPr>
          <w:spacing w:val="-18"/>
          <w:w w:val="130"/>
          <w:sz w:val="24"/>
        </w:rPr>
        <w:t> </w:t>
      </w:r>
      <w:r>
        <w:rPr>
          <w:w w:val="130"/>
          <w:sz w:val="24"/>
        </w:rPr>
        <w:t>egy</w:t>
      </w:r>
      <w:r>
        <w:rPr>
          <w:spacing w:val="-18"/>
          <w:w w:val="130"/>
          <w:sz w:val="24"/>
        </w:rPr>
        <w:t> </w:t>
      </w:r>
      <w:r>
        <w:rPr>
          <w:w w:val="130"/>
          <w:sz w:val="24"/>
        </w:rPr>
        <w:t>hosszabb,</w:t>
      </w:r>
      <w:r>
        <w:rPr>
          <w:spacing w:val="-17"/>
          <w:w w:val="130"/>
          <w:sz w:val="24"/>
        </w:rPr>
        <w:t> </w:t>
      </w:r>
      <w:r>
        <w:rPr>
          <w:w w:val="130"/>
          <w:sz w:val="24"/>
        </w:rPr>
        <w:t>többéves</w:t>
      </w:r>
      <w:r>
        <w:rPr>
          <w:spacing w:val="-18"/>
          <w:w w:val="130"/>
          <w:sz w:val="24"/>
        </w:rPr>
        <w:t> </w:t>
      </w:r>
      <w:r>
        <w:rPr>
          <w:w w:val="130"/>
          <w:sz w:val="24"/>
        </w:rPr>
        <w:t>kezdeti időszakra</w:t>
      </w:r>
      <w:r>
        <w:rPr>
          <w:spacing w:val="-21"/>
          <w:w w:val="130"/>
          <w:sz w:val="24"/>
        </w:rPr>
        <w:t> </w:t>
      </w:r>
      <w:r>
        <w:rPr>
          <w:w w:val="130"/>
          <w:sz w:val="24"/>
        </w:rPr>
        <w:t>rögzítik,</w:t>
      </w:r>
      <w:r>
        <w:rPr>
          <w:spacing w:val="-20"/>
          <w:w w:val="130"/>
          <w:sz w:val="24"/>
        </w:rPr>
        <w:t> </w:t>
      </w:r>
      <w:r>
        <w:rPr>
          <w:w w:val="130"/>
          <w:sz w:val="24"/>
        </w:rPr>
        <w:t>majd</w:t>
      </w:r>
      <w:r>
        <w:rPr>
          <w:spacing w:val="-21"/>
          <w:w w:val="130"/>
          <w:sz w:val="24"/>
        </w:rPr>
        <w:t> </w:t>
      </w:r>
      <w:r>
        <w:rPr>
          <w:w w:val="130"/>
          <w:sz w:val="24"/>
        </w:rPr>
        <w:t>a</w:t>
      </w:r>
      <w:r>
        <w:rPr>
          <w:spacing w:val="-20"/>
          <w:w w:val="130"/>
          <w:sz w:val="24"/>
        </w:rPr>
        <w:t> </w:t>
      </w:r>
      <w:r>
        <w:rPr>
          <w:w w:val="130"/>
          <w:sz w:val="24"/>
        </w:rPr>
        <w:t>kamatláb</w:t>
      </w:r>
      <w:r>
        <w:rPr>
          <w:spacing w:val="-21"/>
          <w:w w:val="130"/>
          <w:sz w:val="24"/>
        </w:rPr>
        <w:t> </w:t>
      </w:r>
      <w:r>
        <w:rPr>
          <w:w w:val="130"/>
          <w:sz w:val="24"/>
        </w:rPr>
        <w:t>a</w:t>
      </w:r>
      <w:r>
        <w:rPr>
          <w:spacing w:val="-17"/>
          <w:w w:val="130"/>
          <w:sz w:val="24"/>
        </w:rPr>
        <w:t> </w:t>
      </w:r>
      <w:r>
        <w:rPr>
          <w:w w:val="130"/>
          <w:sz w:val="24"/>
        </w:rPr>
        <w:t>hitelező</w:t>
      </w:r>
      <w:r>
        <w:rPr>
          <w:spacing w:val="-23"/>
          <w:w w:val="130"/>
          <w:sz w:val="24"/>
        </w:rPr>
        <w:t> </w:t>
      </w:r>
      <w:r>
        <w:rPr>
          <w:w w:val="130"/>
          <w:sz w:val="24"/>
        </w:rPr>
        <w:t>és</w:t>
      </w:r>
      <w:r>
        <w:rPr>
          <w:spacing w:val="-8"/>
          <w:w w:val="130"/>
          <w:sz w:val="24"/>
        </w:rPr>
        <w:t> </w:t>
      </w:r>
      <w:r>
        <w:rPr>
          <w:w w:val="130"/>
          <w:sz w:val="24"/>
        </w:rPr>
        <w:t>a</w:t>
      </w:r>
      <w:r>
        <w:rPr>
          <w:spacing w:val="-33"/>
          <w:w w:val="130"/>
          <w:sz w:val="24"/>
        </w:rPr>
        <w:t> </w:t>
      </w:r>
      <w:r>
        <w:rPr>
          <w:w w:val="130"/>
          <w:sz w:val="24"/>
        </w:rPr>
        <w:t>fogyasztó</w:t>
      </w:r>
      <w:r>
        <w:rPr>
          <w:spacing w:val="-20"/>
          <w:w w:val="130"/>
          <w:sz w:val="24"/>
        </w:rPr>
        <w:t> </w:t>
      </w:r>
      <w:r>
        <w:rPr>
          <w:w w:val="130"/>
          <w:sz w:val="24"/>
        </w:rPr>
        <w:t>közötti</w:t>
      </w:r>
      <w:r>
        <w:rPr>
          <w:spacing w:val="-21"/>
          <w:w w:val="130"/>
          <w:sz w:val="24"/>
        </w:rPr>
        <w:t> </w:t>
      </w:r>
      <w:r>
        <w:rPr>
          <w:w w:val="130"/>
          <w:sz w:val="24"/>
        </w:rPr>
        <w:t>tárgyalást követően további időszakra rögzíthető. Amennyiben a hitel több részből áll (például</w:t>
      </w:r>
      <w:r>
        <w:rPr>
          <w:spacing w:val="-14"/>
          <w:w w:val="130"/>
          <w:sz w:val="24"/>
        </w:rPr>
        <w:t> </w:t>
      </w:r>
      <w:r>
        <w:rPr>
          <w:w w:val="130"/>
          <w:sz w:val="24"/>
        </w:rPr>
        <w:t>részben</w:t>
      </w:r>
      <w:r>
        <w:rPr>
          <w:spacing w:val="-13"/>
          <w:w w:val="130"/>
          <w:sz w:val="24"/>
        </w:rPr>
        <w:t> </w:t>
      </w:r>
      <w:r>
        <w:rPr>
          <w:w w:val="130"/>
          <w:sz w:val="24"/>
        </w:rPr>
        <w:t>rögzített,</w:t>
      </w:r>
      <w:r>
        <w:rPr>
          <w:spacing w:val="-13"/>
          <w:w w:val="130"/>
          <w:sz w:val="24"/>
        </w:rPr>
        <w:t> </w:t>
      </w:r>
      <w:r>
        <w:rPr>
          <w:w w:val="130"/>
          <w:sz w:val="24"/>
        </w:rPr>
        <w:t>részben</w:t>
      </w:r>
      <w:r>
        <w:rPr>
          <w:spacing w:val="-13"/>
          <w:w w:val="130"/>
          <w:sz w:val="24"/>
        </w:rPr>
        <w:t> </w:t>
      </w:r>
      <w:r>
        <w:rPr>
          <w:w w:val="130"/>
          <w:sz w:val="24"/>
        </w:rPr>
        <w:t>változó</w:t>
      </w:r>
      <w:r>
        <w:rPr>
          <w:spacing w:val="-13"/>
          <w:w w:val="130"/>
          <w:sz w:val="24"/>
        </w:rPr>
        <w:t> </w:t>
      </w:r>
      <w:r>
        <w:rPr>
          <w:w w:val="130"/>
          <w:sz w:val="24"/>
        </w:rPr>
        <w:t>kamatozású),</w:t>
      </w:r>
      <w:r>
        <w:rPr>
          <w:spacing w:val="-14"/>
          <w:w w:val="130"/>
          <w:sz w:val="24"/>
        </w:rPr>
        <w:t> </w:t>
      </w:r>
      <w:r>
        <w:rPr>
          <w:w w:val="130"/>
          <w:sz w:val="24"/>
        </w:rPr>
        <w:t>a</w:t>
      </w:r>
      <w:r>
        <w:rPr>
          <w:spacing w:val="-13"/>
          <w:w w:val="130"/>
          <w:sz w:val="24"/>
        </w:rPr>
        <w:t> </w:t>
      </w:r>
      <w:r>
        <w:rPr>
          <w:w w:val="130"/>
          <w:sz w:val="24"/>
        </w:rPr>
        <w:t>tájékoztatást</w:t>
      </w:r>
      <w:r>
        <w:rPr>
          <w:spacing w:val="-13"/>
          <w:w w:val="130"/>
          <w:sz w:val="24"/>
        </w:rPr>
        <w:t> </w:t>
      </w:r>
      <w:r>
        <w:rPr>
          <w:w w:val="130"/>
          <w:sz w:val="24"/>
        </w:rPr>
        <w:t>a</w:t>
      </w:r>
      <w:r>
        <w:rPr>
          <w:spacing w:val="-13"/>
          <w:w w:val="130"/>
          <w:sz w:val="24"/>
        </w:rPr>
        <w:t> </w:t>
      </w:r>
      <w:r>
        <w:rPr>
          <w:w w:val="130"/>
          <w:sz w:val="24"/>
        </w:rPr>
        <w:t>hitel mindegyik részére és a teljes hitelre is meg kell</w:t>
      </w:r>
      <w:r>
        <w:rPr>
          <w:spacing w:val="-48"/>
          <w:w w:val="130"/>
          <w:sz w:val="24"/>
        </w:rPr>
        <w:t> </w:t>
      </w:r>
      <w:r>
        <w:rPr>
          <w:w w:val="130"/>
          <w:sz w:val="24"/>
        </w:rPr>
        <w:t>adni.</w:t>
      </w:r>
    </w:p>
    <w:p>
      <w:pPr>
        <w:pStyle w:val="ListParagraph"/>
        <w:numPr>
          <w:ilvl w:val="1"/>
          <w:numId w:val="5"/>
        </w:numPr>
        <w:tabs>
          <w:tab w:pos="908" w:val="left" w:leader="none"/>
        </w:tabs>
        <w:spacing w:line="225" w:lineRule="auto" w:before="12" w:after="0"/>
        <w:ind w:left="113" w:right="144" w:firstLine="204"/>
        <w:jc w:val="both"/>
        <w:rPr>
          <w:sz w:val="24"/>
        </w:rPr>
      </w:pPr>
      <w:r>
        <w:rPr>
          <w:w w:val="130"/>
          <w:sz w:val="24"/>
        </w:rPr>
        <w:t>(Adott esetben) Ha a hitel forinttól eltérő devizanemben van, vagy a hitel forinttól eltérő devizanemhez indexált, a hitelezőnek a személyre szóló tájékoztató megfogalmazását felhasználva számszerű példákat kell adnia, amelyekből</w:t>
      </w:r>
      <w:r>
        <w:rPr>
          <w:spacing w:val="-16"/>
          <w:w w:val="130"/>
          <w:sz w:val="24"/>
        </w:rPr>
        <w:t> </w:t>
      </w:r>
      <w:r>
        <w:rPr>
          <w:w w:val="130"/>
          <w:sz w:val="24"/>
        </w:rPr>
        <w:t>egyértelműen</w:t>
      </w:r>
      <w:r>
        <w:rPr>
          <w:spacing w:val="-16"/>
          <w:w w:val="130"/>
          <w:sz w:val="24"/>
        </w:rPr>
        <w:t> </w:t>
      </w:r>
      <w:r>
        <w:rPr>
          <w:w w:val="130"/>
          <w:sz w:val="24"/>
        </w:rPr>
        <w:t>kiderül,</w:t>
      </w:r>
      <w:r>
        <w:rPr>
          <w:spacing w:val="-16"/>
          <w:w w:val="130"/>
          <w:sz w:val="24"/>
        </w:rPr>
        <w:t> </w:t>
      </w:r>
      <w:r>
        <w:rPr>
          <w:w w:val="130"/>
          <w:sz w:val="24"/>
        </w:rPr>
        <w:t>hogy</w:t>
      </w:r>
      <w:r>
        <w:rPr>
          <w:spacing w:val="-16"/>
          <w:w w:val="130"/>
          <w:sz w:val="24"/>
        </w:rPr>
        <w:t> </w:t>
      </w:r>
      <w:r>
        <w:rPr>
          <w:w w:val="130"/>
          <w:sz w:val="24"/>
        </w:rPr>
        <w:t>az</w:t>
      </w:r>
      <w:r>
        <w:rPr>
          <w:spacing w:val="-16"/>
          <w:w w:val="130"/>
          <w:sz w:val="24"/>
        </w:rPr>
        <w:t> </w:t>
      </w:r>
      <w:r>
        <w:rPr>
          <w:w w:val="130"/>
          <w:sz w:val="24"/>
        </w:rPr>
        <w:t>érintett</w:t>
      </w:r>
      <w:r>
        <w:rPr>
          <w:spacing w:val="-16"/>
          <w:w w:val="130"/>
          <w:sz w:val="24"/>
        </w:rPr>
        <w:t> </w:t>
      </w:r>
      <w:r>
        <w:rPr>
          <w:w w:val="130"/>
          <w:sz w:val="24"/>
        </w:rPr>
        <w:t>árfolyam</w:t>
      </w:r>
      <w:r>
        <w:rPr>
          <w:spacing w:val="-16"/>
          <w:w w:val="130"/>
          <w:sz w:val="24"/>
        </w:rPr>
        <w:t> </w:t>
      </w:r>
      <w:r>
        <w:rPr>
          <w:w w:val="130"/>
          <w:sz w:val="24"/>
        </w:rPr>
        <w:t>változása</w:t>
      </w:r>
      <w:r>
        <w:rPr>
          <w:spacing w:val="-16"/>
          <w:w w:val="130"/>
          <w:sz w:val="24"/>
        </w:rPr>
        <w:t> </w:t>
      </w:r>
      <w:r>
        <w:rPr>
          <w:w w:val="130"/>
          <w:sz w:val="24"/>
        </w:rPr>
        <w:t>hogyan befolyásolhatja a törlesztőrészletek összegét. E példában a forint árfolyamának 20%-os csökkenéséből kell kiindulni, és mellette jól kiemelt nyilatkozatban fel kell hívni a figyelmet arra, hogy a törlesztőrészlet a példában feltételezett összegnél nagyobb mértékben is emelkedhet. Amennyiben létezik olyan felső értékhatár, amely ezen emelkedést 20% alatt tartja, akkor forintban kifejezve a törlesztőrészletek maximális összegét kell megadni, és a további emelkedések lehetőségére vonatkozó nyilatkozat nem szükséges.</w:t>
      </w:r>
    </w:p>
    <w:p>
      <w:pPr>
        <w:pStyle w:val="ListParagraph"/>
        <w:numPr>
          <w:ilvl w:val="1"/>
          <w:numId w:val="5"/>
        </w:numPr>
        <w:tabs>
          <w:tab w:pos="854" w:val="left" w:leader="none"/>
        </w:tabs>
        <w:spacing w:line="225" w:lineRule="auto" w:before="7" w:after="0"/>
        <w:ind w:left="113" w:right="144" w:firstLine="204"/>
        <w:jc w:val="both"/>
        <w:rPr>
          <w:sz w:val="24"/>
        </w:rPr>
      </w:pPr>
      <w:r>
        <w:rPr>
          <w:w w:val="130"/>
          <w:sz w:val="24"/>
        </w:rPr>
        <w:t>Amennyiben</w:t>
      </w:r>
      <w:r>
        <w:rPr>
          <w:spacing w:val="-26"/>
          <w:w w:val="130"/>
          <w:sz w:val="24"/>
        </w:rPr>
        <w:t> </w:t>
      </w:r>
      <w:r>
        <w:rPr>
          <w:w w:val="130"/>
          <w:sz w:val="24"/>
        </w:rPr>
        <w:t>a</w:t>
      </w:r>
      <w:r>
        <w:rPr>
          <w:spacing w:val="-25"/>
          <w:w w:val="130"/>
          <w:sz w:val="24"/>
        </w:rPr>
        <w:t> </w:t>
      </w:r>
      <w:r>
        <w:rPr>
          <w:w w:val="130"/>
          <w:sz w:val="24"/>
        </w:rPr>
        <w:t>hitel</w:t>
      </w:r>
      <w:r>
        <w:rPr>
          <w:spacing w:val="-25"/>
          <w:w w:val="130"/>
          <w:sz w:val="24"/>
        </w:rPr>
        <w:t> </w:t>
      </w:r>
      <w:r>
        <w:rPr>
          <w:w w:val="130"/>
          <w:sz w:val="24"/>
        </w:rPr>
        <w:t>részben</w:t>
      </w:r>
      <w:r>
        <w:rPr>
          <w:spacing w:val="-26"/>
          <w:w w:val="130"/>
          <w:sz w:val="24"/>
        </w:rPr>
        <w:t> </w:t>
      </w:r>
      <w:r>
        <w:rPr>
          <w:w w:val="130"/>
          <w:sz w:val="24"/>
        </w:rPr>
        <w:t>vagy</w:t>
      </w:r>
      <w:r>
        <w:rPr>
          <w:spacing w:val="-26"/>
          <w:w w:val="130"/>
          <w:sz w:val="24"/>
        </w:rPr>
        <w:t> </w:t>
      </w:r>
      <w:r>
        <w:rPr>
          <w:w w:val="130"/>
          <w:sz w:val="24"/>
        </w:rPr>
        <w:t>egészben</w:t>
      </w:r>
      <w:r>
        <w:rPr>
          <w:spacing w:val="-26"/>
          <w:w w:val="130"/>
          <w:sz w:val="24"/>
        </w:rPr>
        <w:t> </w:t>
      </w:r>
      <w:r>
        <w:rPr>
          <w:w w:val="130"/>
          <w:sz w:val="24"/>
        </w:rPr>
        <w:t>változó</w:t>
      </w:r>
      <w:r>
        <w:rPr>
          <w:spacing w:val="-26"/>
          <w:w w:val="130"/>
          <w:sz w:val="24"/>
        </w:rPr>
        <w:t> </w:t>
      </w:r>
      <w:r>
        <w:rPr>
          <w:w w:val="130"/>
          <w:sz w:val="24"/>
        </w:rPr>
        <w:t>kamatozású,</w:t>
      </w:r>
      <w:r>
        <w:rPr>
          <w:spacing w:val="-26"/>
          <w:w w:val="130"/>
          <w:sz w:val="24"/>
        </w:rPr>
        <w:t> </w:t>
      </w:r>
      <w:r>
        <w:rPr>
          <w:w w:val="130"/>
          <w:sz w:val="24"/>
        </w:rPr>
        <w:t>és</w:t>
      </w:r>
      <w:r>
        <w:rPr>
          <w:spacing w:val="-26"/>
          <w:w w:val="130"/>
          <w:sz w:val="24"/>
        </w:rPr>
        <w:t> </w:t>
      </w:r>
      <w:r>
        <w:rPr>
          <w:w w:val="130"/>
          <w:sz w:val="24"/>
        </w:rPr>
        <w:t>a</w:t>
      </w:r>
      <w:r>
        <w:rPr>
          <w:spacing w:val="-25"/>
          <w:w w:val="130"/>
          <w:sz w:val="24"/>
        </w:rPr>
        <w:t> </w:t>
      </w:r>
      <w:r>
        <w:rPr>
          <w:w w:val="130"/>
          <w:sz w:val="24"/>
        </w:rPr>
        <w:t>6.3. pont alkalmazandó, akkor a 6.5. pont szemléltető példáját a 6.1. pontban említett törlesztőrészletből kiindulva kell</w:t>
      </w:r>
      <w:r>
        <w:rPr>
          <w:spacing w:val="-26"/>
          <w:w w:val="130"/>
          <w:sz w:val="24"/>
        </w:rPr>
        <w:t> </w:t>
      </w:r>
      <w:r>
        <w:rPr>
          <w:w w:val="130"/>
          <w:sz w:val="24"/>
        </w:rPr>
        <w:t>bemutatni.</w:t>
      </w:r>
    </w:p>
    <w:p>
      <w:pPr>
        <w:pStyle w:val="ListParagraph"/>
        <w:numPr>
          <w:ilvl w:val="1"/>
          <w:numId w:val="5"/>
        </w:numPr>
        <w:tabs>
          <w:tab w:pos="896" w:val="left" w:leader="none"/>
        </w:tabs>
        <w:spacing w:line="225" w:lineRule="auto" w:before="2" w:after="0"/>
        <w:ind w:left="113" w:right="146" w:firstLine="204"/>
        <w:jc w:val="both"/>
        <w:rPr>
          <w:sz w:val="24"/>
        </w:rPr>
      </w:pPr>
      <w:r>
        <w:rPr>
          <w:w w:val="130"/>
          <w:sz w:val="24"/>
        </w:rPr>
        <w:t>Ha a törlesztőrészletek teljesítési pénzneme eltér a hitel pénznemétől vagy az egyes törlesztőrészleteknek forintban kifejezett összege egy annak megfelelő más pénznembeli összegtől függ, akkor ebben a pontban meg kell adni</w:t>
      </w:r>
      <w:r>
        <w:rPr>
          <w:spacing w:val="-19"/>
          <w:w w:val="130"/>
          <w:sz w:val="24"/>
        </w:rPr>
        <w:t> </w:t>
      </w:r>
      <w:r>
        <w:rPr>
          <w:w w:val="130"/>
          <w:sz w:val="24"/>
        </w:rPr>
        <w:t>az</w:t>
      </w:r>
      <w:r>
        <w:rPr>
          <w:spacing w:val="-19"/>
          <w:w w:val="130"/>
          <w:sz w:val="24"/>
        </w:rPr>
        <w:t> </w:t>
      </w:r>
      <w:r>
        <w:rPr>
          <w:w w:val="130"/>
          <w:sz w:val="24"/>
        </w:rPr>
        <w:t>alkalmazandó</w:t>
      </w:r>
      <w:r>
        <w:rPr>
          <w:spacing w:val="-19"/>
          <w:w w:val="130"/>
          <w:sz w:val="24"/>
        </w:rPr>
        <w:t> </w:t>
      </w:r>
      <w:r>
        <w:rPr>
          <w:w w:val="130"/>
          <w:sz w:val="24"/>
        </w:rPr>
        <w:t>árfolyam</w:t>
      </w:r>
      <w:r>
        <w:rPr>
          <w:spacing w:val="-19"/>
          <w:w w:val="130"/>
          <w:sz w:val="24"/>
        </w:rPr>
        <w:t> </w:t>
      </w:r>
      <w:r>
        <w:rPr>
          <w:w w:val="130"/>
          <w:sz w:val="24"/>
        </w:rPr>
        <w:t>kiszámításának</w:t>
      </w:r>
      <w:r>
        <w:rPr>
          <w:spacing w:val="-19"/>
          <w:w w:val="130"/>
          <w:sz w:val="24"/>
        </w:rPr>
        <w:t> </w:t>
      </w:r>
      <w:r>
        <w:rPr>
          <w:w w:val="130"/>
          <w:sz w:val="24"/>
        </w:rPr>
        <w:t>az</w:t>
      </w:r>
      <w:r>
        <w:rPr>
          <w:spacing w:val="-19"/>
          <w:w w:val="130"/>
          <w:sz w:val="24"/>
        </w:rPr>
        <w:t> </w:t>
      </w:r>
      <w:r>
        <w:rPr>
          <w:w w:val="130"/>
          <w:sz w:val="24"/>
        </w:rPr>
        <w:t>időpontját,</w:t>
      </w:r>
      <w:r>
        <w:rPr>
          <w:spacing w:val="-15"/>
          <w:w w:val="130"/>
          <w:sz w:val="24"/>
        </w:rPr>
        <w:t> </w:t>
      </w:r>
      <w:r>
        <w:rPr>
          <w:w w:val="130"/>
          <w:sz w:val="24"/>
        </w:rPr>
        <w:t>továbbá</w:t>
      </w:r>
      <w:r>
        <w:rPr>
          <w:spacing w:val="-23"/>
          <w:w w:val="130"/>
          <w:sz w:val="24"/>
        </w:rPr>
        <w:t> </w:t>
      </w:r>
      <w:r>
        <w:rPr>
          <w:w w:val="130"/>
          <w:sz w:val="24"/>
        </w:rPr>
        <w:t>vagy</w:t>
      </w:r>
      <w:r>
        <w:rPr>
          <w:spacing w:val="-19"/>
          <w:w w:val="130"/>
          <w:sz w:val="24"/>
        </w:rPr>
        <w:t> </w:t>
      </w:r>
      <w:r>
        <w:rPr>
          <w:w w:val="130"/>
          <w:sz w:val="24"/>
        </w:rPr>
        <w:t>az árfolyamot, vagy pedig az árfolyam kiszámításának alapját és a kiigazítás</w:t>
      </w:r>
      <w:r>
        <w:rPr>
          <w:spacing w:val="78"/>
          <w:w w:val="130"/>
          <w:sz w:val="24"/>
        </w:rPr>
        <w:t> </w:t>
      </w:r>
      <w:r>
        <w:rPr>
          <w:w w:val="130"/>
          <w:sz w:val="24"/>
        </w:rPr>
        <w:t>gyakoriságát.</w:t>
      </w:r>
      <w:r>
        <w:rPr>
          <w:spacing w:val="-19"/>
          <w:w w:val="130"/>
          <w:sz w:val="24"/>
        </w:rPr>
        <w:t> </w:t>
      </w:r>
      <w:r>
        <w:rPr>
          <w:w w:val="130"/>
          <w:sz w:val="24"/>
        </w:rPr>
        <w:t>Adott</w:t>
      </w:r>
      <w:r>
        <w:rPr>
          <w:spacing w:val="-19"/>
          <w:w w:val="130"/>
          <w:sz w:val="24"/>
        </w:rPr>
        <w:t> </w:t>
      </w:r>
      <w:r>
        <w:rPr>
          <w:w w:val="130"/>
          <w:sz w:val="24"/>
        </w:rPr>
        <w:t>esetben</w:t>
      </w:r>
      <w:r>
        <w:rPr>
          <w:spacing w:val="-18"/>
          <w:w w:val="130"/>
          <w:sz w:val="24"/>
        </w:rPr>
        <w:t> </w:t>
      </w:r>
      <w:r>
        <w:rPr>
          <w:w w:val="130"/>
          <w:sz w:val="24"/>
        </w:rPr>
        <w:t>meg</w:t>
      </w:r>
      <w:r>
        <w:rPr>
          <w:spacing w:val="-19"/>
          <w:w w:val="130"/>
          <w:sz w:val="24"/>
        </w:rPr>
        <w:t> </w:t>
      </w:r>
      <w:r>
        <w:rPr>
          <w:w w:val="130"/>
          <w:sz w:val="24"/>
        </w:rPr>
        <w:t>kell</w:t>
      </w:r>
      <w:r>
        <w:rPr>
          <w:spacing w:val="-19"/>
          <w:w w:val="130"/>
          <w:sz w:val="24"/>
        </w:rPr>
        <w:t> </w:t>
      </w:r>
      <w:r>
        <w:rPr>
          <w:w w:val="130"/>
          <w:sz w:val="24"/>
        </w:rPr>
        <w:t>adni</w:t>
      </w:r>
      <w:r>
        <w:rPr>
          <w:spacing w:val="-18"/>
          <w:w w:val="130"/>
          <w:sz w:val="24"/>
        </w:rPr>
        <w:t> </w:t>
      </w:r>
      <w:r>
        <w:rPr>
          <w:w w:val="130"/>
          <w:sz w:val="24"/>
        </w:rPr>
        <w:t>az</w:t>
      </w:r>
      <w:r>
        <w:rPr>
          <w:spacing w:val="-19"/>
          <w:w w:val="130"/>
          <w:sz w:val="24"/>
        </w:rPr>
        <w:t> </w:t>
      </w:r>
      <w:r>
        <w:rPr>
          <w:w w:val="130"/>
          <w:sz w:val="24"/>
        </w:rPr>
        <w:t>árfolyamot</w:t>
      </w:r>
      <w:r>
        <w:rPr>
          <w:spacing w:val="-10"/>
          <w:w w:val="130"/>
          <w:sz w:val="24"/>
        </w:rPr>
        <w:t> </w:t>
      </w:r>
      <w:r>
        <w:rPr>
          <w:w w:val="130"/>
          <w:sz w:val="24"/>
        </w:rPr>
        <w:t>közzétevő</w:t>
      </w:r>
      <w:r>
        <w:rPr>
          <w:spacing w:val="-28"/>
          <w:w w:val="130"/>
          <w:sz w:val="24"/>
        </w:rPr>
        <w:t> </w:t>
      </w:r>
      <w:r>
        <w:rPr>
          <w:w w:val="130"/>
          <w:sz w:val="24"/>
        </w:rPr>
        <w:t>intézmény nevét</w:t>
      </w:r>
      <w:r>
        <w:rPr>
          <w:spacing w:val="-3"/>
          <w:w w:val="130"/>
          <w:sz w:val="24"/>
        </w:rPr>
        <w:t> </w:t>
      </w:r>
      <w:r>
        <w:rPr>
          <w:w w:val="130"/>
          <w:sz w:val="24"/>
        </w:rPr>
        <w:t>is.</w:t>
      </w:r>
    </w:p>
    <w:p>
      <w:pPr>
        <w:pStyle w:val="ListParagraph"/>
        <w:numPr>
          <w:ilvl w:val="1"/>
          <w:numId w:val="5"/>
        </w:numPr>
        <w:tabs>
          <w:tab w:pos="875" w:val="left" w:leader="none"/>
        </w:tabs>
        <w:spacing w:line="225" w:lineRule="auto" w:before="4" w:after="0"/>
        <w:ind w:left="113" w:right="140" w:firstLine="204"/>
        <w:jc w:val="both"/>
        <w:rPr>
          <w:sz w:val="24"/>
        </w:rPr>
      </w:pPr>
      <w:r>
        <w:rPr>
          <w:w w:val="125"/>
          <w:sz w:val="24"/>
        </w:rPr>
        <w:t>Amennyiben a hitel olyan halasztott kamatfizetésű hitel, amely esetében  a törlesztőrészletek nem fedezik teljes egészében a kamatot, hanem a kamat hozzáadódik a fennálló teljes hitelösszeghez, magyarázatot kell  adni  arra,  hogy a halasztott kamat hogyan és mikor adódik hozzá készpénzösszegként a hitelhez; és hogy ez a fogyasztó számára milyen következményekkel jár a még fennálló adóssága</w:t>
      </w:r>
      <w:r>
        <w:rPr>
          <w:spacing w:val="3"/>
          <w:w w:val="125"/>
          <w:sz w:val="24"/>
        </w:rPr>
        <w:t> </w:t>
      </w:r>
      <w:r>
        <w:rPr>
          <w:w w:val="125"/>
          <w:sz w:val="24"/>
        </w:rPr>
        <w:t>tekintetében.</w:t>
      </w:r>
    </w:p>
    <w:p>
      <w:pPr>
        <w:pStyle w:val="ListParagraph"/>
        <w:numPr>
          <w:ilvl w:val="0"/>
          <w:numId w:val="5"/>
        </w:numPr>
        <w:tabs>
          <w:tab w:pos="623" w:val="left" w:leader="none"/>
        </w:tabs>
        <w:spacing w:line="240" w:lineRule="auto" w:before="230" w:after="0"/>
        <w:ind w:left="622" w:right="0" w:hanging="305"/>
        <w:jc w:val="left"/>
        <w:rPr>
          <w:sz w:val="24"/>
        </w:rPr>
      </w:pPr>
      <w:r>
        <w:rPr>
          <w:w w:val="130"/>
          <w:sz w:val="24"/>
        </w:rPr>
        <w:t>Szemléltető törlesztési</w:t>
      </w:r>
      <w:r>
        <w:rPr>
          <w:spacing w:val="-7"/>
          <w:w w:val="130"/>
          <w:sz w:val="24"/>
        </w:rPr>
        <w:t> </w:t>
      </w:r>
      <w:r>
        <w:rPr>
          <w:w w:val="130"/>
          <w:sz w:val="24"/>
        </w:rPr>
        <w:t>táblázat</w:t>
      </w:r>
    </w:p>
    <w:p>
      <w:pPr>
        <w:spacing w:after="0" w:line="240" w:lineRule="auto"/>
        <w:jc w:val="left"/>
        <w:rPr>
          <w:sz w:val="24"/>
        </w:rPr>
        <w:sectPr>
          <w:pgSz w:w="11900" w:h="16820"/>
          <w:pgMar w:header="1104" w:footer="0" w:top="1840" w:bottom="280" w:left="1020" w:right="980"/>
        </w:sectPr>
      </w:pPr>
    </w:p>
    <w:p>
      <w:pPr>
        <w:pStyle w:val="ListParagraph"/>
        <w:numPr>
          <w:ilvl w:val="1"/>
          <w:numId w:val="5"/>
        </w:numPr>
        <w:tabs>
          <w:tab w:pos="909" w:val="left" w:leader="none"/>
        </w:tabs>
        <w:spacing w:line="225" w:lineRule="auto" w:before="173" w:after="0"/>
        <w:ind w:left="113" w:right="151" w:firstLine="204"/>
        <w:jc w:val="both"/>
        <w:rPr>
          <w:sz w:val="24"/>
        </w:rPr>
      </w:pPr>
      <w:r>
        <w:rPr>
          <w:w w:val="125"/>
          <w:sz w:val="24"/>
        </w:rPr>
        <w:t>Fel kell tüntetni, hogy a fogyasztó milyen esetekben kap felülvizsgált törlesztési táblázatot és ennek milyen feltételei</w:t>
      </w:r>
      <w:r>
        <w:rPr>
          <w:spacing w:val="17"/>
          <w:w w:val="125"/>
          <w:sz w:val="24"/>
        </w:rPr>
        <w:t> </w:t>
      </w:r>
      <w:r>
        <w:rPr>
          <w:w w:val="125"/>
          <w:sz w:val="24"/>
        </w:rPr>
        <w:t>vannak.</w:t>
      </w:r>
    </w:p>
    <w:p>
      <w:pPr>
        <w:pStyle w:val="ListParagraph"/>
        <w:numPr>
          <w:ilvl w:val="1"/>
          <w:numId w:val="5"/>
        </w:numPr>
        <w:tabs>
          <w:tab w:pos="887" w:val="left" w:leader="none"/>
        </w:tabs>
        <w:spacing w:line="225" w:lineRule="auto" w:before="1" w:after="0"/>
        <w:ind w:left="113" w:right="145" w:firstLine="204"/>
        <w:jc w:val="both"/>
        <w:rPr>
          <w:sz w:val="24"/>
        </w:rPr>
      </w:pPr>
      <w:r>
        <w:rPr>
          <w:w w:val="130"/>
          <w:sz w:val="24"/>
        </w:rPr>
        <w:t>Ha a hitelkamatláb a hitel futamideje alatt változhat, a hitelezőnek fel kell tüntetnie azt az időtartamot, amely során ez a kezdeti hitelkamatláb változatlan</w:t>
      </w:r>
      <w:r>
        <w:rPr>
          <w:spacing w:val="-4"/>
          <w:w w:val="130"/>
          <w:sz w:val="24"/>
        </w:rPr>
        <w:t> </w:t>
      </w:r>
      <w:r>
        <w:rPr>
          <w:w w:val="130"/>
          <w:sz w:val="24"/>
        </w:rPr>
        <w:t>marad.</w:t>
      </w:r>
    </w:p>
    <w:p>
      <w:pPr>
        <w:pStyle w:val="ListParagraph"/>
        <w:numPr>
          <w:ilvl w:val="1"/>
          <w:numId w:val="5"/>
        </w:numPr>
        <w:tabs>
          <w:tab w:pos="898" w:val="left" w:leader="none"/>
        </w:tabs>
        <w:spacing w:line="225" w:lineRule="auto" w:before="2" w:after="0"/>
        <w:ind w:left="113" w:right="147" w:firstLine="204"/>
        <w:jc w:val="both"/>
        <w:rPr>
          <w:sz w:val="24"/>
        </w:rPr>
      </w:pPr>
      <w:r>
        <w:rPr>
          <w:w w:val="130"/>
          <w:sz w:val="24"/>
        </w:rPr>
        <w:t>Az ebben a pontban szereplő táblázat a következő oszlopokból áll: „a törlesztés ütemezése” (például 1. hónap, 2. hónap, 3. hónap), „a törlesztőrészlet összege”, „törlesztőrészletenként fizetendő kamat”, (adott esetben) „a törlesztőrészletben foglalt egyéb</w:t>
      </w:r>
      <w:r>
        <w:rPr>
          <w:spacing w:val="5"/>
          <w:w w:val="130"/>
          <w:sz w:val="24"/>
        </w:rPr>
        <w:t> </w:t>
      </w:r>
      <w:r>
        <w:rPr>
          <w:w w:val="130"/>
          <w:sz w:val="24"/>
        </w:rPr>
        <w:t>költségek”,</w:t>
      </w:r>
    </w:p>
    <w:p>
      <w:pPr>
        <w:pStyle w:val="BodyText"/>
        <w:spacing w:line="225" w:lineRule="auto" w:before="2"/>
        <w:ind w:right="70" w:firstLine="0"/>
        <w:jc w:val="left"/>
      </w:pPr>
      <w:r>
        <w:rPr>
          <w:w w:val="130"/>
        </w:rPr>
        <w:t>„törlesztőrészletenként visszafizetett tőke” és „az egyes törlesztőrészletek</w:t>
      </w:r>
      <w:r>
        <w:rPr>
          <w:spacing w:val="78"/>
          <w:w w:val="130"/>
        </w:rPr>
        <w:t> </w:t>
      </w:r>
      <w:r>
        <w:rPr>
          <w:w w:val="130"/>
        </w:rPr>
        <w:t>után fennmaradó tőke”.</w:t>
      </w:r>
    </w:p>
    <w:p>
      <w:pPr>
        <w:pStyle w:val="ListParagraph"/>
        <w:numPr>
          <w:ilvl w:val="1"/>
          <w:numId w:val="5"/>
        </w:numPr>
        <w:tabs>
          <w:tab w:pos="956" w:val="left" w:leader="none"/>
        </w:tabs>
        <w:spacing w:line="225" w:lineRule="auto" w:before="1" w:after="0"/>
        <w:ind w:left="113" w:right="150" w:firstLine="204"/>
        <w:jc w:val="both"/>
        <w:rPr>
          <w:sz w:val="24"/>
        </w:rPr>
      </w:pPr>
      <w:r>
        <w:rPr>
          <w:w w:val="130"/>
          <w:sz w:val="24"/>
        </w:rPr>
        <w:t>A törlesztés első évére vonatkozóan minden egyes törlesztőrészlet esetében</w:t>
      </w:r>
      <w:r>
        <w:rPr>
          <w:spacing w:val="-15"/>
          <w:w w:val="130"/>
          <w:sz w:val="24"/>
        </w:rPr>
        <w:t> </w:t>
      </w:r>
      <w:r>
        <w:rPr>
          <w:w w:val="130"/>
          <w:sz w:val="24"/>
        </w:rPr>
        <w:t>meg</w:t>
      </w:r>
      <w:r>
        <w:rPr>
          <w:spacing w:val="-14"/>
          <w:w w:val="130"/>
          <w:sz w:val="24"/>
        </w:rPr>
        <w:t> </w:t>
      </w:r>
      <w:r>
        <w:rPr>
          <w:w w:val="130"/>
          <w:sz w:val="24"/>
        </w:rPr>
        <w:t>kell</w:t>
      </w:r>
      <w:r>
        <w:rPr>
          <w:spacing w:val="-8"/>
          <w:w w:val="130"/>
          <w:sz w:val="24"/>
        </w:rPr>
        <w:t> </w:t>
      </w:r>
      <w:r>
        <w:rPr>
          <w:w w:val="130"/>
          <w:sz w:val="24"/>
        </w:rPr>
        <w:t>adni</w:t>
      </w:r>
      <w:r>
        <w:rPr>
          <w:spacing w:val="-19"/>
          <w:w w:val="130"/>
          <w:sz w:val="24"/>
        </w:rPr>
        <w:t> </w:t>
      </w:r>
      <w:r>
        <w:rPr>
          <w:w w:val="130"/>
          <w:sz w:val="24"/>
        </w:rPr>
        <w:t>ezeket</w:t>
      </w:r>
      <w:r>
        <w:rPr>
          <w:spacing w:val="-14"/>
          <w:w w:val="130"/>
          <w:sz w:val="24"/>
        </w:rPr>
        <w:t> </w:t>
      </w:r>
      <w:r>
        <w:rPr>
          <w:w w:val="130"/>
          <w:sz w:val="24"/>
        </w:rPr>
        <w:t>az</w:t>
      </w:r>
      <w:r>
        <w:rPr>
          <w:spacing w:val="-14"/>
          <w:w w:val="130"/>
          <w:sz w:val="24"/>
        </w:rPr>
        <w:t> </w:t>
      </w:r>
      <w:r>
        <w:rPr>
          <w:w w:val="130"/>
          <w:sz w:val="24"/>
        </w:rPr>
        <w:t>információkat,</w:t>
      </w:r>
      <w:r>
        <w:rPr>
          <w:spacing w:val="-14"/>
          <w:w w:val="130"/>
          <w:sz w:val="24"/>
        </w:rPr>
        <w:t> </w:t>
      </w:r>
      <w:r>
        <w:rPr>
          <w:w w:val="130"/>
          <w:sz w:val="24"/>
        </w:rPr>
        <w:t>és</w:t>
      </w:r>
      <w:r>
        <w:rPr>
          <w:spacing w:val="-14"/>
          <w:w w:val="130"/>
          <w:sz w:val="24"/>
        </w:rPr>
        <w:t> </w:t>
      </w:r>
      <w:r>
        <w:rPr>
          <w:w w:val="130"/>
          <w:sz w:val="24"/>
        </w:rPr>
        <w:t>ezen</w:t>
      </w:r>
      <w:r>
        <w:rPr>
          <w:spacing w:val="-14"/>
          <w:w w:val="130"/>
          <w:sz w:val="24"/>
        </w:rPr>
        <w:t> </w:t>
      </w:r>
      <w:r>
        <w:rPr>
          <w:w w:val="130"/>
          <w:sz w:val="24"/>
        </w:rPr>
        <w:t>első</w:t>
      </w:r>
      <w:r>
        <w:rPr>
          <w:spacing w:val="-14"/>
          <w:w w:val="130"/>
          <w:sz w:val="24"/>
        </w:rPr>
        <w:t> </w:t>
      </w:r>
      <w:r>
        <w:rPr>
          <w:w w:val="130"/>
          <w:sz w:val="24"/>
        </w:rPr>
        <w:t>év</w:t>
      </w:r>
      <w:r>
        <w:rPr>
          <w:spacing w:val="-14"/>
          <w:w w:val="130"/>
          <w:sz w:val="24"/>
        </w:rPr>
        <w:t> </w:t>
      </w:r>
      <w:r>
        <w:rPr>
          <w:w w:val="130"/>
          <w:sz w:val="24"/>
        </w:rPr>
        <w:t>végén</w:t>
      </w:r>
      <w:r>
        <w:rPr>
          <w:spacing w:val="-14"/>
          <w:w w:val="130"/>
          <w:sz w:val="24"/>
        </w:rPr>
        <w:t> </w:t>
      </w:r>
      <w:r>
        <w:rPr>
          <w:w w:val="130"/>
          <w:sz w:val="24"/>
        </w:rPr>
        <w:t>minden egyes oszlopnál fel kell tüntetni a részösszeget. A következő évekre</w:t>
      </w:r>
      <w:r>
        <w:rPr>
          <w:spacing w:val="78"/>
          <w:w w:val="130"/>
          <w:sz w:val="24"/>
        </w:rPr>
        <w:t> </w:t>
      </w:r>
      <w:r>
        <w:rPr>
          <w:w w:val="130"/>
          <w:sz w:val="24"/>
        </w:rPr>
        <w:t>vonatkozóan az adatokat meg lehet adni éves alapon is. A táblázat végéhez egy</w:t>
      </w:r>
      <w:r>
        <w:rPr>
          <w:spacing w:val="-19"/>
          <w:w w:val="130"/>
          <w:sz w:val="24"/>
        </w:rPr>
        <w:t> </w:t>
      </w:r>
      <w:r>
        <w:rPr>
          <w:w w:val="130"/>
          <w:sz w:val="24"/>
        </w:rPr>
        <w:t>„mindösszesen”</w:t>
      </w:r>
      <w:r>
        <w:rPr>
          <w:spacing w:val="-18"/>
          <w:w w:val="130"/>
          <w:sz w:val="24"/>
        </w:rPr>
        <w:t> </w:t>
      </w:r>
      <w:r>
        <w:rPr>
          <w:w w:val="130"/>
          <w:sz w:val="24"/>
        </w:rPr>
        <w:t>sort</w:t>
      </w:r>
      <w:r>
        <w:rPr>
          <w:spacing w:val="-18"/>
          <w:w w:val="130"/>
          <w:sz w:val="24"/>
        </w:rPr>
        <w:t> </w:t>
      </w:r>
      <w:r>
        <w:rPr>
          <w:w w:val="130"/>
          <w:sz w:val="24"/>
        </w:rPr>
        <w:t>kell</w:t>
      </w:r>
      <w:r>
        <w:rPr>
          <w:spacing w:val="-18"/>
          <w:w w:val="130"/>
          <w:sz w:val="24"/>
        </w:rPr>
        <w:t> </w:t>
      </w:r>
      <w:r>
        <w:rPr>
          <w:w w:val="130"/>
          <w:sz w:val="24"/>
        </w:rPr>
        <w:t>fűzni,</w:t>
      </w:r>
      <w:r>
        <w:rPr>
          <w:spacing w:val="-18"/>
          <w:w w:val="130"/>
          <w:sz w:val="24"/>
        </w:rPr>
        <w:t> </w:t>
      </w:r>
      <w:r>
        <w:rPr>
          <w:w w:val="130"/>
          <w:sz w:val="24"/>
        </w:rPr>
        <w:t>és</w:t>
      </w:r>
      <w:r>
        <w:rPr>
          <w:spacing w:val="-18"/>
          <w:w w:val="130"/>
          <w:sz w:val="24"/>
        </w:rPr>
        <w:t> </w:t>
      </w:r>
      <w:r>
        <w:rPr>
          <w:w w:val="130"/>
          <w:sz w:val="24"/>
        </w:rPr>
        <w:t>minden</w:t>
      </w:r>
      <w:r>
        <w:rPr>
          <w:spacing w:val="-18"/>
          <w:w w:val="130"/>
          <w:sz w:val="24"/>
        </w:rPr>
        <w:t> </w:t>
      </w:r>
      <w:r>
        <w:rPr>
          <w:w w:val="130"/>
          <w:sz w:val="24"/>
        </w:rPr>
        <w:t>oszlop</w:t>
      </w:r>
      <w:r>
        <w:rPr>
          <w:spacing w:val="-18"/>
          <w:w w:val="130"/>
          <w:sz w:val="24"/>
        </w:rPr>
        <w:t> </w:t>
      </w:r>
      <w:r>
        <w:rPr>
          <w:w w:val="130"/>
          <w:sz w:val="24"/>
        </w:rPr>
        <w:t>esetében</w:t>
      </w:r>
      <w:r>
        <w:rPr>
          <w:spacing w:val="-18"/>
          <w:w w:val="130"/>
          <w:sz w:val="24"/>
        </w:rPr>
        <w:t> </w:t>
      </w:r>
      <w:r>
        <w:rPr>
          <w:w w:val="130"/>
          <w:sz w:val="24"/>
        </w:rPr>
        <w:t>meg</w:t>
      </w:r>
      <w:r>
        <w:rPr>
          <w:spacing w:val="-18"/>
          <w:w w:val="130"/>
          <w:sz w:val="24"/>
        </w:rPr>
        <w:t> </w:t>
      </w:r>
      <w:r>
        <w:rPr>
          <w:w w:val="130"/>
          <w:sz w:val="24"/>
        </w:rPr>
        <w:t>kell</w:t>
      </w:r>
      <w:r>
        <w:rPr>
          <w:spacing w:val="-18"/>
          <w:w w:val="130"/>
          <w:sz w:val="24"/>
        </w:rPr>
        <w:t> </w:t>
      </w:r>
      <w:r>
        <w:rPr>
          <w:w w:val="130"/>
          <w:sz w:val="24"/>
        </w:rPr>
        <w:t>adni</w:t>
      </w:r>
      <w:r>
        <w:rPr>
          <w:spacing w:val="-18"/>
          <w:w w:val="130"/>
          <w:sz w:val="24"/>
        </w:rPr>
        <w:t> </w:t>
      </w:r>
      <w:r>
        <w:rPr>
          <w:w w:val="130"/>
          <w:sz w:val="24"/>
        </w:rPr>
        <w:t>a teljes összeget. A hitel teljes díja (azaz a „törlesztőrészlet összege” oszlop</w:t>
      </w:r>
      <w:r>
        <w:rPr>
          <w:spacing w:val="78"/>
          <w:w w:val="130"/>
          <w:sz w:val="24"/>
        </w:rPr>
        <w:t> </w:t>
      </w:r>
      <w:r>
        <w:rPr>
          <w:w w:val="130"/>
          <w:sz w:val="24"/>
        </w:rPr>
        <w:t>teljes</w:t>
      </w:r>
      <w:r>
        <w:rPr>
          <w:spacing w:val="-13"/>
          <w:w w:val="130"/>
          <w:sz w:val="24"/>
        </w:rPr>
        <w:t> </w:t>
      </w:r>
      <w:r>
        <w:rPr>
          <w:w w:val="130"/>
          <w:sz w:val="24"/>
        </w:rPr>
        <w:t>összegét)</w:t>
      </w:r>
      <w:r>
        <w:rPr>
          <w:spacing w:val="-11"/>
          <w:w w:val="130"/>
          <w:sz w:val="24"/>
        </w:rPr>
        <w:t> </w:t>
      </w:r>
      <w:r>
        <w:rPr>
          <w:w w:val="130"/>
          <w:sz w:val="24"/>
        </w:rPr>
        <w:t>világosan</w:t>
      </w:r>
      <w:r>
        <w:rPr>
          <w:spacing w:val="-13"/>
          <w:w w:val="130"/>
          <w:sz w:val="24"/>
        </w:rPr>
        <w:t> </w:t>
      </w:r>
      <w:r>
        <w:rPr>
          <w:w w:val="130"/>
          <w:sz w:val="24"/>
        </w:rPr>
        <w:t>ki</w:t>
      </w:r>
      <w:r>
        <w:rPr>
          <w:spacing w:val="-12"/>
          <w:w w:val="130"/>
          <w:sz w:val="24"/>
        </w:rPr>
        <w:t> </w:t>
      </w:r>
      <w:r>
        <w:rPr>
          <w:w w:val="130"/>
          <w:sz w:val="24"/>
        </w:rPr>
        <w:t>kell</w:t>
      </w:r>
      <w:r>
        <w:rPr>
          <w:spacing w:val="-12"/>
          <w:w w:val="130"/>
          <w:sz w:val="24"/>
        </w:rPr>
        <w:t> </w:t>
      </w:r>
      <w:r>
        <w:rPr>
          <w:w w:val="130"/>
          <w:sz w:val="24"/>
        </w:rPr>
        <w:t>emelni</w:t>
      </w:r>
      <w:r>
        <w:rPr>
          <w:spacing w:val="-13"/>
          <w:w w:val="130"/>
          <w:sz w:val="24"/>
        </w:rPr>
        <w:t> </w:t>
      </w:r>
      <w:r>
        <w:rPr>
          <w:w w:val="130"/>
          <w:sz w:val="24"/>
        </w:rPr>
        <w:t>és</w:t>
      </w:r>
      <w:r>
        <w:rPr>
          <w:spacing w:val="-8"/>
          <w:w w:val="130"/>
          <w:sz w:val="24"/>
        </w:rPr>
        <w:t> </w:t>
      </w:r>
      <w:r>
        <w:rPr>
          <w:w w:val="130"/>
          <w:sz w:val="24"/>
        </w:rPr>
        <w:t>ilyenként</w:t>
      </w:r>
      <w:r>
        <w:rPr>
          <w:spacing w:val="-16"/>
          <w:w w:val="130"/>
          <w:sz w:val="24"/>
        </w:rPr>
        <w:t> </w:t>
      </w:r>
      <w:r>
        <w:rPr>
          <w:w w:val="130"/>
          <w:sz w:val="24"/>
        </w:rPr>
        <w:t>kell</w:t>
      </w:r>
      <w:r>
        <w:rPr>
          <w:spacing w:val="-13"/>
          <w:w w:val="130"/>
          <w:sz w:val="24"/>
        </w:rPr>
        <w:t> </w:t>
      </w:r>
      <w:r>
        <w:rPr>
          <w:w w:val="130"/>
          <w:sz w:val="24"/>
        </w:rPr>
        <w:t>feltüntetni.</w:t>
      </w:r>
    </w:p>
    <w:p>
      <w:pPr>
        <w:pStyle w:val="ListParagraph"/>
        <w:numPr>
          <w:ilvl w:val="1"/>
          <w:numId w:val="5"/>
        </w:numPr>
        <w:tabs>
          <w:tab w:pos="923" w:val="left" w:leader="none"/>
        </w:tabs>
        <w:spacing w:line="225" w:lineRule="auto" w:before="4" w:after="0"/>
        <w:ind w:left="113" w:right="143" w:firstLine="204"/>
        <w:jc w:val="both"/>
        <w:rPr>
          <w:sz w:val="24"/>
        </w:rPr>
      </w:pPr>
      <w:r>
        <w:rPr>
          <w:w w:val="130"/>
          <w:sz w:val="24"/>
        </w:rPr>
        <w:t>Ha a hitelkamatláb módosulhat, és a törlesztőrészleteknek az egyes módosításokat</w:t>
      </w:r>
      <w:r>
        <w:rPr>
          <w:spacing w:val="-9"/>
          <w:w w:val="130"/>
          <w:sz w:val="24"/>
        </w:rPr>
        <w:t> </w:t>
      </w:r>
      <w:r>
        <w:rPr>
          <w:w w:val="130"/>
          <w:sz w:val="24"/>
        </w:rPr>
        <w:t>követő</w:t>
      </w:r>
      <w:r>
        <w:rPr>
          <w:spacing w:val="-5"/>
          <w:w w:val="130"/>
          <w:sz w:val="24"/>
        </w:rPr>
        <w:t> </w:t>
      </w:r>
      <w:r>
        <w:rPr>
          <w:w w:val="130"/>
          <w:sz w:val="24"/>
        </w:rPr>
        <w:t>összege</w:t>
      </w:r>
      <w:r>
        <w:rPr>
          <w:spacing w:val="-11"/>
          <w:w w:val="130"/>
          <w:sz w:val="24"/>
        </w:rPr>
        <w:t> </w:t>
      </w:r>
      <w:r>
        <w:rPr>
          <w:w w:val="130"/>
          <w:sz w:val="24"/>
        </w:rPr>
        <w:t>nem</w:t>
      </w:r>
      <w:r>
        <w:rPr>
          <w:spacing w:val="-9"/>
          <w:w w:val="130"/>
          <w:sz w:val="24"/>
        </w:rPr>
        <w:t> </w:t>
      </w:r>
      <w:r>
        <w:rPr>
          <w:w w:val="130"/>
          <w:sz w:val="24"/>
        </w:rPr>
        <w:t>ismert,</w:t>
      </w:r>
      <w:r>
        <w:rPr>
          <w:spacing w:val="2"/>
          <w:w w:val="130"/>
          <w:sz w:val="24"/>
        </w:rPr>
        <w:t> </w:t>
      </w:r>
      <w:r>
        <w:rPr>
          <w:w w:val="130"/>
          <w:sz w:val="24"/>
        </w:rPr>
        <w:t>a</w:t>
      </w:r>
      <w:r>
        <w:rPr>
          <w:spacing w:val="-19"/>
          <w:w w:val="130"/>
          <w:sz w:val="24"/>
        </w:rPr>
        <w:t> </w:t>
      </w:r>
      <w:r>
        <w:rPr>
          <w:w w:val="130"/>
          <w:sz w:val="24"/>
        </w:rPr>
        <w:t>hitelező</w:t>
      </w:r>
      <w:r>
        <w:rPr>
          <w:spacing w:val="-4"/>
          <w:w w:val="130"/>
          <w:sz w:val="24"/>
        </w:rPr>
        <w:t> </w:t>
      </w:r>
      <w:r>
        <w:rPr>
          <w:w w:val="130"/>
          <w:sz w:val="24"/>
        </w:rPr>
        <w:t>a</w:t>
      </w:r>
      <w:r>
        <w:rPr>
          <w:spacing w:val="-12"/>
          <w:w w:val="130"/>
          <w:sz w:val="24"/>
        </w:rPr>
        <w:t> </w:t>
      </w:r>
      <w:r>
        <w:rPr>
          <w:w w:val="130"/>
          <w:sz w:val="24"/>
        </w:rPr>
        <w:t>törlesztési</w:t>
      </w:r>
      <w:r>
        <w:rPr>
          <w:spacing w:val="-9"/>
          <w:w w:val="130"/>
          <w:sz w:val="24"/>
        </w:rPr>
        <w:t> </w:t>
      </w:r>
      <w:r>
        <w:rPr>
          <w:w w:val="130"/>
          <w:sz w:val="24"/>
        </w:rPr>
        <w:t>táblázatban a hitel teljes futamidejére vonatkozóan ugyanazt a törlesztőrészlet-összeget tüntetheti fel. Ilyen esetben a hitelezőnek erre fel kell hívnia a fogyasztó figyelmét úgy, hogy az ismert összegeket vizuálisan megkülönbözteti a feltételezettektől (például más betűtípus, szegélyek vagy árnyékolás alkalmazásával). Emellett egy világosan olvasható szöveggel el kell magyarázni, hogy a táblázatban feltüntetett összegek mely időszakokban változhatnak és</w:t>
      </w:r>
      <w:r>
        <w:rPr>
          <w:spacing w:val="-8"/>
          <w:w w:val="130"/>
          <w:sz w:val="24"/>
        </w:rPr>
        <w:t> </w:t>
      </w:r>
      <w:r>
        <w:rPr>
          <w:w w:val="130"/>
          <w:sz w:val="24"/>
        </w:rPr>
        <w:t>miért.</w:t>
      </w:r>
    </w:p>
    <w:p>
      <w:pPr>
        <w:pStyle w:val="ListParagraph"/>
        <w:numPr>
          <w:ilvl w:val="0"/>
          <w:numId w:val="5"/>
        </w:numPr>
        <w:tabs>
          <w:tab w:pos="623" w:val="left" w:leader="none"/>
        </w:tabs>
        <w:spacing w:line="268" w:lineRule="exact" w:before="232" w:after="0"/>
        <w:ind w:left="622" w:right="0" w:hanging="305"/>
        <w:jc w:val="left"/>
        <w:rPr>
          <w:sz w:val="24"/>
        </w:rPr>
      </w:pPr>
      <w:r>
        <w:rPr>
          <w:w w:val="125"/>
          <w:sz w:val="24"/>
        </w:rPr>
        <w:t>További kötelezettségek</w:t>
      </w:r>
    </w:p>
    <w:p>
      <w:pPr>
        <w:pStyle w:val="ListParagraph"/>
        <w:numPr>
          <w:ilvl w:val="1"/>
          <w:numId w:val="5"/>
        </w:numPr>
        <w:tabs>
          <w:tab w:pos="875" w:val="left" w:leader="none"/>
        </w:tabs>
        <w:spacing w:line="225" w:lineRule="auto" w:before="5" w:after="0"/>
        <w:ind w:left="113" w:right="147" w:firstLine="204"/>
        <w:jc w:val="both"/>
        <w:rPr>
          <w:sz w:val="24"/>
        </w:rPr>
      </w:pPr>
      <w:r>
        <w:rPr>
          <w:w w:val="125"/>
          <w:sz w:val="24"/>
        </w:rPr>
        <w:t>A hitelezőnek ebben a pontban olyan kötelezettségeket kell feltüntetnie, mint a ingatlan vagyonbiztosításának, életbiztosítás  megkötésének,  a munkabér hitelezőnél vezetett fizetési számlára való utaltatásának  vagy bármely más termék vagy szolgáltatás megvásárlásának a kötelezettsége. A hitelezőnek minden kötelezettség esetében meg kell adnia, hogy a kötelezettséget kinek a részére és milyen időpontig kell</w:t>
      </w:r>
      <w:r>
        <w:rPr>
          <w:spacing w:val="34"/>
          <w:w w:val="125"/>
          <w:sz w:val="24"/>
        </w:rPr>
        <w:t> </w:t>
      </w:r>
      <w:r>
        <w:rPr>
          <w:w w:val="125"/>
          <w:sz w:val="24"/>
        </w:rPr>
        <w:t>teljesíteni.</w:t>
      </w:r>
    </w:p>
    <w:p>
      <w:pPr>
        <w:pStyle w:val="ListParagraph"/>
        <w:numPr>
          <w:ilvl w:val="1"/>
          <w:numId w:val="5"/>
        </w:numPr>
        <w:tabs>
          <w:tab w:pos="911" w:val="left" w:leader="none"/>
        </w:tabs>
        <w:spacing w:line="225" w:lineRule="auto" w:before="4" w:after="0"/>
        <w:ind w:left="113" w:right="149" w:firstLine="204"/>
        <w:jc w:val="both"/>
        <w:rPr>
          <w:sz w:val="24"/>
        </w:rPr>
      </w:pPr>
      <w:r>
        <w:rPr>
          <w:w w:val="125"/>
          <w:sz w:val="24"/>
        </w:rPr>
        <w:t>A hitelezőnek meg kell adnia a kötelezettség időtartamát (például: a hitelszerződés lejáratáig). A hitelezőnek minden kötelezettség esetében meg kell adnia, hogy a fogyasztónak a THM-ben nem szereplő milyen költségeket kell</w:t>
      </w:r>
      <w:r>
        <w:rPr>
          <w:spacing w:val="-1"/>
          <w:w w:val="125"/>
          <w:sz w:val="24"/>
        </w:rPr>
        <w:t> </w:t>
      </w:r>
      <w:r>
        <w:rPr>
          <w:w w:val="125"/>
          <w:sz w:val="24"/>
        </w:rPr>
        <w:t>megfizetnie.</w:t>
      </w:r>
    </w:p>
    <w:p>
      <w:pPr>
        <w:pStyle w:val="ListParagraph"/>
        <w:numPr>
          <w:ilvl w:val="1"/>
          <w:numId w:val="5"/>
        </w:numPr>
        <w:tabs>
          <w:tab w:pos="933" w:val="left" w:leader="none"/>
        </w:tabs>
        <w:spacing w:line="225" w:lineRule="auto" w:before="2" w:after="0"/>
        <w:ind w:left="113" w:right="147" w:firstLine="204"/>
        <w:jc w:val="both"/>
        <w:rPr>
          <w:sz w:val="24"/>
        </w:rPr>
      </w:pPr>
      <w:r>
        <w:rPr>
          <w:w w:val="125"/>
          <w:sz w:val="24"/>
        </w:rPr>
        <w:t>A hitelezőnek fel kell tüntetnie, hogy a hitelnek a közölt feltételek szerinti megszerzéséhez a fogyasztó köteles-e bármilyen kapcsolódó szolgáltatást igénybe venni, és ha igen, akkor köteles-e ezt a szolgáltatást a hitelező által előnyben részesített szolgáltatótól igénybe venni, vagy  saját  maga is választhat-e szolgáltatót. Ha ez utóbbi lehetőségnek az  a  feltétele, hogy a kapcsolódó szolgáltatások megfeleljenek bizonyos minimumkövetelményeknek, akkor ezeket e pontban kell</w:t>
      </w:r>
      <w:r>
        <w:rPr>
          <w:spacing w:val="16"/>
          <w:w w:val="125"/>
          <w:sz w:val="24"/>
        </w:rPr>
        <w:t> </w:t>
      </w:r>
      <w:r>
        <w:rPr>
          <w:w w:val="125"/>
          <w:sz w:val="24"/>
        </w:rPr>
        <w:t>ismertetni.</w:t>
      </w:r>
    </w:p>
    <w:p>
      <w:pPr>
        <w:spacing w:after="0" w:line="225" w:lineRule="auto"/>
        <w:jc w:val="both"/>
        <w:rPr>
          <w:sz w:val="24"/>
        </w:rPr>
        <w:sectPr>
          <w:pgSz w:w="11900" w:h="16820"/>
          <w:pgMar w:header="1104" w:footer="0" w:top="1840" w:bottom="280" w:left="1020" w:right="980"/>
        </w:sectPr>
      </w:pPr>
    </w:p>
    <w:p>
      <w:pPr>
        <w:pStyle w:val="BodyText"/>
        <w:spacing w:line="225" w:lineRule="auto" w:before="173"/>
        <w:ind w:right="148"/>
      </w:pPr>
      <w:r>
        <w:rPr>
          <w:w w:val="130"/>
        </w:rPr>
        <w:t>Amennyiben a hitelszerződés egyéb termékekkel egy csomagban szerepel, akkor a hitelezőnek ismertetnie kell a csomagban szereplő többi termék legfontosabb jellemzőit, és egyértelműen közölnie kell, hogy a fogyasztónak joga</w:t>
      </w:r>
      <w:r>
        <w:rPr>
          <w:spacing w:val="-20"/>
          <w:w w:val="130"/>
        </w:rPr>
        <w:t> </w:t>
      </w:r>
      <w:r>
        <w:rPr>
          <w:w w:val="130"/>
        </w:rPr>
        <w:t>van-e</w:t>
      </w:r>
      <w:r>
        <w:rPr>
          <w:spacing w:val="-20"/>
          <w:w w:val="130"/>
        </w:rPr>
        <w:t> </w:t>
      </w:r>
      <w:r>
        <w:rPr>
          <w:w w:val="130"/>
        </w:rPr>
        <w:t>a</w:t>
      </w:r>
      <w:r>
        <w:rPr>
          <w:spacing w:val="-20"/>
          <w:w w:val="130"/>
        </w:rPr>
        <w:t> </w:t>
      </w:r>
      <w:r>
        <w:rPr>
          <w:w w:val="130"/>
        </w:rPr>
        <w:t>hitelszerződést</w:t>
      </w:r>
      <w:r>
        <w:rPr>
          <w:spacing w:val="-20"/>
          <w:w w:val="130"/>
        </w:rPr>
        <w:t> </w:t>
      </w:r>
      <w:r>
        <w:rPr>
          <w:w w:val="130"/>
        </w:rPr>
        <w:t>vagy</w:t>
      </w:r>
      <w:r>
        <w:rPr>
          <w:spacing w:val="-20"/>
          <w:w w:val="130"/>
        </w:rPr>
        <w:t> </w:t>
      </w:r>
      <w:r>
        <w:rPr>
          <w:w w:val="130"/>
        </w:rPr>
        <w:t>a</w:t>
      </w:r>
      <w:r>
        <w:rPr>
          <w:spacing w:val="-20"/>
          <w:w w:val="130"/>
        </w:rPr>
        <w:t> </w:t>
      </w:r>
      <w:r>
        <w:rPr>
          <w:w w:val="130"/>
        </w:rPr>
        <w:t>csomag</w:t>
      </w:r>
      <w:r>
        <w:rPr>
          <w:spacing w:val="-20"/>
          <w:w w:val="130"/>
        </w:rPr>
        <w:t> </w:t>
      </w:r>
      <w:r>
        <w:rPr>
          <w:w w:val="130"/>
        </w:rPr>
        <w:t>egyes</w:t>
      </w:r>
      <w:r>
        <w:rPr>
          <w:spacing w:val="-20"/>
          <w:w w:val="130"/>
        </w:rPr>
        <w:t> </w:t>
      </w:r>
      <w:r>
        <w:rPr>
          <w:w w:val="130"/>
        </w:rPr>
        <w:t>termékeit</w:t>
      </w:r>
      <w:r>
        <w:rPr>
          <w:spacing w:val="-20"/>
          <w:w w:val="130"/>
        </w:rPr>
        <w:t> </w:t>
      </w:r>
      <w:r>
        <w:rPr>
          <w:w w:val="130"/>
        </w:rPr>
        <w:t>külön</w:t>
      </w:r>
      <w:r>
        <w:rPr>
          <w:spacing w:val="-20"/>
          <w:w w:val="130"/>
        </w:rPr>
        <w:t> </w:t>
      </w:r>
      <w:r>
        <w:rPr>
          <w:w w:val="130"/>
        </w:rPr>
        <w:t>felmondani, és ha igen, akkor ennek mik a feltételei és a következményei, továbbá adott esetben közölnie kell a hitelszerződéshez kapcsolódóan megvásárolandó szolgáltatások felmondásának lehetséges</w:t>
      </w:r>
      <w:r>
        <w:rPr>
          <w:spacing w:val="-24"/>
          <w:w w:val="130"/>
        </w:rPr>
        <w:t> </w:t>
      </w:r>
      <w:r>
        <w:rPr>
          <w:w w:val="130"/>
        </w:rPr>
        <w:t>következményeit.</w:t>
      </w:r>
    </w:p>
    <w:p>
      <w:pPr>
        <w:pStyle w:val="ListParagraph"/>
        <w:numPr>
          <w:ilvl w:val="0"/>
          <w:numId w:val="5"/>
        </w:numPr>
        <w:tabs>
          <w:tab w:pos="623" w:val="left" w:leader="none"/>
        </w:tabs>
        <w:spacing w:line="268" w:lineRule="exact" w:before="230" w:after="0"/>
        <w:ind w:left="622" w:right="0" w:hanging="305"/>
        <w:jc w:val="left"/>
        <w:rPr>
          <w:sz w:val="24"/>
        </w:rPr>
      </w:pPr>
      <w:r>
        <w:rPr>
          <w:w w:val="130"/>
          <w:sz w:val="24"/>
        </w:rPr>
        <w:t>Előtörlesztés</w:t>
      </w:r>
    </w:p>
    <w:p>
      <w:pPr>
        <w:pStyle w:val="ListParagraph"/>
        <w:numPr>
          <w:ilvl w:val="1"/>
          <w:numId w:val="5"/>
        </w:numPr>
        <w:tabs>
          <w:tab w:pos="938" w:val="left" w:leader="none"/>
        </w:tabs>
        <w:spacing w:line="225" w:lineRule="auto" w:before="6" w:after="0"/>
        <w:ind w:left="113" w:right="146" w:firstLine="204"/>
        <w:jc w:val="both"/>
        <w:rPr>
          <w:sz w:val="24"/>
        </w:rPr>
      </w:pPr>
      <w:r>
        <w:rPr>
          <w:w w:val="125"/>
          <w:sz w:val="24"/>
        </w:rPr>
        <w:t>A hitelezőnek fel kell tüntetnie, hogy a fogyasztó milyen feltételek mellett fizetheti vissza részben vagy egészben a hitelt annak lejárata</w:t>
      </w:r>
      <w:r>
        <w:rPr>
          <w:spacing w:val="27"/>
          <w:w w:val="125"/>
          <w:sz w:val="24"/>
        </w:rPr>
        <w:t> </w:t>
      </w:r>
      <w:r>
        <w:rPr>
          <w:w w:val="125"/>
          <w:sz w:val="24"/>
        </w:rPr>
        <w:t>előtt.</w:t>
      </w:r>
    </w:p>
    <w:p>
      <w:pPr>
        <w:pStyle w:val="ListParagraph"/>
        <w:numPr>
          <w:ilvl w:val="1"/>
          <w:numId w:val="5"/>
        </w:numPr>
        <w:tabs>
          <w:tab w:pos="924" w:val="left" w:leader="none"/>
        </w:tabs>
        <w:spacing w:line="225" w:lineRule="auto" w:before="1" w:after="0"/>
        <w:ind w:left="113" w:right="145" w:firstLine="204"/>
        <w:jc w:val="both"/>
        <w:rPr>
          <w:sz w:val="24"/>
        </w:rPr>
      </w:pPr>
      <w:r>
        <w:rPr>
          <w:w w:val="130"/>
          <w:sz w:val="24"/>
        </w:rPr>
        <w:t>Az előtörlesztési díjról szóló pontban a hitelezőnek fel kell hívnia a fogyasztó figyelmét az esetleges előtörlesztési díjakra vagy előtörlesztés esetén a hitelező költségtérítése céljából fizetendő egyéb költségekre, és lehetőség szerint meg kell adnia ezek összegét. Olyan esetekben, amikor az előtörlesztési díj összege különböző tényezők függvénye, mint például a már törlesztett összeg vagy az előtörlesztés időpontjában érvényes kamatláb, a</w:t>
      </w:r>
      <w:r>
        <w:rPr>
          <w:spacing w:val="78"/>
          <w:w w:val="130"/>
          <w:sz w:val="24"/>
        </w:rPr>
        <w:t> </w:t>
      </w:r>
      <w:r>
        <w:rPr>
          <w:w w:val="130"/>
          <w:sz w:val="24"/>
        </w:rPr>
        <w:t>hitelezőnek fel kell tüntetnie az előtörlesztési díj kiszámításának a módját, és meg kell adnia a díj lehetséges maximális összegét, illetve ha erre nincs</w:t>
      </w:r>
      <w:r>
        <w:rPr>
          <w:spacing w:val="-55"/>
          <w:w w:val="130"/>
          <w:sz w:val="24"/>
        </w:rPr>
        <w:t> </w:t>
      </w:r>
      <w:r>
        <w:rPr>
          <w:w w:val="130"/>
          <w:sz w:val="24"/>
        </w:rPr>
        <w:t>mód, akkor szemléltető példával kell bemutatnia a fogyasztó számára, hogy a különböző lehetséges forgatókönyvek esetén hogyan alakulhat az előtörlesztési díj</w:t>
      </w:r>
      <w:r>
        <w:rPr>
          <w:spacing w:val="-7"/>
          <w:w w:val="130"/>
          <w:sz w:val="24"/>
        </w:rPr>
        <w:t> </w:t>
      </w:r>
      <w:r>
        <w:rPr>
          <w:w w:val="130"/>
          <w:sz w:val="24"/>
        </w:rPr>
        <w:t>mértéke.</w:t>
      </w:r>
    </w:p>
    <w:p>
      <w:pPr>
        <w:pStyle w:val="ListParagraph"/>
        <w:numPr>
          <w:ilvl w:val="0"/>
          <w:numId w:val="5"/>
        </w:numPr>
        <w:tabs>
          <w:tab w:pos="776" w:val="left" w:leader="none"/>
        </w:tabs>
        <w:spacing w:line="268" w:lineRule="exact" w:before="233" w:after="0"/>
        <w:ind w:left="775" w:right="0" w:hanging="458"/>
        <w:jc w:val="left"/>
        <w:rPr>
          <w:sz w:val="24"/>
        </w:rPr>
      </w:pPr>
      <w:r>
        <w:rPr>
          <w:w w:val="125"/>
          <w:sz w:val="24"/>
        </w:rPr>
        <w:t>Rugalmas elemek</w:t>
      </w:r>
    </w:p>
    <w:p>
      <w:pPr>
        <w:pStyle w:val="ListParagraph"/>
        <w:numPr>
          <w:ilvl w:val="1"/>
          <w:numId w:val="5"/>
        </w:numPr>
        <w:tabs>
          <w:tab w:pos="1068" w:val="left" w:leader="none"/>
        </w:tabs>
        <w:spacing w:line="225" w:lineRule="auto" w:before="5" w:after="0"/>
        <w:ind w:left="113" w:right="145" w:firstLine="204"/>
        <w:jc w:val="both"/>
        <w:rPr>
          <w:sz w:val="24"/>
        </w:rPr>
      </w:pPr>
      <w:r>
        <w:rPr>
          <w:w w:val="125"/>
          <w:sz w:val="24"/>
        </w:rPr>
        <w:t>A hitelező adott esetben jelzi a hitel másik hitelezőhöz vagy másik ingatlanra való átvitelének a lehetőségét és ennek</w:t>
      </w:r>
      <w:r>
        <w:rPr>
          <w:spacing w:val="35"/>
          <w:w w:val="125"/>
          <w:sz w:val="24"/>
        </w:rPr>
        <w:t> </w:t>
      </w:r>
      <w:r>
        <w:rPr>
          <w:w w:val="125"/>
          <w:sz w:val="24"/>
        </w:rPr>
        <w:t>feltételeit.</w:t>
      </w:r>
    </w:p>
    <w:p>
      <w:pPr>
        <w:pStyle w:val="ListParagraph"/>
        <w:numPr>
          <w:ilvl w:val="1"/>
          <w:numId w:val="5"/>
        </w:numPr>
        <w:tabs>
          <w:tab w:pos="1117" w:val="left" w:leader="none"/>
        </w:tabs>
        <w:spacing w:line="225" w:lineRule="auto" w:before="1" w:after="0"/>
        <w:ind w:left="113" w:right="132" w:firstLine="204"/>
        <w:jc w:val="both"/>
        <w:rPr>
          <w:sz w:val="24"/>
        </w:rPr>
      </w:pPr>
      <w:r>
        <w:rPr>
          <w:w w:val="125"/>
          <w:sz w:val="24"/>
        </w:rPr>
        <w:t>(Adott esetben) További elemek: Amennyiben a termék az 10.5. pontban felsorolt bármely elemet tartalmazza, akkor ebben a pontban fel kell sorolni ezen elemeket, és röviden ismertetni kell a következőket: a fogyasztó milyen körülmények között veheti igénybe ezeket az elemeket; az elemek esetleges feltételei; ha az elem úgy képezi jelzálogjoggal vagy hasonló biztosítékkal fedezett hitel részét, hogy a fogyasztó elveszíti az elemhez egyébként kapcsolódó jogszabályi vagy szerződéses védelmet; az elemet biztosító cég (ha az nem a</w:t>
      </w:r>
      <w:r>
        <w:rPr>
          <w:spacing w:val="6"/>
          <w:w w:val="125"/>
          <w:sz w:val="24"/>
        </w:rPr>
        <w:t> </w:t>
      </w:r>
      <w:r>
        <w:rPr>
          <w:w w:val="125"/>
          <w:sz w:val="24"/>
        </w:rPr>
        <w:t>hitelező).</w:t>
      </w:r>
    </w:p>
    <w:p>
      <w:pPr>
        <w:pStyle w:val="ListParagraph"/>
        <w:numPr>
          <w:ilvl w:val="1"/>
          <w:numId w:val="5"/>
        </w:numPr>
        <w:tabs>
          <w:tab w:pos="1120" w:val="left" w:leader="none"/>
        </w:tabs>
        <w:spacing w:line="225" w:lineRule="auto" w:before="5" w:after="0"/>
        <w:ind w:left="113" w:right="142" w:firstLine="204"/>
        <w:jc w:val="both"/>
        <w:rPr>
          <w:sz w:val="24"/>
        </w:rPr>
      </w:pPr>
      <w:r>
        <w:rPr>
          <w:w w:val="125"/>
          <w:sz w:val="24"/>
        </w:rPr>
        <w:t>Ha az elem további hitelt tartalmaz, akkor ebben a pontban a következőket kell a fogyasztónak elmagyarázni: a hitel teljes összege (ideértve a jelzálogjoggal vagy hasonló biztosítékkal fedezett hitelt is); hogy a további hitel fedezett-e vagy sem; a vonatkozó hitelkamatlábak; hogy szabályozott-e vagy sem. Az eredeti hitelképesség-vizsgálatnak vagy ki kell terjednie az ilyen további hitelösszegre is, vagy ha nem terjed ki rá, akkor ebben a pontban világosan el kell magyarázni, hogy a további összeg rendelkezésre bocsátása a fogyasztó törlesztési képességének további vizsgálatától</w:t>
      </w:r>
      <w:r>
        <w:rPr>
          <w:spacing w:val="11"/>
          <w:w w:val="125"/>
          <w:sz w:val="24"/>
        </w:rPr>
        <w:t> </w:t>
      </w:r>
      <w:r>
        <w:rPr>
          <w:w w:val="125"/>
          <w:sz w:val="24"/>
        </w:rPr>
        <w:t>függ.</w:t>
      </w:r>
    </w:p>
    <w:p>
      <w:pPr>
        <w:pStyle w:val="ListParagraph"/>
        <w:numPr>
          <w:ilvl w:val="1"/>
          <w:numId w:val="5"/>
        </w:numPr>
        <w:tabs>
          <w:tab w:pos="1046" w:val="left" w:leader="none"/>
        </w:tabs>
        <w:spacing w:line="225" w:lineRule="auto" w:before="5" w:after="0"/>
        <w:ind w:left="113" w:right="154" w:firstLine="204"/>
        <w:jc w:val="both"/>
        <w:rPr>
          <w:sz w:val="24"/>
        </w:rPr>
      </w:pPr>
      <w:r>
        <w:rPr>
          <w:w w:val="130"/>
          <w:sz w:val="24"/>
        </w:rPr>
        <w:t>Ha a hitel megtakarítási termékkel társul, a vonatkozó kamatlábakat meg kell</w:t>
      </w:r>
      <w:r>
        <w:rPr>
          <w:spacing w:val="-8"/>
          <w:w w:val="130"/>
          <w:sz w:val="24"/>
        </w:rPr>
        <w:t> </w:t>
      </w:r>
      <w:r>
        <w:rPr>
          <w:w w:val="130"/>
          <w:sz w:val="24"/>
        </w:rPr>
        <w:t>magyarázni.</w:t>
      </w:r>
    </w:p>
    <w:p>
      <w:pPr>
        <w:pStyle w:val="ListParagraph"/>
        <w:numPr>
          <w:ilvl w:val="1"/>
          <w:numId w:val="5"/>
        </w:numPr>
        <w:tabs>
          <w:tab w:pos="1111" w:val="left" w:leader="none"/>
        </w:tabs>
        <w:spacing w:line="225" w:lineRule="auto" w:before="1" w:after="0"/>
        <w:ind w:left="113" w:right="132" w:firstLine="204"/>
        <w:jc w:val="both"/>
        <w:rPr>
          <w:sz w:val="24"/>
        </w:rPr>
      </w:pPr>
      <w:r>
        <w:rPr>
          <w:w w:val="125"/>
          <w:sz w:val="24"/>
        </w:rPr>
        <w:t>A lehetséges további elemek: „Túlfizetés/Alulfizetés” [a törlesztési struktúra szerint rendesen fizetendő részletnél nagyobb vagy kisebb összeg fizetése]; </w:t>
      </w:r>
      <w:r>
        <w:rPr>
          <w:spacing w:val="-9"/>
          <w:w w:val="125"/>
          <w:sz w:val="24"/>
        </w:rPr>
        <w:t>„A </w:t>
      </w:r>
      <w:r>
        <w:rPr>
          <w:w w:val="125"/>
          <w:sz w:val="24"/>
        </w:rPr>
        <w:t>fizetés szüneteltetése” [olyan időszakok, amikor a fogyasztónak nem kell törlesztenie]; „Ismételt lehívás” [a fogyasztó azon lehetősége, hogy egy egyszer már lehívott és visszafizetett összeget újra felvegyen]; „További hitel felvétele külön jóváhagyás nélkül”; „További fedezett vagy fedezetlen hitelfelvétel” [a fenti 10.3. ponttal összhangban]; „Hitelkártya”; „Kapcsolt folyószámla”; és „Kapcsolt megtakarítási</w:t>
      </w:r>
      <w:r>
        <w:rPr>
          <w:spacing w:val="-1"/>
          <w:w w:val="125"/>
          <w:sz w:val="24"/>
        </w:rPr>
        <w:t> </w:t>
      </w:r>
      <w:r>
        <w:rPr>
          <w:w w:val="125"/>
          <w:sz w:val="24"/>
        </w:rPr>
        <w:t>számla”.</w:t>
      </w:r>
    </w:p>
    <w:p>
      <w:pPr>
        <w:spacing w:after="0" w:line="225" w:lineRule="auto"/>
        <w:jc w:val="both"/>
        <w:rPr>
          <w:sz w:val="24"/>
        </w:rPr>
        <w:sectPr>
          <w:pgSz w:w="11900" w:h="16820"/>
          <w:pgMar w:header="1104" w:footer="0" w:top="1840" w:bottom="280" w:left="1020" w:right="980"/>
        </w:sectPr>
      </w:pPr>
    </w:p>
    <w:p>
      <w:pPr>
        <w:pStyle w:val="ListParagraph"/>
        <w:numPr>
          <w:ilvl w:val="1"/>
          <w:numId w:val="5"/>
        </w:numPr>
        <w:tabs>
          <w:tab w:pos="1043" w:val="left" w:leader="none"/>
        </w:tabs>
        <w:spacing w:line="225" w:lineRule="auto" w:before="173" w:after="0"/>
        <w:ind w:left="113" w:right="143" w:firstLine="204"/>
        <w:jc w:val="both"/>
        <w:rPr>
          <w:sz w:val="24"/>
        </w:rPr>
      </w:pPr>
      <w:r>
        <w:rPr>
          <w:w w:val="130"/>
          <w:sz w:val="24"/>
        </w:rPr>
        <w:t>A hitelező feltüntethet a részéről a hitelszerződés részeként kínált, a megelőző pontokban nem említett bármely egyéb</w:t>
      </w:r>
      <w:r>
        <w:rPr>
          <w:spacing w:val="-44"/>
          <w:w w:val="130"/>
          <w:sz w:val="24"/>
        </w:rPr>
        <w:t> </w:t>
      </w:r>
      <w:r>
        <w:rPr>
          <w:w w:val="130"/>
          <w:sz w:val="24"/>
        </w:rPr>
        <w:t>elemet.</w:t>
      </w:r>
    </w:p>
    <w:p>
      <w:pPr>
        <w:pStyle w:val="ListParagraph"/>
        <w:numPr>
          <w:ilvl w:val="0"/>
          <w:numId w:val="5"/>
        </w:numPr>
        <w:tabs>
          <w:tab w:pos="776" w:val="left" w:leader="none"/>
        </w:tabs>
        <w:spacing w:line="268" w:lineRule="exact" w:before="227" w:after="0"/>
        <w:ind w:left="775" w:right="0" w:hanging="458"/>
        <w:jc w:val="left"/>
        <w:rPr>
          <w:sz w:val="24"/>
        </w:rPr>
      </w:pPr>
      <w:r>
        <w:rPr>
          <w:w w:val="120"/>
          <w:sz w:val="24"/>
        </w:rPr>
        <w:t>A fogyasztó egyéb</w:t>
      </w:r>
      <w:r>
        <w:rPr>
          <w:spacing w:val="12"/>
          <w:w w:val="120"/>
          <w:sz w:val="24"/>
        </w:rPr>
        <w:t> </w:t>
      </w:r>
      <w:r>
        <w:rPr>
          <w:w w:val="120"/>
          <w:sz w:val="24"/>
        </w:rPr>
        <w:t>jogai</w:t>
      </w:r>
    </w:p>
    <w:p>
      <w:pPr>
        <w:pStyle w:val="ListParagraph"/>
        <w:numPr>
          <w:ilvl w:val="1"/>
          <w:numId w:val="5"/>
        </w:numPr>
        <w:tabs>
          <w:tab w:pos="1019" w:val="left" w:leader="none"/>
        </w:tabs>
        <w:spacing w:line="225" w:lineRule="auto" w:before="6" w:after="0"/>
        <w:ind w:left="113" w:right="143" w:firstLine="204"/>
        <w:jc w:val="both"/>
        <w:rPr>
          <w:sz w:val="24"/>
        </w:rPr>
      </w:pPr>
      <w:r>
        <w:rPr>
          <w:w w:val="125"/>
          <w:sz w:val="24"/>
        </w:rPr>
        <w:t>A hitelezőnek világosan ismertetnie kell például a gondolkodási időhöz való jogot, és adott esetben az egyéb jogokat, például az fedezet cserére, szerződés átruházásra vonatkozó jogot, amennyiben létezik, e jog(ok) gyakorlásának a feltételeit, a fogyasztó által a jog(ok)  gyakorlásához  követendő eljárást, valamint (adott esetben) a vonatkozó</w:t>
      </w:r>
      <w:r>
        <w:rPr>
          <w:spacing w:val="23"/>
          <w:w w:val="125"/>
          <w:sz w:val="24"/>
        </w:rPr>
        <w:t> </w:t>
      </w:r>
      <w:r>
        <w:rPr>
          <w:w w:val="125"/>
          <w:sz w:val="24"/>
        </w:rPr>
        <w:t>díjakat.</w:t>
      </w:r>
    </w:p>
    <w:p>
      <w:pPr>
        <w:pStyle w:val="ListParagraph"/>
        <w:numPr>
          <w:ilvl w:val="1"/>
          <w:numId w:val="5"/>
        </w:numPr>
        <w:tabs>
          <w:tab w:pos="1011" w:val="left" w:leader="none"/>
        </w:tabs>
        <w:spacing w:line="225" w:lineRule="auto" w:before="3" w:after="0"/>
        <w:ind w:left="113" w:right="149" w:firstLine="204"/>
        <w:jc w:val="both"/>
        <w:rPr>
          <w:sz w:val="24"/>
        </w:rPr>
      </w:pPr>
      <w:r>
        <w:rPr>
          <w:w w:val="125"/>
          <w:sz w:val="24"/>
        </w:rPr>
        <w:t>Amennyiben a fogyasztót gondolkodási idő illeti meg, ezt egyértelműen jelezni</w:t>
      </w:r>
      <w:r>
        <w:rPr>
          <w:spacing w:val="17"/>
          <w:w w:val="125"/>
          <w:sz w:val="24"/>
        </w:rPr>
        <w:t> </w:t>
      </w:r>
      <w:r>
        <w:rPr>
          <w:w w:val="125"/>
          <w:sz w:val="24"/>
        </w:rPr>
        <w:t>kell.</w:t>
      </w:r>
    </w:p>
    <w:p>
      <w:pPr>
        <w:pStyle w:val="ListParagraph"/>
        <w:numPr>
          <w:ilvl w:val="1"/>
          <w:numId w:val="5"/>
        </w:numPr>
        <w:tabs>
          <w:tab w:pos="1140" w:val="left" w:leader="none"/>
        </w:tabs>
        <w:spacing w:line="225" w:lineRule="auto" w:before="1" w:after="0"/>
        <w:ind w:left="113" w:right="145" w:firstLine="204"/>
        <w:jc w:val="both"/>
        <w:rPr>
          <w:sz w:val="24"/>
        </w:rPr>
      </w:pPr>
      <w:r>
        <w:rPr>
          <w:w w:val="125"/>
          <w:sz w:val="24"/>
        </w:rPr>
        <w:t>A távértékesítés keretében kötött pénzügyi ágazati szolgáltatási szerződésekről szóló 2005. évi XXV. törvény 7. § (1) bekezdésével összhangban, ha az ügyletet távértékesítéssel kínálják,  a  fogyasztót tájékoztatni kell az elállás jogának meglétéről vagy</w:t>
      </w:r>
      <w:r>
        <w:rPr>
          <w:spacing w:val="8"/>
          <w:w w:val="125"/>
          <w:sz w:val="24"/>
        </w:rPr>
        <w:t> </w:t>
      </w:r>
      <w:r>
        <w:rPr>
          <w:w w:val="125"/>
          <w:sz w:val="24"/>
        </w:rPr>
        <w:t>hiányáról.</w:t>
      </w:r>
    </w:p>
    <w:p>
      <w:pPr>
        <w:pStyle w:val="ListParagraph"/>
        <w:numPr>
          <w:ilvl w:val="0"/>
          <w:numId w:val="5"/>
        </w:numPr>
        <w:tabs>
          <w:tab w:pos="776" w:val="left" w:leader="none"/>
        </w:tabs>
        <w:spacing w:line="268" w:lineRule="exact" w:before="229" w:after="0"/>
        <w:ind w:left="775" w:right="0" w:hanging="458"/>
        <w:jc w:val="left"/>
        <w:rPr>
          <w:sz w:val="24"/>
        </w:rPr>
      </w:pPr>
      <w:r>
        <w:rPr>
          <w:w w:val="125"/>
          <w:sz w:val="24"/>
        </w:rPr>
        <w:t>Panaszok</w:t>
      </w:r>
    </w:p>
    <w:p>
      <w:pPr>
        <w:pStyle w:val="ListParagraph"/>
        <w:numPr>
          <w:ilvl w:val="1"/>
          <w:numId w:val="5"/>
        </w:numPr>
        <w:tabs>
          <w:tab w:pos="1085" w:val="left" w:leader="none"/>
        </w:tabs>
        <w:spacing w:line="225" w:lineRule="auto" w:before="5" w:after="0"/>
        <w:ind w:left="113" w:right="146" w:firstLine="204"/>
        <w:jc w:val="both"/>
        <w:rPr>
          <w:sz w:val="24"/>
        </w:rPr>
      </w:pPr>
      <w:r>
        <w:rPr>
          <w:w w:val="125"/>
          <w:sz w:val="24"/>
        </w:rPr>
        <w:t>Ebben a pontban meg kell adni a belső kapcsolattartó pontot [az  érintett részleg neve] és a panasz bejelentése céljából való kapcsolatfelvétel módját [levelezési cím] vagy [telefonszám], vagy a [kapcsolattartó személy nevét] [elérhetőség], továbbá meg kell adni a panaszbejelentésre szolgáló internetes oldal címét vagy hasonló</w:t>
      </w:r>
      <w:r>
        <w:rPr>
          <w:spacing w:val="10"/>
          <w:w w:val="125"/>
          <w:sz w:val="24"/>
        </w:rPr>
        <w:t> </w:t>
      </w:r>
      <w:r>
        <w:rPr>
          <w:w w:val="125"/>
          <w:sz w:val="24"/>
        </w:rPr>
        <w:t>információforrást.</w:t>
      </w:r>
    </w:p>
    <w:p>
      <w:pPr>
        <w:pStyle w:val="ListParagraph"/>
        <w:numPr>
          <w:ilvl w:val="1"/>
          <w:numId w:val="5"/>
        </w:numPr>
        <w:tabs>
          <w:tab w:pos="1104" w:val="left" w:leader="none"/>
        </w:tabs>
        <w:spacing w:line="225" w:lineRule="auto" w:before="3" w:after="0"/>
        <w:ind w:left="113" w:right="151" w:firstLine="204"/>
        <w:jc w:val="both"/>
        <w:rPr>
          <w:sz w:val="24"/>
        </w:rPr>
      </w:pPr>
      <w:r>
        <w:rPr>
          <w:w w:val="125"/>
          <w:sz w:val="24"/>
        </w:rPr>
        <w:t>Meg kell adni a panaszbejelentés és a peren kívüli vitarendezés tekintetében illetékes külső szerv nevét, továbbá amennyiben e szerv megkeresésének előfeltétele a belső panaszkezelési eljárás igénybevétele, ezt    a tényt a személyre szóló tájékoztatás megfogalmazásával közölni</w:t>
      </w:r>
      <w:r>
        <w:rPr>
          <w:spacing w:val="8"/>
          <w:w w:val="125"/>
          <w:sz w:val="24"/>
        </w:rPr>
        <w:t> </w:t>
      </w:r>
      <w:r>
        <w:rPr>
          <w:w w:val="125"/>
          <w:sz w:val="24"/>
        </w:rPr>
        <w:t>kell.</w:t>
      </w:r>
    </w:p>
    <w:p>
      <w:pPr>
        <w:pStyle w:val="ListParagraph"/>
        <w:numPr>
          <w:ilvl w:val="1"/>
          <w:numId w:val="5"/>
        </w:numPr>
        <w:tabs>
          <w:tab w:pos="1038" w:val="left" w:leader="none"/>
        </w:tabs>
        <w:spacing w:line="225" w:lineRule="auto" w:before="2" w:after="0"/>
        <w:ind w:left="113" w:right="147" w:firstLine="204"/>
        <w:jc w:val="both"/>
        <w:rPr>
          <w:sz w:val="24"/>
        </w:rPr>
      </w:pPr>
      <w:r>
        <w:rPr>
          <w:w w:val="130"/>
          <w:sz w:val="24"/>
        </w:rPr>
        <w:t>Amennyiben</w:t>
      </w:r>
      <w:r>
        <w:rPr>
          <w:spacing w:val="-7"/>
          <w:w w:val="130"/>
          <w:sz w:val="24"/>
        </w:rPr>
        <w:t> </w:t>
      </w:r>
      <w:r>
        <w:rPr>
          <w:w w:val="130"/>
          <w:sz w:val="24"/>
        </w:rPr>
        <w:t>a</w:t>
      </w:r>
      <w:r>
        <w:rPr>
          <w:spacing w:val="-19"/>
          <w:w w:val="130"/>
          <w:sz w:val="24"/>
        </w:rPr>
        <w:t> </w:t>
      </w:r>
      <w:r>
        <w:rPr>
          <w:w w:val="130"/>
          <w:sz w:val="24"/>
        </w:rPr>
        <w:t>hitelszerződés</w:t>
      </w:r>
      <w:r>
        <w:rPr>
          <w:spacing w:val="-13"/>
          <w:w w:val="130"/>
          <w:sz w:val="24"/>
        </w:rPr>
        <w:t> </w:t>
      </w:r>
      <w:r>
        <w:rPr>
          <w:w w:val="130"/>
          <w:sz w:val="24"/>
        </w:rPr>
        <w:t>más</w:t>
      </w:r>
      <w:r>
        <w:rPr>
          <w:spacing w:val="-13"/>
          <w:w w:val="130"/>
          <w:sz w:val="24"/>
        </w:rPr>
        <w:t> </w:t>
      </w:r>
      <w:r>
        <w:rPr>
          <w:w w:val="130"/>
          <w:sz w:val="24"/>
        </w:rPr>
        <w:t>tagállamban</w:t>
      </w:r>
      <w:r>
        <w:rPr>
          <w:spacing w:val="-13"/>
          <w:w w:val="130"/>
          <w:sz w:val="24"/>
        </w:rPr>
        <w:t> </w:t>
      </w:r>
      <w:r>
        <w:rPr>
          <w:w w:val="130"/>
          <w:sz w:val="24"/>
        </w:rPr>
        <w:t>lakóhellyel</w:t>
      </w:r>
      <w:r>
        <w:rPr>
          <w:spacing w:val="-13"/>
          <w:w w:val="130"/>
          <w:sz w:val="24"/>
        </w:rPr>
        <w:t> </w:t>
      </w:r>
      <w:r>
        <w:rPr>
          <w:w w:val="130"/>
          <w:sz w:val="24"/>
        </w:rPr>
        <w:t>rendelkező fogyasztóval jön létre, akkor a hitelezőnek utalnia kell a FIN-NET hálózat</w:t>
      </w:r>
      <w:r>
        <w:rPr>
          <w:spacing w:val="78"/>
          <w:w w:val="130"/>
          <w:sz w:val="24"/>
        </w:rPr>
        <w:t> </w:t>
      </w:r>
      <w:hyperlink r:id="rId9">
        <w:r>
          <w:rPr>
            <w:w w:val="130"/>
            <w:sz w:val="24"/>
          </w:rPr>
          <w:t>(http://ec.europa.eu/internal_market/fin-net/)</w:t>
        </w:r>
        <w:r>
          <w:rPr>
            <w:spacing w:val="-6"/>
            <w:w w:val="130"/>
            <w:sz w:val="24"/>
          </w:rPr>
          <w:t> </w:t>
        </w:r>
      </w:hyperlink>
      <w:r>
        <w:rPr>
          <w:w w:val="130"/>
          <w:sz w:val="24"/>
        </w:rPr>
        <w:t>létezésére.</w:t>
      </w:r>
    </w:p>
    <w:p>
      <w:pPr>
        <w:pStyle w:val="ListParagraph"/>
        <w:numPr>
          <w:ilvl w:val="0"/>
          <w:numId w:val="5"/>
        </w:numPr>
        <w:tabs>
          <w:tab w:pos="810" w:val="left" w:leader="none"/>
        </w:tabs>
        <w:spacing w:line="225" w:lineRule="auto" w:before="242" w:after="0"/>
        <w:ind w:left="113" w:right="158" w:firstLine="204"/>
        <w:jc w:val="both"/>
        <w:rPr>
          <w:sz w:val="24"/>
        </w:rPr>
      </w:pPr>
      <w:r>
        <w:rPr>
          <w:w w:val="125"/>
          <w:sz w:val="24"/>
        </w:rPr>
        <w:t>A hitelhez kapcsolódó kötelezettségek elmulasztásának következményei  a fogyasztóra</w:t>
      </w:r>
      <w:r>
        <w:rPr>
          <w:spacing w:val="1"/>
          <w:w w:val="125"/>
          <w:sz w:val="24"/>
        </w:rPr>
        <w:t> </w:t>
      </w:r>
      <w:r>
        <w:rPr>
          <w:w w:val="125"/>
          <w:sz w:val="24"/>
        </w:rPr>
        <w:t>nézve</w:t>
      </w:r>
    </w:p>
    <w:p>
      <w:pPr>
        <w:pStyle w:val="ListParagraph"/>
        <w:numPr>
          <w:ilvl w:val="1"/>
          <w:numId w:val="5"/>
        </w:numPr>
        <w:tabs>
          <w:tab w:pos="1020" w:val="left" w:leader="none"/>
        </w:tabs>
        <w:spacing w:line="225" w:lineRule="auto" w:before="1" w:after="0"/>
        <w:ind w:left="113" w:right="152" w:firstLine="204"/>
        <w:jc w:val="both"/>
        <w:rPr>
          <w:sz w:val="24"/>
        </w:rPr>
      </w:pPr>
      <w:r>
        <w:rPr>
          <w:w w:val="130"/>
          <w:sz w:val="24"/>
        </w:rPr>
        <w:t>Ha</w:t>
      </w:r>
      <w:r>
        <w:rPr>
          <w:spacing w:val="-15"/>
          <w:w w:val="130"/>
          <w:sz w:val="24"/>
        </w:rPr>
        <w:t> </w:t>
      </w:r>
      <w:r>
        <w:rPr>
          <w:w w:val="130"/>
          <w:sz w:val="24"/>
        </w:rPr>
        <w:t>a</w:t>
      </w:r>
      <w:r>
        <w:rPr>
          <w:spacing w:val="-15"/>
          <w:w w:val="130"/>
          <w:sz w:val="24"/>
        </w:rPr>
        <w:t> </w:t>
      </w:r>
      <w:r>
        <w:rPr>
          <w:w w:val="130"/>
          <w:sz w:val="24"/>
        </w:rPr>
        <w:t>fogyasztó</w:t>
      </w:r>
      <w:r>
        <w:rPr>
          <w:spacing w:val="-15"/>
          <w:w w:val="130"/>
          <w:sz w:val="24"/>
        </w:rPr>
        <w:t> </w:t>
      </w:r>
      <w:r>
        <w:rPr>
          <w:w w:val="130"/>
          <w:sz w:val="24"/>
        </w:rPr>
        <w:t>hitelhez</w:t>
      </w:r>
      <w:r>
        <w:rPr>
          <w:spacing w:val="-15"/>
          <w:w w:val="130"/>
          <w:sz w:val="24"/>
        </w:rPr>
        <w:t> </w:t>
      </w:r>
      <w:r>
        <w:rPr>
          <w:w w:val="130"/>
          <w:sz w:val="24"/>
        </w:rPr>
        <w:t>kapcsolódó</w:t>
      </w:r>
      <w:r>
        <w:rPr>
          <w:spacing w:val="-16"/>
          <w:w w:val="130"/>
          <w:sz w:val="24"/>
        </w:rPr>
        <w:t> </w:t>
      </w:r>
      <w:r>
        <w:rPr>
          <w:w w:val="130"/>
          <w:sz w:val="24"/>
        </w:rPr>
        <w:t>bármely</w:t>
      </w:r>
      <w:r>
        <w:rPr>
          <w:spacing w:val="-8"/>
          <w:w w:val="130"/>
          <w:sz w:val="24"/>
        </w:rPr>
        <w:t> </w:t>
      </w:r>
      <w:r>
        <w:rPr>
          <w:w w:val="130"/>
          <w:sz w:val="24"/>
        </w:rPr>
        <w:t>kötelezettségének</w:t>
      </w:r>
      <w:r>
        <w:rPr>
          <w:spacing w:val="-16"/>
          <w:w w:val="130"/>
          <w:sz w:val="24"/>
        </w:rPr>
        <w:t> </w:t>
      </w:r>
      <w:r>
        <w:rPr>
          <w:w w:val="130"/>
          <w:sz w:val="24"/>
        </w:rPr>
        <w:t>be</w:t>
      </w:r>
      <w:r>
        <w:rPr>
          <w:spacing w:val="-21"/>
          <w:w w:val="130"/>
          <w:sz w:val="24"/>
        </w:rPr>
        <w:t> </w:t>
      </w:r>
      <w:r>
        <w:rPr>
          <w:w w:val="130"/>
          <w:sz w:val="24"/>
        </w:rPr>
        <w:t>nem tartása pénzügyi vagy jogi következményekkel járhat a fogyasztó számára, a hitelezőnek ebben a pontban kell ismertetnie az egyes fő eseteket (például késedelmes</w:t>
      </w:r>
      <w:r>
        <w:rPr>
          <w:spacing w:val="-31"/>
          <w:w w:val="130"/>
          <w:sz w:val="24"/>
        </w:rPr>
        <w:t> </w:t>
      </w:r>
      <w:r>
        <w:rPr>
          <w:w w:val="130"/>
          <w:sz w:val="24"/>
        </w:rPr>
        <w:t>fizetés/nemteljesítés,</w:t>
      </w:r>
      <w:r>
        <w:rPr>
          <w:spacing w:val="-31"/>
          <w:w w:val="130"/>
          <w:sz w:val="24"/>
        </w:rPr>
        <w:t> </w:t>
      </w:r>
      <w:r>
        <w:rPr>
          <w:w w:val="130"/>
          <w:sz w:val="24"/>
        </w:rPr>
        <w:t>a</w:t>
      </w:r>
      <w:r>
        <w:rPr>
          <w:spacing w:val="-21"/>
          <w:w w:val="130"/>
          <w:sz w:val="24"/>
        </w:rPr>
        <w:t> </w:t>
      </w:r>
      <w:r>
        <w:rPr>
          <w:spacing w:val="-3"/>
          <w:w w:val="130"/>
          <w:sz w:val="24"/>
        </w:rPr>
        <w:t>„További</w:t>
      </w:r>
      <w:r>
        <w:rPr>
          <w:spacing w:val="-31"/>
          <w:w w:val="130"/>
          <w:sz w:val="24"/>
        </w:rPr>
        <w:t> </w:t>
      </w:r>
      <w:r>
        <w:rPr>
          <w:w w:val="130"/>
          <w:sz w:val="24"/>
        </w:rPr>
        <w:t>kötelezettségek”</w:t>
      </w:r>
      <w:r>
        <w:rPr>
          <w:spacing w:val="-30"/>
          <w:w w:val="130"/>
          <w:sz w:val="24"/>
        </w:rPr>
        <w:t> </w:t>
      </w:r>
      <w:r>
        <w:rPr>
          <w:w w:val="130"/>
          <w:sz w:val="24"/>
        </w:rPr>
        <w:t>című</w:t>
      </w:r>
      <w:r>
        <w:rPr>
          <w:spacing w:val="-31"/>
          <w:w w:val="130"/>
          <w:sz w:val="24"/>
        </w:rPr>
        <w:t> </w:t>
      </w:r>
      <w:r>
        <w:rPr>
          <w:w w:val="130"/>
          <w:sz w:val="24"/>
        </w:rPr>
        <w:t>8.</w:t>
      </w:r>
      <w:r>
        <w:rPr>
          <w:spacing w:val="-31"/>
          <w:w w:val="130"/>
          <w:sz w:val="24"/>
        </w:rPr>
        <w:t> </w:t>
      </w:r>
      <w:r>
        <w:rPr>
          <w:w w:val="130"/>
          <w:sz w:val="24"/>
        </w:rPr>
        <w:t>pontban meghatározott kötelezettségek teljesítésének elmulasztása), és jeleznie kell, hogy a fogyasztó hol juthat további</w:t>
      </w:r>
      <w:r>
        <w:rPr>
          <w:spacing w:val="-45"/>
          <w:w w:val="130"/>
          <w:sz w:val="24"/>
        </w:rPr>
        <w:t> </w:t>
      </w:r>
      <w:r>
        <w:rPr>
          <w:w w:val="130"/>
          <w:sz w:val="24"/>
        </w:rPr>
        <w:t>információhoz.</w:t>
      </w:r>
    </w:p>
    <w:p>
      <w:pPr>
        <w:pStyle w:val="ListParagraph"/>
        <w:numPr>
          <w:ilvl w:val="1"/>
          <w:numId w:val="5"/>
        </w:numPr>
        <w:tabs>
          <w:tab w:pos="1050" w:val="left" w:leader="none"/>
        </w:tabs>
        <w:spacing w:line="225" w:lineRule="auto" w:before="4" w:after="0"/>
        <w:ind w:left="113" w:right="145" w:firstLine="204"/>
        <w:jc w:val="both"/>
        <w:rPr>
          <w:sz w:val="24"/>
        </w:rPr>
      </w:pPr>
      <w:r>
        <w:rPr>
          <w:w w:val="125"/>
          <w:sz w:val="24"/>
        </w:rPr>
        <w:t>A hitelezőnek minden ilyen esetre vonatkozóan egyértelmű, könnyen érthető kifejezésekkel kell részleteznie a lehetséges szankciókat vagy következményeket. A súlyos következményekre való hivatkozásokat ki kell emelni.</w:t>
      </w:r>
    </w:p>
    <w:p>
      <w:pPr>
        <w:pStyle w:val="ListParagraph"/>
        <w:numPr>
          <w:ilvl w:val="1"/>
          <w:numId w:val="5"/>
        </w:numPr>
        <w:tabs>
          <w:tab w:pos="1080" w:val="left" w:leader="none"/>
        </w:tabs>
        <w:spacing w:line="225" w:lineRule="auto" w:before="2" w:after="0"/>
        <w:ind w:left="113" w:right="145" w:firstLine="204"/>
        <w:jc w:val="both"/>
        <w:rPr>
          <w:sz w:val="24"/>
        </w:rPr>
      </w:pPr>
      <w:r>
        <w:rPr>
          <w:w w:val="130"/>
          <w:sz w:val="24"/>
        </w:rPr>
        <w:t>Amennyiben a hitel fedezetéül szolgáló ingatlan a hitelező részére visszaadható</w:t>
      </w:r>
      <w:r>
        <w:rPr>
          <w:spacing w:val="-12"/>
          <w:w w:val="130"/>
          <w:sz w:val="24"/>
        </w:rPr>
        <w:t> </w:t>
      </w:r>
      <w:r>
        <w:rPr>
          <w:w w:val="130"/>
          <w:sz w:val="24"/>
        </w:rPr>
        <w:t>vagy</w:t>
      </w:r>
      <w:r>
        <w:rPr>
          <w:spacing w:val="-11"/>
          <w:w w:val="130"/>
          <w:sz w:val="24"/>
        </w:rPr>
        <w:t> </w:t>
      </w:r>
      <w:r>
        <w:rPr>
          <w:w w:val="130"/>
          <w:sz w:val="24"/>
        </w:rPr>
        <w:t>átruházható,</w:t>
      </w:r>
      <w:r>
        <w:rPr>
          <w:spacing w:val="-11"/>
          <w:w w:val="130"/>
          <w:sz w:val="24"/>
        </w:rPr>
        <w:t> </w:t>
      </w:r>
      <w:r>
        <w:rPr>
          <w:w w:val="130"/>
          <w:sz w:val="24"/>
        </w:rPr>
        <w:t>ha</w:t>
      </w:r>
      <w:r>
        <w:rPr>
          <w:spacing w:val="-11"/>
          <w:w w:val="130"/>
          <w:sz w:val="24"/>
        </w:rPr>
        <w:t> </w:t>
      </w:r>
      <w:r>
        <w:rPr>
          <w:w w:val="130"/>
          <w:sz w:val="24"/>
        </w:rPr>
        <w:t>a</w:t>
      </w:r>
      <w:r>
        <w:rPr>
          <w:spacing w:val="-11"/>
          <w:w w:val="130"/>
          <w:sz w:val="24"/>
        </w:rPr>
        <w:t> </w:t>
      </w:r>
      <w:r>
        <w:rPr>
          <w:w w:val="130"/>
          <w:sz w:val="24"/>
        </w:rPr>
        <w:t>fogyasztó</w:t>
      </w:r>
      <w:r>
        <w:rPr>
          <w:spacing w:val="-11"/>
          <w:w w:val="130"/>
          <w:sz w:val="24"/>
        </w:rPr>
        <w:t> </w:t>
      </w:r>
      <w:r>
        <w:rPr>
          <w:w w:val="130"/>
          <w:sz w:val="24"/>
        </w:rPr>
        <w:t>nem</w:t>
      </w:r>
      <w:r>
        <w:rPr>
          <w:spacing w:val="-12"/>
          <w:w w:val="130"/>
          <w:sz w:val="24"/>
        </w:rPr>
        <w:t> </w:t>
      </w:r>
      <w:r>
        <w:rPr>
          <w:w w:val="130"/>
          <w:sz w:val="24"/>
        </w:rPr>
        <w:t>teljesíti</w:t>
      </w:r>
      <w:r>
        <w:rPr>
          <w:spacing w:val="-11"/>
          <w:w w:val="130"/>
          <w:sz w:val="24"/>
        </w:rPr>
        <w:t> </w:t>
      </w:r>
      <w:r>
        <w:rPr>
          <w:w w:val="130"/>
          <w:sz w:val="24"/>
        </w:rPr>
        <w:t>a</w:t>
      </w:r>
      <w:r>
        <w:rPr>
          <w:spacing w:val="-11"/>
          <w:w w:val="130"/>
          <w:sz w:val="24"/>
        </w:rPr>
        <w:t> </w:t>
      </w:r>
      <w:r>
        <w:rPr>
          <w:w w:val="130"/>
          <w:sz w:val="24"/>
        </w:rPr>
        <w:t>kötelezettségeit, akkor ebben a pontban a személyre szóló tájékoztatásban szereplő megfogalmazást</w:t>
      </w:r>
      <w:r>
        <w:rPr>
          <w:spacing w:val="-33"/>
          <w:w w:val="130"/>
          <w:sz w:val="24"/>
        </w:rPr>
        <w:t> </w:t>
      </w:r>
      <w:r>
        <w:rPr>
          <w:w w:val="130"/>
          <w:sz w:val="24"/>
        </w:rPr>
        <w:t>felhasználva</w:t>
      </w:r>
      <w:r>
        <w:rPr>
          <w:spacing w:val="-25"/>
          <w:w w:val="130"/>
          <w:sz w:val="24"/>
        </w:rPr>
        <w:t> </w:t>
      </w:r>
      <w:r>
        <w:rPr>
          <w:w w:val="130"/>
          <w:sz w:val="24"/>
        </w:rPr>
        <w:t>el</w:t>
      </w:r>
      <w:r>
        <w:rPr>
          <w:spacing w:val="-40"/>
          <w:w w:val="130"/>
          <w:sz w:val="24"/>
        </w:rPr>
        <w:t> </w:t>
      </w:r>
      <w:r>
        <w:rPr>
          <w:w w:val="130"/>
          <w:sz w:val="24"/>
        </w:rPr>
        <w:t>kell</w:t>
      </w:r>
      <w:r>
        <w:rPr>
          <w:spacing w:val="-33"/>
          <w:w w:val="130"/>
          <w:sz w:val="24"/>
        </w:rPr>
        <w:t> </w:t>
      </w:r>
      <w:r>
        <w:rPr>
          <w:w w:val="130"/>
          <w:sz w:val="24"/>
        </w:rPr>
        <w:t>helyezni</w:t>
      </w:r>
      <w:r>
        <w:rPr>
          <w:spacing w:val="-32"/>
          <w:w w:val="130"/>
          <w:sz w:val="24"/>
        </w:rPr>
        <w:t> </w:t>
      </w:r>
      <w:r>
        <w:rPr>
          <w:w w:val="130"/>
          <w:sz w:val="24"/>
        </w:rPr>
        <w:t>az</w:t>
      </w:r>
      <w:r>
        <w:rPr>
          <w:spacing w:val="-27"/>
          <w:w w:val="130"/>
          <w:sz w:val="24"/>
        </w:rPr>
        <w:t> </w:t>
      </w:r>
      <w:r>
        <w:rPr>
          <w:w w:val="130"/>
          <w:sz w:val="24"/>
        </w:rPr>
        <w:t>erre</w:t>
      </w:r>
      <w:r>
        <w:rPr>
          <w:spacing w:val="-38"/>
          <w:w w:val="130"/>
          <w:sz w:val="24"/>
        </w:rPr>
        <w:t> </w:t>
      </w:r>
      <w:r>
        <w:rPr>
          <w:w w:val="130"/>
          <w:sz w:val="24"/>
        </w:rPr>
        <w:t>vonatkozó</w:t>
      </w:r>
      <w:r>
        <w:rPr>
          <w:spacing w:val="-30"/>
          <w:w w:val="130"/>
          <w:sz w:val="24"/>
        </w:rPr>
        <w:t> </w:t>
      </w:r>
      <w:r>
        <w:rPr>
          <w:w w:val="130"/>
          <w:sz w:val="24"/>
        </w:rPr>
        <w:t>nyilatkozatot.</w:t>
      </w:r>
    </w:p>
    <w:p>
      <w:pPr>
        <w:pStyle w:val="ListParagraph"/>
        <w:numPr>
          <w:ilvl w:val="0"/>
          <w:numId w:val="5"/>
        </w:numPr>
        <w:tabs>
          <w:tab w:pos="776" w:val="left" w:leader="none"/>
        </w:tabs>
        <w:spacing w:line="268" w:lineRule="exact" w:before="229" w:after="0"/>
        <w:ind w:left="775" w:right="0" w:hanging="458"/>
        <w:jc w:val="left"/>
        <w:rPr>
          <w:sz w:val="24"/>
        </w:rPr>
      </w:pPr>
      <w:r>
        <w:rPr>
          <w:w w:val="120"/>
          <w:sz w:val="24"/>
        </w:rPr>
        <w:t>További</w:t>
      </w:r>
      <w:r>
        <w:rPr>
          <w:spacing w:val="3"/>
          <w:w w:val="120"/>
          <w:sz w:val="24"/>
        </w:rPr>
        <w:t> </w:t>
      </w:r>
      <w:r>
        <w:rPr>
          <w:w w:val="120"/>
          <w:sz w:val="24"/>
        </w:rPr>
        <w:t>információk</w:t>
      </w:r>
    </w:p>
    <w:p>
      <w:pPr>
        <w:pStyle w:val="ListParagraph"/>
        <w:numPr>
          <w:ilvl w:val="1"/>
          <w:numId w:val="5"/>
        </w:numPr>
        <w:tabs>
          <w:tab w:pos="1173" w:val="left" w:leader="none"/>
        </w:tabs>
        <w:spacing w:line="225" w:lineRule="auto" w:before="6" w:after="0"/>
        <w:ind w:left="113" w:right="148" w:firstLine="204"/>
        <w:jc w:val="both"/>
        <w:rPr>
          <w:sz w:val="24"/>
        </w:rPr>
      </w:pPr>
      <w:r>
        <w:rPr>
          <w:w w:val="130"/>
          <w:sz w:val="24"/>
        </w:rPr>
        <w:t>Távértékesítés esetében ebben a pontban fel kell tüntetni a hitelszerződésre alkalmazandó jogra és az illetékes bíróságra vonatkozó esetleges</w:t>
      </w:r>
      <w:r>
        <w:rPr>
          <w:spacing w:val="-4"/>
          <w:w w:val="130"/>
          <w:sz w:val="24"/>
        </w:rPr>
        <w:t> </w:t>
      </w:r>
      <w:r>
        <w:rPr>
          <w:w w:val="130"/>
          <w:sz w:val="24"/>
        </w:rPr>
        <w:t>záradékot.</w:t>
      </w:r>
    </w:p>
    <w:p>
      <w:pPr>
        <w:spacing w:after="0" w:line="225" w:lineRule="auto"/>
        <w:jc w:val="both"/>
        <w:rPr>
          <w:sz w:val="24"/>
        </w:rPr>
        <w:sectPr>
          <w:pgSz w:w="11900" w:h="16820"/>
          <w:pgMar w:header="1104" w:footer="0" w:top="1840" w:bottom="280" w:left="1020" w:right="980"/>
        </w:sectPr>
      </w:pPr>
    </w:p>
    <w:p>
      <w:pPr>
        <w:pStyle w:val="BodyText"/>
        <w:spacing w:line="225" w:lineRule="auto" w:before="173"/>
        <w:ind w:right="147"/>
      </w:pPr>
      <w:r>
        <w:rPr>
          <w:w w:val="130"/>
        </w:rPr>
        <w:t>Amennyiben a hitelező a szerződés időtartama alatt a fogyasztóval a személye szóló tájékoztatás nyelvétől eltérő nyelven kíván kommunikálni, akkor ezt a tényt rögzíteni kell, és meg kell nevezni a kommunikáció céljára használandó nyelvet. Ez az előírás nem sérti a távértékesítés keretében kötött pénzügyi</w:t>
      </w:r>
      <w:r>
        <w:rPr>
          <w:spacing w:val="-43"/>
          <w:w w:val="130"/>
        </w:rPr>
        <w:t> </w:t>
      </w:r>
      <w:r>
        <w:rPr>
          <w:w w:val="130"/>
        </w:rPr>
        <w:t>ágazati</w:t>
      </w:r>
      <w:r>
        <w:rPr>
          <w:spacing w:val="-43"/>
          <w:w w:val="130"/>
        </w:rPr>
        <w:t> </w:t>
      </w:r>
      <w:r>
        <w:rPr>
          <w:w w:val="130"/>
        </w:rPr>
        <w:t>szolgáltatási</w:t>
      </w:r>
      <w:r>
        <w:rPr>
          <w:spacing w:val="-42"/>
          <w:w w:val="130"/>
        </w:rPr>
        <w:t> </w:t>
      </w:r>
      <w:r>
        <w:rPr>
          <w:w w:val="130"/>
        </w:rPr>
        <w:t>szerződésekről</w:t>
      </w:r>
      <w:r>
        <w:rPr>
          <w:spacing w:val="-43"/>
          <w:w w:val="130"/>
        </w:rPr>
        <w:t> </w:t>
      </w:r>
      <w:r>
        <w:rPr>
          <w:w w:val="130"/>
        </w:rPr>
        <w:t>szóló</w:t>
      </w:r>
      <w:r>
        <w:rPr>
          <w:spacing w:val="-42"/>
          <w:w w:val="130"/>
        </w:rPr>
        <w:t> </w:t>
      </w:r>
      <w:r>
        <w:rPr>
          <w:w w:val="130"/>
        </w:rPr>
        <w:t>2005.</w:t>
      </w:r>
      <w:r>
        <w:rPr>
          <w:spacing w:val="-43"/>
          <w:w w:val="130"/>
        </w:rPr>
        <w:t> </w:t>
      </w:r>
      <w:r>
        <w:rPr>
          <w:w w:val="130"/>
        </w:rPr>
        <w:t>évi</w:t>
      </w:r>
      <w:r>
        <w:rPr>
          <w:spacing w:val="-43"/>
          <w:w w:val="130"/>
        </w:rPr>
        <w:t> </w:t>
      </w:r>
      <w:r>
        <w:rPr>
          <w:w w:val="130"/>
        </w:rPr>
        <w:t>XXV.</w:t>
      </w:r>
      <w:r>
        <w:rPr>
          <w:spacing w:val="-43"/>
          <w:w w:val="130"/>
        </w:rPr>
        <w:t> </w:t>
      </w:r>
      <w:r>
        <w:rPr>
          <w:w w:val="130"/>
        </w:rPr>
        <w:t>törvény</w:t>
      </w:r>
      <w:r>
        <w:rPr>
          <w:spacing w:val="-43"/>
          <w:w w:val="130"/>
        </w:rPr>
        <w:t> </w:t>
      </w:r>
      <w:r>
        <w:rPr>
          <w:w w:val="130"/>
        </w:rPr>
        <w:t>3.</w:t>
      </w:r>
      <w:r>
        <w:rPr>
          <w:spacing w:val="-43"/>
          <w:w w:val="130"/>
        </w:rPr>
        <w:t> </w:t>
      </w:r>
      <w:r>
        <w:rPr>
          <w:w w:val="130"/>
        </w:rPr>
        <w:t>§</w:t>
      </w:r>
    </w:p>
    <w:p>
      <w:pPr>
        <w:pStyle w:val="BodyText"/>
        <w:spacing w:line="257" w:lineRule="exact"/>
        <w:ind w:firstLine="0"/>
        <w:jc w:val="left"/>
      </w:pPr>
      <w:r>
        <w:rPr>
          <w:w w:val="125"/>
        </w:rPr>
        <w:t>(2) bekezdés </w:t>
      </w:r>
      <w:r>
        <w:rPr>
          <w:i/>
          <w:w w:val="125"/>
        </w:rPr>
        <w:t>ce) </w:t>
      </w:r>
      <w:r>
        <w:rPr>
          <w:w w:val="125"/>
        </w:rPr>
        <w:t>pontját.</w:t>
      </w:r>
    </w:p>
    <w:p>
      <w:pPr>
        <w:pStyle w:val="ListParagraph"/>
        <w:numPr>
          <w:ilvl w:val="1"/>
          <w:numId w:val="5"/>
        </w:numPr>
        <w:tabs>
          <w:tab w:pos="1040" w:val="left" w:leader="none"/>
        </w:tabs>
        <w:spacing w:line="225" w:lineRule="auto" w:before="5" w:after="0"/>
        <w:ind w:left="113" w:right="143" w:firstLine="204"/>
        <w:jc w:val="both"/>
        <w:rPr>
          <w:sz w:val="24"/>
        </w:rPr>
      </w:pPr>
      <w:r>
        <w:rPr>
          <w:w w:val="125"/>
          <w:sz w:val="24"/>
        </w:rPr>
        <w:t>A hitelezőnek vagy a hitelközvetítőnek jeleznie kell, hogy a fogyasztó jogosult arra, hogy legkésőbb a hitelezőre nézve kötelező erejű ajánlat megtételekor megkapja vagy adott esetben felajánlják részére a hitelszerződés tervezetének egy</w:t>
      </w:r>
      <w:r>
        <w:rPr>
          <w:spacing w:val="1"/>
          <w:w w:val="125"/>
          <w:sz w:val="24"/>
        </w:rPr>
        <w:t> </w:t>
      </w:r>
      <w:r>
        <w:rPr>
          <w:w w:val="125"/>
          <w:sz w:val="24"/>
        </w:rPr>
        <w:t>példányát.</w:t>
      </w:r>
    </w:p>
    <w:p>
      <w:pPr>
        <w:pStyle w:val="ListParagraph"/>
        <w:numPr>
          <w:ilvl w:val="0"/>
          <w:numId w:val="5"/>
        </w:numPr>
        <w:tabs>
          <w:tab w:pos="776" w:val="left" w:leader="none"/>
        </w:tabs>
        <w:spacing w:line="257" w:lineRule="exact" w:before="0" w:after="0"/>
        <w:ind w:left="775" w:right="0" w:hanging="458"/>
        <w:jc w:val="left"/>
        <w:rPr>
          <w:sz w:val="24"/>
        </w:rPr>
      </w:pPr>
      <w:r>
        <w:rPr>
          <w:w w:val="125"/>
          <w:sz w:val="24"/>
        </w:rPr>
        <w:t>Felügyelet</w:t>
      </w:r>
    </w:p>
    <w:p>
      <w:pPr>
        <w:pStyle w:val="ListParagraph"/>
        <w:numPr>
          <w:ilvl w:val="1"/>
          <w:numId w:val="5"/>
        </w:numPr>
        <w:tabs>
          <w:tab w:pos="1051" w:val="left" w:leader="none"/>
        </w:tabs>
        <w:spacing w:line="225" w:lineRule="auto" w:before="6" w:after="0"/>
        <w:ind w:left="113" w:right="143" w:firstLine="204"/>
        <w:jc w:val="both"/>
        <w:rPr>
          <w:sz w:val="24"/>
        </w:rPr>
      </w:pPr>
      <w:r>
        <w:rPr>
          <w:w w:val="130"/>
          <w:sz w:val="24"/>
        </w:rPr>
        <w:t>Itt kell feltüntetni a hitelezés szerződéskötést megelőző szakaszának felügyelete tekintetében illetékes hatóságot, illetve</w:t>
      </w:r>
      <w:r>
        <w:rPr>
          <w:spacing w:val="-35"/>
          <w:w w:val="130"/>
          <w:sz w:val="24"/>
        </w:rPr>
        <w:t> </w:t>
      </w:r>
      <w:r>
        <w:rPr>
          <w:w w:val="130"/>
          <w:sz w:val="24"/>
        </w:rPr>
        <w:t>hatóságokat.</w:t>
      </w:r>
    </w:p>
    <w:p>
      <w:pPr>
        <w:pStyle w:val="BodyText"/>
        <w:ind w:left="0" w:firstLine="0"/>
        <w:jc w:val="left"/>
        <w:rPr>
          <w:sz w:val="20"/>
        </w:rPr>
      </w:pPr>
    </w:p>
    <w:p>
      <w:pPr>
        <w:pStyle w:val="BodyText"/>
        <w:spacing w:before="6"/>
        <w:ind w:left="0" w:firstLine="0"/>
        <w:jc w:val="left"/>
        <w:rPr>
          <w:sz w:val="12"/>
        </w:rPr>
      </w:pPr>
      <w:r>
        <w:rPr/>
        <w:pict>
          <v:line style="position:absolute;mso-position-horizontal-relative:page;mso-position-vertical-relative:paragraph;z-index:-880;mso-wrap-distance-left:0;mso-wrap-distance-right:0" from="272.638pt,9.654727pt" to="322.638pt,9.654727pt" stroked="true" strokeweight="1pt" strokecolor="#000000">
            <v:stroke dashstyle="solid"/>
            <w10:wrap type="topAndBottom"/>
          </v:line>
        </w:pict>
      </w:r>
    </w:p>
    <w:p>
      <w:pPr>
        <w:spacing w:after="0"/>
        <w:jc w:val="left"/>
        <w:rPr>
          <w:sz w:val="12"/>
        </w:rPr>
        <w:sectPr>
          <w:pgSz w:w="11900" w:h="16820"/>
          <w:pgMar w:header="1104" w:footer="0" w:top="1840" w:bottom="280" w:left="1020" w:right="980"/>
        </w:sectPr>
      </w:pPr>
    </w:p>
    <w:p>
      <w:pPr>
        <w:pStyle w:val="BodyText"/>
        <w:spacing w:before="4"/>
        <w:ind w:left="0" w:firstLine="0"/>
        <w:jc w:val="left"/>
      </w:pPr>
    </w:p>
    <w:p>
      <w:pPr>
        <w:pStyle w:val="BodyText"/>
        <w:spacing w:before="99"/>
        <w:ind w:left="513" w:right="546" w:firstLine="0"/>
        <w:jc w:val="center"/>
      </w:pPr>
      <w:r>
        <w:rPr>
          <w:w w:val="110"/>
        </w:rPr>
        <w:t>TARTALOMJEGYZÉK</w:t>
      </w:r>
    </w:p>
    <w:p>
      <w:pPr>
        <w:pStyle w:val="BodyText"/>
        <w:tabs>
          <w:tab w:pos="8806" w:val="left" w:leader="none"/>
          <w:tab w:pos="9198" w:val="left" w:leader="none"/>
        </w:tabs>
        <w:spacing w:line="261" w:lineRule="auto" w:before="204"/>
        <w:ind w:left="513" w:right="546" w:firstLine="0"/>
        <w:jc w:val="center"/>
      </w:pPr>
      <w:r>
        <w:rPr>
          <w:w w:val="125"/>
        </w:rPr>
        <w:t>3/2016. (I. 7.)</w:t>
      </w:r>
      <w:r>
        <w:rPr>
          <w:spacing w:val="-3"/>
          <w:w w:val="125"/>
        </w:rPr>
        <w:t> </w:t>
      </w:r>
      <w:r>
        <w:rPr>
          <w:w w:val="125"/>
        </w:rPr>
        <w:t>NGM rendelet</w:t>
      </w:r>
      <w:r>
        <w:rPr>
          <w:w w:val="125"/>
          <w:u w:val="dotted"/>
        </w:rPr>
        <w:t> </w:t>
        <w:tab/>
      </w:r>
      <w:r>
        <w:rPr>
          <w:w w:val="125"/>
        </w:rPr>
        <w:tab/>
      </w:r>
      <w:r>
        <w:rPr>
          <w:spacing w:val="-17"/>
          <w:w w:val="125"/>
        </w:rPr>
        <w:t>1 </w:t>
      </w:r>
      <w:r>
        <w:rPr>
          <w:w w:val="125"/>
        </w:rPr>
        <w:t>a jelzáloghitelre vonatkozó</w:t>
      </w:r>
      <w:r>
        <w:rPr>
          <w:spacing w:val="23"/>
          <w:w w:val="125"/>
        </w:rPr>
        <w:t> </w:t>
      </w:r>
      <w:r>
        <w:rPr>
          <w:w w:val="125"/>
        </w:rPr>
        <w:t>tájékoztatás</w:t>
      </w:r>
      <w:r>
        <w:rPr>
          <w:spacing w:val="7"/>
          <w:w w:val="125"/>
        </w:rPr>
        <w:t> </w:t>
      </w:r>
      <w:r>
        <w:rPr>
          <w:w w:val="125"/>
        </w:rPr>
        <w:t>szabályairól</w:t>
      </w:r>
      <w:r>
        <w:rPr>
          <w:w w:val="125"/>
          <w:u w:val="dotted"/>
        </w:rPr>
        <w:t> </w:t>
        <w:tab/>
      </w:r>
      <w:r>
        <w:rPr>
          <w:w w:val="125"/>
        </w:rPr>
        <w:tab/>
      </w:r>
      <w:r>
        <w:rPr>
          <w:spacing w:val="-17"/>
          <w:w w:val="125"/>
        </w:rPr>
        <w:t>1</w:t>
      </w:r>
    </w:p>
    <w:p>
      <w:pPr>
        <w:pStyle w:val="ListParagraph"/>
        <w:numPr>
          <w:ilvl w:val="0"/>
          <w:numId w:val="8"/>
        </w:numPr>
        <w:tabs>
          <w:tab w:pos="1219" w:val="left" w:leader="none"/>
          <w:tab w:pos="8806" w:val="left" w:leader="none"/>
          <w:tab w:pos="9198" w:val="left" w:leader="none"/>
        </w:tabs>
        <w:spacing w:line="261" w:lineRule="auto" w:before="0" w:after="0"/>
        <w:ind w:left="1313" w:right="546" w:hanging="400"/>
        <w:jc w:val="left"/>
        <w:rPr>
          <w:sz w:val="24"/>
        </w:rPr>
      </w:pPr>
      <w:r>
        <w:rPr>
          <w:w w:val="125"/>
          <w:sz w:val="24"/>
        </w:rPr>
        <w:t>melléklet a 3/2016. (I. 7.)</w:t>
      </w:r>
      <w:r>
        <w:rPr>
          <w:spacing w:val="10"/>
          <w:w w:val="125"/>
          <w:sz w:val="24"/>
        </w:rPr>
        <w:t> </w:t>
      </w:r>
      <w:r>
        <w:rPr>
          <w:w w:val="125"/>
          <w:sz w:val="24"/>
        </w:rPr>
        <w:t>NGM</w:t>
      </w:r>
      <w:r>
        <w:rPr>
          <w:spacing w:val="2"/>
          <w:w w:val="125"/>
          <w:sz w:val="24"/>
        </w:rPr>
        <w:t> </w:t>
      </w:r>
      <w:r>
        <w:rPr>
          <w:w w:val="125"/>
          <w:sz w:val="24"/>
        </w:rPr>
        <w:t>rendelethez</w:t>
      </w:r>
      <w:r>
        <w:rPr>
          <w:w w:val="125"/>
          <w:sz w:val="24"/>
          <w:u w:val="dotted"/>
        </w:rPr>
        <w:t> </w:t>
        <w:tab/>
      </w:r>
      <w:r>
        <w:rPr>
          <w:w w:val="125"/>
          <w:sz w:val="24"/>
        </w:rPr>
        <w:tab/>
      </w:r>
      <w:r>
        <w:rPr>
          <w:spacing w:val="-17"/>
          <w:w w:val="125"/>
          <w:sz w:val="24"/>
        </w:rPr>
        <w:t>1 </w:t>
      </w:r>
      <w:r>
        <w:rPr>
          <w:w w:val="125"/>
          <w:sz w:val="24"/>
        </w:rPr>
        <w:t>A jelzáloghitelekről szóló általános</w:t>
      </w:r>
      <w:r>
        <w:rPr>
          <w:spacing w:val="3"/>
          <w:w w:val="125"/>
          <w:sz w:val="24"/>
        </w:rPr>
        <w:t> </w:t>
      </w:r>
      <w:r>
        <w:rPr>
          <w:w w:val="125"/>
          <w:sz w:val="24"/>
        </w:rPr>
        <w:t>tájékoztatás</w:t>
      </w:r>
    </w:p>
    <w:p>
      <w:pPr>
        <w:pStyle w:val="BodyText"/>
        <w:tabs>
          <w:tab w:pos="8806" w:val="left" w:leader="none"/>
          <w:tab w:pos="9198" w:val="left" w:leader="none"/>
        </w:tabs>
        <w:spacing w:line="214" w:lineRule="exact"/>
        <w:ind w:left="1313" w:firstLine="0"/>
        <w:jc w:val="left"/>
      </w:pPr>
      <w:r>
        <w:rPr>
          <w:w w:val="130"/>
        </w:rPr>
        <w:t>tartalmi</w:t>
      </w:r>
      <w:r>
        <w:rPr>
          <w:spacing w:val="-35"/>
          <w:w w:val="130"/>
        </w:rPr>
        <w:t> </w:t>
      </w:r>
      <w:r>
        <w:rPr>
          <w:w w:val="130"/>
        </w:rPr>
        <w:t>követelményei</w:t>
      </w:r>
      <w:r>
        <w:rPr>
          <w:w w:val="130"/>
          <w:u w:val="dotted"/>
        </w:rPr>
        <w:t> </w:t>
        <w:tab/>
      </w:r>
      <w:r>
        <w:rPr>
          <w:w w:val="130"/>
        </w:rPr>
        <w:tab/>
        <w:t>1</w:t>
      </w:r>
    </w:p>
    <w:p>
      <w:pPr>
        <w:pStyle w:val="ListParagraph"/>
        <w:numPr>
          <w:ilvl w:val="0"/>
          <w:numId w:val="8"/>
        </w:numPr>
        <w:tabs>
          <w:tab w:pos="1219" w:val="left" w:leader="none"/>
          <w:tab w:pos="8806" w:val="left" w:leader="none"/>
          <w:tab w:pos="9198" w:val="left" w:leader="none"/>
        </w:tabs>
        <w:spacing w:line="261" w:lineRule="auto" w:before="23" w:after="0"/>
        <w:ind w:left="1313" w:right="546" w:hanging="400"/>
        <w:jc w:val="left"/>
        <w:rPr>
          <w:sz w:val="24"/>
        </w:rPr>
      </w:pPr>
      <w:r>
        <w:rPr>
          <w:w w:val="125"/>
          <w:sz w:val="24"/>
        </w:rPr>
        <w:t>melléklet a 3/2016. (I. 7.)</w:t>
      </w:r>
      <w:r>
        <w:rPr>
          <w:spacing w:val="10"/>
          <w:w w:val="125"/>
          <w:sz w:val="24"/>
        </w:rPr>
        <w:t> </w:t>
      </w:r>
      <w:r>
        <w:rPr>
          <w:w w:val="125"/>
          <w:sz w:val="24"/>
        </w:rPr>
        <w:t>NGM</w:t>
      </w:r>
      <w:r>
        <w:rPr>
          <w:spacing w:val="2"/>
          <w:w w:val="125"/>
          <w:sz w:val="24"/>
        </w:rPr>
        <w:t> </w:t>
      </w:r>
      <w:r>
        <w:rPr>
          <w:w w:val="125"/>
          <w:sz w:val="24"/>
        </w:rPr>
        <w:t>rendelethez</w:t>
      </w:r>
      <w:r>
        <w:rPr>
          <w:w w:val="125"/>
          <w:sz w:val="24"/>
          <w:u w:val="dotted"/>
        </w:rPr>
        <w:t> </w:t>
        <w:tab/>
      </w:r>
      <w:r>
        <w:rPr>
          <w:w w:val="125"/>
          <w:sz w:val="24"/>
        </w:rPr>
        <w:tab/>
      </w:r>
      <w:r>
        <w:rPr>
          <w:spacing w:val="-17"/>
          <w:w w:val="125"/>
          <w:sz w:val="24"/>
        </w:rPr>
        <w:t>2 </w:t>
      </w:r>
      <w:r>
        <w:rPr>
          <w:w w:val="125"/>
          <w:sz w:val="24"/>
        </w:rPr>
        <w:t>A jelzáloghitellel kapcsolatos személyre</w:t>
      </w:r>
      <w:r>
        <w:rPr>
          <w:spacing w:val="-4"/>
          <w:w w:val="125"/>
          <w:sz w:val="24"/>
        </w:rPr>
        <w:t> </w:t>
      </w:r>
      <w:r>
        <w:rPr>
          <w:w w:val="125"/>
          <w:sz w:val="24"/>
        </w:rPr>
        <w:t>szóló</w:t>
      </w:r>
    </w:p>
    <w:p>
      <w:pPr>
        <w:pStyle w:val="BodyText"/>
        <w:tabs>
          <w:tab w:pos="8806" w:val="left" w:leader="none"/>
          <w:tab w:pos="9198" w:val="left" w:leader="none"/>
        </w:tabs>
        <w:spacing w:line="214" w:lineRule="exact"/>
        <w:ind w:left="1313" w:firstLine="0"/>
        <w:jc w:val="left"/>
      </w:pPr>
      <w:r>
        <w:rPr>
          <w:w w:val="130"/>
        </w:rPr>
        <w:t>tájékoztatás</w:t>
      </w:r>
      <w:r>
        <w:rPr>
          <w:spacing w:val="-21"/>
          <w:w w:val="130"/>
        </w:rPr>
        <w:t> </w:t>
      </w:r>
      <w:r>
        <w:rPr>
          <w:w w:val="130"/>
        </w:rPr>
        <w:t>formája</w:t>
      </w:r>
      <w:r>
        <w:rPr>
          <w:w w:val="130"/>
          <w:u w:val="dotted"/>
        </w:rPr>
        <w:t> </w:t>
        <w:tab/>
      </w:r>
      <w:r>
        <w:rPr>
          <w:w w:val="130"/>
        </w:rPr>
        <w:tab/>
        <w:t>2</w:t>
      </w:r>
    </w:p>
    <w:p>
      <w:pPr>
        <w:pStyle w:val="ListParagraph"/>
        <w:numPr>
          <w:ilvl w:val="0"/>
          <w:numId w:val="8"/>
        </w:numPr>
        <w:tabs>
          <w:tab w:pos="1219" w:val="left" w:leader="none"/>
          <w:tab w:pos="8806" w:val="left" w:leader="none"/>
          <w:tab w:pos="9198" w:val="left" w:leader="none"/>
        </w:tabs>
        <w:spacing w:line="261" w:lineRule="auto" w:before="24" w:after="0"/>
        <w:ind w:left="1313" w:right="546" w:hanging="400"/>
        <w:jc w:val="left"/>
        <w:rPr>
          <w:sz w:val="24"/>
        </w:rPr>
      </w:pPr>
      <w:r>
        <w:rPr>
          <w:w w:val="125"/>
          <w:sz w:val="24"/>
        </w:rPr>
        <w:t>melléklet a 3/2016. (I. 7.)</w:t>
      </w:r>
      <w:r>
        <w:rPr>
          <w:spacing w:val="10"/>
          <w:w w:val="125"/>
          <w:sz w:val="24"/>
        </w:rPr>
        <w:t> </w:t>
      </w:r>
      <w:r>
        <w:rPr>
          <w:w w:val="125"/>
          <w:sz w:val="24"/>
        </w:rPr>
        <w:t>NGM</w:t>
      </w:r>
      <w:r>
        <w:rPr>
          <w:spacing w:val="2"/>
          <w:w w:val="125"/>
          <w:sz w:val="24"/>
        </w:rPr>
        <w:t> </w:t>
      </w:r>
      <w:r>
        <w:rPr>
          <w:w w:val="125"/>
          <w:sz w:val="24"/>
        </w:rPr>
        <w:t>rendelethez</w:t>
      </w:r>
      <w:r>
        <w:rPr>
          <w:w w:val="125"/>
          <w:sz w:val="24"/>
          <w:u w:val="dotted"/>
        </w:rPr>
        <w:t> </w:t>
        <w:tab/>
      </w:r>
      <w:r>
        <w:rPr>
          <w:w w:val="125"/>
          <w:sz w:val="24"/>
        </w:rPr>
        <w:tab/>
      </w:r>
      <w:r>
        <w:rPr>
          <w:spacing w:val="-17"/>
          <w:w w:val="125"/>
          <w:sz w:val="24"/>
        </w:rPr>
        <w:t>7 </w:t>
      </w:r>
      <w:r>
        <w:rPr>
          <w:w w:val="125"/>
          <w:sz w:val="24"/>
        </w:rPr>
        <w:t>A személyre szóló tájékoztatás</w:t>
      </w:r>
      <w:r>
        <w:rPr>
          <w:spacing w:val="21"/>
          <w:w w:val="125"/>
          <w:sz w:val="24"/>
        </w:rPr>
        <w:t> </w:t>
      </w:r>
      <w:r>
        <w:rPr>
          <w:w w:val="125"/>
          <w:sz w:val="24"/>
        </w:rPr>
        <w:t>kitöltési</w:t>
      </w:r>
      <w:r>
        <w:rPr>
          <w:spacing w:val="5"/>
          <w:w w:val="125"/>
          <w:sz w:val="24"/>
        </w:rPr>
        <w:t> </w:t>
      </w:r>
      <w:r>
        <w:rPr>
          <w:w w:val="125"/>
          <w:sz w:val="24"/>
        </w:rPr>
        <w:t>útmutatója</w:t>
      </w:r>
      <w:r>
        <w:rPr>
          <w:w w:val="125"/>
          <w:sz w:val="24"/>
          <w:u w:val="dotted"/>
        </w:rPr>
        <w:t> </w:t>
        <w:tab/>
      </w:r>
      <w:r>
        <w:rPr>
          <w:w w:val="125"/>
          <w:sz w:val="24"/>
        </w:rPr>
        <w:tab/>
      </w:r>
      <w:r>
        <w:rPr>
          <w:spacing w:val="-17"/>
          <w:w w:val="125"/>
          <w:sz w:val="24"/>
        </w:rPr>
        <w:t>7</w:t>
      </w:r>
    </w:p>
    <w:sectPr>
      <w:pgSz w:w="11900" w:h="16820"/>
      <w:pgMar w:header="1104" w:footer="0" w:top="1840" w:bottom="280" w:left="10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2592" from="56.693001pt,91.803001pt" to="538.583001pt,91.80300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93001pt;margin-top:54.192318pt;width:430.9pt;height:32.6pt;mso-position-horizontal-relative:page;mso-position-vertical-relative:page;z-index:-12568" type="#_x0000_t202" filled="false" stroked="false">
          <v:textbox inset="0,0,0,0">
            <w:txbxContent>
              <w:p>
                <w:pPr>
                  <w:spacing w:line="232" w:lineRule="auto" w:before="25"/>
                  <w:ind w:left="20" w:right="4103" w:firstLine="0"/>
                  <w:jc w:val="left"/>
                  <w:rPr>
                    <w:rFonts w:ascii="Arial" w:hAnsi="Arial"/>
                    <w:b/>
                    <w:sz w:val="18"/>
                  </w:rPr>
                </w:pPr>
                <w:r>
                  <w:rPr>
                    <w:rFonts w:ascii="Arial" w:hAnsi="Arial"/>
                    <w:b/>
                    <w:w w:val="120"/>
                    <w:sz w:val="18"/>
                  </w:rPr>
                  <w:t>Frissítve: 2019. szeptember 10. 11:30 Hatály: 2018.VII.1. -</w:t>
                </w:r>
              </w:p>
              <w:p>
                <w:pPr>
                  <w:spacing w:line="200" w:lineRule="exact" w:before="0"/>
                  <w:ind w:left="20" w:right="0" w:firstLine="0"/>
                  <w:jc w:val="left"/>
                  <w:rPr>
                    <w:rFonts w:ascii="Arial" w:hAnsi="Arial"/>
                    <w:b/>
                    <w:sz w:val="18"/>
                  </w:rPr>
                </w:pPr>
                <w:r>
                  <w:rPr>
                    <w:rFonts w:ascii="Arial" w:hAnsi="Arial"/>
                    <w:b/>
                    <w:w w:val="120"/>
                    <w:sz w:val="18"/>
                  </w:rPr>
                  <w:t>Magyar joganyagok - 3/2016. (I. 7.) NGM rendelet - a jelzáloghitelre vonatkozó tájék</w:t>
                </w:r>
              </w:p>
            </w:txbxContent>
          </v:textbox>
          <w10:wrap type="none"/>
        </v:shape>
      </w:pict>
    </w:r>
    <w:r>
      <w:rPr/>
      <w:pict>
        <v:shape style="position:absolute;margin-left:489.243988pt;margin-top:54.192318pt;width:50.4pt;height:12.6pt;mso-position-horizontal-relative:page;mso-position-vertical-relative:page;z-index:-12544"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499.134003pt;margin-top:74.192314pt;width:40.450pt;height:12.6pt;mso-position-horizontal-relative:page;mso-position-vertical-relative:page;z-index:-12520" type="#_x0000_t202" filled="false" stroked="false">
          <v:textbox inset="0,0,0,0">
            <w:txbxContent>
              <w:p>
                <w:pPr>
                  <w:spacing w:before="20"/>
                  <w:ind w:left="40" w:right="0" w:firstLine="0"/>
                  <w:jc w:val="left"/>
                  <w:rPr>
                    <w:rFonts w:ascii="Arial"/>
                    <w:b/>
                    <w:sz w:val="18"/>
                  </w:rPr>
                </w:pPr>
                <w:r>
                  <w:rPr/>
                  <w:fldChar w:fldCharType="begin"/>
                </w:r>
                <w:r>
                  <w:rPr>
                    <w:rFonts w:ascii="Arial"/>
                    <w:b/>
                    <w:w w:val="120"/>
                    <w:sz w:val="18"/>
                  </w:rPr>
                  <w:instrText> PAGE </w:instrText>
                </w:r>
                <w:r>
                  <w:rPr/>
                  <w:fldChar w:fldCharType="separate"/>
                </w:r>
                <w:r>
                  <w:rPr/>
                  <w:t>1</w:t>
                </w:r>
                <w:r>
                  <w:rPr/>
                  <w:fldChar w:fldCharType="end"/>
                </w:r>
                <w:r>
                  <w:rPr>
                    <w:rFonts w:ascii="Arial"/>
                    <w:b/>
                    <w:w w:val="120"/>
                    <w:sz w:val="18"/>
                  </w:rPr>
                  <w:t>. oldal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55.693001pt;margin-top:54.192318pt;width:430.9pt;height:32.6pt;mso-position-horizontal-relative:page;mso-position-vertical-relative:page;z-index:-12496" type="#_x0000_t202" filled="false" stroked="false">
          <v:textbox inset="0,0,0,0">
            <w:txbxContent>
              <w:p>
                <w:pPr>
                  <w:spacing w:line="232" w:lineRule="auto" w:before="25"/>
                  <w:ind w:left="20" w:right="4103" w:firstLine="0"/>
                  <w:jc w:val="left"/>
                  <w:rPr>
                    <w:rFonts w:ascii="Arial" w:hAnsi="Arial"/>
                    <w:b/>
                    <w:sz w:val="18"/>
                  </w:rPr>
                </w:pPr>
                <w:r>
                  <w:rPr>
                    <w:rFonts w:ascii="Arial" w:hAnsi="Arial"/>
                    <w:b/>
                    <w:w w:val="120"/>
                    <w:sz w:val="18"/>
                  </w:rPr>
                  <w:t>Frissítve: 2019. szeptember 10. 11:30 Hatály: 2018.VII.1. -</w:t>
                </w:r>
              </w:p>
              <w:p>
                <w:pPr>
                  <w:spacing w:line="200" w:lineRule="exact" w:before="0"/>
                  <w:ind w:left="20" w:right="0" w:firstLine="0"/>
                  <w:jc w:val="left"/>
                  <w:rPr>
                    <w:rFonts w:ascii="Arial" w:hAnsi="Arial"/>
                    <w:b/>
                    <w:sz w:val="18"/>
                  </w:rPr>
                </w:pPr>
                <w:r>
                  <w:rPr>
                    <w:rFonts w:ascii="Arial" w:hAnsi="Arial"/>
                    <w:b/>
                    <w:w w:val="120"/>
                    <w:sz w:val="18"/>
                  </w:rPr>
                  <w:t>Magyar joganyagok - 3/2016. (I. 7.) NGM rendelet - a jelzáloghitelre vonatkozó tájék</w:t>
                </w:r>
              </w:p>
            </w:txbxContent>
          </v:textbox>
          <w10:wrap type="none"/>
        </v:shape>
      </w:pict>
    </w:r>
    <w:r>
      <w:rPr/>
      <w:pict>
        <v:shape style="position:absolute;margin-left:489.243988pt;margin-top:54.192318pt;width:50.4pt;height:12.6pt;mso-position-horizontal-relative:page;mso-position-vertical-relative:page;z-index:-12472"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499.134003pt;margin-top:74.192314pt;width:40.450pt;height:12.6pt;mso-position-horizontal-relative:page;mso-position-vertical-relative:page;z-index:-12448" type="#_x0000_t202" filled="false" stroked="false">
          <v:textbox inset="0,0,0,0">
            <w:txbxContent>
              <w:p>
                <w:pPr>
                  <w:spacing w:before="20"/>
                  <w:ind w:left="40" w:right="0" w:firstLine="0"/>
                  <w:jc w:val="left"/>
                  <w:rPr>
                    <w:rFonts w:ascii="Arial"/>
                    <w:b/>
                    <w:sz w:val="18"/>
                  </w:rPr>
                </w:pPr>
                <w:r>
                  <w:rPr/>
                  <w:fldChar w:fldCharType="begin"/>
                </w:r>
                <w:r>
                  <w:rPr>
                    <w:rFonts w:ascii="Arial"/>
                    <w:b/>
                    <w:w w:val="120"/>
                    <w:sz w:val="18"/>
                  </w:rPr>
                  <w:instrText> PAGE </w:instrText>
                </w:r>
                <w:r>
                  <w:rPr/>
                  <w:fldChar w:fldCharType="separate"/>
                </w:r>
                <w:r>
                  <w:rPr/>
                  <w:t>3</w:t>
                </w:r>
                <w:r>
                  <w:rPr/>
                  <w:fldChar w:fldCharType="end"/>
                </w:r>
                <w:r>
                  <w:rPr>
                    <w:rFonts w:ascii="Arial"/>
                    <w:b/>
                    <w:w w:val="120"/>
                    <w:sz w:val="18"/>
                  </w:rPr>
                  <w:t>. oldal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2424" from="56.693001pt,91.803001pt" to="538.583001pt,91.803001pt" stroked="true" strokeweight=".5pt" strokecolor="#000000">
          <v:stroke dashstyle="solid"/>
          <w10:wrap type="none"/>
        </v:line>
      </w:pict>
    </w:r>
    <w:r>
      <w:rPr/>
      <w:pict>
        <v:shape style="position:absolute;margin-left:55.693001pt;margin-top:54.192318pt;width:191.15pt;height:12.6pt;mso-position-horizontal-relative:page;mso-position-vertical-relative:page;z-index:-12400"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Frissítve: 2019. szeptember 10. 11:30</w:t>
                </w:r>
              </w:p>
            </w:txbxContent>
          </v:textbox>
          <w10:wrap type="none"/>
        </v:shape>
      </w:pict>
    </w:r>
    <w:r>
      <w:rPr/>
      <w:pict>
        <v:shape style="position:absolute;margin-left:489.243988pt;margin-top:54.192318pt;width:50.4pt;height:12.6pt;mso-position-horizontal-relative:page;mso-position-vertical-relative:page;z-index:-12376"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55.693001pt;margin-top:64.192314pt;width:104.15pt;height:12.6pt;mso-position-horizontal-relative:page;mso-position-vertical-relative:page;z-index:-12352" type="#_x0000_t202" filled="false" stroked="false">
          <v:textbox inset="0,0,0,0">
            <w:txbxContent>
              <w:p>
                <w:pPr>
                  <w:spacing w:before="20"/>
                  <w:ind w:left="20" w:right="0" w:firstLine="0"/>
                  <w:jc w:val="left"/>
                  <w:rPr>
                    <w:rFonts w:ascii="Arial" w:hAnsi="Arial"/>
                    <w:b/>
                    <w:sz w:val="18"/>
                  </w:rPr>
                </w:pPr>
                <w:r>
                  <w:rPr>
                    <w:rFonts w:ascii="Arial" w:hAnsi="Arial"/>
                    <w:b/>
                    <w:w w:val="125"/>
                    <w:sz w:val="18"/>
                  </w:rPr>
                  <w:t>Hatály: 2018.VII.1. -</w:t>
                </w:r>
              </w:p>
            </w:txbxContent>
          </v:textbox>
          <w10:wrap type="none"/>
        </v:shape>
      </w:pict>
    </w:r>
    <w:r>
      <w:rPr/>
      <w:pict>
        <v:shape style="position:absolute;margin-left:55.693001pt;margin-top:74.192314pt;width:483.9pt;height:12.6pt;mso-position-horizontal-relative:page;mso-position-vertical-relative:page;z-index:-12328"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Magyar joganyagok - 3/2016. (I. 7.) NGM rendelet - a jelzáloghitelre vonatkozó tájék </w:t>
                </w:r>
                <w:r>
                  <w:rPr/>
                  <w:fldChar w:fldCharType="begin"/>
                </w:r>
                <w:r>
                  <w:rPr>
                    <w:rFonts w:ascii="Arial" w:hAnsi="Arial"/>
                    <w:b/>
                    <w:w w:val="120"/>
                    <w:sz w:val="18"/>
                  </w:rPr>
                  <w:instrText> PAGE </w:instrText>
                </w:r>
                <w:r>
                  <w:rPr/>
                  <w:fldChar w:fldCharType="separate"/>
                </w:r>
                <w:r>
                  <w:rPr/>
                  <w:t>10</w:t>
                </w:r>
                <w:r>
                  <w:rPr/>
                  <w:fldChar w:fldCharType="end"/>
                </w:r>
                <w:r>
                  <w:rPr>
                    <w:rFonts w:ascii="Arial" w:hAnsi="Arial"/>
                    <w:b/>
                    <w:w w:val="120"/>
                    <w:sz w:val="18"/>
                  </w:rPr>
                  <w:t>. oldal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313"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2178" w:hanging="305"/>
      </w:pPr>
      <w:rPr>
        <w:rFonts w:hint="default"/>
      </w:rPr>
    </w:lvl>
    <w:lvl w:ilvl="2">
      <w:start w:val="0"/>
      <w:numFmt w:val="bullet"/>
      <w:lvlText w:val="•"/>
      <w:lvlJc w:val="left"/>
      <w:pPr>
        <w:ind w:left="3036" w:hanging="305"/>
      </w:pPr>
      <w:rPr>
        <w:rFonts w:hint="default"/>
      </w:rPr>
    </w:lvl>
    <w:lvl w:ilvl="3">
      <w:start w:val="0"/>
      <w:numFmt w:val="bullet"/>
      <w:lvlText w:val="•"/>
      <w:lvlJc w:val="left"/>
      <w:pPr>
        <w:ind w:left="3894" w:hanging="305"/>
      </w:pPr>
      <w:rPr>
        <w:rFonts w:hint="default"/>
      </w:rPr>
    </w:lvl>
    <w:lvl w:ilvl="4">
      <w:start w:val="0"/>
      <w:numFmt w:val="bullet"/>
      <w:lvlText w:val="•"/>
      <w:lvlJc w:val="left"/>
      <w:pPr>
        <w:ind w:left="4752" w:hanging="305"/>
      </w:pPr>
      <w:rPr>
        <w:rFonts w:hint="default"/>
      </w:rPr>
    </w:lvl>
    <w:lvl w:ilvl="5">
      <w:start w:val="0"/>
      <w:numFmt w:val="bullet"/>
      <w:lvlText w:val="•"/>
      <w:lvlJc w:val="left"/>
      <w:pPr>
        <w:ind w:left="5610" w:hanging="305"/>
      </w:pPr>
      <w:rPr>
        <w:rFonts w:hint="default"/>
      </w:rPr>
    </w:lvl>
    <w:lvl w:ilvl="6">
      <w:start w:val="0"/>
      <w:numFmt w:val="bullet"/>
      <w:lvlText w:val="•"/>
      <w:lvlJc w:val="left"/>
      <w:pPr>
        <w:ind w:left="6468" w:hanging="305"/>
      </w:pPr>
      <w:rPr>
        <w:rFonts w:hint="default"/>
      </w:rPr>
    </w:lvl>
    <w:lvl w:ilvl="7">
      <w:start w:val="0"/>
      <w:numFmt w:val="bullet"/>
      <w:lvlText w:val="•"/>
      <w:lvlJc w:val="left"/>
      <w:pPr>
        <w:ind w:left="7326" w:hanging="305"/>
      </w:pPr>
      <w:rPr>
        <w:rFonts w:hint="default"/>
      </w:rPr>
    </w:lvl>
    <w:lvl w:ilvl="8">
      <w:start w:val="0"/>
      <w:numFmt w:val="bullet"/>
      <w:lvlText w:val="•"/>
      <w:lvlJc w:val="left"/>
      <w:pPr>
        <w:ind w:left="8184" w:hanging="305"/>
      </w:pPr>
      <w:rPr>
        <w:rFonts w:hint="default"/>
      </w:rPr>
    </w:lvl>
  </w:abstractNum>
  <w:abstractNum w:abstractNumId="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5">
    <w:multiLevelType w:val="hybridMultilevel"/>
    <w:lvl w:ilvl="0">
      <w:start w:val="1"/>
      <w:numFmt w:val="lowerLetter"/>
      <w:lvlText w:val="%1)"/>
      <w:lvlJc w:val="left"/>
      <w:pPr>
        <w:ind w:left="113" w:hanging="49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495"/>
      </w:pPr>
      <w:rPr>
        <w:rFonts w:hint="default"/>
      </w:rPr>
    </w:lvl>
    <w:lvl w:ilvl="2">
      <w:start w:val="0"/>
      <w:numFmt w:val="bullet"/>
      <w:lvlText w:val="•"/>
      <w:lvlJc w:val="left"/>
      <w:pPr>
        <w:ind w:left="2076" w:hanging="495"/>
      </w:pPr>
      <w:rPr>
        <w:rFonts w:hint="default"/>
      </w:rPr>
    </w:lvl>
    <w:lvl w:ilvl="3">
      <w:start w:val="0"/>
      <w:numFmt w:val="bullet"/>
      <w:lvlText w:val="•"/>
      <w:lvlJc w:val="left"/>
      <w:pPr>
        <w:ind w:left="3054" w:hanging="495"/>
      </w:pPr>
      <w:rPr>
        <w:rFonts w:hint="default"/>
      </w:rPr>
    </w:lvl>
    <w:lvl w:ilvl="4">
      <w:start w:val="0"/>
      <w:numFmt w:val="bullet"/>
      <w:lvlText w:val="•"/>
      <w:lvlJc w:val="left"/>
      <w:pPr>
        <w:ind w:left="4032" w:hanging="495"/>
      </w:pPr>
      <w:rPr>
        <w:rFonts w:hint="default"/>
      </w:rPr>
    </w:lvl>
    <w:lvl w:ilvl="5">
      <w:start w:val="0"/>
      <w:numFmt w:val="bullet"/>
      <w:lvlText w:val="•"/>
      <w:lvlJc w:val="left"/>
      <w:pPr>
        <w:ind w:left="5010" w:hanging="495"/>
      </w:pPr>
      <w:rPr>
        <w:rFonts w:hint="default"/>
      </w:rPr>
    </w:lvl>
    <w:lvl w:ilvl="6">
      <w:start w:val="0"/>
      <w:numFmt w:val="bullet"/>
      <w:lvlText w:val="•"/>
      <w:lvlJc w:val="left"/>
      <w:pPr>
        <w:ind w:left="5988" w:hanging="495"/>
      </w:pPr>
      <w:rPr>
        <w:rFonts w:hint="default"/>
      </w:rPr>
    </w:lvl>
    <w:lvl w:ilvl="7">
      <w:start w:val="0"/>
      <w:numFmt w:val="bullet"/>
      <w:lvlText w:val="•"/>
      <w:lvlJc w:val="left"/>
      <w:pPr>
        <w:ind w:left="6966" w:hanging="495"/>
      </w:pPr>
      <w:rPr>
        <w:rFonts w:hint="default"/>
      </w:rPr>
    </w:lvl>
    <w:lvl w:ilvl="8">
      <w:start w:val="0"/>
      <w:numFmt w:val="bullet"/>
      <w:lvlText w:val="•"/>
      <w:lvlJc w:val="left"/>
      <w:pPr>
        <w:ind w:left="7944" w:hanging="495"/>
      </w:pPr>
      <w:rPr>
        <w:rFonts w:hint="default"/>
      </w:rPr>
    </w:lvl>
  </w:abstractNum>
  <w:abstractNum w:abstractNumId="4">
    <w:multiLevelType w:val="hybridMultilevel"/>
    <w:lvl w:ilvl="0">
      <w:start w:val="1"/>
      <w:numFmt w:val="decimal"/>
      <w:lvlText w:val="%1."/>
      <w:lvlJc w:val="left"/>
      <w:pPr>
        <w:ind w:left="622" w:hanging="305"/>
        <w:jc w:val="left"/>
      </w:pPr>
      <w:rPr>
        <w:rFonts w:hint="default" w:ascii="Times New Roman" w:hAnsi="Times New Roman" w:eastAsia="Times New Roman" w:cs="Times New Roman"/>
        <w:spacing w:val="-1"/>
        <w:w w:val="127"/>
        <w:sz w:val="24"/>
        <w:szCs w:val="24"/>
      </w:rPr>
    </w:lvl>
    <w:lvl w:ilvl="1">
      <w:start w:val="1"/>
      <w:numFmt w:val="decimal"/>
      <w:lvlText w:val="%1.%2."/>
      <w:lvlJc w:val="left"/>
      <w:pPr>
        <w:ind w:left="113" w:hanging="537"/>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860" w:hanging="537"/>
      </w:pPr>
      <w:rPr>
        <w:rFonts w:hint="default"/>
      </w:rPr>
    </w:lvl>
    <w:lvl w:ilvl="3">
      <w:start w:val="0"/>
      <w:numFmt w:val="bullet"/>
      <w:lvlText w:val="•"/>
      <w:lvlJc w:val="left"/>
      <w:pPr>
        <w:ind w:left="1990" w:hanging="537"/>
      </w:pPr>
      <w:rPr>
        <w:rFonts w:hint="default"/>
      </w:rPr>
    </w:lvl>
    <w:lvl w:ilvl="4">
      <w:start w:val="0"/>
      <w:numFmt w:val="bullet"/>
      <w:lvlText w:val="•"/>
      <w:lvlJc w:val="left"/>
      <w:pPr>
        <w:ind w:left="3120" w:hanging="537"/>
      </w:pPr>
      <w:rPr>
        <w:rFonts w:hint="default"/>
      </w:rPr>
    </w:lvl>
    <w:lvl w:ilvl="5">
      <w:start w:val="0"/>
      <w:numFmt w:val="bullet"/>
      <w:lvlText w:val="•"/>
      <w:lvlJc w:val="left"/>
      <w:pPr>
        <w:ind w:left="4250" w:hanging="537"/>
      </w:pPr>
      <w:rPr>
        <w:rFonts w:hint="default"/>
      </w:rPr>
    </w:lvl>
    <w:lvl w:ilvl="6">
      <w:start w:val="0"/>
      <w:numFmt w:val="bullet"/>
      <w:lvlText w:val="•"/>
      <w:lvlJc w:val="left"/>
      <w:pPr>
        <w:ind w:left="5380" w:hanging="537"/>
      </w:pPr>
      <w:rPr>
        <w:rFonts w:hint="default"/>
      </w:rPr>
    </w:lvl>
    <w:lvl w:ilvl="7">
      <w:start w:val="0"/>
      <w:numFmt w:val="bullet"/>
      <w:lvlText w:val="•"/>
      <w:lvlJc w:val="left"/>
      <w:pPr>
        <w:ind w:left="6510" w:hanging="537"/>
      </w:pPr>
      <w:rPr>
        <w:rFonts w:hint="default"/>
      </w:rPr>
    </w:lvl>
    <w:lvl w:ilvl="8">
      <w:start w:val="0"/>
      <w:numFmt w:val="bullet"/>
      <w:lvlText w:val="•"/>
      <w:lvlJc w:val="left"/>
      <w:pPr>
        <w:ind w:left="7640" w:hanging="537"/>
      </w:pPr>
      <w:rPr>
        <w:rFonts w:hint="default"/>
      </w:rPr>
    </w:lvl>
  </w:abstractNum>
  <w:abstractNum w:abstractNumId="3">
    <w:multiLevelType w:val="hybridMultilevel"/>
    <w:lvl w:ilvl="0">
      <w:start w:val="2"/>
      <w:numFmt w:val="decimal"/>
      <w:lvlText w:val="%1"/>
      <w:lvlJc w:val="left"/>
      <w:pPr>
        <w:ind w:left="1047" w:hanging="534"/>
        <w:jc w:val="left"/>
      </w:pPr>
      <w:rPr>
        <w:rFonts w:hint="default"/>
      </w:rPr>
    </w:lvl>
    <w:lvl w:ilvl="1">
      <w:start w:val="1"/>
      <w:numFmt w:val="decimal"/>
      <w:lvlText w:val="%1.%2."/>
      <w:lvlJc w:val="left"/>
      <w:pPr>
        <w:ind w:left="1047" w:hanging="534"/>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2812" w:hanging="534"/>
      </w:pPr>
      <w:rPr>
        <w:rFonts w:hint="default"/>
      </w:rPr>
    </w:lvl>
    <w:lvl w:ilvl="3">
      <w:start w:val="0"/>
      <w:numFmt w:val="bullet"/>
      <w:lvlText w:val="•"/>
      <w:lvlJc w:val="left"/>
      <w:pPr>
        <w:ind w:left="3698" w:hanging="534"/>
      </w:pPr>
      <w:rPr>
        <w:rFonts w:hint="default"/>
      </w:rPr>
    </w:lvl>
    <w:lvl w:ilvl="4">
      <w:start w:val="0"/>
      <w:numFmt w:val="bullet"/>
      <w:lvlText w:val="•"/>
      <w:lvlJc w:val="left"/>
      <w:pPr>
        <w:ind w:left="4584" w:hanging="534"/>
      </w:pPr>
      <w:rPr>
        <w:rFonts w:hint="default"/>
      </w:rPr>
    </w:lvl>
    <w:lvl w:ilvl="5">
      <w:start w:val="0"/>
      <w:numFmt w:val="bullet"/>
      <w:lvlText w:val="•"/>
      <w:lvlJc w:val="left"/>
      <w:pPr>
        <w:ind w:left="5470" w:hanging="534"/>
      </w:pPr>
      <w:rPr>
        <w:rFonts w:hint="default"/>
      </w:rPr>
    </w:lvl>
    <w:lvl w:ilvl="6">
      <w:start w:val="0"/>
      <w:numFmt w:val="bullet"/>
      <w:lvlText w:val="•"/>
      <w:lvlJc w:val="left"/>
      <w:pPr>
        <w:ind w:left="6356" w:hanging="534"/>
      </w:pPr>
      <w:rPr>
        <w:rFonts w:hint="default"/>
      </w:rPr>
    </w:lvl>
    <w:lvl w:ilvl="7">
      <w:start w:val="0"/>
      <w:numFmt w:val="bullet"/>
      <w:lvlText w:val="•"/>
      <w:lvlJc w:val="left"/>
      <w:pPr>
        <w:ind w:left="7242" w:hanging="534"/>
      </w:pPr>
      <w:rPr>
        <w:rFonts w:hint="default"/>
      </w:rPr>
    </w:lvl>
    <w:lvl w:ilvl="8">
      <w:start w:val="0"/>
      <w:numFmt w:val="bullet"/>
      <w:lvlText w:val="•"/>
      <w:lvlJc w:val="left"/>
      <w:pPr>
        <w:ind w:left="8128" w:hanging="534"/>
      </w:pPr>
      <w:rPr>
        <w:rFonts w:hint="default"/>
      </w:rPr>
    </w:lvl>
  </w:abstractNum>
  <w:abstractNum w:abstractNumId="2">
    <w:multiLevelType w:val="hybridMultilevel"/>
    <w:lvl w:ilvl="0">
      <w:start w:val="1"/>
      <w:numFmt w:val="decimal"/>
      <w:lvlText w:val="%1."/>
      <w:lvlJc w:val="left"/>
      <w:pPr>
        <w:ind w:left="437" w:hanging="306"/>
        <w:jc w:val="left"/>
      </w:pPr>
      <w:rPr>
        <w:rFonts w:hint="default"/>
        <w:strike/>
        <w:spacing w:val="-1"/>
        <w:w w:val="127"/>
      </w:rPr>
    </w:lvl>
    <w:lvl w:ilvl="1">
      <w:start w:val="1"/>
      <w:numFmt w:val="decimal"/>
      <w:lvlText w:val="%2."/>
      <w:lvlJc w:val="left"/>
      <w:pPr>
        <w:ind w:left="622" w:hanging="305"/>
        <w:jc w:val="right"/>
      </w:pPr>
      <w:rPr>
        <w:rFonts w:hint="default"/>
        <w:spacing w:val="-1"/>
        <w:w w:val="127"/>
      </w:rPr>
    </w:lvl>
    <w:lvl w:ilvl="2">
      <w:start w:val="1"/>
      <w:numFmt w:val="decimal"/>
      <w:lvlText w:val="%2.%3."/>
      <w:lvlJc w:val="left"/>
      <w:pPr>
        <w:ind w:left="851" w:hanging="534"/>
        <w:jc w:val="left"/>
      </w:pPr>
      <w:rPr>
        <w:rFonts w:hint="default" w:ascii="Times New Roman" w:hAnsi="Times New Roman" w:eastAsia="Times New Roman" w:cs="Times New Roman"/>
        <w:spacing w:val="-1"/>
        <w:w w:val="127"/>
        <w:sz w:val="24"/>
        <w:szCs w:val="24"/>
      </w:rPr>
    </w:lvl>
    <w:lvl w:ilvl="3">
      <w:start w:val="0"/>
      <w:numFmt w:val="bullet"/>
      <w:lvlText w:val="•"/>
      <w:lvlJc w:val="left"/>
      <w:pPr>
        <w:ind w:left="1990" w:hanging="534"/>
      </w:pPr>
      <w:rPr>
        <w:rFonts w:hint="default"/>
      </w:rPr>
    </w:lvl>
    <w:lvl w:ilvl="4">
      <w:start w:val="0"/>
      <w:numFmt w:val="bullet"/>
      <w:lvlText w:val="•"/>
      <w:lvlJc w:val="left"/>
      <w:pPr>
        <w:ind w:left="3120" w:hanging="534"/>
      </w:pPr>
      <w:rPr>
        <w:rFonts w:hint="default"/>
      </w:rPr>
    </w:lvl>
    <w:lvl w:ilvl="5">
      <w:start w:val="0"/>
      <w:numFmt w:val="bullet"/>
      <w:lvlText w:val="•"/>
      <w:lvlJc w:val="left"/>
      <w:pPr>
        <w:ind w:left="4250" w:hanging="534"/>
      </w:pPr>
      <w:rPr>
        <w:rFonts w:hint="default"/>
      </w:rPr>
    </w:lvl>
    <w:lvl w:ilvl="6">
      <w:start w:val="0"/>
      <w:numFmt w:val="bullet"/>
      <w:lvlText w:val="•"/>
      <w:lvlJc w:val="left"/>
      <w:pPr>
        <w:ind w:left="5380" w:hanging="534"/>
      </w:pPr>
      <w:rPr>
        <w:rFonts w:hint="default"/>
      </w:rPr>
    </w:lvl>
    <w:lvl w:ilvl="7">
      <w:start w:val="0"/>
      <w:numFmt w:val="bullet"/>
      <w:lvlText w:val="•"/>
      <w:lvlJc w:val="left"/>
      <w:pPr>
        <w:ind w:left="6510" w:hanging="534"/>
      </w:pPr>
      <w:rPr>
        <w:rFonts w:hint="default"/>
      </w:rPr>
    </w:lvl>
    <w:lvl w:ilvl="8">
      <w:start w:val="0"/>
      <w:numFmt w:val="bullet"/>
      <w:lvlText w:val="•"/>
      <w:lvlJc w:val="left"/>
      <w:pPr>
        <w:ind w:left="7640" w:hanging="534"/>
      </w:pPr>
      <w:rPr>
        <w:rFonts w:hint="default"/>
      </w:rPr>
    </w:lvl>
  </w:abstractNum>
  <w:abstractNum w:abstractNumId="1">
    <w:multiLevelType w:val="hybridMultilevel"/>
    <w:lvl w:ilvl="0">
      <w:start w:val="2"/>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19"/>
      </w:pPr>
      <w:rPr>
        <w:rFonts w:hint="default"/>
      </w:rPr>
    </w:lvl>
    <w:lvl w:ilvl="2">
      <w:start w:val="0"/>
      <w:numFmt w:val="bullet"/>
      <w:lvlText w:val="•"/>
      <w:lvlJc w:val="left"/>
      <w:pPr>
        <w:ind w:left="2076" w:hanging="419"/>
      </w:pPr>
      <w:rPr>
        <w:rFonts w:hint="default"/>
      </w:rPr>
    </w:lvl>
    <w:lvl w:ilvl="3">
      <w:start w:val="0"/>
      <w:numFmt w:val="bullet"/>
      <w:lvlText w:val="•"/>
      <w:lvlJc w:val="left"/>
      <w:pPr>
        <w:ind w:left="3054" w:hanging="419"/>
      </w:pPr>
      <w:rPr>
        <w:rFonts w:hint="default"/>
      </w:rPr>
    </w:lvl>
    <w:lvl w:ilvl="4">
      <w:start w:val="0"/>
      <w:numFmt w:val="bullet"/>
      <w:lvlText w:val="•"/>
      <w:lvlJc w:val="left"/>
      <w:pPr>
        <w:ind w:left="4032" w:hanging="419"/>
      </w:pPr>
      <w:rPr>
        <w:rFonts w:hint="default"/>
      </w:rPr>
    </w:lvl>
    <w:lvl w:ilvl="5">
      <w:start w:val="0"/>
      <w:numFmt w:val="bullet"/>
      <w:lvlText w:val="•"/>
      <w:lvlJc w:val="left"/>
      <w:pPr>
        <w:ind w:left="5010" w:hanging="419"/>
      </w:pPr>
      <w:rPr>
        <w:rFonts w:hint="default"/>
      </w:rPr>
    </w:lvl>
    <w:lvl w:ilvl="6">
      <w:start w:val="0"/>
      <w:numFmt w:val="bullet"/>
      <w:lvlText w:val="•"/>
      <w:lvlJc w:val="left"/>
      <w:pPr>
        <w:ind w:left="5988" w:hanging="419"/>
      </w:pPr>
      <w:rPr>
        <w:rFonts w:hint="default"/>
      </w:rPr>
    </w:lvl>
    <w:lvl w:ilvl="7">
      <w:start w:val="0"/>
      <w:numFmt w:val="bullet"/>
      <w:lvlText w:val="•"/>
      <w:lvlJc w:val="left"/>
      <w:pPr>
        <w:ind w:left="6966" w:hanging="419"/>
      </w:pPr>
      <w:rPr>
        <w:rFonts w:hint="default"/>
      </w:rPr>
    </w:lvl>
    <w:lvl w:ilvl="8">
      <w:start w:val="0"/>
      <w:numFmt w:val="bullet"/>
      <w:lvlText w:val="•"/>
      <w:lvlJc w:val="left"/>
      <w:pPr>
        <w:ind w:left="7944" w:hanging="419"/>
      </w:pPr>
      <w:rPr>
        <w:rFonts w:hint="default"/>
      </w:rPr>
    </w:lvl>
  </w:abstractNum>
  <w:abstractNum w:abstractNumId="0">
    <w:multiLevelType w:val="hybridMultilevel"/>
    <w:lvl w:ilvl="0">
      <w:start w:val="1"/>
      <w:numFmt w:val="decimal"/>
      <w:lvlText w:val="%1."/>
      <w:lvlJc w:val="left"/>
      <w:pPr>
        <w:ind w:left="113" w:hanging="336"/>
        <w:jc w:val="right"/>
      </w:pPr>
      <w:rPr>
        <w:rFonts w:hint="default" w:ascii="Arial" w:hAnsi="Arial" w:eastAsia="Arial" w:cs="Arial"/>
        <w:b/>
        <w:bCs/>
        <w:spacing w:val="-1"/>
        <w:w w:val="125"/>
        <w:sz w:val="24"/>
        <w:szCs w:val="24"/>
      </w:rPr>
    </w:lvl>
    <w:lvl w:ilvl="1">
      <w:start w:val="0"/>
      <w:numFmt w:val="bullet"/>
      <w:lvlText w:val="•"/>
      <w:lvlJc w:val="left"/>
      <w:pPr>
        <w:ind w:left="1098" w:hanging="336"/>
      </w:pPr>
      <w:rPr>
        <w:rFonts w:hint="default"/>
      </w:rPr>
    </w:lvl>
    <w:lvl w:ilvl="2">
      <w:start w:val="0"/>
      <w:numFmt w:val="bullet"/>
      <w:lvlText w:val="•"/>
      <w:lvlJc w:val="left"/>
      <w:pPr>
        <w:ind w:left="2076" w:hanging="336"/>
      </w:pPr>
      <w:rPr>
        <w:rFonts w:hint="default"/>
      </w:rPr>
    </w:lvl>
    <w:lvl w:ilvl="3">
      <w:start w:val="0"/>
      <w:numFmt w:val="bullet"/>
      <w:lvlText w:val="•"/>
      <w:lvlJc w:val="left"/>
      <w:pPr>
        <w:ind w:left="3054" w:hanging="336"/>
      </w:pPr>
      <w:rPr>
        <w:rFonts w:hint="default"/>
      </w:rPr>
    </w:lvl>
    <w:lvl w:ilvl="4">
      <w:start w:val="0"/>
      <w:numFmt w:val="bullet"/>
      <w:lvlText w:val="•"/>
      <w:lvlJc w:val="left"/>
      <w:pPr>
        <w:ind w:left="4032" w:hanging="336"/>
      </w:pPr>
      <w:rPr>
        <w:rFonts w:hint="default"/>
      </w:rPr>
    </w:lvl>
    <w:lvl w:ilvl="5">
      <w:start w:val="0"/>
      <w:numFmt w:val="bullet"/>
      <w:lvlText w:val="•"/>
      <w:lvlJc w:val="left"/>
      <w:pPr>
        <w:ind w:left="5010" w:hanging="336"/>
      </w:pPr>
      <w:rPr>
        <w:rFonts w:hint="default"/>
      </w:rPr>
    </w:lvl>
    <w:lvl w:ilvl="6">
      <w:start w:val="0"/>
      <w:numFmt w:val="bullet"/>
      <w:lvlText w:val="•"/>
      <w:lvlJc w:val="left"/>
      <w:pPr>
        <w:ind w:left="5988" w:hanging="336"/>
      </w:pPr>
      <w:rPr>
        <w:rFonts w:hint="default"/>
      </w:rPr>
    </w:lvl>
    <w:lvl w:ilvl="7">
      <w:start w:val="0"/>
      <w:numFmt w:val="bullet"/>
      <w:lvlText w:val="•"/>
      <w:lvlJc w:val="left"/>
      <w:pPr>
        <w:ind w:left="6966" w:hanging="336"/>
      </w:pPr>
      <w:rPr>
        <w:rFonts w:hint="default"/>
      </w:rPr>
    </w:lvl>
    <w:lvl w:ilvl="8">
      <w:start w:val="0"/>
      <w:numFmt w:val="bullet"/>
      <w:lvlText w:val="•"/>
      <w:lvlJc w:val="left"/>
      <w:pPr>
        <w:ind w:left="7944" w:hanging="336"/>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3" w:firstLine="204"/>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233"/>
      <w:ind w:left="143"/>
      <w:outlineLvl w:val="1"/>
    </w:pPr>
    <w:rPr>
      <w:rFonts w:ascii="Arial-BoldItalicMT" w:hAnsi="Arial-BoldItalicMT" w:eastAsia="Arial-BoldItalicMT" w:cs="Arial-BoldItalicMT"/>
      <w:b/>
      <w:bCs/>
      <w:i/>
      <w:sz w:val="24"/>
      <w:szCs w:val="24"/>
    </w:rPr>
  </w:style>
  <w:style w:styleId="ListParagraph" w:type="paragraph">
    <w:name w:val="List Paragraph"/>
    <w:basedOn w:val="Normal"/>
    <w:uiPriority w:val="1"/>
    <w:qFormat/>
    <w:pPr>
      <w:ind w:left="113" w:firstLine="204"/>
      <w:jc w:val="both"/>
    </w:pPr>
    <w:rPr>
      <w:rFonts w:ascii="Times New Roman" w:hAnsi="Times New Roman" w:eastAsia="Times New Roman" w:cs="Times New Roman"/>
    </w:rPr>
  </w:style>
  <w:style w:styleId="TableParagraph" w:type="paragraph">
    <w:name w:val="Table Paragraph"/>
    <w:basedOn w:val="Normal"/>
    <w:uiPriority w:val="1"/>
    <w:qFormat/>
    <w:pPr>
      <w:ind w:left="4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mnb.hu/" TargetMode="External"/><Relationship Id="rId8" Type="http://schemas.openxmlformats.org/officeDocument/2006/relationships/header" Target="header3.xml"/><Relationship Id="rId9" Type="http://schemas.openxmlformats.org/officeDocument/2006/relationships/hyperlink" Target="http://ec.europa.eu/internal_market/fin-net/)"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2019-09-18T09:40:54Z</dcterms:created>
  <dcterms:modified xsi:type="dcterms:W3CDTF">2019-09-18T09:40:54Z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2019-09-18T00:00:00Z</vt:filetime>
  </property>
</Properties>
</file>