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9"/>
        </w:rPr>
      </w:pPr>
    </w:p>
    <w:p>
      <w:pPr>
        <w:pStyle w:val="Heading1"/>
        <w:spacing w:before="100"/>
        <w:ind w:left="2330"/>
      </w:pPr>
      <w:r>
        <w:rPr>
          <w:w w:val="125"/>
        </w:rPr>
        <w:t>56/2014. (XII. 31.) NGM rendelet</w:t>
      </w:r>
    </w:p>
    <w:p>
      <w:pPr>
        <w:pStyle w:val="BodyText"/>
        <w:spacing w:before="5"/>
        <w:ind w:left="0" w:firstLine="0"/>
        <w:rPr>
          <w:rFonts w:ascii="Arial"/>
          <w:b/>
          <w:sz w:val="41"/>
        </w:rPr>
      </w:pPr>
    </w:p>
    <w:p>
      <w:pPr>
        <w:spacing w:line="223" w:lineRule="auto" w:before="0"/>
        <w:ind w:left="1087" w:right="119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115"/>
          <w:sz w:val="28"/>
        </w:rPr>
        <w:t>a fogyasztónak nyújtott hitellel kapcsolatos egyes tájékoztatási szabályokról</w:t>
      </w:r>
    </w:p>
    <w:p>
      <w:pPr>
        <w:pStyle w:val="BodyText"/>
        <w:spacing w:line="268" w:lineRule="exact" w:before="217"/>
        <w:ind w:left="317" w:firstLine="0"/>
      </w:pPr>
      <w:r>
        <w:rPr>
          <w:w w:val="120"/>
        </w:rPr>
        <w:t>A fogyasztónak nyújtott hitelről szóló 2009. évi CLXII. törvény 30/A. § </w:t>
      </w:r>
      <w:r>
        <w:rPr>
          <w:i/>
          <w:w w:val="120"/>
        </w:rPr>
        <w:t>a) </w:t>
      </w:r>
      <w:r>
        <w:rPr>
          <w:w w:val="120"/>
        </w:rPr>
        <w:t>és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25" w:lineRule="auto" w:before="6" w:after="0"/>
        <w:ind w:left="113" w:right="224" w:firstLine="0"/>
        <w:jc w:val="both"/>
        <w:rPr>
          <w:sz w:val="24"/>
        </w:rPr>
      </w:pPr>
      <w:r>
        <w:rPr>
          <w:w w:val="125"/>
          <w:sz w:val="24"/>
        </w:rPr>
        <w:t>pontjában kapott felhatalmazás alapján, a Kormány tagjainak feladat- és hatásköréről szóló 152/2014. (VI. 6.) Korm. rendelet 90. § 14. pontjában meghatározott feladatkörömben eljárva a következőket rendelem</w:t>
      </w:r>
      <w:r>
        <w:rPr>
          <w:spacing w:val="-42"/>
          <w:w w:val="125"/>
          <w:sz w:val="24"/>
        </w:rPr>
        <w:t> </w:t>
      </w:r>
      <w:r>
        <w:rPr>
          <w:w w:val="125"/>
          <w:sz w:val="24"/>
        </w:rPr>
        <w:t>el:</w:t>
      </w:r>
    </w:p>
    <w:p>
      <w:pPr>
        <w:pStyle w:val="Heading2"/>
        <w:numPr>
          <w:ilvl w:val="1"/>
          <w:numId w:val="1"/>
        </w:numPr>
        <w:tabs>
          <w:tab w:pos="3466" w:val="left" w:leader="none"/>
        </w:tabs>
        <w:spacing w:line="240" w:lineRule="auto" w:before="227" w:after="0"/>
        <w:ind w:left="3465" w:right="0" w:hanging="333"/>
        <w:jc w:val="left"/>
      </w:pPr>
      <w:r>
        <w:rPr>
          <w:w w:val="115"/>
        </w:rPr>
        <w:t>Általános</w:t>
      </w:r>
      <w:r>
        <w:rPr>
          <w:spacing w:val="6"/>
          <w:w w:val="115"/>
        </w:rPr>
        <w:t> </w:t>
      </w:r>
      <w:r>
        <w:rPr>
          <w:w w:val="115"/>
        </w:rPr>
        <w:t>rendelkezések</w:t>
      </w:r>
    </w:p>
    <w:p>
      <w:pPr>
        <w:pStyle w:val="ListParagraph"/>
        <w:numPr>
          <w:ilvl w:val="0"/>
          <w:numId w:val="2"/>
        </w:numPr>
        <w:tabs>
          <w:tab w:pos="654" w:val="left" w:leader="none"/>
        </w:tabs>
        <w:spacing w:line="225" w:lineRule="auto" w:before="238" w:after="0"/>
        <w:ind w:left="113" w:right="221" w:firstLine="204"/>
        <w:jc w:val="both"/>
        <w:rPr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(1) E rendelet rendelkezéseit a fogyasztónak nyújtott hitelről szóló 2009. évi CLXII. törvény (a továbbiakban: Fhtv.) hatálya alá tartozó hitelszerződésre és pénzügyi lízingszerződésre (a továbbiakban együtt: hitelszerződés) kell alkalmazni.</w:t>
      </w:r>
    </w:p>
    <w:p>
      <w:pPr>
        <w:pStyle w:val="BodyText"/>
        <w:spacing w:line="225" w:lineRule="auto" w:before="2"/>
        <w:ind w:right="221"/>
        <w:jc w:val="both"/>
      </w:pPr>
      <w:r>
        <w:rPr>
          <w:w w:val="125"/>
        </w:rPr>
        <w:t>(2) E rendelet rendelkezéseit nem kell alkalmazni a hitelkártya-szerződéshez vagy fizetési számlához kapcsolódó hitelre.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56" w:lineRule="exact" w:before="0" w:after="0"/>
        <w:ind w:left="651" w:right="0" w:hanging="334"/>
        <w:jc w:val="left"/>
        <w:rPr>
          <w:sz w:val="24"/>
        </w:rPr>
      </w:pPr>
      <w:r>
        <w:rPr>
          <w:rFonts w:ascii="Arial" w:hAnsi="Arial"/>
          <w:b/>
          <w:w w:val="120"/>
          <w:sz w:val="24"/>
        </w:rPr>
        <w:t>§ </w:t>
      </w:r>
      <w:r>
        <w:rPr>
          <w:w w:val="120"/>
          <w:sz w:val="24"/>
        </w:rPr>
        <w:t>E rendelet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alkalmazásában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04" w:lineRule="auto" w:before="26" w:after="0"/>
        <w:ind w:left="204" w:right="225" w:firstLine="113"/>
        <w:jc w:val="both"/>
        <w:rPr>
          <w:sz w:val="24"/>
        </w:rPr>
      </w:pPr>
      <w:r>
        <w:rPr>
          <w:i/>
          <w:w w:val="125"/>
          <w:sz w:val="24"/>
        </w:rPr>
        <w:t>deviza alapú hitelszerződés: </w:t>
      </w:r>
      <w:r>
        <w:rPr>
          <w:w w:val="125"/>
          <w:sz w:val="24"/>
        </w:rPr>
        <w:t>devizában nyilvántartott vagy devizában nyújtott, de forintban törlesztett hitel- vagy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kölcsönszerződés;</w:t>
      </w:r>
    </w:p>
    <w:p>
      <w:pPr>
        <w:pStyle w:val="ListParagraph"/>
        <w:numPr>
          <w:ilvl w:val="0"/>
          <w:numId w:val="3"/>
        </w:numPr>
        <w:tabs>
          <w:tab w:pos="903" w:val="left" w:leader="none"/>
        </w:tabs>
        <w:spacing w:line="225" w:lineRule="auto" w:before="4" w:after="0"/>
        <w:ind w:left="204" w:right="137" w:firstLine="204"/>
        <w:jc w:val="both"/>
        <w:rPr>
          <w:sz w:val="24"/>
        </w:rPr>
      </w:pPr>
      <w:r>
        <w:rPr>
          <w:i/>
          <w:w w:val="125"/>
          <w:sz w:val="24"/>
        </w:rPr>
        <w:t>fogyasztói hitelbiztosíték nyújtója: </w:t>
      </w:r>
      <w:r>
        <w:rPr>
          <w:w w:val="125"/>
          <w:sz w:val="24"/>
        </w:rPr>
        <w:t>fogyasztói kezességi szerződés kezességvállalója és a fogyasztói zálogszerződés személyes adósnak nem minősülő</w:t>
      </w:r>
      <w:r>
        <w:rPr>
          <w:spacing w:val="-1"/>
          <w:w w:val="125"/>
          <w:sz w:val="24"/>
        </w:rPr>
        <w:t> </w:t>
      </w:r>
      <w:r>
        <w:rPr>
          <w:w w:val="125"/>
          <w:sz w:val="24"/>
        </w:rPr>
        <w:t>zálogkötelezettje;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25" w:lineRule="auto" w:before="2" w:after="0"/>
        <w:ind w:left="204" w:right="135" w:firstLine="204"/>
        <w:jc w:val="both"/>
        <w:rPr>
          <w:sz w:val="24"/>
        </w:rPr>
      </w:pPr>
      <w:r>
        <w:rPr>
          <w:i/>
          <w:w w:val="130"/>
          <w:sz w:val="24"/>
        </w:rPr>
        <w:t>tartós adathordozó: </w:t>
      </w:r>
      <w:r>
        <w:rPr>
          <w:w w:val="130"/>
          <w:sz w:val="24"/>
        </w:rPr>
        <w:t>a hitelintézetekről és a pénzügyi vállalkozásokról szóló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2013.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évi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CCXXXVII.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törvényben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ilyenként</w:t>
      </w:r>
      <w:r>
        <w:rPr>
          <w:spacing w:val="-44"/>
          <w:w w:val="130"/>
          <w:sz w:val="24"/>
        </w:rPr>
        <w:t> </w:t>
      </w:r>
      <w:r>
        <w:rPr>
          <w:w w:val="130"/>
          <w:sz w:val="24"/>
        </w:rPr>
        <w:t>meghatározott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fogalom.</w:t>
      </w:r>
    </w:p>
    <w:p>
      <w:pPr>
        <w:pStyle w:val="Heading2"/>
        <w:numPr>
          <w:ilvl w:val="1"/>
          <w:numId w:val="3"/>
        </w:numPr>
        <w:tabs>
          <w:tab w:pos="1845" w:val="left" w:leader="none"/>
        </w:tabs>
        <w:spacing w:line="240" w:lineRule="auto" w:before="227" w:after="0"/>
        <w:ind w:left="1844" w:right="0" w:hanging="334"/>
        <w:jc w:val="left"/>
      </w:pPr>
      <w:r>
        <w:rPr>
          <w:w w:val="115"/>
        </w:rPr>
        <w:t>Hitelszerződés megkötését megelőző</w:t>
      </w:r>
      <w:r>
        <w:rPr>
          <w:spacing w:val="30"/>
          <w:w w:val="115"/>
        </w:rPr>
        <w:t> </w:t>
      </w:r>
      <w:r>
        <w:rPr>
          <w:w w:val="115"/>
        </w:rPr>
        <w:t>tájékoztatás</w:t>
      </w:r>
    </w:p>
    <w:p>
      <w:pPr>
        <w:pStyle w:val="ListParagraph"/>
        <w:numPr>
          <w:ilvl w:val="1"/>
          <w:numId w:val="3"/>
        </w:numPr>
        <w:tabs>
          <w:tab w:pos="762" w:val="left" w:leader="none"/>
        </w:tabs>
        <w:spacing w:line="225" w:lineRule="auto" w:before="237" w:after="0"/>
        <w:ind w:left="204" w:right="116" w:firstLine="204"/>
        <w:jc w:val="left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(1) A hitelező és a hitelközvetítő az Fhtv. 5. § (1)-(3) bekezdése szerinti tájékoztatási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kötelezettségének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az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ezen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alcímben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foglaltak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szerint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tesz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eleget.</w:t>
      </w:r>
    </w:p>
    <w:p>
      <w:pPr>
        <w:pStyle w:val="BodyText"/>
        <w:spacing w:line="249" w:lineRule="exact"/>
        <w:ind w:left="604" w:firstLine="0"/>
      </w:pPr>
      <w:r>
        <w:rPr>
          <w:w w:val="125"/>
        </w:rPr>
        <w:t>(2)</w:t>
      </w:r>
      <w:r>
        <w:rPr>
          <w:i/>
          <w:w w:val="125"/>
          <w:position w:val="3"/>
          <w:sz w:val="18"/>
        </w:rPr>
        <w:t>1 </w:t>
      </w:r>
      <w:r>
        <w:rPr>
          <w:w w:val="125"/>
        </w:rPr>
        <w:t>A</w:t>
      </w:r>
      <w:r>
        <w:rPr>
          <w:spacing w:val="53"/>
          <w:w w:val="125"/>
        </w:rPr>
        <w:t> </w:t>
      </w:r>
      <w:r>
        <w:rPr>
          <w:w w:val="125"/>
        </w:rPr>
        <w:t>fogyasztó</w:t>
      </w:r>
      <w:r>
        <w:rPr>
          <w:spacing w:val="53"/>
          <w:w w:val="125"/>
        </w:rPr>
        <w:t> </w:t>
      </w:r>
      <w:r>
        <w:rPr>
          <w:w w:val="125"/>
        </w:rPr>
        <w:t>-</w:t>
      </w:r>
      <w:r>
        <w:rPr>
          <w:spacing w:val="53"/>
          <w:w w:val="125"/>
        </w:rPr>
        <w:t> </w:t>
      </w:r>
      <w:r>
        <w:rPr>
          <w:w w:val="125"/>
        </w:rPr>
        <w:t>az</w:t>
      </w:r>
      <w:r>
        <w:rPr>
          <w:spacing w:val="53"/>
          <w:w w:val="125"/>
        </w:rPr>
        <w:t> </w:t>
      </w:r>
      <w:r>
        <w:rPr>
          <w:w w:val="125"/>
        </w:rPr>
        <w:t>elektronikus</w:t>
      </w:r>
      <w:r>
        <w:rPr>
          <w:spacing w:val="52"/>
          <w:w w:val="125"/>
        </w:rPr>
        <w:t> </w:t>
      </w:r>
      <w:r>
        <w:rPr>
          <w:w w:val="125"/>
        </w:rPr>
        <w:t>úton</w:t>
      </w:r>
      <w:r>
        <w:rPr>
          <w:spacing w:val="53"/>
          <w:w w:val="125"/>
        </w:rPr>
        <w:t> </w:t>
      </w:r>
      <w:r>
        <w:rPr>
          <w:w w:val="125"/>
        </w:rPr>
        <w:t>történő</w:t>
      </w:r>
      <w:r>
        <w:rPr>
          <w:spacing w:val="53"/>
          <w:w w:val="125"/>
        </w:rPr>
        <w:t> </w:t>
      </w:r>
      <w:r>
        <w:rPr>
          <w:w w:val="125"/>
        </w:rPr>
        <w:t>tájékoztatás</w:t>
      </w:r>
      <w:r>
        <w:rPr>
          <w:spacing w:val="53"/>
          <w:w w:val="125"/>
        </w:rPr>
        <w:t> </w:t>
      </w:r>
      <w:r>
        <w:rPr>
          <w:w w:val="125"/>
        </w:rPr>
        <w:t>kivételével</w:t>
      </w:r>
      <w:r>
        <w:rPr>
          <w:spacing w:val="52"/>
          <w:w w:val="125"/>
        </w:rPr>
        <w:t> </w:t>
      </w:r>
      <w:r>
        <w:rPr>
          <w:w w:val="125"/>
        </w:rPr>
        <w:t>-</w:t>
      </w:r>
    </w:p>
    <w:p>
      <w:pPr>
        <w:pStyle w:val="BodyText"/>
        <w:spacing w:line="266" w:lineRule="exact"/>
        <w:ind w:left="204" w:firstLine="0"/>
      </w:pPr>
      <w:r>
        <w:rPr>
          <w:w w:val="130"/>
        </w:rPr>
        <w:t>aláírásával igazolja, hogy megkapta a 4. és az 5. §-ban előírt tájékoztatást.</w:t>
      </w: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25" w:lineRule="auto" w:before="5" w:after="0"/>
        <w:ind w:left="204" w:right="136" w:firstLine="400"/>
        <w:jc w:val="both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(1)</w:t>
      </w:r>
      <w:r>
        <w:rPr>
          <w:i/>
          <w:w w:val="125"/>
          <w:position w:val="3"/>
          <w:sz w:val="18"/>
        </w:rPr>
        <w:t>2 </w:t>
      </w:r>
      <w:r>
        <w:rPr>
          <w:w w:val="125"/>
          <w:sz w:val="24"/>
        </w:rPr>
        <w:t>Ha a fogyasztó arról tájékoztatja a hitelezőt vagy a hitelközvetítőt, hogy hitelszerződés megkötése érdekében igénybe  kívánja  venni szolgáltatását, a fogyasztó által megadott tájékoztatás alapján - a fogyasztó igényeinek, lehetőségeinek és szükségleteinek felmérését követően - hitelező  és a hitelközvetítő szóban vagy elektronikus úton tájékoztatást</w:t>
      </w:r>
      <w:r>
        <w:rPr>
          <w:spacing w:val="32"/>
          <w:w w:val="125"/>
          <w:sz w:val="24"/>
        </w:rPr>
        <w:t> </w:t>
      </w:r>
      <w:r>
        <w:rPr>
          <w:w w:val="125"/>
          <w:sz w:val="24"/>
        </w:rPr>
        <w:t>ad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68" w:lineRule="exact" w:before="15" w:after="0"/>
        <w:ind w:left="826" w:right="0" w:hanging="313"/>
        <w:jc w:val="left"/>
        <w:rPr>
          <w:sz w:val="24"/>
        </w:rPr>
      </w:pPr>
      <w:r>
        <w:rPr>
          <w:w w:val="130"/>
          <w:sz w:val="24"/>
        </w:rPr>
        <w:t>az igényelhető hitel lehetséges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összegéről,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25" w:lineRule="auto" w:before="6" w:after="0"/>
        <w:ind w:left="113" w:right="232" w:firstLine="400"/>
        <w:jc w:val="left"/>
        <w:rPr>
          <w:sz w:val="24"/>
        </w:rPr>
      </w:pPr>
      <w:r>
        <w:rPr>
          <w:w w:val="130"/>
          <w:sz w:val="24"/>
        </w:rPr>
        <w:t>a kamatozás módjáról (fix kamatozású, referencia-kamatlábhoz kötött, vagy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kamatperiódusokban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rögzített)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kamat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módosításának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lehetőségéről,</w:t>
      </w:r>
    </w:p>
    <w:p>
      <w:pPr>
        <w:pStyle w:val="ListParagraph"/>
        <w:numPr>
          <w:ilvl w:val="0"/>
          <w:numId w:val="4"/>
        </w:numPr>
        <w:tabs>
          <w:tab w:pos="818" w:val="left" w:leader="none"/>
        </w:tabs>
        <w:spacing w:line="256" w:lineRule="exact" w:before="0" w:after="0"/>
        <w:ind w:left="817" w:right="0" w:hanging="304"/>
        <w:jc w:val="left"/>
        <w:rPr>
          <w:sz w:val="24"/>
        </w:rPr>
      </w:pPr>
      <w:r>
        <w:rPr>
          <w:w w:val="130"/>
          <w:sz w:val="24"/>
        </w:rPr>
        <w:t>a reprezentatívnak tekinthető teljes hiteldíj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mutatóról,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60" w:lineRule="exact" w:before="0" w:after="0"/>
        <w:ind w:left="837" w:right="0" w:hanging="324"/>
        <w:jc w:val="left"/>
        <w:rPr>
          <w:sz w:val="24"/>
        </w:rPr>
      </w:pPr>
      <w:r>
        <w:rPr>
          <w:w w:val="130"/>
          <w:sz w:val="24"/>
        </w:rPr>
        <w:t>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törlesztőrészletek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összegéről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törlesztés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gyakoriságáról,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valamint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68" w:lineRule="exact" w:before="0" w:after="0"/>
        <w:ind w:left="825" w:right="0" w:hanging="312"/>
        <w:jc w:val="left"/>
        <w:rPr>
          <w:sz w:val="24"/>
        </w:rPr>
      </w:pPr>
      <w:r>
        <w:rPr>
          <w:w w:val="130"/>
          <w:sz w:val="24"/>
        </w:rPr>
        <w:t>a hitel választható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futamidejéről.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93001pt,14.47472pt" to="538.583001pt,14.47472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5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4/2016.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(I.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7.)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NGM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rendelet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4.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5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4/2016.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(I.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7.)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NGM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rendelet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5.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headerReference w:type="default" r:id="rId5"/>
          <w:type w:val="continuous"/>
          <w:pgSz w:w="11900" w:h="16820"/>
          <w:pgMar w:header="1104" w:top="1840" w:bottom="280" w:left="1020" w:right="9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868" w:val="left" w:leader="none"/>
        </w:tabs>
        <w:spacing w:line="261" w:lineRule="exact" w:before="159" w:after="0"/>
        <w:ind w:left="867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1 </w:t>
      </w:r>
      <w:r>
        <w:rPr>
          <w:w w:val="125"/>
          <w:sz w:val="24"/>
        </w:rPr>
        <w:t>A fogyasztó lehetőségeinek felmérése érdekében a</w:t>
      </w:r>
      <w:r>
        <w:rPr>
          <w:spacing w:val="-24"/>
          <w:w w:val="125"/>
          <w:sz w:val="24"/>
        </w:rPr>
        <w:t> </w:t>
      </w:r>
      <w:r>
        <w:rPr>
          <w:w w:val="125"/>
          <w:sz w:val="24"/>
        </w:rPr>
        <w:t>jövedelemarányos</w:t>
      </w:r>
    </w:p>
    <w:p>
      <w:pPr>
        <w:pStyle w:val="BodyText"/>
        <w:spacing w:line="225" w:lineRule="auto" w:before="12"/>
        <w:ind w:left="126" w:right="199" w:firstLine="0"/>
        <w:jc w:val="both"/>
      </w:pPr>
      <w:r>
        <w:rPr>
          <w:w w:val="125"/>
        </w:rPr>
        <w:t>törlesztőrészlet és a hitelfedezeti arányok szabályozásáról szóló 32/2014. (IX. 10.) MNB rendelet (a továbbiakban: MNB rendelet) hatálya alatt álló hitelszerződés ajánlása esetén az (1) bekezdés  szerinti  tájékoztatást megelőzően a hitelező vagy a hitelközvetítő szóban vagy elektronikus úton tájékoztatást ad az MNB rendelet vonatkozó főbb követelményeiről, így különösen a jövedelemarányos törlesztőrészlet mutatóról, a havi nettó jövedelem igazolásának módjáról, a havi adósságszolgálat számításának módjáról, ingatlanra alapított jelzálogjog fedezete mellett vagy gépjármű vásárlására nyújtandó hitelnél a kitettség értékére vonatkozó</w:t>
      </w:r>
      <w:r>
        <w:rPr>
          <w:spacing w:val="73"/>
          <w:w w:val="125"/>
        </w:rPr>
        <w:t> </w:t>
      </w:r>
      <w:r>
        <w:rPr>
          <w:w w:val="125"/>
        </w:rPr>
        <w:t>előírásról.</w:t>
      </w:r>
    </w:p>
    <w:p>
      <w:pPr>
        <w:pStyle w:val="ListParagraph"/>
        <w:numPr>
          <w:ilvl w:val="0"/>
          <w:numId w:val="6"/>
        </w:numPr>
        <w:tabs>
          <w:tab w:pos="868" w:val="left" w:leader="none"/>
        </w:tabs>
        <w:spacing w:line="225" w:lineRule="auto" w:before="6" w:after="0"/>
        <w:ind w:left="126" w:right="222" w:firstLine="400"/>
        <w:jc w:val="both"/>
        <w:rPr>
          <w:sz w:val="24"/>
        </w:rPr>
      </w:pPr>
      <w:r>
        <w:rPr>
          <w:i/>
          <w:w w:val="125"/>
          <w:position w:val="3"/>
          <w:sz w:val="18"/>
        </w:rPr>
        <w:t>2 </w:t>
      </w:r>
      <w:r>
        <w:rPr>
          <w:w w:val="125"/>
          <w:sz w:val="24"/>
        </w:rPr>
        <w:t>Referencia-kamatlábhoz kötött hitelszerződés ajánlása esetén a szóbeli vagy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elektronikus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úton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történő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tájékoztatásnak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arra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is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ki</w:t>
      </w:r>
      <w:r>
        <w:rPr>
          <w:spacing w:val="13"/>
          <w:w w:val="125"/>
          <w:sz w:val="24"/>
        </w:rPr>
        <w:t> </w:t>
      </w:r>
      <w:r>
        <w:rPr>
          <w:w w:val="125"/>
          <w:sz w:val="24"/>
        </w:rPr>
        <w:t>kell</w:t>
      </w:r>
      <w:r>
        <w:rPr>
          <w:spacing w:val="8"/>
          <w:w w:val="125"/>
          <w:sz w:val="24"/>
        </w:rPr>
        <w:t> </w:t>
      </w:r>
      <w:r>
        <w:rPr>
          <w:w w:val="125"/>
          <w:sz w:val="24"/>
        </w:rPr>
        <w:t>terjednie,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hogy</w:t>
      </w:r>
    </w:p>
    <w:p>
      <w:pPr>
        <w:pStyle w:val="ListParagraph"/>
        <w:numPr>
          <w:ilvl w:val="0"/>
          <w:numId w:val="7"/>
        </w:numPr>
        <w:tabs>
          <w:tab w:pos="631" w:val="left" w:leader="none"/>
        </w:tabs>
        <w:spacing w:line="256" w:lineRule="exact" w:before="0" w:after="0"/>
        <w:ind w:left="630" w:right="0" w:hanging="313"/>
        <w:jc w:val="left"/>
        <w:rPr>
          <w:sz w:val="24"/>
        </w:rPr>
      </w:pPr>
      <w:r>
        <w:rPr>
          <w:w w:val="130"/>
          <w:sz w:val="24"/>
        </w:rPr>
        <w:t>milyen gyakran változhat a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referencia-kamatláb,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</w:tabs>
        <w:spacing w:line="216" w:lineRule="auto" w:before="14" w:after="0"/>
        <w:ind w:left="139" w:right="196" w:firstLine="178"/>
        <w:jc w:val="both"/>
        <w:rPr>
          <w:sz w:val="24"/>
        </w:rPr>
      </w:pPr>
      <w:r>
        <w:rPr>
          <w:w w:val="130"/>
          <w:sz w:val="24"/>
        </w:rPr>
        <w:t>a kamat és ennek megfelelően a fizetendő törlesztőrészlet a kamatfelár változásának hiányában is módosulhat, amely nem minősül egyoldalú szerződésmódosításnak,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</w:tabs>
        <w:spacing w:line="225" w:lineRule="auto" w:before="0" w:after="0"/>
        <w:ind w:left="139" w:right="198" w:firstLine="204"/>
        <w:jc w:val="both"/>
        <w:rPr>
          <w:sz w:val="24"/>
        </w:rPr>
      </w:pPr>
      <w:r>
        <w:rPr>
          <w:w w:val="125"/>
          <w:sz w:val="24"/>
        </w:rPr>
        <w:t>a törlesztőrészlet hitelszerződés szerinti számítása függvényében - így különösen az egyenlő összegű  (annuitásos)  törlesztőrészlet  számítási módszere alkalmazása esetén - a kamat módosítása nincs egyenes arányban a törlesztőrészlet változásával.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25" w:lineRule="auto" w:before="2" w:after="0"/>
        <w:ind w:left="139" w:right="184" w:firstLine="400"/>
        <w:jc w:val="both"/>
        <w:rPr>
          <w:sz w:val="24"/>
        </w:rPr>
      </w:pPr>
      <w:r>
        <w:rPr>
          <w:i/>
          <w:w w:val="125"/>
          <w:position w:val="3"/>
          <w:sz w:val="18"/>
        </w:rPr>
        <w:t>3 </w:t>
      </w:r>
      <w:r>
        <w:rPr>
          <w:w w:val="125"/>
          <w:sz w:val="24"/>
        </w:rPr>
        <w:t>Kamatperiódusokban rögzített hitelszerződés ajánlása esetén a szóbeli vagy elektronikus úton történő tájékoztatásnak arra is ki kell terjednie, hogy a törlesztőrészlet hitelszerződés szerinti számítása  függvényében  -  így különösen az egyenlő összegű  (annuitásos)  törlesztőrészlet  számítási módszere alkalmazása esetén - a kamat kamatperiódus lejártához kapcsolódó módosítása nincs egyenes arányban a törlesztőrészlet</w:t>
      </w:r>
      <w:r>
        <w:rPr>
          <w:spacing w:val="32"/>
          <w:w w:val="125"/>
          <w:sz w:val="24"/>
        </w:rPr>
        <w:t> </w:t>
      </w:r>
      <w:r>
        <w:rPr>
          <w:w w:val="125"/>
          <w:sz w:val="24"/>
        </w:rPr>
        <w:t>változásával.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25" w:lineRule="auto" w:before="4" w:after="0"/>
        <w:ind w:left="139" w:right="186" w:firstLine="400"/>
        <w:jc w:val="both"/>
        <w:rPr>
          <w:sz w:val="24"/>
        </w:rPr>
      </w:pPr>
      <w:r>
        <w:rPr>
          <w:i/>
          <w:w w:val="125"/>
          <w:position w:val="3"/>
          <w:sz w:val="18"/>
        </w:rPr>
        <w:t>4 </w:t>
      </w:r>
      <w:r>
        <w:rPr>
          <w:w w:val="125"/>
          <w:sz w:val="24"/>
        </w:rPr>
        <w:t>Deviza alapú hitelszerződés esetén a szóbeli vagy elektronikus úton történő tájékoztatásnak arra is ki kell terjednie, hogy az árfolyamkockázatot a fogyasztó viseli, így a kamat változatlansága esetén is a törlesztőrészlet annyi százalékkal változhat (növekedhet vagy csökkenhet), amennyivel az adott deviza Fhtv. 21/B. §-a szerint meghatározott árfolyama</w:t>
      </w:r>
      <w:r>
        <w:rPr>
          <w:spacing w:val="-3"/>
          <w:w w:val="125"/>
          <w:sz w:val="24"/>
        </w:rPr>
        <w:t> </w:t>
      </w:r>
      <w:r>
        <w:rPr>
          <w:w w:val="125"/>
          <w:sz w:val="24"/>
        </w:rPr>
        <w:t>változik.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25" w:lineRule="auto" w:before="2" w:after="0"/>
        <w:ind w:left="139" w:right="185" w:firstLine="400"/>
        <w:jc w:val="both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(1)</w:t>
      </w:r>
      <w:r>
        <w:rPr>
          <w:i/>
          <w:w w:val="125"/>
          <w:position w:val="3"/>
          <w:sz w:val="18"/>
        </w:rPr>
        <w:t>5 </w:t>
      </w:r>
      <w:r>
        <w:rPr>
          <w:w w:val="125"/>
          <w:sz w:val="24"/>
        </w:rPr>
        <w:t>A hitelező és a hitelközvetítő szóbeli vagy elektronikus úton történő tájékoztatásának arra is ki kell térnie, hogy a fogyasztónak a hitelszerződés megkötésekor felelősen kell eljárnia, felelős döntést kell</w:t>
      </w:r>
      <w:r>
        <w:rPr>
          <w:spacing w:val="4"/>
          <w:w w:val="125"/>
          <w:sz w:val="24"/>
        </w:rPr>
        <w:t> </w:t>
      </w:r>
      <w:r>
        <w:rPr>
          <w:w w:val="125"/>
          <w:sz w:val="24"/>
        </w:rPr>
        <w:t>hoznia.</w:t>
      </w:r>
    </w:p>
    <w:p>
      <w:pPr>
        <w:pStyle w:val="BodyText"/>
        <w:spacing w:line="225" w:lineRule="auto" w:before="1"/>
        <w:ind w:left="139" w:right="192"/>
        <w:jc w:val="both"/>
      </w:pPr>
      <w:r>
        <w:rPr>
          <w:w w:val="125"/>
        </w:rPr>
        <w:t>(2) Az (1) bekezdésben meghatározottak érdekében a hitelezőnek és a hitelközvetítőnek fel kell hívnia a figyelmet arra, hogy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</w:tabs>
        <w:spacing w:line="225" w:lineRule="auto" w:before="2" w:after="0"/>
        <w:ind w:left="139" w:right="180" w:firstLine="204"/>
        <w:jc w:val="both"/>
        <w:rPr>
          <w:sz w:val="24"/>
        </w:rPr>
      </w:pPr>
      <w:r>
        <w:rPr>
          <w:w w:val="130"/>
          <w:sz w:val="24"/>
        </w:rPr>
        <w:t>a fogyasztó kizárólag alaposan áttanulmányozott és megértett hitelszerződést írjon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alá,</w:t>
      </w:r>
    </w:p>
    <w:p>
      <w:pPr>
        <w:pStyle w:val="ListParagraph"/>
        <w:numPr>
          <w:ilvl w:val="0"/>
          <w:numId w:val="8"/>
        </w:numPr>
        <w:tabs>
          <w:tab w:pos="756" w:val="left" w:leader="none"/>
        </w:tabs>
        <w:spacing w:line="225" w:lineRule="auto" w:before="1" w:after="0"/>
        <w:ind w:left="139" w:right="186" w:firstLine="204"/>
        <w:jc w:val="both"/>
        <w:rPr>
          <w:sz w:val="24"/>
        </w:rPr>
      </w:pPr>
      <w:r>
        <w:rPr>
          <w:w w:val="130"/>
          <w:sz w:val="24"/>
        </w:rPr>
        <w:t>a fogyasztó pénzügyi teljesítőképességének romlása, így különösen a rendszeres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jövedelmének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csökkenése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más</w:t>
      </w:r>
      <w:r>
        <w:rPr>
          <w:spacing w:val="1"/>
          <w:w w:val="130"/>
          <w:sz w:val="24"/>
        </w:rPr>
        <w:t> </w:t>
      </w:r>
      <w:r>
        <w:rPr>
          <w:w w:val="130"/>
          <w:sz w:val="24"/>
        </w:rPr>
        <w:t>rendkívüli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kiadás</w:t>
      </w:r>
      <w:r>
        <w:rPr>
          <w:spacing w:val="-3"/>
          <w:w w:val="130"/>
          <w:sz w:val="24"/>
        </w:rPr>
        <w:t> </w:t>
      </w:r>
      <w:r>
        <w:rPr>
          <w:w w:val="130"/>
          <w:sz w:val="24"/>
        </w:rPr>
        <w:t>felmerülése nem mentesíti a hitelszerződésben foglaltak teljesítése</w:t>
      </w:r>
      <w:r>
        <w:rPr>
          <w:spacing w:val="-40"/>
          <w:w w:val="130"/>
          <w:sz w:val="24"/>
        </w:rPr>
        <w:t> </w:t>
      </w:r>
      <w:r>
        <w:rPr>
          <w:w w:val="130"/>
          <w:sz w:val="24"/>
        </w:rPr>
        <w:t>alól,</w:t>
      </w:r>
    </w:p>
    <w:p>
      <w:pPr>
        <w:pStyle w:val="ListParagraph"/>
        <w:numPr>
          <w:ilvl w:val="0"/>
          <w:numId w:val="8"/>
        </w:numPr>
        <w:tabs>
          <w:tab w:pos="732" w:val="left" w:leader="none"/>
        </w:tabs>
        <w:spacing w:line="225" w:lineRule="auto" w:before="1" w:after="0"/>
        <w:ind w:left="139" w:right="201" w:firstLine="204"/>
        <w:jc w:val="both"/>
        <w:rPr>
          <w:sz w:val="24"/>
        </w:rPr>
      </w:pPr>
      <w:r>
        <w:rPr>
          <w:w w:val="130"/>
          <w:sz w:val="24"/>
        </w:rPr>
        <w:t>fizetési nehézség esetén a fogyasztó mielőbb tájékoztassa hitelezőjét,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annak érdekében, hogy a hitelszerződés felmondásának megelőzése érdekében lehetőség legyen a közös megoldás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keresésére,</w:t>
      </w:r>
    </w:p>
    <w:p>
      <w:pPr>
        <w:pStyle w:val="ListParagraph"/>
        <w:numPr>
          <w:ilvl w:val="0"/>
          <w:numId w:val="8"/>
        </w:numPr>
        <w:tabs>
          <w:tab w:pos="709" w:val="left" w:leader="none"/>
        </w:tabs>
        <w:spacing w:line="225" w:lineRule="auto" w:before="2" w:after="0"/>
        <w:ind w:left="139" w:right="194" w:firstLine="204"/>
        <w:jc w:val="both"/>
        <w:rPr>
          <w:sz w:val="24"/>
        </w:rPr>
      </w:pPr>
      <w:r>
        <w:rPr>
          <w:w w:val="130"/>
          <w:sz w:val="24"/>
        </w:rPr>
        <w:t>a lejárt tartozás esetén a szerződésben meghatározott késedelmi kamat kerül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felszámításra,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0"/>
        </w:rPr>
      </w:pPr>
      <w:r>
        <w:rPr/>
        <w:pict>
          <v:line style="position:absolute;mso-position-horizontal-relative:page;mso-position-vertical-relative:paragraph;z-index:-1000;mso-wrap-distance-left:0;mso-wrap-distance-right:0" from="56.693001pt,8.489645pt" to="538.583001pt,8.489645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9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4/2016. (I. 7.) NGM rendelet 6. §</w:t>
      </w:r>
      <w:r>
        <w:rPr>
          <w:i/>
          <w:spacing w:val="-40"/>
          <w:w w:val="125"/>
          <w:sz w:val="18"/>
        </w:rPr>
        <w:t> </w:t>
      </w:r>
      <w:r>
        <w:rPr>
          <w:i/>
          <w:w w:val="125"/>
          <w:sz w:val="18"/>
        </w:rPr>
        <w:t>a).</w:t>
      </w:r>
    </w:p>
    <w:p>
      <w:pPr>
        <w:pStyle w:val="ListParagraph"/>
        <w:numPr>
          <w:ilvl w:val="0"/>
          <w:numId w:val="9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4/2016. (I. 7.) NGM rendelet 6. §</w:t>
      </w:r>
      <w:r>
        <w:rPr>
          <w:i/>
          <w:spacing w:val="-32"/>
          <w:w w:val="125"/>
          <w:sz w:val="18"/>
        </w:rPr>
        <w:t> </w:t>
      </w:r>
      <w:r>
        <w:rPr>
          <w:i/>
          <w:w w:val="125"/>
          <w:sz w:val="18"/>
        </w:rPr>
        <w:t>b).</w:t>
      </w:r>
    </w:p>
    <w:p>
      <w:pPr>
        <w:pStyle w:val="ListParagraph"/>
        <w:numPr>
          <w:ilvl w:val="0"/>
          <w:numId w:val="9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4/2016. (I. 7.) NGM rendelet 6. §</w:t>
      </w:r>
      <w:r>
        <w:rPr>
          <w:i/>
          <w:spacing w:val="-32"/>
          <w:w w:val="125"/>
          <w:sz w:val="18"/>
        </w:rPr>
        <w:t> </w:t>
      </w:r>
      <w:r>
        <w:rPr>
          <w:i/>
          <w:w w:val="125"/>
          <w:sz w:val="18"/>
        </w:rPr>
        <w:t>b).</w:t>
      </w:r>
    </w:p>
    <w:p>
      <w:pPr>
        <w:pStyle w:val="ListParagraph"/>
        <w:numPr>
          <w:ilvl w:val="0"/>
          <w:numId w:val="9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4/2016. (I. 7.) NGM rendelet 6. §</w:t>
      </w:r>
      <w:r>
        <w:rPr>
          <w:i/>
          <w:spacing w:val="-32"/>
          <w:w w:val="125"/>
          <w:sz w:val="18"/>
        </w:rPr>
        <w:t> </w:t>
      </w:r>
      <w:r>
        <w:rPr>
          <w:i/>
          <w:w w:val="125"/>
          <w:sz w:val="18"/>
        </w:rPr>
        <w:t>b).</w:t>
      </w:r>
    </w:p>
    <w:p>
      <w:pPr>
        <w:pStyle w:val="ListParagraph"/>
        <w:numPr>
          <w:ilvl w:val="0"/>
          <w:numId w:val="9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4/2016. (I. 7.) NGM rendelet 6. §</w:t>
      </w:r>
      <w:r>
        <w:rPr>
          <w:i/>
          <w:spacing w:val="-34"/>
          <w:w w:val="125"/>
          <w:sz w:val="18"/>
        </w:rPr>
        <w:t> </w:t>
      </w:r>
      <w:r>
        <w:rPr>
          <w:i/>
          <w:w w:val="125"/>
          <w:sz w:val="18"/>
        </w:rPr>
        <w:t>c).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900"/>
        </w:sectPr>
      </w:pP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25" w:lineRule="auto" w:before="173" w:after="0"/>
        <w:ind w:left="113" w:right="223" w:firstLine="204"/>
        <w:jc w:val="both"/>
        <w:rPr>
          <w:sz w:val="24"/>
        </w:rPr>
      </w:pPr>
      <w:r>
        <w:rPr>
          <w:w w:val="130"/>
          <w:sz w:val="24"/>
        </w:rPr>
        <w:t>a nem szerződésszerű teljesítés esetén a hitelező a hitelszerződést azonnali hatállyal felmondhatja, amellyel a teljes tartozás lejárttá és egy összegben esedékessé válik, valamint a hitelező a tartozás meg nem fizetése esetén a biztosítékok érvényesítésére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jogosult,</w:t>
      </w:r>
    </w:p>
    <w:p>
      <w:pPr>
        <w:pStyle w:val="ListParagraph"/>
        <w:numPr>
          <w:ilvl w:val="0"/>
          <w:numId w:val="8"/>
        </w:numPr>
        <w:tabs>
          <w:tab w:pos="815" w:val="left" w:leader="none"/>
        </w:tabs>
        <w:spacing w:line="225" w:lineRule="auto" w:before="2" w:after="0"/>
        <w:ind w:left="113" w:right="225" w:firstLine="204"/>
        <w:jc w:val="both"/>
        <w:rPr>
          <w:sz w:val="24"/>
        </w:rPr>
      </w:pPr>
      <w:r>
        <w:rPr>
          <w:w w:val="125"/>
          <w:sz w:val="24"/>
        </w:rPr>
        <w:t>a hitelező által felmondott hitelszerződésből eredő tartozások érvényesítésének költségei is a fogyasztót terhelik, valamint - ha a biztosíték nem elegendő a tartozás rendezésére - a fogyasztó jövedelmére, más vagyontárgyára is végrehajtás</w:t>
      </w:r>
      <w:r>
        <w:rPr>
          <w:spacing w:val="6"/>
          <w:w w:val="125"/>
          <w:sz w:val="24"/>
        </w:rPr>
        <w:t> </w:t>
      </w:r>
      <w:r>
        <w:rPr>
          <w:w w:val="125"/>
          <w:sz w:val="24"/>
        </w:rPr>
        <w:t>foganatosítható.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25" w:lineRule="auto" w:before="1" w:after="0"/>
        <w:ind w:left="113" w:right="222" w:firstLine="204"/>
        <w:jc w:val="both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(1) A hitelező és a hitelközvetítő az 5. § (1) bekezdésben meghatározottak érdekében írásban vagy más tartós adathordozón a fogyasztó rendelkezésére bocsátja a fogyasztó által előnyben részesített hitelszerződés törlesztőrészlete változásának lehetséges hatásait bemutató 1.  melléklet  szerinti minta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táblázatot.</w:t>
      </w: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225" w:lineRule="auto" w:before="3" w:after="0"/>
        <w:ind w:left="113" w:right="228" w:firstLine="204"/>
        <w:jc w:val="both"/>
        <w:rPr>
          <w:sz w:val="24"/>
        </w:rPr>
      </w:pPr>
      <w:r>
        <w:rPr>
          <w:w w:val="125"/>
          <w:sz w:val="24"/>
        </w:rPr>
        <w:t>Az 1. mellékletben meghatározott minta táblázatot a hitelező és a hitelközvetítő az alábbiak figyelembevételével tölti</w:t>
      </w:r>
      <w:r>
        <w:rPr>
          <w:spacing w:val="-2"/>
          <w:w w:val="125"/>
          <w:sz w:val="24"/>
        </w:rPr>
        <w:t> </w:t>
      </w:r>
      <w:r>
        <w:rPr>
          <w:w w:val="125"/>
          <w:sz w:val="24"/>
        </w:rPr>
        <w:t>ki:</w:t>
      </w:r>
    </w:p>
    <w:p>
      <w:pPr>
        <w:pStyle w:val="ListParagraph"/>
        <w:numPr>
          <w:ilvl w:val="0"/>
          <w:numId w:val="11"/>
        </w:numPr>
        <w:tabs>
          <w:tab w:pos="632" w:val="left" w:leader="none"/>
        </w:tabs>
        <w:spacing w:line="225" w:lineRule="auto" w:before="1" w:after="0"/>
        <w:ind w:left="113" w:right="226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lakás-takarékpénztár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által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nyújtott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hitelnél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hitel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összege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1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millió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forint, futamideje 60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hónap,</w:t>
      </w:r>
    </w:p>
    <w:p>
      <w:pPr>
        <w:pStyle w:val="ListParagraph"/>
        <w:numPr>
          <w:ilvl w:val="0"/>
          <w:numId w:val="11"/>
        </w:numPr>
        <w:tabs>
          <w:tab w:pos="651" w:val="left" w:leader="none"/>
        </w:tabs>
        <w:spacing w:line="225" w:lineRule="auto" w:before="1" w:after="0"/>
        <w:ind w:left="113" w:right="221" w:firstLine="204"/>
        <w:jc w:val="both"/>
        <w:rPr>
          <w:sz w:val="24"/>
        </w:rPr>
      </w:pPr>
      <w:r>
        <w:rPr>
          <w:w w:val="125"/>
          <w:sz w:val="24"/>
        </w:rPr>
        <w:t>más hitelező által nyújtott jelzáloghitelnél a hitel összege 5 millió forint, a futamideje 240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hónap,</w:t>
      </w:r>
    </w:p>
    <w:p>
      <w:pPr>
        <w:pStyle w:val="ListParagraph"/>
        <w:numPr>
          <w:ilvl w:val="0"/>
          <w:numId w:val="11"/>
        </w:numPr>
        <w:tabs>
          <w:tab w:pos="644" w:val="left" w:leader="none"/>
        </w:tabs>
        <w:spacing w:line="225" w:lineRule="auto" w:before="2" w:after="0"/>
        <w:ind w:left="113" w:right="228" w:firstLine="204"/>
        <w:jc w:val="both"/>
        <w:rPr>
          <w:sz w:val="24"/>
        </w:rPr>
      </w:pPr>
      <w:r>
        <w:rPr>
          <w:w w:val="130"/>
          <w:sz w:val="24"/>
        </w:rPr>
        <w:t>1 millió forintos összeghatárig nyújtott - az </w:t>
      </w:r>
      <w:r>
        <w:rPr>
          <w:i/>
          <w:w w:val="130"/>
          <w:sz w:val="24"/>
        </w:rPr>
        <w:t>a) </w:t>
      </w:r>
      <w:r>
        <w:rPr>
          <w:w w:val="130"/>
          <w:sz w:val="24"/>
        </w:rPr>
        <w:t>és </w:t>
      </w:r>
      <w:r>
        <w:rPr>
          <w:i/>
          <w:w w:val="130"/>
          <w:sz w:val="24"/>
        </w:rPr>
        <w:t>b) </w:t>
      </w:r>
      <w:r>
        <w:rPr>
          <w:w w:val="130"/>
          <w:sz w:val="24"/>
        </w:rPr>
        <w:t>pontba nem tartozó - hitelnél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hitel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összege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500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ezer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forint,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futamideje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36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hónap,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25" w:lineRule="auto" w:before="1" w:after="0"/>
        <w:ind w:left="113" w:right="226" w:firstLine="204"/>
        <w:jc w:val="both"/>
        <w:rPr>
          <w:sz w:val="24"/>
        </w:rPr>
      </w:pPr>
      <w:r>
        <w:rPr>
          <w:w w:val="125"/>
          <w:sz w:val="24"/>
        </w:rPr>
        <w:t>1 millió forint feletti - az </w:t>
      </w:r>
      <w:r>
        <w:rPr>
          <w:i/>
          <w:w w:val="125"/>
          <w:sz w:val="24"/>
        </w:rPr>
        <w:t>a) </w:t>
      </w:r>
      <w:r>
        <w:rPr>
          <w:w w:val="125"/>
          <w:sz w:val="24"/>
        </w:rPr>
        <w:t>és </w:t>
      </w:r>
      <w:r>
        <w:rPr>
          <w:i/>
          <w:w w:val="125"/>
          <w:sz w:val="24"/>
        </w:rPr>
        <w:t>b) </w:t>
      </w:r>
      <w:r>
        <w:rPr>
          <w:w w:val="125"/>
          <w:sz w:val="24"/>
        </w:rPr>
        <w:t>pontba nem tartozó - hitelnél a hitel összege 3 millió forint, futamideje 60</w:t>
      </w:r>
      <w:r>
        <w:rPr>
          <w:spacing w:val="3"/>
          <w:w w:val="125"/>
          <w:sz w:val="24"/>
        </w:rPr>
        <w:t> </w:t>
      </w:r>
      <w:r>
        <w:rPr>
          <w:w w:val="125"/>
          <w:sz w:val="24"/>
        </w:rPr>
        <w:t>hónap,</w:t>
      </w: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25" w:lineRule="auto" w:before="1" w:after="0"/>
        <w:ind w:left="113" w:right="225" w:firstLine="204"/>
        <w:jc w:val="both"/>
        <w:rPr>
          <w:sz w:val="24"/>
        </w:rPr>
      </w:pPr>
      <w:r>
        <w:rPr>
          <w:w w:val="130"/>
          <w:sz w:val="24"/>
        </w:rPr>
        <w:t>a hitel kamataként az adott hitelszerződés hitelező által alkalmazott reprezentatívnak tekinthető kamatát tünteti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fel,</w:t>
      </w:r>
    </w:p>
    <w:p>
      <w:pPr>
        <w:pStyle w:val="ListParagraph"/>
        <w:numPr>
          <w:ilvl w:val="0"/>
          <w:numId w:val="11"/>
        </w:numPr>
        <w:tabs>
          <w:tab w:pos="577" w:val="left" w:leader="none"/>
        </w:tabs>
        <w:spacing w:line="256" w:lineRule="exact" w:before="0" w:after="0"/>
        <w:ind w:left="576" w:right="0" w:hanging="259"/>
        <w:jc w:val="left"/>
        <w:rPr>
          <w:sz w:val="24"/>
        </w:rPr>
      </w:pPr>
      <w:r>
        <w:rPr>
          <w:w w:val="130"/>
          <w:sz w:val="24"/>
        </w:rPr>
        <w:t>az 1.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táblázatban</w:t>
      </w:r>
    </w:p>
    <w:p>
      <w:pPr>
        <w:pStyle w:val="BodyText"/>
        <w:spacing w:line="225" w:lineRule="auto" w:before="5"/>
        <w:ind w:right="221"/>
        <w:jc w:val="both"/>
      </w:pPr>
      <w:r>
        <w:rPr>
          <w:i/>
          <w:w w:val="125"/>
        </w:rPr>
        <w:t>fa) </w:t>
      </w:r>
      <w:r>
        <w:rPr>
          <w:w w:val="125"/>
        </w:rPr>
        <w:t>rendszeres jövedelemként a Központi Statisztikai Hivatal által nyilvánosságra hozott, az előző naptári évre, vagy ha az  még nem ismert, az  azt megelőző naptári évre vonatkozó átlagos havi nettó jövedelmet tünteti</w:t>
      </w:r>
      <w:r>
        <w:rPr>
          <w:spacing w:val="11"/>
          <w:w w:val="125"/>
        </w:rPr>
        <w:t> </w:t>
      </w:r>
      <w:r>
        <w:rPr>
          <w:w w:val="125"/>
        </w:rPr>
        <w:t>fel,</w:t>
      </w:r>
    </w:p>
    <w:p>
      <w:pPr>
        <w:pStyle w:val="BodyText"/>
        <w:spacing w:line="225" w:lineRule="auto" w:before="2"/>
        <w:ind w:right="227"/>
        <w:jc w:val="both"/>
      </w:pPr>
      <w:r>
        <w:rPr>
          <w:i/>
          <w:w w:val="130"/>
        </w:rPr>
        <w:t>fb) </w:t>
      </w:r>
      <w:r>
        <w:rPr>
          <w:w w:val="130"/>
        </w:rPr>
        <w:t>a rendszeres jövedelem, valamint a kamat táblázatban meghatározott mértékéhez hozzárendeli a törlesztőrészlet rendszeres jövedelemhez viszonyított%-os arányát, valamint a törlesztőrészlet összegét,</w:t>
      </w:r>
    </w:p>
    <w:p>
      <w:pPr>
        <w:pStyle w:val="ListParagraph"/>
        <w:numPr>
          <w:ilvl w:val="0"/>
          <w:numId w:val="11"/>
        </w:numPr>
        <w:tabs>
          <w:tab w:pos="712" w:val="left" w:leader="none"/>
        </w:tabs>
        <w:spacing w:line="225" w:lineRule="auto" w:before="2" w:after="0"/>
        <w:ind w:left="113" w:right="225" w:firstLine="204"/>
        <w:jc w:val="both"/>
        <w:rPr>
          <w:sz w:val="24"/>
        </w:rPr>
      </w:pPr>
      <w:r>
        <w:rPr>
          <w:w w:val="130"/>
          <w:sz w:val="24"/>
        </w:rPr>
        <w:t>a 2. táblázatban az adott deviza alapú hitelszerződés reprezentatívnak tekinthető kamatából és futamidejéből indul</w:t>
      </w:r>
      <w:r>
        <w:rPr>
          <w:spacing w:val="-29"/>
          <w:w w:val="130"/>
          <w:sz w:val="24"/>
        </w:rPr>
        <w:t> </w:t>
      </w:r>
      <w:r>
        <w:rPr>
          <w:w w:val="130"/>
          <w:sz w:val="24"/>
        </w:rPr>
        <w:t>ki,</w:t>
      </w:r>
    </w:p>
    <w:p>
      <w:pPr>
        <w:pStyle w:val="ListParagraph"/>
        <w:numPr>
          <w:ilvl w:val="0"/>
          <w:numId w:val="11"/>
        </w:numPr>
        <w:tabs>
          <w:tab w:pos="707" w:val="left" w:leader="none"/>
        </w:tabs>
        <w:spacing w:line="225" w:lineRule="auto" w:before="1" w:after="0"/>
        <w:ind w:left="113" w:right="232" w:firstLine="204"/>
        <w:jc w:val="both"/>
        <w:rPr>
          <w:sz w:val="24"/>
        </w:rPr>
      </w:pPr>
      <w:r>
        <w:rPr>
          <w:w w:val="130"/>
          <w:sz w:val="24"/>
        </w:rPr>
        <w:t>a teljes futamidő alatti fix kamatozással nyújtott hitel esetén a kamat emelkedésére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vonatkozó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sorok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oszlopok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közül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kizárólag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0,0%-hoz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rendelt sort és oszlopot tölti</w:t>
      </w:r>
      <w:r>
        <w:rPr>
          <w:spacing w:val="-5"/>
          <w:w w:val="130"/>
          <w:sz w:val="24"/>
        </w:rPr>
        <w:t> </w:t>
      </w:r>
      <w:r>
        <w:rPr>
          <w:w w:val="130"/>
          <w:sz w:val="24"/>
        </w:rPr>
        <w:t>ki.</w:t>
      </w:r>
    </w:p>
    <w:p>
      <w:pPr>
        <w:pStyle w:val="ListParagraph"/>
        <w:numPr>
          <w:ilvl w:val="0"/>
          <w:numId w:val="10"/>
        </w:numPr>
        <w:tabs>
          <w:tab w:pos="756" w:val="left" w:leader="none"/>
        </w:tabs>
        <w:spacing w:line="225" w:lineRule="auto" w:before="2" w:after="0"/>
        <w:ind w:left="113" w:right="226" w:firstLine="204"/>
        <w:jc w:val="both"/>
        <w:rPr>
          <w:sz w:val="24"/>
        </w:rPr>
      </w:pPr>
      <w:r>
        <w:rPr>
          <w:w w:val="130"/>
          <w:sz w:val="24"/>
        </w:rPr>
        <w:t>Ha az adott hitelt a hitelező nem nyújtja a (2) bekezdés </w:t>
      </w:r>
      <w:r>
        <w:rPr>
          <w:i/>
          <w:w w:val="130"/>
          <w:sz w:val="24"/>
        </w:rPr>
        <w:t>a)-d) </w:t>
      </w:r>
      <w:r>
        <w:rPr>
          <w:w w:val="130"/>
          <w:sz w:val="24"/>
        </w:rPr>
        <w:t>pontjaiban meghatározott feltételekkel és a hitelező által kínált feltételek érdemben attól eltérőek, abban az esetben a (2) bekezdés </w:t>
      </w:r>
      <w:r>
        <w:rPr>
          <w:i/>
          <w:w w:val="130"/>
          <w:sz w:val="24"/>
        </w:rPr>
        <w:t>a)-d) </w:t>
      </w:r>
      <w:r>
        <w:rPr>
          <w:w w:val="130"/>
          <w:sz w:val="24"/>
        </w:rPr>
        <w:t>pontjaiban említett feltételekhez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legközelebbi</w:t>
      </w:r>
      <w:r>
        <w:rPr>
          <w:spacing w:val="-32"/>
          <w:w w:val="130"/>
          <w:sz w:val="24"/>
        </w:rPr>
        <w:t> </w:t>
      </w:r>
      <w:r>
        <w:rPr>
          <w:w w:val="130"/>
          <w:sz w:val="24"/>
        </w:rPr>
        <w:t>-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hiteltípusra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létező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-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összeget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futamidőt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tünteti fel.</w:t>
      </w:r>
    </w:p>
    <w:p>
      <w:pPr>
        <w:pStyle w:val="BodyText"/>
        <w:spacing w:before="1"/>
        <w:ind w:left="0" w:firstLine="0"/>
        <w:rPr>
          <w:sz w:val="11"/>
        </w:rPr>
      </w:pPr>
    </w:p>
    <w:p>
      <w:pPr>
        <w:pStyle w:val="Heading2"/>
        <w:spacing w:line="225" w:lineRule="auto"/>
        <w:ind w:left="2051"/>
      </w:pPr>
      <w:r>
        <w:rPr>
          <w:w w:val="115"/>
        </w:rPr>
        <w:t>3. A fogyasztói kezességi szerződéshez és a</w:t>
      </w:r>
      <w:r>
        <w:rPr>
          <w:spacing w:val="-55"/>
          <w:w w:val="115"/>
        </w:rPr>
        <w:t> </w:t>
      </w:r>
      <w:r>
        <w:rPr>
          <w:w w:val="115"/>
        </w:rPr>
        <w:t>fogyasztói zálogszerződéshez kapcsolódó tájékoztatás</w:t>
      </w:r>
    </w:p>
    <w:p>
      <w:pPr>
        <w:pStyle w:val="ListParagraph"/>
        <w:numPr>
          <w:ilvl w:val="1"/>
          <w:numId w:val="3"/>
        </w:numPr>
        <w:tabs>
          <w:tab w:pos="736" w:val="left" w:leader="none"/>
        </w:tabs>
        <w:spacing w:line="225" w:lineRule="auto" w:before="241" w:after="0"/>
        <w:ind w:left="113" w:right="206" w:firstLine="204"/>
        <w:jc w:val="left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A hitelező és a hitelközvetítő az Fhtv. 1. § (5) bekezdése szerinti tájékoztatási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kötelezettségének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az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ezen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alcímben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foglaltak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szerint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tesz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eleget.</w:t>
      </w:r>
    </w:p>
    <w:p>
      <w:pPr>
        <w:spacing w:after="0" w:line="225" w:lineRule="auto"/>
        <w:jc w:val="left"/>
        <w:rPr>
          <w:rFonts w:ascii="Arial" w:hAnsi="Arial"/>
          <w:sz w:val="24"/>
        </w:rPr>
        <w:sectPr>
          <w:pgSz w:w="11900" w:h="16820"/>
          <w:pgMar w:header="1104" w:footer="0" w:top="1840" w:bottom="280" w:left="1020" w:right="900"/>
        </w:sectPr>
      </w:pP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225" w:lineRule="auto" w:before="172" w:after="0"/>
        <w:ind w:left="113" w:right="226" w:firstLine="204"/>
        <w:jc w:val="both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A hitelező és a hitelközvetítő a fogyasztói kezességi szerződés vagy a fogyasztói zálogszerződés esetén a fogyasztó hitelkérelméhez kapcsolódó hitelbiztosíték nyújtóját kellő időben, de még azt megelőzően, hogy azt bármilyen kötelezettség terhelné, írásban vagy más tartós adathordozón tájékoztatja a fogyasztó által igényelt hitelszerződéshez</w:t>
      </w:r>
      <w:r>
        <w:rPr>
          <w:spacing w:val="23"/>
          <w:w w:val="125"/>
          <w:sz w:val="24"/>
        </w:rPr>
        <w:t> </w:t>
      </w:r>
      <w:r>
        <w:rPr>
          <w:w w:val="125"/>
          <w:sz w:val="24"/>
        </w:rPr>
        <w:t>kapcsolódóan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</w:tabs>
        <w:spacing w:line="257" w:lineRule="exact" w:before="0" w:after="0"/>
        <w:ind w:left="630" w:right="0" w:hanging="313"/>
        <w:jc w:val="left"/>
        <w:rPr>
          <w:sz w:val="24"/>
        </w:rPr>
      </w:pPr>
      <w:r>
        <w:rPr>
          <w:w w:val="130"/>
          <w:sz w:val="24"/>
        </w:rPr>
        <w:t>a hitel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típusáról,</w:t>
      </w:r>
    </w:p>
    <w:p>
      <w:pPr>
        <w:pStyle w:val="ListParagraph"/>
        <w:numPr>
          <w:ilvl w:val="0"/>
          <w:numId w:val="12"/>
        </w:numPr>
        <w:tabs>
          <w:tab w:pos="653" w:val="left" w:leader="none"/>
        </w:tabs>
        <w:spacing w:line="260" w:lineRule="exact" w:before="0" w:after="0"/>
        <w:ind w:left="652" w:right="0" w:hanging="335"/>
        <w:jc w:val="left"/>
        <w:rPr>
          <w:sz w:val="24"/>
        </w:rPr>
      </w:pPr>
      <w:r>
        <w:rPr>
          <w:w w:val="125"/>
          <w:sz w:val="24"/>
        </w:rPr>
        <w:t>a hitelező nevéről (cégnevéről) és levelezési</w:t>
      </w:r>
      <w:r>
        <w:rPr>
          <w:spacing w:val="8"/>
          <w:w w:val="125"/>
          <w:sz w:val="24"/>
        </w:rPr>
        <w:t> </w:t>
      </w:r>
      <w:r>
        <w:rPr>
          <w:w w:val="125"/>
          <w:sz w:val="24"/>
        </w:rPr>
        <w:t>címéről,</w:t>
      </w:r>
    </w:p>
    <w:p>
      <w:pPr>
        <w:pStyle w:val="ListParagraph"/>
        <w:numPr>
          <w:ilvl w:val="0"/>
          <w:numId w:val="12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adott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esetben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hitelközvetítő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nevéről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(cégnevéről)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levelezési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címéről,</w:t>
      </w:r>
    </w:p>
    <w:p>
      <w:pPr>
        <w:pStyle w:val="ListParagraph"/>
        <w:numPr>
          <w:ilvl w:val="0"/>
          <w:numId w:val="12"/>
        </w:numPr>
        <w:tabs>
          <w:tab w:pos="653" w:val="left" w:leader="none"/>
        </w:tabs>
        <w:spacing w:line="260" w:lineRule="exact" w:before="0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a hitel teljes összegéről és lehívásának</w:t>
      </w:r>
      <w:r>
        <w:rPr>
          <w:spacing w:val="-43"/>
          <w:w w:val="130"/>
          <w:sz w:val="24"/>
        </w:rPr>
        <w:t> </w:t>
      </w:r>
      <w:r>
        <w:rPr>
          <w:w w:val="130"/>
          <w:sz w:val="24"/>
        </w:rPr>
        <w:t>feltételeiről,</w:t>
      </w:r>
    </w:p>
    <w:p>
      <w:pPr>
        <w:pStyle w:val="ListParagraph"/>
        <w:numPr>
          <w:ilvl w:val="0"/>
          <w:numId w:val="12"/>
        </w:numPr>
        <w:tabs>
          <w:tab w:pos="630" w:val="left" w:leader="none"/>
        </w:tabs>
        <w:spacing w:line="260" w:lineRule="exact" w:before="0" w:after="0"/>
        <w:ind w:left="629" w:right="0" w:hanging="312"/>
        <w:jc w:val="left"/>
        <w:rPr>
          <w:sz w:val="24"/>
        </w:rPr>
      </w:pPr>
      <w:r>
        <w:rPr>
          <w:w w:val="130"/>
          <w:sz w:val="24"/>
        </w:rPr>
        <w:t>a hitel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futamidejéről,</w:t>
      </w:r>
    </w:p>
    <w:p>
      <w:pPr>
        <w:pStyle w:val="ListParagraph"/>
        <w:numPr>
          <w:ilvl w:val="0"/>
          <w:numId w:val="12"/>
        </w:numPr>
        <w:tabs>
          <w:tab w:pos="595" w:val="left" w:leader="none"/>
        </w:tabs>
        <w:spacing w:line="225" w:lineRule="auto" w:before="5" w:after="0"/>
        <w:ind w:left="113" w:right="238" w:firstLine="204"/>
        <w:jc w:val="left"/>
        <w:rPr>
          <w:sz w:val="24"/>
        </w:rPr>
      </w:pPr>
      <w:r>
        <w:rPr>
          <w:w w:val="130"/>
          <w:sz w:val="24"/>
        </w:rPr>
        <w:t>a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késedelmi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kamatról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egyéb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olyan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fizetési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kötelezettségről,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amely 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hitelszerződésben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vállalt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kötelezettség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teljesítéséből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származik,</w:t>
      </w:r>
    </w:p>
    <w:p>
      <w:pPr>
        <w:pStyle w:val="ListParagraph"/>
        <w:numPr>
          <w:ilvl w:val="0"/>
          <w:numId w:val="12"/>
        </w:numPr>
        <w:tabs>
          <w:tab w:pos="648" w:val="left" w:leader="none"/>
        </w:tabs>
        <w:spacing w:line="225" w:lineRule="auto" w:before="1" w:after="0"/>
        <w:ind w:left="113" w:right="232" w:firstLine="204"/>
        <w:jc w:val="left"/>
        <w:rPr>
          <w:sz w:val="24"/>
        </w:rPr>
      </w:pPr>
      <w:r>
        <w:rPr>
          <w:w w:val="130"/>
          <w:sz w:val="24"/>
        </w:rPr>
        <w:t>az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előtörlesztéshez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való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jogról,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annak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Fhtv.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24.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§-a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esetleges költségeiről,</w:t>
      </w:r>
    </w:p>
    <w:p>
      <w:pPr>
        <w:pStyle w:val="ListParagraph"/>
        <w:numPr>
          <w:ilvl w:val="0"/>
          <w:numId w:val="12"/>
        </w:numPr>
        <w:tabs>
          <w:tab w:pos="643" w:val="left" w:leader="none"/>
        </w:tabs>
        <w:spacing w:line="264" w:lineRule="exact" w:before="0" w:after="0"/>
        <w:ind w:left="642" w:right="0" w:hanging="325"/>
        <w:jc w:val="left"/>
        <w:rPr>
          <w:sz w:val="24"/>
        </w:rPr>
      </w:pPr>
      <w:r>
        <w:rPr>
          <w:w w:val="130"/>
          <w:sz w:val="24"/>
        </w:rPr>
        <w:t>a fizetés elmulasztásának lehetséges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következményeiről.</w:t>
      </w:r>
    </w:p>
    <w:p>
      <w:pPr>
        <w:pStyle w:val="Heading2"/>
        <w:spacing w:before="223"/>
        <w:ind w:left="3453" w:firstLine="0"/>
      </w:pPr>
      <w:r>
        <w:rPr>
          <w:w w:val="120"/>
        </w:rPr>
        <w:t>4. Záró rendelkezések</w:t>
      </w:r>
    </w:p>
    <w:p>
      <w:pPr>
        <w:pStyle w:val="ListParagraph"/>
        <w:numPr>
          <w:ilvl w:val="1"/>
          <w:numId w:val="3"/>
        </w:numPr>
        <w:tabs>
          <w:tab w:pos="652" w:val="left" w:leader="none"/>
        </w:tabs>
        <w:spacing w:line="269" w:lineRule="exact" w:before="224" w:after="0"/>
        <w:ind w:left="651" w:right="0" w:hanging="334"/>
        <w:jc w:val="left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Ez a rendelet 2015. február 1-jén lép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hatályba.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  <w:tab w:pos="995" w:val="left" w:leader="none"/>
          <w:tab w:pos="1378" w:val="left" w:leader="none"/>
          <w:tab w:pos="1805" w:val="left" w:leader="none"/>
          <w:tab w:pos="3078" w:val="left" w:leader="none"/>
          <w:tab w:pos="5108" w:val="left" w:leader="none"/>
          <w:tab w:pos="5511" w:val="left" w:leader="none"/>
          <w:tab w:pos="7677" w:val="left" w:leader="none"/>
          <w:tab w:pos="9030" w:val="left" w:leader="none"/>
        </w:tabs>
        <w:spacing w:line="225" w:lineRule="auto" w:before="5" w:after="0"/>
        <w:ind w:left="113" w:right="225" w:firstLine="204"/>
        <w:jc w:val="left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</w:t>
        <w:tab/>
      </w:r>
      <w:r>
        <w:rPr>
          <w:w w:val="125"/>
          <w:sz w:val="24"/>
        </w:rPr>
        <w:t>E</w:t>
        <w:tab/>
        <w:t>rendelet</w:t>
        <w:tab/>
        <w:t>rendelkezéseit</w:t>
        <w:tab/>
        <w:t>a</w:t>
        <w:tab/>
        <w:t>hatálybalépését</w:t>
        <w:tab/>
        <w:t>követően</w:t>
        <w:tab/>
      </w:r>
      <w:r>
        <w:rPr>
          <w:spacing w:val="-4"/>
          <w:w w:val="125"/>
          <w:sz w:val="24"/>
        </w:rPr>
        <w:t>kötött </w:t>
      </w:r>
      <w:r>
        <w:rPr>
          <w:w w:val="125"/>
          <w:sz w:val="24"/>
        </w:rPr>
        <w:t>hitelszerződésekre kell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alkalmazni.</w:t>
      </w:r>
    </w:p>
    <w:p>
      <w:pPr>
        <w:pStyle w:val="ListParagraph"/>
        <w:numPr>
          <w:ilvl w:val="1"/>
          <w:numId w:val="3"/>
        </w:numPr>
        <w:tabs>
          <w:tab w:pos="927" w:val="left" w:leader="none"/>
        </w:tabs>
        <w:spacing w:line="225" w:lineRule="auto" w:before="0" w:after="0"/>
        <w:ind w:left="113" w:right="221" w:firstLine="204"/>
        <w:jc w:val="both"/>
        <w:rPr>
          <w:rFonts w:ascii="Arial" w:hAnsi="Arial"/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Ez a rendelet az 1-6. §-ban és az 1. mellékletben a fogyasztói hitelmegállapodásokról és a 87/102/EGK tanácsi irányelv hatályon kívül helyezéséről szóló 2008. április 23-i 2008/48/EK európai parlamenti és tanácsi irányelvnek való megfelelést</w:t>
      </w:r>
      <w:r>
        <w:rPr>
          <w:spacing w:val="-1"/>
          <w:w w:val="125"/>
          <w:sz w:val="24"/>
        </w:rPr>
        <w:t> </w:t>
      </w:r>
      <w:r>
        <w:rPr>
          <w:w w:val="125"/>
          <w:sz w:val="24"/>
        </w:rPr>
        <w:t>szolgálja.</w:t>
      </w:r>
    </w:p>
    <w:p>
      <w:pPr>
        <w:pStyle w:val="ListParagraph"/>
        <w:numPr>
          <w:ilvl w:val="0"/>
          <w:numId w:val="13"/>
        </w:numPr>
        <w:tabs>
          <w:tab w:pos="419" w:val="left" w:leader="none"/>
        </w:tabs>
        <w:spacing w:line="240" w:lineRule="auto" w:before="229" w:after="0"/>
        <w:ind w:left="418" w:right="0" w:hanging="305"/>
        <w:jc w:val="left"/>
        <w:rPr>
          <w:i/>
          <w:sz w:val="24"/>
        </w:rPr>
      </w:pPr>
      <w:r>
        <w:rPr>
          <w:i/>
          <w:w w:val="130"/>
          <w:sz w:val="24"/>
          <w:u w:val="single"/>
        </w:rPr>
        <w:t>melléklet az 56/2014. (XII. 31.) NGM</w:t>
      </w:r>
      <w:r>
        <w:rPr>
          <w:i/>
          <w:spacing w:val="-35"/>
          <w:w w:val="130"/>
          <w:sz w:val="24"/>
          <w:u w:val="single"/>
        </w:rPr>
        <w:t> </w:t>
      </w:r>
      <w:r>
        <w:rPr>
          <w:i/>
          <w:w w:val="130"/>
          <w:sz w:val="24"/>
          <w:u w:val="single"/>
        </w:rPr>
        <w:t>rendelethez</w:t>
      </w:r>
    </w:p>
    <w:p>
      <w:pPr>
        <w:pStyle w:val="ListParagraph"/>
        <w:numPr>
          <w:ilvl w:val="1"/>
          <w:numId w:val="13"/>
        </w:numPr>
        <w:tabs>
          <w:tab w:pos="623" w:val="left" w:leader="none"/>
        </w:tabs>
        <w:spacing w:line="240" w:lineRule="auto" w:before="224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táblázat</w:t>
      </w:r>
    </w:p>
    <w:p>
      <w:pPr>
        <w:pStyle w:val="BodyText"/>
        <w:spacing w:line="225" w:lineRule="auto" w:before="238"/>
        <w:ind w:right="232"/>
        <w:jc w:val="both"/>
      </w:pPr>
      <w:r>
        <w:rPr>
          <w:w w:val="130"/>
        </w:rPr>
        <w:t>A</w:t>
      </w:r>
      <w:r>
        <w:rPr>
          <w:spacing w:val="-36"/>
          <w:w w:val="130"/>
        </w:rPr>
        <w:t> </w:t>
      </w:r>
      <w:r>
        <w:rPr>
          <w:w w:val="130"/>
        </w:rPr>
        <w:t>törlesztőrészletek</w:t>
      </w:r>
      <w:r>
        <w:rPr>
          <w:spacing w:val="-36"/>
          <w:w w:val="130"/>
        </w:rPr>
        <w:t> </w:t>
      </w:r>
      <w:r>
        <w:rPr>
          <w:w w:val="130"/>
        </w:rPr>
        <w:t>rendszeres</w:t>
      </w:r>
      <w:r>
        <w:rPr>
          <w:spacing w:val="-36"/>
          <w:w w:val="130"/>
        </w:rPr>
        <w:t> </w:t>
      </w:r>
      <w:r>
        <w:rPr>
          <w:w w:val="130"/>
        </w:rPr>
        <w:t>jövedelemhez</w:t>
      </w:r>
      <w:r>
        <w:rPr>
          <w:spacing w:val="-36"/>
          <w:w w:val="130"/>
        </w:rPr>
        <w:t> </w:t>
      </w:r>
      <w:r>
        <w:rPr>
          <w:w w:val="130"/>
        </w:rPr>
        <w:t>viszonyított</w:t>
      </w:r>
      <w:r>
        <w:rPr>
          <w:spacing w:val="-36"/>
          <w:w w:val="130"/>
        </w:rPr>
        <w:t> </w:t>
      </w:r>
      <w:r>
        <w:rPr>
          <w:w w:val="130"/>
        </w:rPr>
        <w:t>arányának</w:t>
      </w:r>
      <w:r>
        <w:rPr>
          <w:spacing w:val="-35"/>
          <w:w w:val="130"/>
        </w:rPr>
        <w:t> </w:t>
      </w:r>
      <w:r>
        <w:rPr>
          <w:w w:val="130"/>
        </w:rPr>
        <w:t>várható változása a rendszeres jövedelem, valamint a kamat változásának</w:t>
      </w:r>
      <w:r>
        <w:rPr>
          <w:spacing w:val="78"/>
          <w:w w:val="130"/>
        </w:rPr>
        <w:t> </w:t>
      </w:r>
      <w:r>
        <w:rPr>
          <w:w w:val="130"/>
        </w:rPr>
        <w:t>függvényében</w:t>
      </w:r>
    </w:p>
    <w:p>
      <w:pPr>
        <w:pStyle w:val="BodyText"/>
        <w:spacing w:before="5"/>
        <w:ind w:left="0" w:firstLine="0"/>
        <w:rPr>
          <w:sz w:val="22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3"/>
        <w:gridCol w:w="1338"/>
        <w:gridCol w:w="1338"/>
        <w:gridCol w:w="1338"/>
        <w:gridCol w:w="1342"/>
        <w:gridCol w:w="1334"/>
      </w:tblGrid>
      <w:tr>
        <w:trPr>
          <w:trHeight w:val="450" w:hRule="atLeast"/>
        </w:trPr>
        <w:tc>
          <w:tcPr>
            <w:tcW w:w="8023" w:type="dxa"/>
            <w:gridSpan w:val="6"/>
          </w:tcPr>
          <w:p>
            <w:pPr>
              <w:pStyle w:val="TableParagraph"/>
              <w:tabs>
                <w:tab w:pos="3154" w:val="left" w:leader="none"/>
                <w:tab w:pos="3293" w:val="left" w:leader="none"/>
                <w:tab w:pos="5700" w:val="left" w:leader="none"/>
                <w:tab w:pos="6295" w:val="left" w:leader="none"/>
              </w:tabs>
              <w:spacing w:line="220" w:lineRule="exact" w:before="11"/>
              <w:ind w:left="40" w:right="260" w:firstLine="63"/>
              <w:rPr>
                <w:sz w:val="20"/>
              </w:rPr>
            </w:pPr>
            <w:r>
              <w:rPr>
                <w:w w:val="120"/>
                <w:sz w:val="20"/>
              </w:rPr>
              <w:t>A hitel</w:t>
            </w:r>
            <w:r>
              <w:rPr>
                <w:spacing w:val="2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típusa</w:t>
            </w:r>
            <w:r>
              <w:rPr>
                <w:spacing w:val="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....</w:t>
              <w:tab/>
              <w:t>A  hitel</w:t>
            </w:r>
            <w:r>
              <w:rPr>
                <w:spacing w:val="-2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összege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...</w:t>
              <w:tab/>
              <w:t>A hitel futamideje ... A  hitel</w:t>
            </w:r>
            <w:r>
              <w:rPr>
                <w:spacing w:val="-3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kamata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....</w:t>
              <w:tab/>
              <w:tab/>
              <w:t>(forint/deviza)</w:t>
              <w:tab/>
              <w:tab/>
              <w:t>(hónap)</w:t>
            </w:r>
          </w:p>
        </w:tc>
      </w:tr>
      <w:tr>
        <w:trPr>
          <w:trHeight w:val="229" w:hRule="atLeast"/>
        </w:trPr>
        <w:tc>
          <w:tcPr>
            <w:tcW w:w="26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2" w:type="dxa"/>
            <w:gridSpan w:val="4"/>
          </w:tcPr>
          <w:p>
            <w:pPr>
              <w:pStyle w:val="TableParagraph"/>
              <w:spacing w:line="209" w:lineRule="exact"/>
              <w:ind w:left="1750"/>
              <w:rPr>
                <w:sz w:val="20"/>
              </w:rPr>
            </w:pPr>
            <w:r>
              <w:rPr>
                <w:w w:val="125"/>
                <w:sz w:val="20"/>
              </w:rPr>
              <w:t>Kamat emelkedése</w:t>
            </w:r>
          </w:p>
        </w:tc>
      </w:tr>
      <w:tr>
        <w:trPr>
          <w:trHeight w:val="450" w:hRule="atLeast"/>
        </w:trPr>
        <w:tc>
          <w:tcPr>
            <w:tcW w:w="2671" w:type="dxa"/>
            <w:gridSpan w:val="2"/>
          </w:tcPr>
          <w:p>
            <w:pPr>
              <w:pStyle w:val="TableParagraph"/>
              <w:spacing w:line="220" w:lineRule="exact" w:before="11"/>
              <w:ind w:left="40" w:firstLine="196"/>
              <w:rPr>
                <w:sz w:val="20"/>
              </w:rPr>
            </w:pPr>
            <w:r>
              <w:rPr>
                <w:w w:val="125"/>
                <w:sz w:val="20"/>
              </w:rPr>
              <w:t>Rendszeres jövedelem változása</w:t>
            </w:r>
          </w:p>
        </w:tc>
        <w:tc>
          <w:tcPr>
            <w:tcW w:w="1338" w:type="dxa"/>
          </w:tcPr>
          <w:p>
            <w:pPr>
              <w:pStyle w:val="TableParagraph"/>
              <w:ind w:left="447"/>
              <w:rPr>
                <w:sz w:val="20"/>
              </w:rPr>
            </w:pPr>
            <w:r>
              <w:rPr>
                <w:w w:val="120"/>
                <w:sz w:val="20"/>
              </w:rPr>
              <w:t>0,0%</w:t>
            </w:r>
          </w:p>
        </w:tc>
        <w:tc>
          <w:tcPr>
            <w:tcW w:w="1338" w:type="dxa"/>
          </w:tcPr>
          <w:p>
            <w:pPr>
              <w:pStyle w:val="TableParagraph"/>
              <w:ind w:left="448"/>
              <w:rPr>
                <w:sz w:val="20"/>
              </w:rPr>
            </w:pPr>
            <w:r>
              <w:rPr>
                <w:w w:val="120"/>
                <w:sz w:val="20"/>
              </w:rPr>
              <w:t>1,0%</w:t>
            </w:r>
          </w:p>
        </w:tc>
        <w:tc>
          <w:tcPr>
            <w:tcW w:w="1342" w:type="dxa"/>
          </w:tcPr>
          <w:p>
            <w:pPr>
              <w:pStyle w:val="TableParagraph"/>
              <w:ind w:left="448"/>
              <w:rPr>
                <w:sz w:val="20"/>
              </w:rPr>
            </w:pPr>
            <w:r>
              <w:rPr>
                <w:w w:val="120"/>
                <w:sz w:val="20"/>
              </w:rPr>
              <w:t>2,0%</w:t>
            </w:r>
          </w:p>
        </w:tc>
        <w:tc>
          <w:tcPr>
            <w:tcW w:w="1334" w:type="dxa"/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w w:val="120"/>
                <w:sz w:val="20"/>
              </w:rPr>
              <w:t>3,0%</w:t>
            </w:r>
          </w:p>
        </w:tc>
      </w:tr>
      <w:tr>
        <w:trPr>
          <w:trHeight w:val="669" w:hRule="atLeast"/>
        </w:trPr>
        <w:tc>
          <w:tcPr>
            <w:tcW w:w="13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36" w:right="16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-30%</w:t>
            </w:r>
          </w:p>
          <w:p>
            <w:pPr>
              <w:pStyle w:val="TableParagraph"/>
              <w:spacing w:line="225" w:lineRule="exact"/>
              <w:ind w:left="236" w:right="22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változás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71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  <w:p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forint/deviza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...%.</w:t>
            </w:r>
          </w:p>
          <w:p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  <w:p>
            <w:pPr>
              <w:pStyle w:val="TableParagraph"/>
              <w:spacing w:line="205" w:lineRule="exact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forint/deviza</w:t>
            </w: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3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6" w:right="16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-20%</w:t>
            </w:r>
          </w:p>
          <w:p>
            <w:pPr>
              <w:pStyle w:val="TableParagraph"/>
              <w:spacing w:line="225" w:lineRule="exact"/>
              <w:ind w:left="236" w:right="22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változás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71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  <w:p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forint/deviza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...%</w:t>
            </w:r>
          </w:p>
          <w:p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....</w:t>
            </w:r>
          </w:p>
          <w:p>
            <w:pPr>
              <w:pStyle w:val="TableParagraph"/>
              <w:spacing w:line="205" w:lineRule="exact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forint/deviza</w:t>
            </w: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6" w:right="16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-10%</w:t>
            </w:r>
          </w:p>
          <w:p>
            <w:pPr>
              <w:pStyle w:val="TableParagraph"/>
              <w:spacing w:line="205" w:lineRule="exact"/>
              <w:ind w:left="236" w:right="22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változás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6" w:right="16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0%</w:t>
            </w:r>
          </w:p>
          <w:p>
            <w:pPr>
              <w:pStyle w:val="TableParagraph"/>
              <w:spacing w:line="205" w:lineRule="exact"/>
              <w:ind w:left="236" w:right="22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változás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6" w:right="161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+10%</w:t>
            </w:r>
          </w:p>
          <w:p>
            <w:pPr>
              <w:pStyle w:val="TableParagraph"/>
              <w:spacing w:line="205" w:lineRule="exact"/>
              <w:ind w:left="236" w:right="22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változás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6" w:right="161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+20%</w:t>
            </w:r>
          </w:p>
          <w:p>
            <w:pPr>
              <w:pStyle w:val="TableParagraph"/>
              <w:spacing w:line="205" w:lineRule="exact"/>
              <w:ind w:left="236" w:right="22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változás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3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36" w:right="161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+30%</w:t>
            </w:r>
          </w:p>
          <w:p>
            <w:pPr>
              <w:pStyle w:val="TableParagraph"/>
              <w:spacing w:line="205" w:lineRule="exact"/>
              <w:ind w:left="236" w:right="22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változás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20"/>
          <w:pgMar w:header="1104" w:footer="0" w:top="1840" w:bottom="280" w:left="1020" w:right="900"/>
        </w:sectPr>
      </w:pPr>
    </w:p>
    <w:p>
      <w:pPr>
        <w:pStyle w:val="BodyText"/>
        <w:spacing w:before="1"/>
        <w:ind w:left="0" w:firstLine="0"/>
        <w:rPr>
          <w:sz w:val="26"/>
        </w:rPr>
      </w:pPr>
    </w:p>
    <w:p>
      <w:pPr>
        <w:pStyle w:val="ListParagraph"/>
        <w:numPr>
          <w:ilvl w:val="1"/>
          <w:numId w:val="13"/>
        </w:numPr>
        <w:tabs>
          <w:tab w:pos="623" w:val="left" w:leader="none"/>
        </w:tabs>
        <w:spacing w:line="240" w:lineRule="auto" w:before="99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táblázat</w:t>
      </w:r>
    </w:p>
    <w:p>
      <w:pPr>
        <w:pStyle w:val="BodyText"/>
        <w:spacing w:before="224"/>
        <w:ind w:left="317" w:firstLine="0"/>
      </w:pPr>
      <w:r>
        <w:rPr>
          <w:w w:val="125"/>
        </w:rPr>
        <w:t>Deviza alapú hitelszerződés árfolyamkockázata</w:t>
      </w:r>
    </w:p>
    <w:p>
      <w:pPr>
        <w:pStyle w:val="BodyText"/>
        <w:spacing w:before="2"/>
        <w:ind w:left="0" w:firstLine="0"/>
        <w:rPr>
          <w:sz w:val="22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1607"/>
        <w:gridCol w:w="1607"/>
        <w:gridCol w:w="1607"/>
        <w:gridCol w:w="1607"/>
      </w:tblGrid>
      <w:tr>
        <w:trPr>
          <w:trHeight w:val="230" w:hRule="atLeast"/>
        </w:trPr>
        <w:tc>
          <w:tcPr>
            <w:tcW w:w="8030" w:type="dxa"/>
            <w:gridSpan w:val="5"/>
          </w:tcPr>
          <w:p>
            <w:pPr>
              <w:pStyle w:val="TableParagraph"/>
              <w:tabs>
                <w:tab w:pos="5643" w:val="left" w:leader="dot"/>
              </w:tabs>
              <w:spacing w:line="210" w:lineRule="exact"/>
              <w:ind w:left="1665"/>
              <w:rPr>
                <w:sz w:val="20"/>
              </w:rPr>
            </w:pPr>
            <w:r>
              <w:rPr>
                <w:w w:val="120"/>
                <w:sz w:val="20"/>
              </w:rPr>
              <w:t>A hitel kamata ... A </w:t>
            </w:r>
            <w:r>
              <w:rPr>
                <w:spacing w:val="1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hitel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futamideje</w:t>
              <w:tab/>
              <w:t>(hónap)</w:t>
            </w:r>
          </w:p>
        </w:tc>
      </w:tr>
      <w:tr>
        <w:trPr>
          <w:trHeight w:val="230" w:hRule="atLeast"/>
        </w:trPr>
        <w:tc>
          <w:tcPr>
            <w:tcW w:w="8030" w:type="dxa"/>
            <w:gridSpan w:val="5"/>
          </w:tcPr>
          <w:p>
            <w:pPr>
              <w:pStyle w:val="TableParagraph"/>
              <w:spacing w:line="210" w:lineRule="exact"/>
              <w:ind w:left="2233"/>
              <w:rPr>
                <w:sz w:val="20"/>
              </w:rPr>
            </w:pPr>
            <w:r>
              <w:rPr>
                <w:w w:val="125"/>
                <w:sz w:val="20"/>
              </w:rPr>
              <w:t>A törlesztőrészlet várható változása</w:t>
            </w:r>
          </w:p>
        </w:tc>
      </w:tr>
      <w:tr>
        <w:trPr>
          <w:trHeight w:val="450" w:hRule="atLeast"/>
        </w:trPr>
        <w:tc>
          <w:tcPr>
            <w:tcW w:w="1602" w:type="dxa"/>
            <w:vMerge w:val="restart"/>
          </w:tcPr>
          <w:p>
            <w:pPr>
              <w:pStyle w:val="TableParagraph"/>
              <w:spacing w:line="230" w:lineRule="auto" w:before="7"/>
              <w:ind w:left="202" w:firstLine="300"/>
              <w:rPr>
                <w:sz w:val="20"/>
              </w:rPr>
            </w:pPr>
            <w:r>
              <w:rPr>
                <w:w w:val="125"/>
                <w:sz w:val="20"/>
              </w:rPr>
              <w:t>Kamat emelkedése</w:t>
            </w:r>
          </w:p>
        </w:tc>
        <w:tc>
          <w:tcPr>
            <w:tcW w:w="6428" w:type="dxa"/>
            <w:gridSpan w:val="4"/>
          </w:tcPr>
          <w:p>
            <w:pPr>
              <w:pStyle w:val="TableParagraph"/>
              <w:ind w:left="2379" w:right="2309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Forintgyengülés</w:t>
            </w:r>
          </w:p>
        </w:tc>
      </w:tr>
      <w:tr>
        <w:trPr>
          <w:trHeight w:val="230" w:hRule="atLeast"/>
        </w:trPr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spacing w:line="210" w:lineRule="exact"/>
              <w:ind w:left="366" w:right="29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0%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/>
              <w:ind w:left="366" w:right="29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10%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/>
              <w:ind w:left="626"/>
              <w:rPr>
                <w:sz w:val="20"/>
              </w:rPr>
            </w:pPr>
            <w:r>
              <w:rPr>
                <w:w w:val="120"/>
                <w:sz w:val="20"/>
              </w:rPr>
              <w:t>20%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/>
              <w:ind w:left="365" w:right="29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30%</w:t>
            </w:r>
          </w:p>
        </w:tc>
      </w:tr>
      <w:tr>
        <w:trPr>
          <w:trHeight w:val="450" w:hRule="atLeast"/>
        </w:trPr>
        <w:tc>
          <w:tcPr>
            <w:tcW w:w="1602" w:type="dxa"/>
          </w:tcPr>
          <w:p>
            <w:pPr>
              <w:pStyle w:val="TableParagraph"/>
              <w:ind w:right="50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0,0%</w:t>
            </w:r>
          </w:p>
        </w:tc>
        <w:tc>
          <w:tcPr>
            <w:tcW w:w="1607" w:type="dxa"/>
          </w:tcPr>
          <w:p>
            <w:pPr>
              <w:pStyle w:val="TableParagraph"/>
              <w:spacing w:line="225" w:lineRule="exact"/>
              <w:ind w:left="366" w:right="29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...% .......</w:t>
            </w:r>
          </w:p>
          <w:p>
            <w:pPr>
              <w:pStyle w:val="TableParagraph"/>
              <w:spacing w:line="205" w:lineRule="exact"/>
              <w:ind w:left="304" w:right="29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forint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602" w:type="dxa"/>
          </w:tcPr>
          <w:p>
            <w:pPr>
              <w:pStyle w:val="TableParagraph"/>
              <w:ind w:right="50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1,0%</w:t>
            </w:r>
          </w:p>
        </w:tc>
        <w:tc>
          <w:tcPr>
            <w:tcW w:w="1607" w:type="dxa"/>
          </w:tcPr>
          <w:p>
            <w:pPr>
              <w:pStyle w:val="TableParagraph"/>
              <w:spacing w:line="225" w:lineRule="exact"/>
              <w:ind w:left="366" w:right="29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...% .......</w:t>
            </w:r>
          </w:p>
          <w:p>
            <w:pPr>
              <w:pStyle w:val="TableParagraph"/>
              <w:spacing w:line="205" w:lineRule="exact"/>
              <w:ind w:left="304" w:right="29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forint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602" w:type="dxa"/>
          </w:tcPr>
          <w:p>
            <w:pPr>
              <w:pStyle w:val="TableParagraph"/>
              <w:spacing w:line="210" w:lineRule="exact"/>
              <w:ind w:right="50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2,0%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602" w:type="dxa"/>
          </w:tcPr>
          <w:p>
            <w:pPr>
              <w:pStyle w:val="TableParagraph"/>
              <w:spacing w:line="210" w:lineRule="exact"/>
              <w:ind w:right="50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3,0%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0"/>
        </w:rPr>
      </w:pPr>
      <w:r>
        <w:rPr/>
        <w:pict>
          <v:line style="position:absolute;mso-position-horizontal-relative:page;mso-position-vertical-relative:paragraph;z-index:-976;mso-wrap-distance-left:0;mso-wrap-distance-right:0" from="272.638pt,8.250977pt" to="322.638pt,8.250977pt" stroked="true" strokeweight="1pt" strokecolor="#00000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1900" w:h="16820"/>
          <w:pgMar w:header="1104" w:footer="0" w:top="1840" w:bottom="280" w:left="1020" w:right="900"/>
        </w:sectPr>
      </w:pPr>
    </w:p>
    <w:p>
      <w:pPr>
        <w:pStyle w:val="BodyText"/>
        <w:spacing w:before="4"/>
        <w:ind w:left="0" w:firstLine="0"/>
      </w:pPr>
    </w:p>
    <w:p>
      <w:pPr>
        <w:pStyle w:val="BodyText"/>
        <w:spacing w:before="99"/>
        <w:ind w:left="1080" w:right="1193" w:firstLine="0"/>
        <w:jc w:val="center"/>
      </w:pPr>
      <w:r>
        <w:rPr>
          <w:w w:val="110"/>
        </w:rPr>
        <w:t>TARTALOMJEGYZÉK</w:t>
      </w:r>
    </w:p>
    <w:p>
      <w:pPr>
        <w:pStyle w:val="BodyText"/>
        <w:tabs>
          <w:tab w:pos="8806" w:val="left" w:leader="none"/>
          <w:tab w:pos="9198" w:val="left" w:leader="none"/>
        </w:tabs>
        <w:spacing w:line="261" w:lineRule="auto" w:before="204"/>
        <w:ind w:left="513" w:right="626" w:firstLine="0"/>
      </w:pPr>
      <w:r>
        <w:rPr>
          <w:w w:val="125"/>
        </w:rPr>
        <w:t>56/2014. (XII. 31.)</w:t>
      </w:r>
      <w:r>
        <w:rPr>
          <w:spacing w:val="-28"/>
          <w:w w:val="125"/>
        </w:rPr>
        <w:t> </w:t>
      </w:r>
      <w:r>
        <w:rPr>
          <w:w w:val="125"/>
        </w:rPr>
        <w:t>NGM</w:t>
      </w:r>
      <w:r>
        <w:rPr>
          <w:spacing w:val="-9"/>
          <w:w w:val="125"/>
        </w:rPr>
        <w:t> </w:t>
      </w:r>
      <w:r>
        <w:rPr>
          <w:w w:val="125"/>
        </w:rPr>
        <w:t>rendelet</w:t>
      </w:r>
      <w:r>
        <w:rPr>
          <w:w w:val="125"/>
          <w:u w:val="dotted"/>
        </w:rPr>
        <w:t> </w:t>
        <w:tab/>
      </w:r>
      <w:r>
        <w:rPr>
          <w:w w:val="125"/>
        </w:rPr>
        <w:tab/>
      </w:r>
      <w:r>
        <w:rPr>
          <w:spacing w:val="-17"/>
          <w:w w:val="125"/>
        </w:rPr>
        <w:t>1 </w:t>
      </w:r>
      <w:r>
        <w:rPr>
          <w:w w:val="125"/>
        </w:rPr>
        <w:t>a fogyasztónak nyújtott hitellel kapcsolatos</w:t>
      </w:r>
      <w:r>
        <w:rPr>
          <w:spacing w:val="7"/>
          <w:w w:val="125"/>
        </w:rPr>
        <w:t> </w:t>
      </w:r>
      <w:r>
        <w:rPr>
          <w:w w:val="125"/>
        </w:rPr>
        <w:t>egyes</w:t>
      </w:r>
    </w:p>
    <w:p>
      <w:pPr>
        <w:pStyle w:val="BodyText"/>
        <w:tabs>
          <w:tab w:pos="8806" w:val="left" w:leader="none"/>
          <w:tab w:pos="9198" w:val="left" w:leader="none"/>
        </w:tabs>
        <w:spacing w:line="214" w:lineRule="exact"/>
        <w:ind w:left="513" w:firstLine="0"/>
      </w:pPr>
      <w:r>
        <w:rPr>
          <w:w w:val="125"/>
        </w:rPr>
        <w:t>tájékoztatási</w:t>
      </w:r>
      <w:r>
        <w:rPr>
          <w:spacing w:val="8"/>
          <w:w w:val="125"/>
        </w:rPr>
        <w:t> </w:t>
      </w:r>
      <w:r>
        <w:rPr>
          <w:w w:val="125"/>
        </w:rPr>
        <w:t>szabályokról</w:t>
      </w:r>
      <w:r>
        <w:rPr>
          <w:w w:val="125"/>
          <w:u w:val="dotted"/>
        </w:rPr>
        <w:t> </w:t>
        <w:tab/>
      </w:r>
      <w:r>
        <w:rPr>
          <w:w w:val="125"/>
        </w:rPr>
        <w:tab/>
        <w:t>1</w:t>
      </w:r>
    </w:p>
    <w:p>
      <w:pPr>
        <w:pStyle w:val="ListParagraph"/>
        <w:numPr>
          <w:ilvl w:val="2"/>
          <w:numId w:val="13"/>
        </w:numPr>
        <w:tabs>
          <w:tab w:pos="1219" w:val="left" w:leader="none"/>
          <w:tab w:pos="8806" w:val="left" w:leader="none"/>
          <w:tab w:pos="9198" w:val="left" w:leader="none"/>
        </w:tabs>
        <w:spacing w:line="240" w:lineRule="auto" w:before="24" w:after="0"/>
        <w:ind w:left="1218" w:right="0" w:hanging="305"/>
        <w:jc w:val="left"/>
        <w:rPr>
          <w:sz w:val="24"/>
        </w:rPr>
      </w:pPr>
      <w:r>
        <w:rPr>
          <w:w w:val="125"/>
          <w:sz w:val="24"/>
        </w:rPr>
        <w:t>Általános</w:t>
      </w:r>
      <w:r>
        <w:rPr>
          <w:spacing w:val="25"/>
          <w:w w:val="125"/>
          <w:sz w:val="24"/>
        </w:rPr>
        <w:t> </w:t>
      </w:r>
      <w:r>
        <w:rPr>
          <w:w w:val="125"/>
          <w:sz w:val="24"/>
        </w:rPr>
        <w:t>rendelkezések</w:t>
      </w:r>
      <w:r>
        <w:rPr>
          <w:w w:val="125"/>
          <w:sz w:val="24"/>
          <w:u w:val="dotted"/>
        </w:rPr>
        <w:t> </w:t>
        <w:tab/>
      </w:r>
      <w:r>
        <w:rPr>
          <w:w w:val="125"/>
          <w:sz w:val="24"/>
        </w:rPr>
        <w:tab/>
        <w:t>1</w:t>
      </w:r>
    </w:p>
    <w:p>
      <w:pPr>
        <w:pStyle w:val="ListParagraph"/>
        <w:numPr>
          <w:ilvl w:val="2"/>
          <w:numId w:val="13"/>
        </w:numPr>
        <w:tabs>
          <w:tab w:pos="1219" w:val="left" w:leader="none"/>
          <w:tab w:pos="8806" w:val="left" w:leader="none"/>
          <w:tab w:pos="9198" w:val="left" w:leader="none"/>
        </w:tabs>
        <w:spacing w:line="240" w:lineRule="auto" w:before="24" w:after="0"/>
        <w:ind w:left="1218" w:right="0" w:hanging="305"/>
        <w:jc w:val="left"/>
        <w:rPr>
          <w:sz w:val="24"/>
        </w:rPr>
      </w:pPr>
      <w:r>
        <w:rPr>
          <w:w w:val="130"/>
          <w:sz w:val="24"/>
        </w:rPr>
        <w:t>Hitelszerződés megkötését</w:t>
      </w:r>
      <w:r>
        <w:rPr>
          <w:spacing w:val="-64"/>
          <w:w w:val="130"/>
          <w:sz w:val="24"/>
        </w:rPr>
        <w:t> </w:t>
      </w:r>
      <w:r>
        <w:rPr>
          <w:w w:val="130"/>
          <w:sz w:val="24"/>
        </w:rPr>
        <w:t>megelőző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tájékoztatás</w:t>
      </w:r>
      <w:r>
        <w:rPr>
          <w:w w:val="130"/>
          <w:sz w:val="24"/>
          <w:u w:val="dotted"/>
        </w:rPr>
        <w:t> </w:t>
        <w:tab/>
      </w:r>
      <w:r>
        <w:rPr>
          <w:w w:val="130"/>
          <w:sz w:val="24"/>
        </w:rPr>
        <w:tab/>
        <w:t>1</w:t>
      </w:r>
    </w:p>
    <w:p>
      <w:pPr>
        <w:pStyle w:val="ListParagraph"/>
        <w:numPr>
          <w:ilvl w:val="2"/>
          <w:numId w:val="13"/>
        </w:numPr>
        <w:tabs>
          <w:tab w:pos="1219" w:val="left" w:leader="none"/>
          <w:tab w:pos="8806" w:val="left" w:leader="none"/>
          <w:tab w:pos="9198" w:val="left" w:leader="none"/>
        </w:tabs>
        <w:spacing w:line="208" w:lineRule="auto" w:before="53" w:after="0"/>
        <w:ind w:left="913" w:right="626" w:firstLine="0"/>
        <w:jc w:val="left"/>
        <w:rPr>
          <w:sz w:val="24"/>
        </w:rPr>
      </w:pPr>
      <w:r>
        <w:rPr>
          <w:w w:val="125"/>
          <w:sz w:val="24"/>
        </w:rPr>
        <w:t>A fogyasztói kezességi szerződéshez és a fogyasztói zálogszerződéshez</w:t>
      </w:r>
      <w:r>
        <w:rPr>
          <w:spacing w:val="25"/>
          <w:w w:val="125"/>
          <w:sz w:val="24"/>
        </w:rPr>
        <w:t> </w:t>
      </w:r>
      <w:r>
        <w:rPr>
          <w:w w:val="125"/>
          <w:sz w:val="24"/>
        </w:rPr>
        <w:t>kapcsolódó</w:t>
      </w:r>
      <w:r>
        <w:rPr>
          <w:spacing w:val="25"/>
          <w:w w:val="125"/>
          <w:sz w:val="24"/>
        </w:rPr>
        <w:t> </w:t>
      </w:r>
      <w:r>
        <w:rPr>
          <w:w w:val="125"/>
          <w:sz w:val="24"/>
        </w:rPr>
        <w:t>tájékoztatás</w:t>
      </w:r>
      <w:r>
        <w:rPr>
          <w:w w:val="125"/>
          <w:sz w:val="24"/>
          <w:u w:val="dotted"/>
        </w:rPr>
        <w:t> </w:t>
        <w:tab/>
      </w:r>
      <w:r>
        <w:rPr>
          <w:w w:val="125"/>
          <w:sz w:val="24"/>
        </w:rPr>
        <w:tab/>
      </w:r>
      <w:r>
        <w:rPr>
          <w:spacing w:val="-17"/>
          <w:w w:val="125"/>
          <w:sz w:val="24"/>
        </w:rPr>
        <w:t>3</w:t>
      </w:r>
    </w:p>
    <w:p>
      <w:pPr>
        <w:pStyle w:val="ListParagraph"/>
        <w:numPr>
          <w:ilvl w:val="2"/>
          <w:numId w:val="13"/>
        </w:numPr>
        <w:tabs>
          <w:tab w:pos="1219" w:val="left" w:leader="none"/>
          <w:tab w:pos="8806" w:val="left" w:leader="none"/>
          <w:tab w:pos="9198" w:val="left" w:leader="none"/>
        </w:tabs>
        <w:spacing w:line="240" w:lineRule="auto" w:before="31" w:after="0"/>
        <w:ind w:left="1218" w:right="0" w:hanging="305"/>
        <w:jc w:val="left"/>
        <w:rPr>
          <w:sz w:val="24"/>
        </w:rPr>
      </w:pPr>
      <w:r>
        <w:rPr>
          <w:w w:val="125"/>
          <w:sz w:val="24"/>
        </w:rPr>
        <w:t>Záró</w:t>
      </w:r>
      <w:r>
        <w:rPr>
          <w:spacing w:val="50"/>
          <w:w w:val="125"/>
          <w:sz w:val="24"/>
        </w:rPr>
        <w:t> </w:t>
      </w:r>
      <w:r>
        <w:rPr>
          <w:w w:val="125"/>
          <w:sz w:val="24"/>
        </w:rPr>
        <w:t>rendelkezések</w:t>
      </w:r>
      <w:r>
        <w:rPr>
          <w:w w:val="125"/>
          <w:sz w:val="24"/>
          <w:u w:val="dotted"/>
        </w:rPr>
        <w:t> </w:t>
        <w:tab/>
      </w:r>
      <w:r>
        <w:rPr>
          <w:w w:val="125"/>
          <w:sz w:val="24"/>
        </w:rPr>
        <w:tab/>
        <w:t>4</w:t>
      </w:r>
    </w:p>
    <w:p>
      <w:pPr>
        <w:pStyle w:val="BodyText"/>
        <w:tabs>
          <w:tab w:pos="8806" w:val="left" w:leader="none"/>
          <w:tab w:pos="9198" w:val="left" w:leader="none"/>
        </w:tabs>
        <w:spacing w:before="24"/>
        <w:ind w:left="913" w:firstLine="0"/>
      </w:pPr>
      <w:r>
        <w:rPr>
          <w:w w:val="125"/>
        </w:rPr>
        <w:t>1. melléklet az 56/2014. (XII. 31.)</w:t>
      </w:r>
      <w:r>
        <w:rPr>
          <w:spacing w:val="-27"/>
          <w:w w:val="125"/>
        </w:rPr>
        <w:t> </w:t>
      </w:r>
      <w:r>
        <w:rPr>
          <w:w w:val="125"/>
        </w:rPr>
        <w:t>NGM</w:t>
      </w:r>
      <w:r>
        <w:rPr>
          <w:spacing w:val="-4"/>
          <w:w w:val="125"/>
        </w:rPr>
        <w:t> </w:t>
      </w:r>
      <w:r>
        <w:rPr>
          <w:w w:val="125"/>
        </w:rPr>
        <w:t>rendelethez</w:t>
      </w:r>
      <w:r>
        <w:rPr>
          <w:w w:val="125"/>
          <w:u w:val="dotted"/>
        </w:rPr>
        <w:t> </w:t>
        <w:tab/>
      </w:r>
      <w:r>
        <w:rPr>
          <w:w w:val="125"/>
        </w:rPr>
        <w:tab/>
        <w:t>4</w:t>
      </w:r>
    </w:p>
    <w:sectPr>
      <w:pgSz w:w="11900" w:h="16820"/>
      <w:pgMar w:header="1104" w:footer="0" w:top="184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2520" from="56.693001pt,91.803001pt" to="538.583001pt,91.803001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54.192318pt;width:431.8pt;height:32.6pt;mso-position-horizontal-relative:page;mso-position-vertical-relative:page;z-index:-12496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4091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0"/>
                    <w:sz w:val="18"/>
                  </w:rPr>
                  <w:t>Frissítve: 2019. szeptember 10. 11:30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Hatály: 2016.III.21. -</w:t>
                </w:r>
              </w:p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0"/>
                    <w:sz w:val="18"/>
                  </w:rPr>
                  <w:t>Magyar joganyagok - 56/2014. (XII. 31.) NGM rendelet - a fogyasztónak nyújtott hite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43988pt;margin-top:54.192318pt;width:50.4pt;height:12.6pt;mso-position-horizontal-relative:page;mso-position-vertical-relative:page;z-index:-12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0"/>
                    <w:sz w:val="18"/>
                  </w:rPr>
                  <w:t>Netjogtár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134003pt;margin-top:74.192314pt;width:40.450pt;height:12.6pt;mso-position-horizontal-relative:page;mso-position-vertical-relative:page;z-index:-1244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1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w w:val="120"/>
                    <w:sz w:val="18"/>
                  </w:rPr>
                  <w:t>.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418" w:hanging="305"/>
        <w:jc w:val="left"/>
      </w:pPr>
      <w:rPr>
        <w:rFonts w:hint="default"/>
        <w:spacing w:val="-1"/>
        <w:w w:val="127"/>
        <w:u w:val="single" w:color="000000"/>
      </w:rPr>
    </w:lvl>
    <w:lvl w:ilvl="1">
      <w:start w:val="1"/>
      <w:numFmt w:val="decimal"/>
      <w:lvlText w:val="%2."/>
      <w:lvlJc w:val="left"/>
      <w:pPr>
        <w:ind w:left="622" w:hanging="305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2">
      <w:start w:val="1"/>
      <w:numFmt w:val="decimal"/>
      <w:lvlText w:val="%3."/>
      <w:lvlJc w:val="left"/>
      <w:pPr>
        <w:ind w:left="1218" w:hanging="305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3">
      <w:start w:val="0"/>
      <w:numFmt w:val="bullet"/>
      <w:lvlText w:val="•"/>
      <w:lvlJc w:val="left"/>
      <w:pPr>
        <w:ind w:left="2315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0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5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0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5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0" w:hanging="305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7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31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3" w:hanging="315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106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0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8" w:hanging="315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(%1)"/>
      <w:lvlJc w:val="left"/>
      <w:pPr>
        <w:ind w:left="113" w:hanging="519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10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0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8" w:hanging="5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1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344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9" w:hanging="535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124" w:hanging="5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5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5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6" w:hanging="5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5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4" w:hanging="5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5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2" w:hanging="535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7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313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(%1)"/>
      <w:lvlJc w:val="left"/>
      <w:pPr>
        <w:ind w:left="867" w:hanging="341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2"/>
        <w:szCs w:val="22"/>
      </w:rPr>
    </w:lvl>
    <w:lvl w:ilvl="1">
      <w:start w:val="0"/>
      <w:numFmt w:val="bullet"/>
      <w:lvlText w:val="•"/>
      <w:lvlJc w:val="left"/>
      <w:pPr>
        <w:ind w:left="177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4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6" w:hanging="3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1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344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6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736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2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8" w:hanging="31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04" w:hanging="408"/>
        <w:jc w:val="righ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2"/>
      <w:numFmt w:val="decimal"/>
      <w:lvlText w:val="%2."/>
      <w:lvlJc w:val="left"/>
      <w:pPr>
        <w:ind w:left="1844" w:hanging="334"/>
        <w:jc w:val="right"/>
      </w:pPr>
      <w:rPr>
        <w:rFonts w:hint="default"/>
        <w:b/>
        <w:bCs/>
        <w:i/>
        <w:spacing w:val="-1"/>
        <w:w w:val="125"/>
      </w:rPr>
    </w:lvl>
    <w:lvl w:ilvl="2">
      <w:start w:val="0"/>
      <w:numFmt w:val="bullet"/>
      <w:lvlText w:val="•"/>
      <w:lvlJc w:val="left"/>
      <w:pPr>
        <w:ind w:left="2060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0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1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7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2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3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3" w:hanging="336"/>
        <w:jc w:val="left"/>
      </w:pPr>
      <w:rPr>
        <w:rFonts w:hint="default" w:ascii="Arial" w:hAnsi="Arial" w:eastAsia="Arial" w:cs="Arial"/>
        <w:b/>
        <w:bCs/>
        <w:spacing w:val="-1"/>
        <w:w w:val="125"/>
        <w:sz w:val="24"/>
        <w:szCs w:val="24"/>
      </w:rPr>
    </w:lvl>
    <w:lvl w:ilvl="1">
      <w:start w:val="0"/>
      <w:numFmt w:val="bullet"/>
      <w:lvlText w:val="•"/>
      <w:lvlJc w:val="left"/>
      <w:pPr>
        <w:ind w:left="110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8" w:hanging="336"/>
      </w:pPr>
      <w:rPr>
        <w:rFonts w:hint="default"/>
      </w:rPr>
    </w:lvl>
  </w:abstractNum>
  <w:abstractNum w:abstractNumId="0">
    <w:multiLevelType w:val="hybridMultilevel"/>
    <w:lvl w:ilvl="0">
      <w:start w:val="2"/>
      <w:numFmt w:val="lowerLetter"/>
      <w:lvlText w:val="%1)"/>
      <w:lvlJc w:val="left"/>
      <w:pPr>
        <w:ind w:left="113" w:hanging="379"/>
        <w:jc w:val="left"/>
      </w:pPr>
      <w:rPr>
        <w:rFonts w:hint="default" w:ascii="Times New Roman" w:hAnsi="Times New Roman" w:eastAsia="Times New Roman" w:cs="Times New Roman"/>
        <w:i/>
        <w:spacing w:val="-1"/>
        <w:w w:val="123"/>
        <w:sz w:val="24"/>
        <w:szCs w:val="24"/>
      </w:rPr>
    </w:lvl>
    <w:lvl w:ilvl="1">
      <w:start w:val="1"/>
      <w:numFmt w:val="decimal"/>
      <w:lvlText w:val="%2."/>
      <w:lvlJc w:val="left"/>
      <w:pPr>
        <w:ind w:left="3465" w:hanging="334"/>
        <w:jc w:val="left"/>
      </w:pPr>
      <w:rPr>
        <w:rFonts w:hint="default" w:ascii="Arial-BoldItalicMT" w:hAnsi="Arial-BoldItalicMT" w:eastAsia="Arial-BoldItalicMT" w:cs="Arial-BoldItalicMT"/>
        <w:b/>
        <w:bCs/>
        <w:i/>
        <w:spacing w:val="-1"/>
        <w:w w:val="125"/>
        <w:sz w:val="24"/>
        <w:szCs w:val="24"/>
      </w:rPr>
    </w:lvl>
    <w:lvl w:ilvl="2">
      <w:start w:val="0"/>
      <w:numFmt w:val="bullet"/>
      <w:lvlText w:val="•"/>
      <w:lvlJc w:val="left"/>
      <w:pPr>
        <w:ind w:left="4184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8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3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7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1" w:hanging="334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3" w:firstLine="20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8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14"/>
      <w:ind w:left="1844" w:hanging="735"/>
      <w:outlineLvl w:val="2"/>
    </w:pPr>
    <w:rPr>
      <w:rFonts w:ascii="Arial-BoldItalicMT" w:hAnsi="Arial-BoldItalicMT" w:eastAsia="Arial-BoldItalicMT" w:cs="Arial-BoldItalicMT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3" w:firstLine="20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2019-09-18T09:43:06Z</dcterms:created>
  <dcterms:modified xsi:type="dcterms:W3CDTF">2019-09-18T09:43:06Z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2019-09-18T00:00:00Z</vt:filetime>
  </property>
</Properties>
</file>