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p>
    <w:p>
      <w:pPr>
        <w:pStyle w:val="BodyText"/>
        <w:spacing w:before="1"/>
        <w:ind w:left="0" w:firstLine="0"/>
        <w:rPr>
          <w:sz w:val="29"/>
        </w:rPr>
      </w:pPr>
    </w:p>
    <w:p>
      <w:pPr>
        <w:spacing w:before="100"/>
        <w:ind w:left="509" w:right="526" w:firstLine="0"/>
        <w:jc w:val="center"/>
        <w:rPr>
          <w:rFonts w:ascii="Arial" w:hAnsi="Arial"/>
          <w:b/>
          <w:sz w:val="28"/>
        </w:rPr>
      </w:pPr>
      <w:r>
        <w:rPr>
          <w:rFonts w:ascii="Arial" w:hAnsi="Arial"/>
          <w:b/>
          <w:w w:val="120"/>
          <w:sz w:val="28"/>
        </w:rPr>
        <w:t>2013. évi CCXXXVII. törvény</w:t>
      </w:r>
    </w:p>
    <w:p>
      <w:pPr>
        <w:pStyle w:val="BodyText"/>
        <w:spacing w:before="10"/>
        <w:ind w:left="0" w:firstLine="0"/>
        <w:rPr>
          <w:rFonts w:ascii="Arial"/>
          <w:b/>
          <w:sz w:val="39"/>
        </w:rPr>
      </w:pPr>
    </w:p>
    <w:p>
      <w:pPr>
        <w:spacing w:before="0"/>
        <w:ind w:left="513" w:right="512" w:firstLine="0"/>
        <w:jc w:val="center"/>
        <w:rPr>
          <w:i/>
          <w:sz w:val="18"/>
        </w:rPr>
      </w:pPr>
      <w:r>
        <w:rPr>
          <w:rFonts w:ascii="Arial" w:hAnsi="Arial"/>
          <w:b/>
          <w:w w:val="115"/>
          <w:sz w:val="28"/>
        </w:rPr>
        <w:t>a hitelintézetekről és a pénzügyi</w:t>
      </w:r>
      <w:r>
        <w:rPr>
          <w:rFonts w:ascii="Arial" w:hAnsi="Arial"/>
          <w:b/>
          <w:spacing w:val="77"/>
          <w:w w:val="115"/>
          <w:sz w:val="28"/>
        </w:rPr>
        <w:t> </w:t>
      </w:r>
      <w:r>
        <w:rPr>
          <w:rFonts w:ascii="Arial" w:hAnsi="Arial"/>
          <w:b/>
          <w:w w:val="115"/>
          <w:sz w:val="28"/>
        </w:rPr>
        <w:t>vállalkozásokról</w:t>
      </w:r>
      <w:r>
        <w:rPr>
          <w:i/>
          <w:w w:val="115"/>
          <w:position w:val="8"/>
          <w:sz w:val="18"/>
        </w:rPr>
        <w:t>1</w:t>
      </w:r>
    </w:p>
    <w:p>
      <w:pPr>
        <w:pStyle w:val="BodyText"/>
        <w:ind w:left="0" w:firstLine="0"/>
        <w:rPr>
          <w:i/>
          <w:sz w:val="20"/>
        </w:rPr>
      </w:pPr>
    </w:p>
    <w:p>
      <w:pPr>
        <w:pStyle w:val="Heading2"/>
        <w:numPr>
          <w:ilvl w:val="0"/>
          <w:numId w:val="1"/>
        </w:numPr>
        <w:tabs>
          <w:tab w:pos="4592" w:val="left" w:leader="none"/>
        </w:tabs>
        <w:spacing w:line="650" w:lineRule="auto" w:before="226" w:after="0"/>
        <w:ind w:left="3298" w:right="3307" w:firstLine="1014"/>
        <w:jc w:val="left"/>
      </w:pPr>
      <w:r>
        <w:rPr>
          <w:w w:val="110"/>
        </w:rPr>
        <w:t>Fejezet </w:t>
      </w:r>
      <w:r>
        <w:rPr>
          <w:w w:val="105"/>
        </w:rPr>
        <w:t>Általános</w:t>
      </w:r>
      <w:r>
        <w:rPr>
          <w:spacing w:val="62"/>
          <w:w w:val="105"/>
        </w:rPr>
        <w:t> </w:t>
      </w:r>
      <w:r>
        <w:rPr>
          <w:w w:val="105"/>
        </w:rPr>
        <w:t>rendelkezések</w:t>
      </w:r>
    </w:p>
    <w:p>
      <w:pPr>
        <w:pStyle w:val="BodyText"/>
        <w:spacing w:line="274" w:lineRule="exact"/>
        <w:ind w:left="3710" w:firstLine="0"/>
      </w:pPr>
      <w:r>
        <w:rPr>
          <w:w w:val="120"/>
        </w:rPr>
        <w:t>1. A törvény hatálya</w:t>
      </w:r>
    </w:p>
    <w:p>
      <w:pPr>
        <w:pStyle w:val="ListParagraph"/>
        <w:numPr>
          <w:ilvl w:val="0"/>
          <w:numId w:val="2"/>
        </w:numPr>
        <w:tabs>
          <w:tab w:pos="652" w:val="left" w:leader="none"/>
        </w:tabs>
        <w:spacing w:line="269" w:lineRule="exact" w:before="223" w:after="0"/>
        <w:ind w:left="651" w:right="0" w:hanging="334"/>
        <w:jc w:val="left"/>
        <w:rPr>
          <w:sz w:val="24"/>
        </w:rPr>
      </w:pPr>
      <w:r>
        <w:rPr>
          <w:rFonts w:ascii="Arial" w:hAnsi="Arial"/>
          <w:b/>
          <w:w w:val="120"/>
          <w:sz w:val="24"/>
        </w:rPr>
        <w:t>§ </w:t>
      </w:r>
      <w:r>
        <w:rPr>
          <w:w w:val="120"/>
          <w:sz w:val="24"/>
        </w:rPr>
        <w:t>(1) E törvény rendelkezései</w:t>
      </w:r>
      <w:r>
        <w:rPr>
          <w:spacing w:val="34"/>
          <w:w w:val="120"/>
          <w:sz w:val="24"/>
        </w:rPr>
        <w:t> </w:t>
      </w:r>
      <w:r>
        <w:rPr>
          <w:w w:val="120"/>
          <w:sz w:val="24"/>
        </w:rPr>
        <w:t>alkalmazandóak:</w:t>
      </w:r>
    </w:p>
    <w:p>
      <w:pPr>
        <w:pStyle w:val="ListParagraph"/>
        <w:numPr>
          <w:ilvl w:val="0"/>
          <w:numId w:val="3"/>
        </w:numPr>
        <w:tabs>
          <w:tab w:pos="659" w:val="left" w:leader="none"/>
        </w:tabs>
        <w:spacing w:line="225" w:lineRule="auto" w:before="6" w:after="0"/>
        <w:ind w:left="113" w:right="127" w:firstLine="204"/>
        <w:jc w:val="both"/>
        <w:rPr>
          <w:sz w:val="24"/>
        </w:rPr>
      </w:pPr>
      <w:r>
        <w:rPr>
          <w:w w:val="130"/>
          <w:sz w:val="24"/>
        </w:rPr>
        <w:t>a Magyarország területén végzett, e törvényben meghatározott pénzügyi szolgáltatási, kiegészítő pénzügyi szolgáltatási és bankképviseleti tevékenységre,</w:t>
      </w:r>
      <w:r>
        <w:rPr>
          <w:spacing w:val="-17"/>
          <w:w w:val="130"/>
          <w:sz w:val="24"/>
        </w:rPr>
        <w:t> </w:t>
      </w:r>
      <w:r>
        <w:rPr>
          <w:w w:val="130"/>
          <w:sz w:val="24"/>
        </w:rPr>
        <w:t>önkéntes</w:t>
      </w:r>
      <w:r>
        <w:rPr>
          <w:spacing w:val="-15"/>
          <w:w w:val="130"/>
          <w:sz w:val="24"/>
        </w:rPr>
        <w:t> </w:t>
      </w:r>
      <w:r>
        <w:rPr>
          <w:w w:val="130"/>
          <w:sz w:val="24"/>
        </w:rPr>
        <w:t>intézményvédelemre,</w:t>
      </w:r>
      <w:r>
        <w:rPr>
          <w:spacing w:val="-17"/>
          <w:w w:val="130"/>
          <w:sz w:val="24"/>
        </w:rPr>
        <w:t> </w:t>
      </w:r>
      <w:r>
        <w:rPr>
          <w:w w:val="130"/>
          <w:sz w:val="24"/>
        </w:rPr>
        <w:t>valamint</w:t>
      </w:r>
      <w:r>
        <w:rPr>
          <w:spacing w:val="-16"/>
          <w:w w:val="130"/>
          <w:sz w:val="24"/>
        </w:rPr>
        <w:t> </w:t>
      </w:r>
      <w:r>
        <w:rPr>
          <w:w w:val="130"/>
          <w:sz w:val="24"/>
        </w:rPr>
        <w:t>betétbiztosításra,</w:t>
      </w:r>
    </w:p>
    <w:p>
      <w:pPr>
        <w:pStyle w:val="ListParagraph"/>
        <w:numPr>
          <w:ilvl w:val="0"/>
          <w:numId w:val="3"/>
        </w:numPr>
        <w:tabs>
          <w:tab w:pos="793" w:val="left" w:leader="none"/>
        </w:tabs>
        <w:spacing w:line="225" w:lineRule="auto" w:before="1" w:after="0"/>
        <w:ind w:left="113" w:right="128" w:firstLine="204"/>
        <w:jc w:val="both"/>
        <w:rPr>
          <w:sz w:val="24"/>
        </w:rPr>
      </w:pPr>
      <w:r>
        <w:rPr>
          <w:w w:val="130"/>
          <w:sz w:val="24"/>
        </w:rPr>
        <w:t>a Magyarország területén székhellyel rendelkező hitelintézet által külföldön alapított hitelintézet, pénzügyi vállalkozás e törvényben meghatározott</w:t>
      </w:r>
      <w:r>
        <w:rPr>
          <w:spacing w:val="-24"/>
          <w:w w:val="130"/>
          <w:sz w:val="24"/>
        </w:rPr>
        <w:t> </w:t>
      </w:r>
      <w:r>
        <w:rPr>
          <w:w w:val="130"/>
          <w:sz w:val="24"/>
        </w:rPr>
        <w:t>pénzügyi</w:t>
      </w:r>
      <w:r>
        <w:rPr>
          <w:spacing w:val="-24"/>
          <w:w w:val="130"/>
          <w:sz w:val="24"/>
        </w:rPr>
        <w:t> </w:t>
      </w:r>
      <w:r>
        <w:rPr>
          <w:w w:val="130"/>
          <w:sz w:val="24"/>
        </w:rPr>
        <w:t>szolgáltatási,</w:t>
      </w:r>
      <w:r>
        <w:rPr>
          <w:spacing w:val="-24"/>
          <w:w w:val="130"/>
          <w:sz w:val="24"/>
        </w:rPr>
        <w:t> </w:t>
      </w:r>
      <w:r>
        <w:rPr>
          <w:w w:val="130"/>
          <w:sz w:val="24"/>
        </w:rPr>
        <w:t>illetve</w:t>
      </w:r>
      <w:r>
        <w:rPr>
          <w:spacing w:val="-24"/>
          <w:w w:val="130"/>
          <w:sz w:val="24"/>
        </w:rPr>
        <w:t> </w:t>
      </w:r>
      <w:r>
        <w:rPr>
          <w:w w:val="130"/>
          <w:sz w:val="24"/>
        </w:rPr>
        <w:t>kiegészítő</w:t>
      </w:r>
      <w:r>
        <w:rPr>
          <w:spacing w:val="-24"/>
          <w:w w:val="130"/>
          <w:sz w:val="24"/>
        </w:rPr>
        <w:t> </w:t>
      </w:r>
      <w:r>
        <w:rPr>
          <w:w w:val="130"/>
          <w:sz w:val="24"/>
        </w:rPr>
        <w:t>pénzügyi</w:t>
      </w:r>
      <w:r>
        <w:rPr>
          <w:spacing w:val="-24"/>
          <w:w w:val="130"/>
          <w:sz w:val="24"/>
        </w:rPr>
        <w:t> </w:t>
      </w:r>
      <w:r>
        <w:rPr>
          <w:w w:val="130"/>
          <w:sz w:val="24"/>
        </w:rPr>
        <w:t>szolgáltatási és bankképviseleti tevékenységének </w:t>
      </w:r>
      <w:r>
        <w:rPr>
          <w:i/>
          <w:w w:val="130"/>
          <w:sz w:val="24"/>
        </w:rPr>
        <w:t>c) </w:t>
      </w:r>
      <w:r>
        <w:rPr>
          <w:w w:val="130"/>
          <w:sz w:val="24"/>
        </w:rPr>
        <w:t>pont szerinti</w:t>
      </w:r>
      <w:r>
        <w:rPr>
          <w:spacing w:val="-44"/>
          <w:w w:val="130"/>
          <w:sz w:val="24"/>
        </w:rPr>
        <w:t> </w:t>
      </w:r>
      <w:r>
        <w:rPr>
          <w:w w:val="130"/>
          <w:sz w:val="24"/>
        </w:rPr>
        <w:t>felügyeletére,</w:t>
      </w:r>
    </w:p>
    <w:p>
      <w:pPr>
        <w:pStyle w:val="ListParagraph"/>
        <w:numPr>
          <w:ilvl w:val="0"/>
          <w:numId w:val="3"/>
        </w:numPr>
        <w:tabs>
          <w:tab w:pos="644" w:val="left" w:leader="none"/>
        </w:tabs>
        <w:spacing w:line="225" w:lineRule="auto" w:before="3" w:after="0"/>
        <w:ind w:left="113" w:right="130" w:firstLine="204"/>
        <w:jc w:val="both"/>
        <w:rPr>
          <w:sz w:val="24"/>
        </w:rPr>
      </w:pPr>
      <w:r>
        <w:rPr>
          <w:w w:val="125"/>
          <w:sz w:val="24"/>
        </w:rPr>
        <w:t>a magyar hatóság által ellátott - e törvényben meghatározott - felügyeleti tevékenységre,</w:t>
      </w:r>
    </w:p>
    <w:p>
      <w:pPr>
        <w:pStyle w:val="ListParagraph"/>
        <w:numPr>
          <w:ilvl w:val="0"/>
          <w:numId w:val="3"/>
        </w:numPr>
        <w:tabs>
          <w:tab w:pos="735" w:val="left" w:leader="none"/>
        </w:tabs>
        <w:spacing w:line="225" w:lineRule="auto" w:before="1" w:after="0"/>
        <w:ind w:left="113" w:right="127" w:firstLine="204"/>
        <w:jc w:val="both"/>
        <w:rPr>
          <w:sz w:val="24"/>
        </w:rPr>
      </w:pPr>
      <w:r>
        <w:rPr>
          <w:w w:val="125"/>
          <w:sz w:val="24"/>
        </w:rPr>
        <w:t>pénzügyi intézménynek nem minősülő, az összevont alapú felügyelet hatálya alá tartozó hitelintézettel, vagy pénzügyi holding társasággal szoros kapcsolatban álló vállalkozásra, vegyes tevékenységű holding társaságra, valamint</w:t>
      </w:r>
    </w:p>
    <w:p>
      <w:pPr>
        <w:pStyle w:val="ListParagraph"/>
        <w:numPr>
          <w:ilvl w:val="0"/>
          <w:numId w:val="3"/>
        </w:numPr>
        <w:tabs>
          <w:tab w:pos="629" w:val="left" w:leader="none"/>
        </w:tabs>
        <w:spacing w:line="257" w:lineRule="exact" w:before="0" w:after="0"/>
        <w:ind w:left="628" w:right="0" w:hanging="311"/>
        <w:jc w:val="left"/>
        <w:rPr>
          <w:sz w:val="24"/>
        </w:rPr>
      </w:pPr>
      <w:r>
        <w:rPr>
          <w:w w:val="130"/>
          <w:sz w:val="24"/>
        </w:rPr>
        <w:t>a</w:t>
      </w:r>
      <w:r>
        <w:rPr>
          <w:spacing w:val="-12"/>
          <w:w w:val="130"/>
          <w:sz w:val="24"/>
        </w:rPr>
        <w:t> </w:t>
      </w:r>
      <w:r>
        <w:rPr>
          <w:w w:val="130"/>
          <w:sz w:val="24"/>
        </w:rPr>
        <w:t>kiszervezett</w:t>
      </w:r>
      <w:r>
        <w:rPr>
          <w:spacing w:val="-12"/>
          <w:w w:val="130"/>
          <w:sz w:val="24"/>
        </w:rPr>
        <w:t> </w:t>
      </w:r>
      <w:r>
        <w:rPr>
          <w:w w:val="130"/>
          <w:sz w:val="24"/>
        </w:rPr>
        <w:t>tevékenységet</w:t>
      </w:r>
      <w:r>
        <w:rPr>
          <w:spacing w:val="-12"/>
          <w:w w:val="130"/>
          <w:sz w:val="24"/>
        </w:rPr>
        <w:t> </w:t>
      </w:r>
      <w:r>
        <w:rPr>
          <w:w w:val="130"/>
          <w:sz w:val="24"/>
        </w:rPr>
        <w:t>végző</w:t>
      </w:r>
      <w:r>
        <w:rPr>
          <w:spacing w:val="-12"/>
          <w:w w:val="130"/>
          <w:sz w:val="24"/>
        </w:rPr>
        <w:t> </w:t>
      </w:r>
      <w:r>
        <w:rPr>
          <w:w w:val="130"/>
          <w:sz w:val="24"/>
        </w:rPr>
        <w:t>e</w:t>
      </w:r>
      <w:r>
        <w:rPr>
          <w:spacing w:val="-12"/>
          <w:w w:val="130"/>
          <w:sz w:val="24"/>
        </w:rPr>
        <w:t> </w:t>
      </w:r>
      <w:r>
        <w:rPr>
          <w:w w:val="130"/>
          <w:sz w:val="24"/>
        </w:rPr>
        <w:t>törvény</w:t>
      </w:r>
      <w:r>
        <w:rPr>
          <w:spacing w:val="-12"/>
          <w:w w:val="130"/>
          <w:sz w:val="24"/>
        </w:rPr>
        <w:t> </w:t>
      </w:r>
      <w:r>
        <w:rPr>
          <w:w w:val="130"/>
          <w:sz w:val="24"/>
        </w:rPr>
        <w:t>szerinti</w:t>
      </w:r>
      <w:r>
        <w:rPr>
          <w:spacing w:val="-11"/>
          <w:w w:val="130"/>
          <w:sz w:val="24"/>
        </w:rPr>
        <w:t> </w:t>
      </w:r>
      <w:r>
        <w:rPr>
          <w:w w:val="130"/>
          <w:sz w:val="24"/>
        </w:rPr>
        <w:t>felügyeletére.</w:t>
      </w:r>
    </w:p>
    <w:p>
      <w:pPr>
        <w:pStyle w:val="BodyText"/>
        <w:spacing w:line="260" w:lineRule="exact"/>
        <w:ind w:left="317" w:firstLine="0"/>
      </w:pPr>
      <w:r>
        <w:rPr>
          <w:w w:val="125"/>
        </w:rPr>
        <w:t>(2) E törvény rendelkezései alkalmazandóak:</w:t>
      </w:r>
    </w:p>
    <w:p>
      <w:pPr>
        <w:pStyle w:val="ListParagraph"/>
        <w:numPr>
          <w:ilvl w:val="0"/>
          <w:numId w:val="4"/>
        </w:numPr>
        <w:tabs>
          <w:tab w:pos="731" w:val="left" w:leader="none"/>
        </w:tabs>
        <w:spacing w:line="225" w:lineRule="auto" w:before="5" w:after="0"/>
        <w:ind w:left="113" w:right="137" w:firstLine="204"/>
        <w:jc w:val="both"/>
        <w:rPr>
          <w:sz w:val="24"/>
        </w:rPr>
      </w:pPr>
      <w:r>
        <w:rPr>
          <w:w w:val="130"/>
          <w:sz w:val="24"/>
        </w:rPr>
        <w:t>a pénzügyi intézmények Magyarország területén történő alapítására, létesítésére,</w:t>
      </w:r>
      <w:r>
        <w:rPr>
          <w:spacing w:val="12"/>
          <w:w w:val="130"/>
          <w:sz w:val="24"/>
        </w:rPr>
        <w:t> </w:t>
      </w:r>
      <w:r>
        <w:rPr>
          <w:w w:val="130"/>
          <w:sz w:val="24"/>
        </w:rPr>
        <w:t>működésére,</w:t>
      </w:r>
    </w:p>
    <w:p>
      <w:pPr>
        <w:pStyle w:val="ListParagraph"/>
        <w:numPr>
          <w:ilvl w:val="0"/>
          <w:numId w:val="4"/>
        </w:numPr>
        <w:tabs>
          <w:tab w:pos="792" w:val="left" w:leader="none"/>
        </w:tabs>
        <w:spacing w:line="225" w:lineRule="auto" w:before="2" w:after="0"/>
        <w:ind w:left="113" w:right="131" w:firstLine="204"/>
        <w:jc w:val="both"/>
        <w:rPr>
          <w:sz w:val="24"/>
        </w:rPr>
      </w:pPr>
      <w:r>
        <w:rPr>
          <w:w w:val="125"/>
          <w:sz w:val="24"/>
        </w:rPr>
        <w:t>Magyarország területén székhellyel rendelkező pénzügyi intézmény külföldi leányvállalatának, fióktelepének létesítésére, külföldi pénzügyi intézményben történő</w:t>
      </w:r>
      <w:r>
        <w:rPr>
          <w:spacing w:val="3"/>
          <w:w w:val="125"/>
          <w:sz w:val="24"/>
        </w:rPr>
        <w:t> </w:t>
      </w:r>
      <w:r>
        <w:rPr>
          <w:w w:val="125"/>
          <w:sz w:val="24"/>
        </w:rPr>
        <w:t>tulajdonszerzésére,</w:t>
      </w:r>
    </w:p>
    <w:p>
      <w:pPr>
        <w:pStyle w:val="ListParagraph"/>
        <w:numPr>
          <w:ilvl w:val="0"/>
          <w:numId w:val="4"/>
        </w:numPr>
        <w:tabs>
          <w:tab w:pos="658" w:val="left" w:leader="none"/>
        </w:tabs>
        <w:spacing w:line="225" w:lineRule="auto" w:before="1" w:after="0"/>
        <w:ind w:left="113" w:right="127" w:firstLine="204"/>
        <w:jc w:val="both"/>
        <w:rPr>
          <w:sz w:val="24"/>
        </w:rPr>
      </w:pPr>
      <w:r>
        <w:rPr>
          <w:w w:val="130"/>
          <w:sz w:val="24"/>
        </w:rPr>
        <w:t>Magyarország területén székhellyel rendelkező pénzügyi intézmény</w:t>
      </w:r>
      <w:r>
        <w:rPr>
          <w:spacing w:val="-37"/>
          <w:w w:val="130"/>
          <w:sz w:val="24"/>
        </w:rPr>
        <w:t> </w:t>
      </w:r>
      <w:r>
        <w:rPr>
          <w:w w:val="130"/>
          <w:sz w:val="24"/>
        </w:rPr>
        <w:t>által külföldön létesített leányvállalat, fióktelep e törvényben meghatározott pénzügyi</w:t>
      </w:r>
      <w:r>
        <w:rPr>
          <w:spacing w:val="78"/>
          <w:w w:val="130"/>
          <w:sz w:val="24"/>
        </w:rPr>
        <w:t> </w:t>
      </w:r>
      <w:r>
        <w:rPr>
          <w:w w:val="130"/>
          <w:sz w:val="24"/>
        </w:rPr>
        <w:t>szolgáltatási,</w:t>
      </w:r>
      <w:r>
        <w:rPr>
          <w:spacing w:val="78"/>
          <w:w w:val="130"/>
          <w:sz w:val="24"/>
        </w:rPr>
        <w:t> </w:t>
      </w:r>
      <w:r>
        <w:rPr>
          <w:w w:val="130"/>
          <w:sz w:val="24"/>
        </w:rPr>
        <w:t>kiegészítő</w:t>
      </w:r>
      <w:r>
        <w:rPr>
          <w:spacing w:val="78"/>
          <w:w w:val="130"/>
          <w:sz w:val="24"/>
        </w:rPr>
        <w:t> </w:t>
      </w:r>
      <w:r>
        <w:rPr>
          <w:w w:val="130"/>
          <w:sz w:val="24"/>
        </w:rPr>
        <w:t>pénzügyi</w:t>
      </w:r>
      <w:r>
        <w:rPr>
          <w:spacing w:val="78"/>
          <w:w w:val="130"/>
          <w:sz w:val="24"/>
        </w:rPr>
        <w:t> </w:t>
      </w:r>
      <w:r>
        <w:rPr>
          <w:w w:val="130"/>
          <w:sz w:val="24"/>
        </w:rPr>
        <w:t>szolgáltatási,</w:t>
      </w:r>
      <w:r>
        <w:rPr>
          <w:spacing w:val="78"/>
          <w:w w:val="130"/>
          <w:sz w:val="24"/>
        </w:rPr>
        <w:t> </w:t>
      </w:r>
      <w:r>
        <w:rPr>
          <w:w w:val="130"/>
          <w:sz w:val="24"/>
        </w:rPr>
        <w:t>illetve bankképviseleti</w:t>
      </w:r>
      <w:r>
        <w:rPr>
          <w:spacing w:val="-23"/>
          <w:w w:val="130"/>
          <w:sz w:val="24"/>
        </w:rPr>
        <w:t> </w:t>
      </w:r>
      <w:r>
        <w:rPr>
          <w:w w:val="130"/>
          <w:sz w:val="24"/>
        </w:rPr>
        <w:t>tevékenységének</w:t>
      </w:r>
      <w:r>
        <w:rPr>
          <w:spacing w:val="-24"/>
          <w:w w:val="130"/>
          <w:sz w:val="24"/>
        </w:rPr>
        <w:t> </w:t>
      </w:r>
      <w:r>
        <w:rPr>
          <w:w w:val="130"/>
          <w:sz w:val="24"/>
        </w:rPr>
        <w:t>(1)</w:t>
      </w:r>
      <w:r>
        <w:rPr>
          <w:spacing w:val="-15"/>
          <w:w w:val="130"/>
          <w:sz w:val="24"/>
        </w:rPr>
        <w:t> </w:t>
      </w:r>
      <w:r>
        <w:rPr>
          <w:w w:val="130"/>
          <w:sz w:val="24"/>
        </w:rPr>
        <w:t>bekezdés</w:t>
      </w:r>
      <w:r>
        <w:rPr>
          <w:spacing w:val="-30"/>
          <w:w w:val="130"/>
          <w:sz w:val="24"/>
        </w:rPr>
        <w:t> </w:t>
      </w:r>
      <w:r>
        <w:rPr>
          <w:i/>
          <w:w w:val="130"/>
          <w:sz w:val="24"/>
        </w:rPr>
        <w:t>c)</w:t>
      </w:r>
      <w:r>
        <w:rPr>
          <w:i/>
          <w:spacing w:val="-23"/>
          <w:w w:val="130"/>
          <w:sz w:val="24"/>
        </w:rPr>
        <w:t> </w:t>
      </w:r>
      <w:r>
        <w:rPr>
          <w:w w:val="130"/>
          <w:sz w:val="24"/>
        </w:rPr>
        <w:t>pont</w:t>
      </w:r>
      <w:r>
        <w:rPr>
          <w:spacing w:val="-23"/>
          <w:w w:val="130"/>
          <w:sz w:val="24"/>
        </w:rPr>
        <w:t> </w:t>
      </w:r>
      <w:r>
        <w:rPr>
          <w:w w:val="130"/>
          <w:sz w:val="24"/>
        </w:rPr>
        <w:t>szerinti</w:t>
      </w:r>
      <w:r>
        <w:rPr>
          <w:spacing w:val="-23"/>
          <w:w w:val="130"/>
          <w:sz w:val="24"/>
        </w:rPr>
        <w:t> </w:t>
      </w:r>
      <w:r>
        <w:rPr>
          <w:w w:val="130"/>
          <w:sz w:val="24"/>
        </w:rPr>
        <w:t>felügyeletére,</w:t>
      </w:r>
    </w:p>
    <w:p>
      <w:pPr>
        <w:pStyle w:val="ListParagraph"/>
        <w:numPr>
          <w:ilvl w:val="0"/>
          <w:numId w:val="4"/>
        </w:numPr>
        <w:tabs>
          <w:tab w:pos="674" w:val="left" w:leader="none"/>
        </w:tabs>
        <w:spacing w:line="225" w:lineRule="auto" w:before="3" w:after="0"/>
        <w:ind w:left="113" w:right="129" w:firstLine="204"/>
        <w:jc w:val="both"/>
        <w:rPr>
          <w:sz w:val="24"/>
        </w:rPr>
      </w:pPr>
      <w:r>
        <w:rPr>
          <w:w w:val="125"/>
          <w:sz w:val="24"/>
        </w:rPr>
        <w:t>Magyarország területén székhellyel rendelkező pénzügyi intézmény által külföldön nyújtott pénzügyi szolgáltatási, kiegészítő pénzügyi szolgáltatási tevékenység (1) bekezdés </w:t>
      </w:r>
      <w:r>
        <w:rPr>
          <w:i/>
          <w:w w:val="125"/>
          <w:sz w:val="24"/>
        </w:rPr>
        <w:t>c) </w:t>
      </w:r>
      <w:r>
        <w:rPr>
          <w:w w:val="125"/>
          <w:sz w:val="24"/>
        </w:rPr>
        <w:t>pont szerinti felügyeletére,</w:t>
      </w:r>
      <w:r>
        <w:rPr>
          <w:spacing w:val="27"/>
          <w:w w:val="125"/>
          <w:sz w:val="24"/>
        </w:rPr>
        <w:t> </w:t>
      </w:r>
      <w:r>
        <w:rPr>
          <w:w w:val="125"/>
          <w:sz w:val="24"/>
        </w:rPr>
        <w:t>valamint</w:t>
      </w:r>
    </w:p>
    <w:p>
      <w:pPr>
        <w:pStyle w:val="ListParagraph"/>
        <w:numPr>
          <w:ilvl w:val="0"/>
          <w:numId w:val="4"/>
        </w:numPr>
        <w:tabs>
          <w:tab w:pos="629" w:val="left" w:leader="none"/>
        </w:tabs>
        <w:spacing w:line="225" w:lineRule="auto" w:before="1" w:after="0"/>
        <w:ind w:left="113" w:right="131" w:firstLine="204"/>
        <w:jc w:val="both"/>
        <w:rPr>
          <w:sz w:val="24"/>
        </w:rPr>
      </w:pPr>
      <w:r>
        <w:rPr>
          <w:w w:val="130"/>
          <w:sz w:val="24"/>
        </w:rPr>
        <w:t>a</w:t>
      </w:r>
      <w:r>
        <w:rPr>
          <w:spacing w:val="-49"/>
          <w:w w:val="130"/>
          <w:sz w:val="24"/>
        </w:rPr>
        <w:t> </w:t>
      </w:r>
      <w:r>
        <w:rPr>
          <w:w w:val="130"/>
          <w:sz w:val="24"/>
        </w:rPr>
        <w:t>külföldön</w:t>
      </w:r>
      <w:r>
        <w:rPr>
          <w:spacing w:val="-48"/>
          <w:w w:val="130"/>
          <w:sz w:val="24"/>
        </w:rPr>
        <w:t> </w:t>
      </w:r>
      <w:r>
        <w:rPr>
          <w:w w:val="130"/>
          <w:sz w:val="24"/>
        </w:rPr>
        <w:t>székhellyel</w:t>
      </w:r>
      <w:r>
        <w:rPr>
          <w:spacing w:val="-47"/>
          <w:w w:val="130"/>
          <w:sz w:val="24"/>
        </w:rPr>
        <w:t> </w:t>
      </w:r>
      <w:r>
        <w:rPr>
          <w:w w:val="130"/>
          <w:sz w:val="24"/>
        </w:rPr>
        <w:t>rendelkező</w:t>
      </w:r>
      <w:r>
        <w:rPr>
          <w:spacing w:val="-48"/>
          <w:w w:val="130"/>
          <w:sz w:val="24"/>
        </w:rPr>
        <w:t> </w:t>
      </w:r>
      <w:r>
        <w:rPr>
          <w:w w:val="130"/>
          <w:sz w:val="24"/>
        </w:rPr>
        <w:t>pénzügyi</w:t>
      </w:r>
      <w:r>
        <w:rPr>
          <w:spacing w:val="-47"/>
          <w:w w:val="130"/>
          <w:sz w:val="24"/>
        </w:rPr>
        <w:t> </w:t>
      </w:r>
      <w:r>
        <w:rPr>
          <w:w w:val="130"/>
          <w:sz w:val="24"/>
        </w:rPr>
        <w:t>intézmény</w:t>
      </w:r>
      <w:r>
        <w:rPr>
          <w:spacing w:val="-48"/>
          <w:w w:val="130"/>
          <w:sz w:val="24"/>
        </w:rPr>
        <w:t> </w:t>
      </w:r>
      <w:r>
        <w:rPr>
          <w:w w:val="130"/>
          <w:sz w:val="24"/>
        </w:rPr>
        <w:t>által</w:t>
      </w:r>
      <w:r>
        <w:rPr>
          <w:spacing w:val="-48"/>
          <w:w w:val="130"/>
          <w:sz w:val="24"/>
        </w:rPr>
        <w:t> </w:t>
      </w:r>
      <w:r>
        <w:rPr>
          <w:w w:val="130"/>
          <w:sz w:val="24"/>
        </w:rPr>
        <w:t>Magyarország területén történő, határon átnyúló pénzügyi szolgáltatás, kiegészítő pénzügyi szolgáltatás</w:t>
      </w:r>
      <w:r>
        <w:rPr>
          <w:spacing w:val="-3"/>
          <w:w w:val="130"/>
          <w:sz w:val="24"/>
        </w:rPr>
        <w:t> </w:t>
      </w:r>
      <w:r>
        <w:rPr>
          <w:w w:val="130"/>
          <w:sz w:val="24"/>
        </w:rPr>
        <w:t>nyújtására.</w:t>
      </w:r>
    </w:p>
    <w:p>
      <w:pPr>
        <w:pStyle w:val="ListParagraph"/>
        <w:numPr>
          <w:ilvl w:val="0"/>
          <w:numId w:val="2"/>
        </w:numPr>
        <w:tabs>
          <w:tab w:pos="652" w:val="left" w:leader="none"/>
        </w:tabs>
        <w:spacing w:line="256" w:lineRule="exact" w:before="0" w:after="0"/>
        <w:ind w:left="651" w:right="0" w:hanging="334"/>
        <w:jc w:val="left"/>
        <w:rPr>
          <w:sz w:val="24"/>
        </w:rPr>
      </w:pPr>
      <w:r>
        <w:rPr>
          <w:rFonts w:ascii="Arial" w:hAnsi="Arial"/>
          <w:b/>
          <w:w w:val="125"/>
          <w:sz w:val="24"/>
        </w:rPr>
        <w:t>§ </w:t>
      </w:r>
      <w:r>
        <w:rPr>
          <w:w w:val="125"/>
          <w:sz w:val="24"/>
        </w:rPr>
        <w:t>(1) E törvény hatálya nem terjed ki:</w:t>
      </w:r>
    </w:p>
    <w:p>
      <w:pPr>
        <w:pStyle w:val="ListParagraph"/>
        <w:numPr>
          <w:ilvl w:val="0"/>
          <w:numId w:val="5"/>
        </w:numPr>
        <w:tabs>
          <w:tab w:pos="855" w:val="left" w:leader="none"/>
        </w:tabs>
        <w:spacing w:line="225" w:lineRule="auto" w:before="6" w:after="0"/>
        <w:ind w:left="113" w:right="124" w:firstLine="204"/>
        <w:jc w:val="both"/>
        <w:rPr>
          <w:sz w:val="24"/>
        </w:rPr>
      </w:pPr>
      <w:r>
        <w:rPr>
          <w:w w:val="130"/>
          <w:sz w:val="24"/>
        </w:rPr>
        <w:t>az 1. mellékletben felsorolt nemzetközi pénzügyi intézmények Magyarország területén folytatott</w:t>
      </w:r>
      <w:r>
        <w:rPr>
          <w:spacing w:val="-14"/>
          <w:w w:val="130"/>
          <w:sz w:val="24"/>
        </w:rPr>
        <w:t> </w:t>
      </w:r>
      <w:r>
        <w:rPr>
          <w:w w:val="130"/>
          <w:sz w:val="24"/>
        </w:rPr>
        <w:t>tevékenységére,</w:t>
      </w: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1024;mso-wrap-distance-left:0;mso-wrap-distance-right:0" from="56.693001pt,12.676102pt" to="538.583001pt,12.67610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Kihirdetve: 2013. XII.</w:t>
      </w:r>
      <w:r>
        <w:rPr>
          <w:i/>
          <w:spacing w:val="-1"/>
          <w:w w:val="125"/>
          <w:sz w:val="18"/>
        </w:rPr>
        <w:t> </w:t>
      </w:r>
      <w:r>
        <w:rPr>
          <w:i/>
          <w:w w:val="125"/>
          <w:sz w:val="18"/>
        </w:rPr>
        <w:t>23.</w:t>
      </w:r>
    </w:p>
    <w:p>
      <w:pPr>
        <w:spacing w:after="0"/>
        <w:jc w:val="left"/>
        <w:rPr>
          <w:sz w:val="18"/>
        </w:rPr>
        <w:sectPr>
          <w:headerReference w:type="default" r:id="rId5"/>
          <w:type w:val="continuous"/>
          <w:pgSz w:w="11900" w:h="16820"/>
          <w:pgMar w:header="1104" w:top="1840" w:bottom="280" w:left="1020" w:right="1000"/>
          <w:pgNumType w:start="1"/>
        </w:sectPr>
      </w:pPr>
    </w:p>
    <w:p>
      <w:pPr>
        <w:pStyle w:val="ListParagraph"/>
        <w:numPr>
          <w:ilvl w:val="0"/>
          <w:numId w:val="5"/>
        </w:numPr>
        <w:tabs>
          <w:tab w:pos="672" w:val="left" w:leader="none"/>
        </w:tabs>
        <w:spacing w:line="225" w:lineRule="auto" w:before="173" w:after="0"/>
        <w:ind w:left="113" w:right="127" w:firstLine="204"/>
        <w:jc w:val="both"/>
        <w:rPr>
          <w:sz w:val="24"/>
        </w:rPr>
      </w:pPr>
      <w:r>
        <w:rPr>
          <w:w w:val="125"/>
          <w:sz w:val="24"/>
        </w:rPr>
        <w:t>a betétnek nem minősülő, visszafizetendő pénzeszközöknek az állam és a helyi önkormányzatok által a nyilvánosságtól történő - törvényben</w:t>
      </w:r>
      <w:r>
        <w:rPr>
          <w:spacing w:val="30"/>
          <w:w w:val="125"/>
          <w:sz w:val="24"/>
        </w:rPr>
        <w:t> </w:t>
      </w:r>
      <w:r>
        <w:rPr>
          <w:w w:val="125"/>
          <w:sz w:val="24"/>
        </w:rPr>
        <w:t>szabályozott</w:t>
      </w:r>
    </w:p>
    <w:p>
      <w:pPr>
        <w:pStyle w:val="ListParagraph"/>
        <w:numPr>
          <w:ilvl w:val="0"/>
          <w:numId w:val="6"/>
        </w:numPr>
        <w:tabs>
          <w:tab w:pos="271" w:val="left" w:leader="none"/>
        </w:tabs>
        <w:spacing w:line="256" w:lineRule="exact" w:before="0" w:after="0"/>
        <w:ind w:left="113" w:right="0" w:firstLine="0"/>
        <w:jc w:val="left"/>
        <w:rPr>
          <w:sz w:val="24"/>
        </w:rPr>
      </w:pPr>
      <w:r>
        <w:rPr>
          <w:w w:val="130"/>
          <w:sz w:val="24"/>
        </w:rPr>
        <w:t>gyűjtésére,</w:t>
      </w:r>
    </w:p>
    <w:p>
      <w:pPr>
        <w:pStyle w:val="ListParagraph"/>
        <w:numPr>
          <w:ilvl w:val="0"/>
          <w:numId w:val="5"/>
        </w:numPr>
        <w:tabs>
          <w:tab w:pos="809" w:val="left" w:leader="none"/>
        </w:tabs>
        <w:spacing w:line="225" w:lineRule="auto" w:before="5" w:after="0"/>
        <w:ind w:left="113" w:right="126" w:firstLine="204"/>
        <w:jc w:val="both"/>
        <w:rPr>
          <w:sz w:val="24"/>
        </w:rPr>
      </w:pPr>
      <w:r>
        <w:rPr>
          <w:w w:val="130"/>
          <w:sz w:val="24"/>
        </w:rPr>
        <w:t>a pénzletétkezelésre, ha annak üzletszerű végzéséről jogszabály rendelkezik,</w:t>
      </w:r>
    </w:p>
    <w:p>
      <w:pPr>
        <w:pStyle w:val="ListParagraph"/>
        <w:numPr>
          <w:ilvl w:val="0"/>
          <w:numId w:val="5"/>
        </w:numPr>
        <w:tabs>
          <w:tab w:pos="656" w:val="left" w:leader="none"/>
        </w:tabs>
        <w:spacing w:line="225" w:lineRule="auto" w:before="1" w:after="0"/>
        <w:ind w:left="113" w:right="133" w:firstLine="204"/>
        <w:jc w:val="both"/>
        <w:rPr>
          <w:sz w:val="24"/>
        </w:rPr>
      </w:pPr>
      <w:r>
        <w:rPr>
          <w:w w:val="130"/>
          <w:sz w:val="24"/>
        </w:rPr>
        <w:t>a</w:t>
      </w:r>
      <w:r>
        <w:rPr>
          <w:spacing w:val="-13"/>
          <w:w w:val="130"/>
          <w:sz w:val="24"/>
        </w:rPr>
        <w:t> </w:t>
      </w:r>
      <w:r>
        <w:rPr>
          <w:w w:val="130"/>
          <w:sz w:val="24"/>
        </w:rPr>
        <w:t>nem</w:t>
      </w:r>
      <w:r>
        <w:rPr>
          <w:spacing w:val="-12"/>
          <w:w w:val="130"/>
          <w:sz w:val="24"/>
        </w:rPr>
        <w:t> </w:t>
      </w:r>
      <w:r>
        <w:rPr>
          <w:w w:val="130"/>
          <w:sz w:val="24"/>
        </w:rPr>
        <w:t>pénzügyi</w:t>
      </w:r>
      <w:r>
        <w:rPr>
          <w:spacing w:val="-13"/>
          <w:w w:val="130"/>
          <w:sz w:val="24"/>
        </w:rPr>
        <w:t> </w:t>
      </w:r>
      <w:r>
        <w:rPr>
          <w:w w:val="130"/>
          <w:sz w:val="24"/>
        </w:rPr>
        <w:t>intézmény</w:t>
      </w:r>
      <w:r>
        <w:rPr>
          <w:spacing w:val="-13"/>
          <w:w w:val="130"/>
          <w:sz w:val="24"/>
        </w:rPr>
        <w:t> </w:t>
      </w:r>
      <w:r>
        <w:rPr>
          <w:w w:val="130"/>
          <w:sz w:val="24"/>
        </w:rPr>
        <w:t>által</w:t>
      </w:r>
      <w:r>
        <w:rPr>
          <w:spacing w:val="-13"/>
          <w:w w:val="130"/>
          <w:sz w:val="24"/>
        </w:rPr>
        <w:t> </w:t>
      </w:r>
      <w:r>
        <w:rPr>
          <w:w w:val="130"/>
          <w:sz w:val="24"/>
        </w:rPr>
        <w:t>történő</w:t>
      </w:r>
      <w:r>
        <w:rPr>
          <w:spacing w:val="-3"/>
          <w:w w:val="130"/>
          <w:sz w:val="24"/>
        </w:rPr>
        <w:t> </w:t>
      </w:r>
      <w:r>
        <w:rPr>
          <w:w w:val="130"/>
          <w:sz w:val="24"/>
        </w:rPr>
        <w:t>vámkezesség</w:t>
      </w:r>
      <w:r>
        <w:rPr>
          <w:spacing w:val="-22"/>
          <w:w w:val="130"/>
          <w:sz w:val="24"/>
        </w:rPr>
        <w:t> </w:t>
      </w:r>
      <w:r>
        <w:rPr>
          <w:w w:val="130"/>
          <w:sz w:val="24"/>
        </w:rPr>
        <w:t>nyújtására,</w:t>
      </w:r>
      <w:r>
        <w:rPr>
          <w:spacing w:val="-12"/>
          <w:w w:val="130"/>
          <w:sz w:val="24"/>
        </w:rPr>
        <w:t> </w:t>
      </w:r>
      <w:r>
        <w:rPr>
          <w:w w:val="130"/>
          <w:sz w:val="24"/>
        </w:rPr>
        <w:t>továbbá a vámigazgatási eljárásban a közvetett képviselő által a vámfizetési kötelezettség teljesítése érdekében végzett pénzügyi</w:t>
      </w:r>
      <w:r>
        <w:rPr>
          <w:spacing w:val="-35"/>
          <w:w w:val="130"/>
          <w:sz w:val="24"/>
        </w:rPr>
        <w:t> </w:t>
      </w:r>
      <w:r>
        <w:rPr>
          <w:w w:val="130"/>
          <w:sz w:val="24"/>
        </w:rPr>
        <w:t>szolgáltatásra,</w:t>
      </w:r>
    </w:p>
    <w:p>
      <w:pPr>
        <w:pStyle w:val="ListParagraph"/>
        <w:numPr>
          <w:ilvl w:val="0"/>
          <w:numId w:val="5"/>
        </w:numPr>
        <w:tabs>
          <w:tab w:pos="645" w:val="left" w:leader="none"/>
        </w:tabs>
        <w:spacing w:line="225" w:lineRule="auto" w:before="2" w:after="0"/>
        <w:ind w:left="113" w:right="135" w:firstLine="204"/>
        <w:jc w:val="both"/>
        <w:rPr>
          <w:sz w:val="24"/>
        </w:rPr>
      </w:pPr>
      <w:r>
        <w:rPr>
          <w:w w:val="130"/>
          <w:sz w:val="24"/>
        </w:rPr>
        <w:t>a</w:t>
      </w:r>
      <w:r>
        <w:rPr>
          <w:spacing w:val="-8"/>
          <w:w w:val="130"/>
          <w:sz w:val="24"/>
        </w:rPr>
        <w:t> </w:t>
      </w:r>
      <w:r>
        <w:rPr>
          <w:w w:val="130"/>
          <w:sz w:val="24"/>
        </w:rPr>
        <w:t>kifizetőt</w:t>
      </w:r>
      <w:r>
        <w:rPr>
          <w:spacing w:val="-3"/>
          <w:w w:val="130"/>
          <w:sz w:val="24"/>
        </w:rPr>
        <w:t> </w:t>
      </w:r>
      <w:r>
        <w:rPr>
          <w:w w:val="130"/>
          <w:sz w:val="24"/>
        </w:rPr>
        <w:t>terhelő</w:t>
      </w:r>
      <w:r>
        <w:rPr>
          <w:spacing w:val="-1"/>
          <w:w w:val="130"/>
          <w:sz w:val="24"/>
        </w:rPr>
        <w:t> </w:t>
      </w:r>
      <w:r>
        <w:rPr>
          <w:w w:val="130"/>
          <w:sz w:val="24"/>
        </w:rPr>
        <w:t>adó</w:t>
      </w:r>
      <w:r>
        <w:rPr>
          <w:spacing w:val="-19"/>
          <w:w w:val="130"/>
          <w:sz w:val="24"/>
        </w:rPr>
        <w:t> </w:t>
      </w:r>
      <w:r>
        <w:rPr>
          <w:w w:val="130"/>
          <w:sz w:val="24"/>
        </w:rPr>
        <w:t>mellett</w:t>
      </w:r>
      <w:r>
        <w:rPr>
          <w:spacing w:val="-1"/>
          <w:w w:val="130"/>
          <w:sz w:val="24"/>
        </w:rPr>
        <w:t> </w:t>
      </w:r>
      <w:r>
        <w:rPr>
          <w:w w:val="130"/>
          <w:sz w:val="24"/>
        </w:rPr>
        <w:t>vagy</w:t>
      </w:r>
      <w:r>
        <w:rPr>
          <w:spacing w:val="-14"/>
          <w:w w:val="130"/>
          <w:sz w:val="24"/>
        </w:rPr>
        <w:t> </w:t>
      </w:r>
      <w:r>
        <w:rPr>
          <w:w w:val="130"/>
          <w:sz w:val="24"/>
        </w:rPr>
        <w:t>adómentesen</w:t>
      </w:r>
      <w:r>
        <w:rPr>
          <w:spacing w:val="-8"/>
          <w:w w:val="130"/>
          <w:sz w:val="24"/>
        </w:rPr>
        <w:t> </w:t>
      </w:r>
      <w:r>
        <w:rPr>
          <w:w w:val="130"/>
          <w:sz w:val="24"/>
        </w:rPr>
        <w:t>adható,</w:t>
      </w:r>
      <w:r>
        <w:rPr>
          <w:spacing w:val="-7"/>
          <w:w w:val="130"/>
          <w:sz w:val="24"/>
        </w:rPr>
        <w:t> </w:t>
      </w:r>
      <w:r>
        <w:rPr>
          <w:w w:val="130"/>
          <w:sz w:val="24"/>
        </w:rPr>
        <w:t>korlátozott</w:t>
      </w:r>
      <w:r>
        <w:rPr>
          <w:spacing w:val="-8"/>
          <w:w w:val="130"/>
          <w:sz w:val="24"/>
        </w:rPr>
        <w:t> </w:t>
      </w:r>
      <w:r>
        <w:rPr>
          <w:w w:val="130"/>
          <w:sz w:val="24"/>
        </w:rPr>
        <w:t>körű áruk</w:t>
      </w:r>
      <w:r>
        <w:rPr>
          <w:spacing w:val="-27"/>
          <w:w w:val="130"/>
          <w:sz w:val="24"/>
        </w:rPr>
        <w:t> </w:t>
      </w:r>
      <w:r>
        <w:rPr>
          <w:w w:val="130"/>
          <w:sz w:val="24"/>
        </w:rPr>
        <w:t>vagy</w:t>
      </w:r>
      <w:r>
        <w:rPr>
          <w:spacing w:val="-26"/>
          <w:w w:val="130"/>
          <w:sz w:val="24"/>
        </w:rPr>
        <w:t> </w:t>
      </w:r>
      <w:r>
        <w:rPr>
          <w:w w:val="130"/>
          <w:sz w:val="24"/>
        </w:rPr>
        <w:t>szolgáltatások</w:t>
      </w:r>
      <w:r>
        <w:rPr>
          <w:spacing w:val="-25"/>
          <w:w w:val="130"/>
          <w:sz w:val="24"/>
        </w:rPr>
        <w:t> </w:t>
      </w:r>
      <w:r>
        <w:rPr>
          <w:w w:val="130"/>
          <w:sz w:val="24"/>
        </w:rPr>
        <w:t>ellenértékének</w:t>
      </w:r>
      <w:r>
        <w:rPr>
          <w:spacing w:val="-27"/>
          <w:w w:val="130"/>
          <w:sz w:val="24"/>
        </w:rPr>
        <w:t> </w:t>
      </w:r>
      <w:r>
        <w:rPr>
          <w:w w:val="130"/>
          <w:sz w:val="24"/>
        </w:rPr>
        <w:t>kiegyenlítése</w:t>
      </w:r>
      <w:r>
        <w:rPr>
          <w:spacing w:val="-26"/>
          <w:w w:val="130"/>
          <w:sz w:val="24"/>
        </w:rPr>
        <w:t> </w:t>
      </w:r>
      <w:r>
        <w:rPr>
          <w:w w:val="130"/>
          <w:sz w:val="24"/>
        </w:rPr>
        <w:t>céljából</w:t>
      </w:r>
      <w:r>
        <w:rPr>
          <w:spacing w:val="-25"/>
          <w:w w:val="130"/>
          <w:sz w:val="24"/>
        </w:rPr>
        <w:t> </w:t>
      </w:r>
      <w:r>
        <w:rPr>
          <w:w w:val="130"/>
          <w:sz w:val="24"/>
        </w:rPr>
        <w:t>törvény</w:t>
      </w:r>
      <w:r>
        <w:rPr>
          <w:spacing w:val="-27"/>
          <w:w w:val="130"/>
          <w:sz w:val="24"/>
        </w:rPr>
        <w:t> </w:t>
      </w:r>
      <w:r>
        <w:rPr>
          <w:w w:val="130"/>
          <w:sz w:val="24"/>
        </w:rPr>
        <w:t>alapján kibocsátott utalványra,</w:t>
      </w:r>
      <w:r>
        <w:rPr>
          <w:spacing w:val="-8"/>
          <w:w w:val="130"/>
          <w:sz w:val="24"/>
        </w:rPr>
        <w:t> </w:t>
      </w:r>
      <w:r>
        <w:rPr>
          <w:w w:val="130"/>
          <w:sz w:val="24"/>
        </w:rPr>
        <w:t>valamint</w:t>
      </w:r>
    </w:p>
    <w:p>
      <w:pPr>
        <w:pStyle w:val="ListParagraph"/>
        <w:numPr>
          <w:ilvl w:val="0"/>
          <w:numId w:val="5"/>
        </w:numPr>
        <w:tabs>
          <w:tab w:pos="652" w:val="left" w:leader="none"/>
        </w:tabs>
        <w:spacing w:line="225" w:lineRule="auto" w:before="2" w:after="0"/>
        <w:ind w:left="113" w:right="124" w:firstLine="204"/>
        <w:jc w:val="both"/>
        <w:rPr>
          <w:sz w:val="24"/>
        </w:rPr>
      </w:pPr>
      <w:r>
        <w:rPr>
          <w:w w:val="125"/>
          <w:sz w:val="24"/>
        </w:rPr>
        <w:t>a Magyar Vállalkozásfejlesztési Alapítvány Országos Mikrohitel Alapból történő pénzkölcsön nyújtási tevékenységére, valamint a megyei és fővárosi vállalkozásfejlesztési alapítványok mikrohitelezési</w:t>
      </w:r>
      <w:r>
        <w:rPr>
          <w:spacing w:val="2"/>
          <w:w w:val="125"/>
          <w:sz w:val="24"/>
        </w:rPr>
        <w:t> </w:t>
      </w:r>
      <w:r>
        <w:rPr>
          <w:w w:val="125"/>
          <w:sz w:val="24"/>
        </w:rPr>
        <w:t>tevékenységére.</w:t>
      </w:r>
    </w:p>
    <w:p>
      <w:pPr>
        <w:pStyle w:val="ListParagraph"/>
        <w:numPr>
          <w:ilvl w:val="0"/>
          <w:numId w:val="7"/>
        </w:numPr>
        <w:tabs>
          <w:tab w:pos="734" w:val="left" w:leader="none"/>
        </w:tabs>
        <w:spacing w:line="256" w:lineRule="exact" w:before="0" w:after="0"/>
        <w:ind w:left="733" w:right="0" w:hanging="416"/>
        <w:jc w:val="left"/>
        <w:rPr>
          <w:sz w:val="24"/>
        </w:rPr>
      </w:pPr>
      <w:r>
        <w:rPr>
          <w:w w:val="125"/>
          <w:sz w:val="24"/>
        </w:rPr>
        <w:t>E törvény hatálya nem terjed</w:t>
      </w:r>
      <w:r>
        <w:rPr>
          <w:spacing w:val="4"/>
          <w:w w:val="125"/>
          <w:sz w:val="24"/>
        </w:rPr>
        <w:t> </w:t>
      </w:r>
      <w:r>
        <w:rPr>
          <w:w w:val="125"/>
          <w:sz w:val="24"/>
        </w:rPr>
        <w:t>ki:</w:t>
      </w:r>
    </w:p>
    <w:p>
      <w:pPr>
        <w:pStyle w:val="ListParagraph"/>
        <w:numPr>
          <w:ilvl w:val="0"/>
          <w:numId w:val="8"/>
        </w:numPr>
        <w:tabs>
          <w:tab w:pos="631" w:val="left" w:leader="none"/>
        </w:tabs>
        <w:spacing w:line="260" w:lineRule="exact" w:before="0" w:after="0"/>
        <w:ind w:left="630" w:right="0" w:hanging="313"/>
        <w:jc w:val="left"/>
        <w:rPr>
          <w:sz w:val="24"/>
        </w:rPr>
      </w:pPr>
      <w:r>
        <w:rPr>
          <w:w w:val="125"/>
          <w:sz w:val="24"/>
        </w:rPr>
        <w:t>az elkülönített állami</w:t>
      </w:r>
      <w:r>
        <w:rPr>
          <w:spacing w:val="2"/>
          <w:w w:val="125"/>
          <w:sz w:val="24"/>
        </w:rPr>
        <w:t> </w:t>
      </w:r>
      <w:r>
        <w:rPr>
          <w:w w:val="125"/>
          <w:sz w:val="24"/>
        </w:rPr>
        <w:t>pénzalapokra,</w:t>
      </w:r>
    </w:p>
    <w:p>
      <w:pPr>
        <w:pStyle w:val="ListParagraph"/>
        <w:numPr>
          <w:ilvl w:val="0"/>
          <w:numId w:val="8"/>
        </w:numPr>
        <w:tabs>
          <w:tab w:pos="653" w:val="left" w:leader="none"/>
        </w:tabs>
        <w:spacing w:line="260" w:lineRule="exact" w:before="0" w:after="0"/>
        <w:ind w:left="652" w:right="0" w:hanging="335"/>
        <w:jc w:val="left"/>
        <w:rPr>
          <w:sz w:val="24"/>
        </w:rPr>
      </w:pPr>
      <w:r>
        <w:rPr>
          <w:w w:val="125"/>
          <w:sz w:val="24"/>
        </w:rPr>
        <w:t>a Magyar Nemzeti Vagyonkezelő Zrt.-re,</w:t>
      </w:r>
      <w:r>
        <w:rPr>
          <w:spacing w:val="-13"/>
          <w:w w:val="125"/>
          <w:sz w:val="24"/>
        </w:rPr>
        <w:t> </w:t>
      </w:r>
      <w:r>
        <w:rPr>
          <w:w w:val="125"/>
          <w:sz w:val="24"/>
        </w:rPr>
        <w:t>valamint</w:t>
      </w:r>
    </w:p>
    <w:p>
      <w:pPr>
        <w:pStyle w:val="ListParagraph"/>
        <w:numPr>
          <w:ilvl w:val="0"/>
          <w:numId w:val="8"/>
        </w:numPr>
        <w:tabs>
          <w:tab w:pos="732" w:val="left" w:leader="none"/>
        </w:tabs>
        <w:spacing w:line="225" w:lineRule="auto" w:before="5" w:after="0"/>
        <w:ind w:left="113" w:right="130" w:firstLine="204"/>
        <w:jc w:val="both"/>
        <w:rPr>
          <w:sz w:val="24"/>
        </w:rPr>
      </w:pPr>
      <w:r>
        <w:rPr>
          <w:w w:val="130"/>
          <w:sz w:val="24"/>
        </w:rPr>
        <w:t>a hallgatói hitelrendszerről szóló kormányrendeletben meghatározott Diákhitel</w:t>
      </w:r>
      <w:r>
        <w:rPr>
          <w:spacing w:val="-4"/>
          <w:w w:val="130"/>
          <w:sz w:val="24"/>
        </w:rPr>
        <w:t> </w:t>
      </w:r>
      <w:r>
        <w:rPr>
          <w:w w:val="130"/>
          <w:sz w:val="24"/>
        </w:rPr>
        <w:t>szervezetre.</w:t>
      </w:r>
    </w:p>
    <w:p>
      <w:pPr>
        <w:pStyle w:val="ListParagraph"/>
        <w:numPr>
          <w:ilvl w:val="0"/>
          <w:numId w:val="7"/>
        </w:numPr>
        <w:tabs>
          <w:tab w:pos="803" w:val="left" w:leader="none"/>
        </w:tabs>
        <w:spacing w:line="225" w:lineRule="auto" w:before="1" w:after="0"/>
        <w:ind w:left="113" w:right="129" w:firstLine="204"/>
        <w:jc w:val="both"/>
        <w:rPr>
          <w:sz w:val="24"/>
        </w:rPr>
      </w:pPr>
      <w:r>
        <w:rPr>
          <w:w w:val="125"/>
          <w:sz w:val="24"/>
        </w:rPr>
        <w:t>E törvény hatálya a Magyar Nemzeti Bankra (a továbbiakban: MNB) kizárólag az engedélyezési, felügyeleti és makroprudenciális tevékenysége, az üzleti titok és banktitok kezelésének szabályai, továbbá azon rendelkezések tekintetében terjed ki, ahol e törvény az MNB-t kifejezetten</w:t>
      </w:r>
      <w:r>
        <w:rPr>
          <w:spacing w:val="21"/>
          <w:w w:val="125"/>
          <w:sz w:val="24"/>
        </w:rPr>
        <w:t> </w:t>
      </w:r>
      <w:r>
        <w:rPr>
          <w:w w:val="125"/>
          <w:sz w:val="24"/>
        </w:rPr>
        <w:t>nevesíti.</w:t>
      </w:r>
    </w:p>
    <w:p>
      <w:pPr>
        <w:pStyle w:val="ListParagraph"/>
        <w:numPr>
          <w:ilvl w:val="0"/>
          <w:numId w:val="7"/>
        </w:numPr>
        <w:tabs>
          <w:tab w:pos="659" w:val="left" w:leader="none"/>
          <w:tab w:pos="5234" w:val="left" w:leader="none"/>
        </w:tabs>
        <w:spacing w:line="251" w:lineRule="exact" w:before="0" w:after="0"/>
        <w:ind w:left="658" w:right="0" w:hanging="341"/>
        <w:jc w:val="left"/>
        <w:rPr>
          <w:sz w:val="24"/>
        </w:rPr>
      </w:pPr>
      <w:r>
        <w:rPr>
          <w:i/>
          <w:w w:val="125"/>
          <w:position w:val="3"/>
          <w:sz w:val="18"/>
        </w:rPr>
        <w:t>1   </w:t>
      </w:r>
      <w:r>
        <w:rPr>
          <w:w w:val="125"/>
          <w:sz w:val="24"/>
        </w:rPr>
        <w:t>A   164/B.   §</w:t>
      </w:r>
      <w:r>
        <w:rPr>
          <w:spacing w:val="31"/>
          <w:w w:val="125"/>
          <w:sz w:val="24"/>
        </w:rPr>
        <w:t> </w:t>
      </w:r>
      <w:r>
        <w:rPr>
          <w:w w:val="125"/>
          <w:sz w:val="24"/>
        </w:rPr>
        <w:t>rendelkezéseit </w:t>
      </w:r>
      <w:r>
        <w:rPr>
          <w:spacing w:val="31"/>
          <w:w w:val="125"/>
          <w:sz w:val="24"/>
        </w:rPr>
        <w:t> </w:t>
      </w:r>
      <w:r>
        <w:rPr>
          <w:w w:val="125"/>
          <w:sz w:val="24"/>
        </w:rPr>
        <w:t>kell</w:t>
        <w:tab/>
        <w:t>alkalmazni a hitelintézet</w:t>
      </w:r>
      <w:r>
        <w:rPr>
          <w:spacing w:val="62"/>
          <w:w w:val="125"/>
          <w:sz w:val="24"/>
        </w:rPr>
        <w:t> </w:t>
      </w:r>
      <w:r>
        <w:rPr>
          <w:w w:val="125"/>
          <w:sz w:val="24"/>
        </w:rPr>
        <w:t>ellenőrző</w:t>
      </w:r>
    </w:p>
    <w:p>
      <w:pPr>
        <w:pStyle w:val="BodyText"/>
        <w:spacing w:line="225" w:lineRule="auto" w:before="12"/>
        <w:ind w:right="126" w:firstLine="0"/>
        <w:jc w:val="both"/>
      </w:pPr>
      <w:r>
        <w:rPr>
          <w:w w:val="125"/>
        </w:rPr>
        <w:t>befolyása alatt működő pénzügyi intézménynek, pénzforgalmi intézménynek, elektronikuspénz-kibocsátó intézménynek, befektetési vállalkozásnak, biztosítónak,</w:t>
      </w:r>
      <w:r>
        <w:rPr>
          <w:spacing w:val="-24"/>
          <w:w w:val="125"/>
        </w:rPr>
        <w:t> </w:t>
      </w:r>
      <w:r>
        <w:rPr>
          <w:w w:val="125"/>
        </w:rPr>
        <w:t>ABAK-nak</w:t>
      </w:r>
      <w:r>
        <w:rPr>
          <w:spacing w:val="-24"/>
          <w:w w:val="125"/>
        </w:rPr>
        <w:t> </w:t>
      </w:r>
      <w:r>
        <w:rPr>
          <w:w w:val="125"/>
        </w:rPr>
        <w:t>és</w:t>
      </w:r>
      <w:r>
        <w:rPr>
          <w:spacing w:val="-24"/>
          <w:w w:val="125"/>
        </w:rPr>
        <w:t> </w:t>
      </w:r>
      <w:r>
        <w:rPr>
          <w:w w:val="125"/>
        </w:rPr>
        <w:t>ÁÉKBV-alapkezelőnek</w:t>
      </w:r>
      <w:r>
        <w:rPr>
          <w:spacing w:val="-23"/>
          <w:w w:val="125"/>
        </w:rPr>
        <w:t> </w:t>
      </w:r>
      <w:r>
        <w:rPr>
          <w:w w:val="125"/>
        </w:rPr>
        <w:t>nem</w:t>
      </w:r>
      <w:r>
        <w:rPr>
          <w:spacing w:val="-24"/>
          <w:w w:val="125"/>
        </w:rPr>
        <w:t> </w:t>
      </w:r>
      <w:r>
        <w:rPr>
          <w:w w:val="125"/>
        </w:rPr>
        <w:t>minősülő</w:t>
      </w:r>
      <w:r>
        <w:rPr>
          <w:spacing w:val="-24"/>
          <w:w w:val="125"/>
        </w:rPr>
        <w:t> </w:t>
      </w:r>
      <w:r>
        <w:rPr>
          <w:w w:val="125"/>
        </w:rPr>
        <w:t>vállalkozások tekintetében.</w:t>
      </w:r>
    </w:p>
    <w:p>
      <w:pPr>
        <w:pStyle w:val="ListParagraph"/>
        <w:numPr>
          <w:ilvl w:val="1"/>
          <w:numId w:val="2"/>
        </w:numPr>
        <w:tabs>
          <w:tab w:pos="1484" w:val="left" w:leader="none"/>
        </w:tabs>
        <w:spacing w:line="240" w:lineRule="auto" w:before="229" w:after="0"/>
        <w:ind w:left="1483" w:right="0" w:hanging="305"/>
        <w:jc w:val="left"/>
        <w:rPr>
          <w:sz w:val="24"/>
        </w:rPr>
      </w:pPr>
      <w:r>
        <w:rPr>
          <w:w w:val="125"/>
          <w:sz w:val="24"/>
        </w:rPr>
        <w:t>A pénzügyi szolgáltatás és kiegészítő pénzügyi</w:t>
      </w:r>
      <w:r>
        <w:rPr>
          <w:spacing w:val="25"/>
          <w:w w:val="125"/>
          <w:sz w:val="24"/>
        </w:rPr>
        <w:t> </w:t>
      </w:r>
      <w:r>
        <w:rPr>
          <w:w w:val="125"/>
          <w:sz w:val="24"/>
        </w:rPr>
        <w:t>szolgáltatás</w:t>
      </w:r>
    </w:p>
    <w:p>
      <w:pPr>
        <w:pStyle w:val="ListParagraph"/>
        <w:numPr>
          <w:ilvl w:val="1"/>
          <w:numId w:val="2"/>
        </w:numPr>
        <w:tabs>
          <w:tab w:pos="676" w:val="left" w:leader="none"/>
        </w:tabs>
        <w:spacing w:line="225" w:lineRule="auto" w:before="236" w:after="0"/>
        <w:ind w:left="113" w:right="133" w:firstLine="204"/>
        <w:jc w:val="left"/>
        <w:rPr>
          <w:rFonts w:ascii="Arial" w:hAnsi="Arial"/>
          <w:sz w:val="24"/>
        </w:rPr>
      </w:pPr>
      <w:r>
        <w:rPr>
          <w:rFonts w:ascii="Arial" w:hAnsi="Arial"/>
          <w:b/>
          <w:w w:val="125"/>
          <w:sz w:val="24"/>
        </w:rPr>
        <w:t>§ </w:t>
      </w:r>
      <w:r>
        <w:rPr>
          <w:w w:val="125"/>
          <w:sz w:val="24"/>
        </w:rPr>
        <w:t>(1) Pénzügyi szolgáltatás a következő tevékenységek üzletszerű végzése forintban, devizában vagy</w:t>
      </w:r>
      <w:r>
        <w:rPr>
          <w:spacing w:val="3"/>
          <w:w w:val="125"/>
          <w:sz w:val="24"/>
        </w:rPr>
        <w:t> </w:t>
      </w:r>
      <w:r>
        <w:rPr>
          <w:w w:val="125"/>
          <w:sz w:val="24"/>
        </w:rPr>
        <w:t>valutában:</w:t>
      </w:r>
    </w:p>
    <w:p>
      <w:pPr>
        <w:pStyle w:val="ListParagraph"/>
        <w:numPr>
          <w:ilvl w:val="0"/>
          <w:numId w:val="9"/>
        </w:numPr>
        <w:tabs>
          <w:tab w:pos="653" w:val="left" w:leader="none"/>
        </w:tabs>
        <w:spacing w:line="225" w:lineRule="auto" w:before="1" w:after="0"/>
        <w:ind w:left="113" w:right="130" w:firstLine="204"/>
        <w:jc w:val="left"/>
        <w:rPr>
          <w:sz w:val="24"/>
        </w:rPr>
      </w:pPr>
      <w:r>
        <w:rPr>
          <w:w w:val="125"/>
          <w:sz w:val="24"/>
        </w:rPr>
        <w:t>betét gyűjtése és más visszafizetendő pénzeszköz nyilvánosságtól történő elfogadása,</w:t>
      </w:r>
    </w:p>
    <w:p>
      <w:pPr>
        <w:pStyle w:val="ListParagraph"/>
        <w:numPr>
          <w:ilvl w:val="0"/>
          <w:numId w:val="9"/>
        </w:numPr>
        <w:tabs>
          <w:tab w:pos="653" w:val="left" w:leader="none"/>
        </w:tabs>
        <w:spacing w:line="256" w:lineRule="exact" w:before="0" w:after="0"/>
        <w:ind w:left="652" w:right="0" w:hanging="335"/>
        <w:jc w:val="left"/>
        <w:rPr>
          <w:sz w:val="24"/>
        </w:rPr>
      </w:pPr>
      <w:r>
        <w:rPr>
          <w:w w:val="130"/>
          <w:sz w:val="24"/>
        </w:rPr>
        <w:t>hitel és pénzkölcsön</w:t>
      </w:r>
      <w:r>
        <w:rPr>
          <w:spacing w:val="-22"/>
          <w:w w:val="130"/>
          <w:sz w:val="24"/>
        </w:rPr>
        <w:t> </w:t>
      </w:r>
      <w:r>
        <w:rPr>
          <w:w w:val="130"/>
          <w:sz w:val="24"/>
        </w:rPr>
        <w:t>nyújtása,</w:t>
      </w:r>
    </w:p>
    <w:p>
      <w:pPr>
        <w:pStyle w:val="ListParagraph"/>
        <w:numPr>
          <w:ilvl w:val="0"/>
          <w:numId w:val="9"/>
        </w:numPr>
        <w:tabs>
          <w:tab w:pos="623" w:val="left" w:leader="none"/>
        </w:tabs>
        <w:spacing w:line="260" w:lineRule="exact" w:before="0" w:after="0"/>
        <w:ind w:left="622" w:right="0" w:hanging="305"/>
        <w:jc w:val="left"/>
        <w:rPr>
          <w:sz w:val="24"/>
        </w:rPr>
      </w:pPr>
      <w:r>
        <w:rPr>
          <w:w w:val="125"/>
          <w:sz w:val="24"/>
        </w:rPr>
        <w:t>pénzügyi lízing,</w:t>
      </w:r>
    </w:p>
    <w:p>
      <w:pPr>
        <w:pStyle w:val="ListParagraph"/>
        <w:numPr>
          <w:ilvl w:val="0"/>
          <w:numId w:val="9"/>
        </w:numPr>
        <w:tabs>
          <w:tab w:pos="653" w:val="left" w:leader="none"/>
        </w:tabs>
        <w:spacing w:line="260" w:lineRule="exact" w:before="0" w:after="0"/>
        <w:ind w:left="652" w:right="0" w:hanging="335"/>
        <w:jc w:val="left"/>
        <w:rPr>
          <w:sz w:val="24"/>
        </w:rPr>
      </w:pPr>
      <w:r>
        <w:rPr>
          <w:w w:val="130"/>
          <w:sz w:val="24"/>
        </w:rPr>
        <w:t>pénzforgalmi szolgáltatás</w:t>
      </w:r>
      <w:r>
        <w:rPr>
          <w:spacing w:val="-2"/>
          <w:w w:val="130"/>
          <w:sz w:val="24"/>
        </w:rPr>
        <w:t> </w:t>
      </w:r>
      <w:r>
        <w:rPr>
          <w:w w:val="130"/>
          <w:sz w:val="24"/>
        </w:rPr>
        <w:t>nyújtása,</w:t>
      </w:r>
    </w:p>
    <w:p>
      <w:pPr>
        <w:pStyle w:val="ListParagraph"/>
        <w:numPr>
          <w:ilvl w:val="0"/>
          <w:numId w:val="9"/>
        </w:numPr>
        <w:tabs>
          <w:tab w:pos="629" w:val="left" w:leader="none"/>
        </w:tabs>
        <w:spacing w:line="260" w:lineRule="exact" w:before="0" w:after="0"/>
        <w:ind w:left="628" w:right="0" w:hanging="311"/>
        <w:jc w:val="left"/>
        <w:rPr>
          <w:sz w:val="24"/>
        </w:rPr>
      </w:pPr>
      <w:r>
        <w:rPr>
          <w:w w:val="130"/>
          <w:sz w:val="24"/>
        </w:rPr>
        <w:t>elektronikus pénz</w:t>
      </w:r>
      <w:r>
        <w:rPr>
          <w:spacing w:val="-8"/>
          <w:w w:val="130"/>
          <w:sz w:val="24"/>
        </w:rPr>
        <w:t> </w:t>
      </w:r>
      <w:r>
        <w:rPr>
          <w:w w:val="130"/>
          <w:sz w:val="24"/>
        </w:rPr>
        <w:t>kibocsátása,</w:t>
      </w:r>
    </w:p>
    <w:p>
      <w:pPr>
        <w:pStyle w:val="ListParagraph"/>
        <w:numPr>
          <w:ilvl w:val="0"/>
          <w:numId w:val="9"/>
        </w:numPr>
        <w:tabs>
          <w:tab w:pos="670" w:val="left" w:leader="none"/>
        </w:tabs>
        <w:spacing w:line="225" w:lineRule="auto" w:before="6" w:after="0"/>
        <w:ind w:left="113" w:right="132" w:firstLine="204"/>
        <w:jc w:val="both"/>
        <w:rPr>
          <w:sz w:val="24"/>
        </w:rPr>
      </w:pPr>
      <w:r>
        <w:rPr>
          <w:w w:val="125"/>
          <w:sz w:val="24"/>
        </w:rPr>
        <w:t>olyan papír alapú készpénz-helyettesítő fizetési eszköz (például papír  alapú utazási csekk, váltó) kibocsátása, illetve az ezzel  kapcsolatos  szolgáltatás nyújtása, amely nem minősül pénzforgalmi</w:t>
      </w:r>
      <w:r>
        <w:rPr>
          <w:spacing w:val="26"/>
          <w:w w:val="125"/>
          <w:sz w:val="24"/>
        </w:rPr>
        <w:t> </w:t>
      </w:r>
      <w:r>
        <w:rPr>
          <w:w w:val="125"/>
          <w:sz w:val="24"/>
        </w:rPr>
        <w:t>szolgáltatásnak,</w:t>
      </w:r>
    </w:p>
    <w:p>
      <w:pPr>
        <w:pStyle w:val="ListParagraph"/>
        <w:numPr>
          <w:ilvl w:val="0"/>
          <w:numId w:val="9"/>
        </w:numPr>
        <w:tabs>
          <w:tab w:pos="727" w:val="left" w:leader="none"/>
        </w:tabs>
        <w:spacing w:line="225" w:lineRule="auto" w:before="2" w:after="0"/>
        <w:ind w:left="113" w:right="137" w:firstLine="204"/>
        <w:jc w:val="left"/>
        <w:rPr>
          <w:sz w:val="24"/>
        </w:rPr>
      </w:pPr>
      <w:r>
        <w:rPr>
          <w:w w:val="130"/>
          <w:sz w:val="24"/>
        </w:rPr>
        <w:t>kezesség és garancia vállalása, valamint egyéb bankári kötelezettség vállalása,</w:t>
      </w:r>
    </w:p>
    <w:p>
      <w:pPr>
        <w:pStyle w:val="ListParagraph"/>
        <w:numPr>
          <w:ilvl w:val="0"/>
          <w:numId w:val="9"/>
        </w:numPr>
        <w:tabs>
          <w:tab w:pos="751" w:val="left" w:leader="none"/>
        </w:tabs>
        <w:spacing w:line="225" w:lineRule="auto" w:before="1" w:after="0"/>
        <w:ind w:left="113" w:right="131" w:firstLine="204"/>
        <w:jc w:val="both"/>
        <w:rPr>
          <w:sz w:val="24"/>
        </w:rPr>
      </w:pPr>
      <w:r>
        <w:rPr>
          <w:w w:val="125"/>
          <w:sz w:val="24"/>
        </w:rPr>
        <w:t>valutával, devizával - ide nem értve a pénzváltási tevékenységet -, váltóval, illetve csekkel saját számlára vagy bizományosként történő kereskedelmi tevékenység,</w:t>
      </w:r>
    </w:p>
    <w:p>
      <w:pPr>
        <w:pStyle w:val="ListParagraph"/>
        <w:numPr>
          <w:ilvl w:val="0"/>
          <w:numId w:val="9"/>
        </w:numPr>
        <w:tabs>
          <w:tab w:pos="564" w:val="left" w:leader="none"/>
        </w:tabs>
        <w:spacing w:line="256" w:lineRule="exact" w:before="0" w:after="0"/>
        <w:ind w:left="563" w:right="0" w:hanging="246"/>
        <w:jc w:val="left"/>
        <w:rPr>
          <w:sz w:val="24"/>
        </w:rPr>
      </w:pPr>
      <w:r>
        <w:rPr>
          <w:w w:val="125"/>
          <w:sz w:val="24"/>
        </w:rPr>
        <w:t>pénzügyi szolgáltatás</w:t>
      </w:r>
      <w:r>
        <w:rPr>
          <w:spacing w:val="3"/>
          <w:w w:val="125"/>
          <w:sz w:val="24"/>
        </w:rPr>
        <w:t> </w:t>
      </w:r>
      <w:r>
        <w:rPr>
          <w:w w:val="125"/>
          <w:sz w:val="24"/>
        </w:rPr>
        <w:t>közvetítése,</w:t>
      </w:r>
    </w:p>
    <w:p>
      <w:pPr>
        <w:pStyle w:val="ListParagraph"/>
        <w:numPr>
          <w:ilvl w:val="0"/>
          <w:numId w:val="9"/>
        </w:numPr>
        <w:tabs>
          <w:tab w:pos="563" w:val="left" w:leader="none"/>
        </w:tabs>
        <w:spacing w:line="260" w:lineRule="exact" w:before="0" w:after="0"/>
        <w:ind w:left="562" w:right="0" w:hanging="245"/>
        <w:jc w:val="left"/>
        <w:rPr>
          <w:sz w:val="24"/>
        </w:rPr>
      </w:pPr>
      <w:r>
        <w:rPr>
          <w:w w:val="130"/>
          <w:sz w:val="24"/>
        </w:rPr>
        <w:t>letéti szolgáltatás,</w:t>
      </w:r>
      <w:r>
        <w:rPr>
          <w:spacing w:val="-8"/>
          <w:w w:val="130"/>
          <w:sz w:val="24"/>
        </w:rPr>
        <w:t> </w:t>
      </w:r>
      <w:r>
        <w:rPr>
          <w:w w:val="130"/>
          <w:sz w:val="24"/>
        </w:rPr>
        <w:t>széfszolgáltatás,</w:t>
      </w:r>
    </w:p>
    <w:p>
      <w:pPr>
        <w:pStyle w:val="ListParagraph"/>
        <w:numPr>
          <w:ilvl w:val="0"/>
          <w:numId w:val="9"/>
        </w:numPr>
        <w:tabs>
          <w:tab w:pos="633" w:val="left" w:leader="none"/>
        </w:tabs>
        <w:spacing w:line="260" w:lineRule="exact" w:before="0" w:after="0"/>
        <w:ind w:left="632" w:right="0" w:hanging="315"/>
        <w:jc w:val="left"/>
        <w:rPr>
          <w:sz w:val="24"/>
        </w:rPr>
      </w:pPr>
      <w:r>
        <w:rPr>
          <w:w w:val="130"/>
          <w:sz w:val="24"/>
        </w:rPr>
        <w:t>hitelreferencia szolgáltatás,</w:t>
      </w:r>
      <w:r>
        <w:rPr>
          <w:spacing w:val="-7"/>
          <w:w w:val="130"/>
          <w:sz w:val="24"/>
        </w:rPr>
        <w:t> </w:t>
      </w:r>
      <w:r>
        <w:rPr>
          <w:w w:val="130"/>
          <w:sz w:val="24"/>
        </w:rPr>
        <w:t>valamint</w:t>
      </w:r>
    </w:p>
    <w:p>
      <w:pPr>
        <w:pStyle w:val="ListParagraph"/>
        <w:numPr>
          <w:ilvl w:val="0"/>
          <w:numId w:val="9"/>
        </w:numPr>
        <w:tabs>
          <w:tab w:pos="564" w:val="left" w:leader="none"/>
        </w:tabs>
        <w:spacing w:line="268" w:lineRule="exact" w:before="0" w:after="0"/>
        <w:ind w:left="563" w:right="0" w:hanging="246"/>
        <w:jc w:val="left"/>
        <w:rPr>
          <w:sz w:val="24"/>
        </w:rPr>
      </w:pPr>
      <w:r>
        <w:rPr/>
        <w:pict>
          <v:line style="position:absolute;mso-position-horizontal-relative:page;mso-position-vertical-relative:paragraph;z-index:-1000;mso-wrap-distance-left:0;mso-wrap-distance-right:0" from="56.693001pt,20.380707pt" to="538.583001pt,20.380707pt" stroked="true" strokeweight=".5pt" strokecolor="#000000">
            <v:stroke dashstyle="solid"/>
            <w10:wrap type="topAndBottom"/>
          </v:line>
        </w:pict>
      </w:r>
      <w:r>
        <w:rPr>
          <w:w w:val="130"/>
          <w:sz w:val="24"/>
        </w:rPr>
        <w:t>követelésvásárlási</w:t>
      </w:r>
      <w:r>
        <w:rPr>
          <w:spacing w:val="-5"/>
          <w:w w:val="130"/>
          <w:sz w:val="24"/>
        </w:rPr>
        <w:t> </w:t>
      </w:r>
      <w:r>
        <w:rPr>
          <w:w w:val="130"/>
          <w:sz w:val="24"/>
        </w:rPr>
        <w:t>tevékenység.</w:t>
      </w:r>
    </w:p>
    <w:p>
      <w:pPr>
        <w:tabs>
          <w:tab w:pos="686" w:val="left" w:leader="none"/>
        </w:tabs>
        <w:spacing w:before="44"/>
        <w:ind w:left="342" w:right="0" w:firstLine="0"/>
        <w:jc w:val="left"/>
        <w:rPr>
          <w:i/>
          <w:sz w:val="18"/>
        </w:rPr>
      </w:pPr>
      <w:r>
        <w:rPr>
          <w:i/>
          <w:w w:val="125"/>
          <w:sz w:val="18"/>
        </w:rPr>
        <w:t>1</w:t>
        <w:tab/>
        <w:t>Beiktatta: 2017. évi CXLV. törvény 120. §. Hatályos: 2017. XI.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0"/>
          <w:numId w:val="10"/>
        </w:numPr>
        <w:tabs>
          <w:tab w:pos="783" w:val="left" w:leader="none"/>
        </w:tabs>
        <w:spacing w:line="225" w:lineRule="auto" w:before="173" w:after="0"/>
        <w:ind w:left="113" w:right="129" w:firstLine="204"/>
        <w:jc w:val="both"/>
        <w:rPr>
          <w:sz w:val="24"/>
        </w:rPr>
      </w:pPr>
      <w:r>
        <w:rPr>
          <w:w w:val="125"/>
          <w:sz w:val="24"/>
        </w:rPr>
        <w:t>Kiegészítő pénzügyi szolgáltatás a következő tevékenységek üzletszerű végzése forintban, valutában, illetve</w:t>
      </w:r>
      <w:r>
        <w:rPr>
          <w:spacing w:val="4"/>
          <w:w w:val="125"/>
          <w:sz w:val="24"/>
        </w:rPr>
        <w:t> </w:t>
      </w:r>
      <w:r>
        <w:rPr>
          <w:w w:val="125"/>
          <w:sz w:val="24"/>
        </w:rPr>
        <w:t>devizában:</w:t>
      </w:r>
    </w:p>
    <w:p>
      <w:pPr>
        <w:pStyle w:val="ListParagraph"/>
        <w:numPr>
          <w:ilvl w:val="0"/>
          <w:numId w:val="11"/>
        </w:numPr>
        <w:tabs>
          <w:tab w:pos="631" w:val="left" w:leader="none"/>
        </w:tabs>
        <w:spacing w:line="256" w:lineRule="exact" w:before="0" w:after="0"/>
        <w:ind w:left="630" w:right="0" w:hanging="313"/>
        <w:jc w:val="left"/>
        <w:rPr>
          <w:sz w:val="24"/>
        </w:rPr>
      </w:pPr>
      <w:r>
        <w:rPr>
          <w:w w:val="125"/>
          <w:sz w:val="24"/>
        </w:rPr>
        <w:t>pénzváltási</w:t>
      </w:r>
      <w:r>
        <w:rPr>
          <w:spacing w:val="1"/>
          <w:w w:val="125"/>
          <w:sz w:val="24"/>
        </w:rPr>
        <w:t> </w:t>
      </w:r>
      <w:r>
        <w:rPr>
          <w:w w:val="125"/>
          <w:sz w:val="24"/>
        </w:rPr>
        <w:t>tevékenység;</w:t>
      </w:r>
    </w:p>
    <w:p>
      <w:pPr>
        <w:pStyle w:val="ListParagraph"/>
        <w:numPr>
          <w:ilvl w:val="0"/>
          <w:numId w:val="11"/>
        </w:numPr>
        <w:tabs>
          <w:tab w:pos="653" w:val="left" w:leader="none"/>
        </w:tabs>
        <w:spacing w:line="260" w:lineRule="exact" w:before="0" w:after="0"/>
        <w:ind w:left="652" w:right="0" w:hanging="335"/>
        <w:jc w:val="left"/>
        <w:rPr>
          <w:sz w:val="24"/>
        </w:rPr>
      </w:pPr>
      <w:r>
        <w:rPr>
          <w:w w:val="130"/>
          <w:sz w:val="24"/>
        </w:rPr>
        <w:t>fizetési rendszer</w:t>
      </w:r>
      <w:r>
        <w:rPr>
          <w:spacing w:val="-17"/>
          <w:w w:val="130"/>
          <w:sz w:val="24"/>
        </w:rPr>
        <w:t> </w:t>
      </w:r>
      <w:r>
        <w:rPr>
          <w:w w:val="130"/>
          <w:sz w:val="24"/>
        </w:rPr>
        <w:t>működtetése;</w:t>
      </w:r>
    </w:p>
    <w:p>
      <w:pPr>
        <w:pStyle w:val="ListParagraph"/>
        <w:numPr>
          <w:ilvl w:val="0"/>
          <w:numId w:val="11"/>
        </w:numPr>
        <w:tabs>
          <w:tab w:pos="623" w:val="left" w:leader="none"/>
        </w:tabs>
        <w:spacing w:line="260" w:lineRule="exact" w:before="0" w:after="0"/>
        <w:ind w:left="622" w:right="0" w:hanging="305"/>
        <w:jc w:val="left"/>
        <w:rPr>
          <w:sz w:val="24"/>
        </w:rPr>
      </w:pPr>
      <w:r>
        <w:rPr>
          <w:w w:val="125"/>
          <w:sz w:val="24"/>
        </w:rPr>
        <w:t>pénzfeldolgozási tevékenység;</w:t>
      </w:r>
    </w:p>
    <w:p>
      <w:pPr>
        <w:pStyle w:val="ListParagraph"/>
        <w:numPr>
          <w:ilvl w:val="0"/>
          <w:numId w:val="11"/>
        </w:numPr>
        <w:tabs>
          <w:tab w:pos="653" w:val="left" w:leader="none"/>
        </w:tabs>
        <w:spacing w:line="260" w:lineRule="exact" w:before="0" w:after="0"/>
        <w:ind w:left="652" w:right="0" w:hanging="335"/>
        <w:jc w:val="left"/>
        <w:rPr>
          <w:sz w:val="24"/>
        </w:rPr>
      </w:pPr>
      <w:r>
        <w:rPr>
          <w:w w:val="125"/>
          <w:sz w:val="24"/>
        </w:rPr>
        <w:t>pénzügyi ügynöki tevékenység a bankközi</w:t>
      </w:r>
      <w:r>
        <w:rPr>
          <w:spacing w:val="-11"/>
          <w:w w:val="125"/>
          <w:sz w:val="24"/>
        </w:rPr>
        <w:t> </w:t>
      </w:r>
      <w:r>
        <w:rPr>
          <w:w w:val="125"/>
          <w:sz w:val="24"/>
        </w:rPr>
        <w:t>piacon;</w:t>
      </w:r>
    </w:p>
    <w:p>
      <w:pPr>
        <w:pStyle w:val="ListParagraph"/>
        <w:numPr>
          <w:ilvl w:val="0"/>
          <w:numId w:val="11"/>
        </w:numPr>
        <w:tabs>
          <w:tab w:pos="629" w:val="left" w:leader="none"/>
        </w:tabs>
        <w:spacing w:line="260" w:lineRule="exact" w:before="0" w:after="0"/>
        <w:ind w:left="628" w:right="0" w:hanging="311"/>
        <w:jc w:val="left"/>
        <w:rPr>
          <w:sz w:val="24"/>
        </w:rPr>
      </w:pPr>
      <w:r>
        <w:rPr>
          <w:w w:val="130"/>
          <w:sz w:val="24"/>
        </w:rPr>
        <w:t>forgatható utalvány kibocsátására irányuló</w:t>
      </w:r>
      <w:r>
        <w:rPr>
          <w:spacing w:val="-28"/>
          <w:w w:val="130"/>
          <w:sz w:val="24"/>
        </w:rPr>
        <w:t> </w:t>
      </w:r>
      <w:r>
        <w:rPr>
          <w:w w:val="130"/>
          <w:sz w:val="24"/>
        </w:rPr>
        <w:t>tevékenység;</w:t>
      </w:r>
    </w:p>
    <w:p>
      <w:pPr>
        <w:pStyle w:val="ListParagraph"/>
        <w:numPr>
          <w:ilvl w:val="0"/>
          <w:numId w:val="11"/>
        </w:numPr>
        <w:tabs>
          <w:tab w:pos="504" w:val="left" w:leader="none"/>
        </w:tabs>
        <w:spacing w:line="260" w:lineRule="exact" w:before="0" w:after="0"/>
        <w:ind w:left="503" w:right="0" w:hanging="186"/>
        <w:jc w:val="left"/>
        <w:rPr>
          <w:sz w:val="24"/>
        </w:rPr>
      </w:pPr>
      <w:r>
        <w:rPr>
          <w:i/>
          <w:w w:val="130"/>
          <w:position w:val="3"/>
          <w:sz w:val="18"/>
        </w:rPr>
        <w:t>1 </w:t>
      </w:r>
      <w:r>
        <w:rPr>
          <w:w w:val="130"/>
          <w:sz w:val="24"/>
        </w:rPr>
        <w:t>hitel-tanácsadási</w:t>
      </w:r>
      <w:r>
        <w:rPr>
          <w:spacing w:val="9"/>
          <w:w w:val="130"/>
          <w:sz w:val="24"/>
        </w:rPr>
        <w:t> </w:t>
      </w:r>
      <w:r>
        <w:rPr>
          <w:w w:val="130"/>
          <w:sz w:val="24"/>
        </w:rPr>
        <w:t>tevékenység.</w:t>
      </w:r>
    </w:p>
    <w:p>
      <w:pPr>
        <w:pStyle w:val="ListParagraph"/>
        <w:numPr>
          <w:ilvl w:val="0"/>
          <w:numId w:val="10"/>
        </w:numPr>
        <w:tabs>
          <w:tab w:pos="959" w:val="left" w:leader="none"/>
        </w:tabs>
        <w:spacing w:line="225" w:lineRule="auto" w:before="5" w:after="0"/>
        <w:ind w:left="113" w:right="128" w:firstLine="204"/>
        <w:jc w:val="both"/>
        <w:rPr>
          <w:sz w:val="24"/>
        </w:rPr>
      </w:pPr>
      <w:r>
        <w:rPr>
          <w:w w:val="125"/>
          <w:sz w:val="24"/>
        </w:rPr>
        <w:t>Ha törvény másként nem rendelkezik, kizárólag a pénzügyi közvetítőrendszer felügyeletével kapcsolatos feladatkörében eljáró MNB-nek  (a továbbiakban: Felügyelet) az e törvény alapján kiadott engedélyével végezhető az (1) és (2) bekezdésben meghatározott pénzügyi szolgáltatás, valamint kiegészítő pénzügyi</w:t>
      </w:r>
      <w:r>
        <w:rPr>
          <w:spacing w:val="2"/>
          <w:w w:val="125"/>
          <w:sz w:val="24"/>
        </w:rPr>
        <w:t> </w:t>
      </w:r>
      <w:r>
        <w:rPr>
          <w:w w:val="125"/>
          <w:sz w:val="24"/>
        </w:rPr>
        <w:t>szolgáltatás.</w:t>
      </w:r>
    </w:p>
    <w:p>
      <w:pPr>
        <w:pStyle w:val="ListParagraph"/>
        <w:numPr>
          <w:ilvl w:val="0"/>
          <w:numId w:val="10"/>
        </w:numPr>
        <w:tabs>
          <w:tab w:pos="734" w:val="left" w:leader="none"/>
        </w:tabs>
        <w:spacing w:line="257" w:lineRule="exact" w:before="0" w:after="0"/>
        <w:ind w:left="733" w:right="0" w:hanging="416"/>
        <w:jc w:val="left"/>
        <w:rPr>
          <w:sz w:val="24"/>
        </w:rPr>
      </w:pPr>
      <w:r>
        <w:rPr>
          <w:w w:val="125"/>
          <w:sz w:val="24"/>
        </w:rPr>
        <w:t>Az egyes fizetési szolgáltatókról szóló törvény</w:t>
      </w:r>
      <w:r>
        <w:rPr>
          <w:spacing w:val="-7"/>
          <w:w w:val="125"/>
          <w:sz w:val="24"/>
        </w:rPr>
        <w:t> </w:t>
      </w:r>
      <w:r>
        <w:rPr>
          <w:w w:val="125"/>
          <w:sz w:val="24"/>
        </w:rPr>
        <w:t>alkalmazandó</w:t>
      </w:r>
    </w:p>
    <w:p>
      <w:pPr>
        <w:pStyle w:val="ListParagraph"/>
        <w:numPr>
          <w:ilvl w:val="0"/>
          <w:numId w:val="12"/>
        </w:numPr>
        <w:tabs>
          <w:tab w:pos="790" w:val="left" w:leader="none"/>
        </w:tabs>
        <w:spacing w:line="225" w:lineRule="auto" w:before="6" w:after="0"/>
        <w:ind w:left="113" w:right="128" w:firstLine="204"/>
        <w:jc w:val="both"/>
        <w:rPr>
          <w:sz w:val="24"/>
        </w:rPr>
      </w:pPr>
      <w:r>
        <w:rPr>
          <w:w w:val="130"/>
          <w:sz w:val="24"/>
        </w:rPr>
        <w:t>a pénzforgalmi intézmény által végzett pénzforgalmi szolgáltatási tevékenységre, pénzforgalmi szolgáltatásához kapcsolódó hitel- és pénzkölcsön nyújtásra valamint letéti</w:t>
      </w:r>
      <w:r>
        <w:rPr>
          <w:spacing w:val="-22"/>
          <w:w w:val="130"/>
          <w:sz w:val="24"/>
        </w:rPr>
        <w:t> </w:t>
      </w:r>
      <w:r>
        <w:rPr>
          <w:w w:val="130"/>
          <w:sz w:val="24"/>
        </w:rPr>
        <w:t>szolgáltatásra,</w:t>
      </w:r>
    </w:p>
    <w:p>
      <w:pPr>
        <w:pStyle w:val="ListParagraph"/>
        <w:numPr>
          <w:ilvl w:val="0"/>
          <w:numId w:val="12"/>
        </w:numPr>
        <w:tabs>
          <w:tab w:pos="663" w:val="left" w:leader="none"/>
        </w:tabs>
        <w:spacing w:line="225" w:lineRule="auto" w:before="1" w:after="0"/>
        <w:ind w:left="113" w:right="131" w:firstLine="204"/>
        <w:jc w:val="both"/>
        <w:rPr>
          <w:sz w:val="24"/>
        </w:rPr>
      </w:pPr>
      <w:r>
        <w:rPr>
          <w:w w:val="125"/>
          <w:sz w:val="24"/>
        </w:rPr>
        <w:t>az elektronikuspénz-kibocsátó intézmény és a Posta Elszámoló Központot működtető intézmény által végzett elektronikus pénz  kibocsátási tevékenységre, pénzforgalmi szolgáltatási tevékenységre, pénzforgalmi szolgáltatáshoz kapcsolódó hitel- és pénzkölcsön nyújtásra, valamint letéti szolgáltatásra,</w:t>
      </w:r>
    </w:p>
    <w:p>
      <w:pPr>
        <w:pStyle w:val="ListParagraph"/>
        <w:numPr>
          <w:ilvl w:val="0"/>
          <w:numId w:val="12"/>
        </w:numPr>
        <w:tabs>
          <w:tab w:pos="716" w:val="left" w:leader="none"/>
        </w:tabs>
        <w:spacing w:line="225" w:lineRule="auto" w:before="3" w:after="0"/>
        <w:ind w:left="113" w:right="128" w:firstLine="204"/>
        <w:jc w:val="both"/>
        <w:rPr>
          <w:sz w:val="24"/>
        </w:rPr>
      </w:pPr>
      <w:r>
        <w:rPr>
          <w:w w:val="125"/>
          <w:sz w:val="24"/>
        </w:rPr>
        <w:t>a kincstár által az államháztartásról szóló törvényben meghatározott kincstári körbe tartozókon és a kincstári körön kívüli számlatulajdonosokon kívül más személyek részére végzett pénzforgalmi szolgáltatási tevékenységre és elektronikus pénz kibocsátási</w:t>
      </w:r>
      <w:r>
        <w:rPr>
          <w:spacing w:val="8"/>
          <w:w w:val="125"/>
          <w:sz w:val="24"/>
        </w:rPr>
        <w:t> </w:t>
      </w:r>
      <w:r>
        <w:rPr>
          <w:w w:val="125"/>
          <w:sz w:val="24"/>
        </w:rPr>
        <w:t>tevékenységre,</w:t>
      </w:r>
    </w:p>
    <w:p>
      <w:pPr>
        <w:pStyle w:val="ListParagraph"/>
        <w:numPr>
          <w:ilvl w:val="0"/>
          <w:numId w:val="12"/>
        </w:numPr>
        <w:tabs>
          <w:tab w:pos="653" w:val="left" w:leader="none"/>
        </w:tabs>
        <w:spacing w:line="256" w:lineRule="exact" w:before="0" w:after="0"/>
        <w:ind w:left="652" w:right="0" w:hanging="335"/>
        <w:jc w:val="left"/>
        <w:rPr>
          <w:sz w:val="24"/>
        </w:rPr>
      </w:pPr>
      <w:r>
        <w:rPr>
          <w:w w:val="125"/>
          <w:sz w:val="24"/>
        </w:rPr>
        <w:t>az</w:t>
      </w:r>
      <w:r>
        <w:rPr>
          <w:spacing w:val="-10"/>
          <w:w w:val="125"/>
          <w:sz w:val="24"/>
        </w:rPr>
        <w:t> </w:t>
      </w:r>
      <w:r>
        <w:rPr>
          <w:w w:val="125"/>
          <w:sz w:val="24"/>
        </w:rPr>
        <w:t>utalványkibocsátóra.</w:t>
      </w:r>
    </w:p>
    <w:p>
      <w:pPr>
        <w:pStyle w:val="ListParagraph"/>
        <w:numPr>
          <w:ilvl w:val="1"/>
          <w:numId w:val="2"/>
        </w:numPr>
        <w:tabs>
          <w:tab w:pos="774" w:val="left" w:leader="none"/>
        </w:tabs>
        <w:spacing w:line="225" w:lineRule="auto" w:before="5" w:after="0"/>
        <w:ind w:left="113" w:right="132" w:firstLine="204"/>
        <w:jc w:val="both"/>
        <w:rPr>
          <w:rFonts w:ascii="Arial" w:hAnsi="Arial"/>
          <w:sz w:val="24"/>
        </w:rPr>
      </w:pPr>
      <w:r>
        <w:rPr>
          <w:rFonts w:ascii="Arial" w:hAnsi="Arial"/>
          <w:b/>
          <w:w w:val="125"/>
          <w:sz w:val="24"/>
        </w:rPr>
        <w:t>§ </w:t>
      </w:r>
      <w:r>
        <w:rPr>
          <w:w w:val="125"/>
          <w:sz w:val="24"/>
        </w:rPr>
        <w:t>(1) Külföldi vállalkozás pénzügyi szolgáltatási tevékenységet vagy kiegészítő pénzügyi szolgáltatási tevékenységet Magyarországon - a (3) és (4) bekezdésben foglalt kivétellel - kizárólag fióktelepe útján</w:t>
      </w:r>
      <w:r>
        <w:rPr>
          <w:spacing w:val="12"/>
          <w:w w:val="125"/>
          <w:sz w:val="24"/>
        </w:rPr>
        <w:t> </w:t>
      </w:r>
      <w:r>
        <w:rPr>
          <w:w w:val="125"/>
          <w:sz w:val="24"/>
        </w:rPr>
        <w:t>végezhet.</w:t>
      </w:r>
    </w:p>
    <w:p>
      <w:pPr>
        <w:pStyle w:val="ListParagraph"/>
        <w:numPr>
          <w:ilvl w:val="0"/>
          <w:numId w:val="13"/>
        </w:numPr>
        <w:tabs>
          <w:tab w:pos="870" w:val="left" w:leader="none"/>
        </w:tabs>
        <w:spacing w:line="225" w:lineRule="auto" w:before="2" w:after="0"/>
        <w:ind w:left="113" w:right="125" w:firstLine="204"/>
        <w:jc w:val="both"/>
        <w:rPr>
          <w:sz w:val="24"/>
        </w:rPr>
      </w:pPr>
      <w:r>
        <w:rPr>
          <w:w w:val="125"/>
          <w:sz w:val="24"/>
        </w:rPr>
        <w:t>Harmadik országbeli pénzügyi intézmény fióktelepére a 18. § (2) bekezdésében,</w:t>
      </w:r>
      <w:r>
        <w:rPr>
          <w:spacing w:val="11"/>
          <w:w w:val="125"/>
          <w:sz w:val="24"/>
        </w:rPr>
        <w:t> </w:t>
      </w:r>
      <w:r>
        <w:rPr>
          <w:w w:val="125"/>
          <w:sz w:val="24"/>
        </w:rPr>
        <w:t>20.</w:t>
      </w:r>
      <w:r>
        <w:rPr>
          <w:spacing w:val="10"/>
          <w:w w:val="125"/>
          <w:sz w:val="24"/>
        </w:rPr>
        <w:t> </w:t>
      </w:r>
      <w:r>
        <w:rPr>
          <w:w w:val="125"/>
          <w:sz w:val="24"/>
        </w:rPr>
        <w:t>§</w:t>
      </w:r>
      <w:r>
        <w:rPr>
          <w:spacing w:val="12"/>
          <w:w w:val="125"/>
          <w:sz w:val="24"/>
        </w:rPr>
        <w:t> </w:t>
      </w:r>
      <w:r>
        <w:rPr>
          <w:w w:val="125"/>
          <w:sz w:val="24"/>
        </w:rPr>
        <w:t>(2)</w:t>
      </w:r>
      <w:r>
        <w:rPr>
          <w:spacing w:val="11"/>
          <w:w w:val="125"/>
          <w:sz w:val="24"/>
        </w:rPr>
        <w:t> </w:t>
      </w:r>
      <w:r>
        <w:rPr>
          <w:w w:val="125"/>
          <w:sz w:val="24"/>
        </w:rPr>
        <w:t>bekezdés</w:t>
      </w:r>
      <w:r>
        <w:rPr>
          <w:spacing w:val="10"/>
          <w:w w:val="125"/>
          <w:sz w:val="24"/>
        </w:rPr>
        <w:t> </w:t>
      </w:r>
      <w:r>
        <w:rPr>
          <w:i/>
          <w:w w:val="125"/>
          <w:sz w:val="24"/>
        </w:rPr>
        <w:t>c)</w:t>
      </w:r>
      <w:r>
        <w:rPr>
          <w:i/>
          <w:spacing w:val="13"/>
          <w:w w:val="125"/>
          <w:sz w:val="24"/>
        </w:rPr>
        <w:t> </w:t>
      </w:r>
      <w:r>
        <w:rPr>
          <w:w w:val="125"/>
          <w:sz w:val="24"/>
        </w:rPr>
        <w:t>pontjában,</w:t>
      </w:r>
      <w:r>
        <w:rPr>
          <w:spacing w:val="10"/>
          <w:w w:val="125"/>
          <w:sz w:val="24"/>
        </w:rPr>
        <w:t> </w:t>
      </w:r>
      <w:r>
        <w:rPr>
          <w:w w:val="125"/>
          <w:sz w:val="24"/>
        </w:rPr>
        <w:t>23-24.</w:t>
      </w:r>
      <w:r>
        <w:rPr>
          <w:spacing w:val="10"/>
          <w:w w:val="125"/>
          <w:sz w:val="24"/>
        </w:rPr>
        <w:t> </w:t>
      </w:r>
      <w:r>
        <w:rPr>
          <w:w w:val="125"/>
          <w:sz w:val="24"/>
        </w:rPr>
        <w:t>§-ban,</w:t>
      </w:r>
      <w:r>
        <w:rPr>
          <w:spacing w:val="11"/>
          <w:w w:val="125"/>
          <w:sz w:val="24"/>
        </w:rPr>
        <w:t> </w:t>
      </w:r>
      <w:r>
        <w:rPr>
          <w:w w:val="125"/>
          <w:sz w:val="24"/>
        </w:rPr>
        <w:t>26-28.</w:t>
      </w:r>
      <w:r>
        <w:rPr>
          <w:spacing w:val="11"/>
          <w:w w:val="125"/>
          <w:sz w:val="24"/>
        </w:rPr>
        <w:t> </w:t>
      </w:r>
      <w:r>
        <w:rPr>
          <w:w w:val="125"/>
          <w:sz w:val="24"/>
        </w:rPr>
        <w:t>§-ban,</w:t>
      </w:r>
      <w:r>
        <w:rPr>
          <w:spacing w:val="11"/>
          <w:w w:val="125"/>
          <w:sz w:val="24"/>
        </w:rPr>
        <w:t> </w:t>
      </w:r>
      <w:r>
        <w:rPr>
          <w:w w:val="125"/>
          <w:sz w:val="24"/>
        </w:rPr>
        <w:t>79.</w:t>
      </w:r>
    </w:p>
    <w:p>
      <w:pPr>
        <w:pStyle w:val="BodyText"/>
        <w:spacing w:line="256" w:lineRule="exact"/>
        <w:ind w:firstLine="0"/>
      </w:pPr>
      <w:r>
        <w:rPr>
          <w:w w:val="125"/>
        </w:rPr>
        <w:t>§</w:t>
      </w:r>
      <w:r>
        <w:rPr>
          <w:spacing w:val="22"/>
          <w:w w:val="125"/>
        </w:rPr>
        <w:t> </w:t>
      </w:r>
      <w:r>
        <w:rPr>
          <w:w w:val="125"/>
        </w:rPr>
        <w:t>(5)</w:t>
      </w:r>
      <w:r>
        <w:rPr>
          <w:spacing w:val="23"/>
          <w:w w:val="125"/>
        </w:rPr>
        <w:t> </w:t>
      </w:r>
      <w:r>
        <w:rPr>
          <w:w w:val="125"/>
        </w:rPr>
        <w:t>bekezdésében,</w:t>
      </w:r>
      <w:r>
        <w:rPr>
          <w:spacing w:val="23"/>
          <w:w w:val="125"/>
        </w:rPr>
        <w:t> </w:t>
      </w:r>
      <w:r>
        <w:rPr>
          <w:w w:val="125"/>
        </w:rPr>
        <w:t>82.</w:t>
      </w:r>
      <w:r>
        <w:rPr>
          <w:spacing w:val="28"/>
          <w:w w:val="125"/>
        </w:rPr>
        <w:t> </w:t>
      </w:r>
      <w:r>
        <w:rPr>
          <w:w w:val="125"/>
        </w:rPr>
        <w:t>§-ban,</w:t>
      </w:r>
      <w:r>
        <w:rPr>
          <w:spacing w:val="17"/>
          <w:w w:val="125"/>
        </w:rPr>
        <w:t> </w:t>
      </w:r>
      <w:r>
        <w:rPr>
          <w:w w:val="125"/>
        </w:rPr>
        <w:t>83.</w:t>
      </w:r>
      <w:r>
        <w:rPr>
          <w:spacing w:val="23"/>
          <w:w w:val="125"/>
        </w:rPr>
        <w:t> </w:t>
      </w:r>
      <w:r>
        <w:rPr>
          <w:w w:val="125"/>
        </w:rPr>
        <w:t>§</w:t>
      </w:r>
      <w:r>
        <w:rPr>
          <w:spacing w:val="23"/>
          <w:w w:val="125"/>
        </w:rPr>
        <w:t> </w:t>
      </w:r>
      <w:r>
        <w:rPr>
          <w:w w:val="125"/>
        </w:rPr>
        <w:t>(1)</w:t>
      </w:r>
      <w:r>
        <w:rPr>
          <w:spacing w:val="26"/>
          <w:w w:val="125"/>
        </w:rPr>
        <w:t> </w:t>
      </w:r>
      <w:r>
        <w:rPr>
          <w:w w:val="125"/>
        </w:rPr>
        <w:t>és</w:t>
      </w:r>
      <w:r>
        <w:rPr>
          <w:spacing w:val="19"/>
          <w:w w:val="125"/>
        </w:rPr>
        <w:t> </w:t>
      </w:r>
      <w:r>
        <w:rPr>
          <w:w w:val="125"/>
        </w:rPr>
        <w:t>(4)</w:t>
      </w:r>
      <w:r>
        <w:rPr>
          <w:spacing w:val="22"/>
          <w:w w:val="125"/>
        </w:rPr>
        <w:t> </w:t>
      </w:r>
      <w:r>
        <w:rPr>
          <w:w w:val="125"/>
        </w:rPr>
        <w:t>bekezdésében,</w:t>
      </w:r>
      <w:r>
        <w:rPr>
          <w:spacing w:val="23"/>
          <w:w w:val="125"/>
        </w:rPr>
        <w:t> </w:t>
      </w:r>
      <w:r>
        <w:rPr>
          <w:w w:val="125"/>
        </w:rPr>
        <w:t>125-140.</w:t>
      </w:r>
      <w:r>
        <w:rPr>
          <w:spacing w:val="23"/>
          <w:w w:val="125"/>
        </w:rPr>
        <w:t> </w:t>
      </w:r>
      <w:r>
        <w:rPr>
          <w:w w:val="125"/>
        </w:rPr>
        <w:t>§-ban,</w:t>
      </w:r>
    </w:p>
    <w:p>
      <w:pPr>
        <w:pStyle w:val="BodyText"/>
        <w:spacing w:line="225" w:lineRule="auto" w:before="5"/>
        <w:ind w:right="126" w:firstLine="0"/>
        <w:jc w:val="both"/>
      </w:pPr>
      <w:r>
        <w:rPr>
          <w:w w:val="125"/>
        </w:rPr>
        <w:t>185. § (2) bekezdés </w:t>
      </w:r>
      <w:r>
        <w:rPr>
          <w:i/>
          <w:w w:val="125"/>
        </w:rPr>
        <w:t>b) </w:t>
      </w:r>
      <w:r>
        <w:rPr>
          <w:w w:val="125"/>
        </w:rPr>
        <w:t>pont </w:t>
      </w:r>
      <w:r>
        <w:rPr>
          <w:i/>
          <w:w w:val="125"/>
        </w:rPr>
        <w:t>bf) </w:t>
      </w:r>
      <w:r>
        <w:rPr>
          <w:w w:val="125"/>
        </w:rPr>
        <w:t>alpontjában, 185. § (2) bekezdés </w:t>
      </w:r>
      <w:r>
        <w:rPr>
          <w:i/>
          <w:w w:val="125"/>
        </w:rPr>
        <w:t>c) </w:t>
      </w:r>
      <w:r>
        <w:rPr>
          <w:w w:val="125"/>
        </w:rPr>
        <w:t>pont </w:t>
      </w:r>
      <w:r>
        <w:rPr>
          <w:i/>
          <w:w w:val="125"/>
        </w:rPr>
        <w:t>ca), cc) </w:t>
      </w:r>
      <w:r>
        <w:rPr>
          <w:w w:val="125"/>
        </w:rPr>
        <w:t>és </w:t>
      </w:r>
      <w:r>
        <w:rPr>
          <w:i/>
          <w:w w:val="125"/>
        </w:rPr>
        <w:t>cd) </w:t>
      </w:r>
      <w:r>
        <w:rPr>
          <w:w w:val="125"/>
        </w:rPr>
        <w:t>alpontjában, 190-192. §-ban, valamint 206. §-ban foglaltakat nem szükséges alkalmazni.</w:t>
      </w:r>
    </w:p>
    <w:p>
      <w:pPr>
        <w:pStyle w:val="ListParagraph"/>
        <w:numPr>
          <w:ilvl w:val="0"/>
          <w:numId w:val="13"/>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Gazdasági Együttműködési és Fejlesztési Szervezet</w:t>
      </w:r>
      <w:r>
        <w:rPr>
          <w:spacing w:val="22"/>
          <w:w w:val="125"/>
          <w:sz w:val="24"/>
        </w:rPr>
        <w:t> </w:t>
      </w:r>
      <w:r>
        <w:rPr>
          <w:w w:val="125"/>
          <w:sz w:val="24"/>
        </w:rPr>
        <w:t>tagországában</w:t>
      </w:r>
    </w:p>
    <w:p>
      <w:pPr>
        <w:pStyle w:val="BodyText"/>
        <w:spacing w:line="267" w:lineRule="exact"/>
        <w:ind w:firstLine="0"/>
      </w:pPr>
      <w:r>
        <w:rPr>
          <w:w w:val="125"/>
        </w:rPr>
        <w:t>székhellyel rendelkező külföldi pénzügyi intézmény a 3. § (1) bekezdés </w:t>
      </w:r>
      <w:r>
        <w:rPr>
          <w:i/>
          <w:w w:val="125"/>
        </w:rPr>
        <w:t>b), c) </w:t>
      </w:r>
      <w:r>
        <w:rPr>
          <w:w w:val="125"/>
        </w:rPr>
        <w:t>és</w:t>
      </w:r>
    </w:p>
    <w:p>
      <w:pPr>
        <w:pStyle w:val="BodyText"/>
        <w:spacing w:line="225" w:lineRule="auto" w:before="5"/>
        <w:ind w:right="125" w:firstLine="0"/>
        <w:jc w:val="both"/>
      </w:pPr>
      <w:r>
        <w:rPr>
          <w:i/>
          <w:w w:val="125"/>
        </w:rPr>
        <w:t>l) </w:t>
      </w:r>
      <w:r>
        <w:rPr>
          <w:w w:val="125"/>
        </w:rPr>
        <w:t>pontjában; illetve a 3. § (2) bekezdés </w:t>
      </w:r>
      <w:r>
        <w:rPr>
          <w:i/>
          <w:w w:val="125"/>
        </w:rPr>
        <w:t>d) </w:t>
      </w:r>
      <w:r>
        <w:rPr>
          <w:w w:val="125"/>
        </w:rPr>
        <w:t>pontjában meghatározott tevékenységet határon átnyúló szolgáltatás formájában is végezhet, ha a székhely szerinti állam illetékes felügyeleti  hatóságától  engedéllyel rendelkezik ezen tevékenységek</w:t>
      </w:r>
      <w:r>
        <w:rPr>
          <w:spacing w:val="4"/>
          <w:w w:val="125"/>
        </w:rPr>
        <w:t> </w:t>
      </w:r>
      <w:r>
        <w:rPr>
          <w:w w:val="125"/>
        </w:rPr>
        <w:t>végzésére.</w:t>
      </w:r>
    </w:p>
    <w:p>
      <w:pPr>
        <w:pStyle w:val="ListParagraph"/>
        <w:numPr>
          <w:ilvl w:val="0"/>
          <w:numId w:val="13"/>
        </w:numPr>
        <w:tabs>
          <w:tab w:pos="813" w:val="left" w:leader="none"/>
        </w:tabs>
        <w:spacing w:line="225" w:lineRule="auto" w:before="2" w:after="0"/>
        <w:ind w:left="113" w:right="124" w:firstLine="204"/>
        <w:jc w:val="both"/>
        <w:rPr>
          <w:sz w:val="24"/>
        </w:rPr>
      </w:pPr>
      <w:r>
        <w:rPr>
          <w:w w:val="125"/>
          <w:sz w:val="24"/>
        </w:rPr>
        <w:t>Más EGT-államban székhellyel rendelkező hitelintézet és a 15. § (4) bekezdésében meghatározott feltételeknek megfelelő pénzügyi vállalkozás határon átnyúló szolgáltatást is</w:t>
      </w:r>
      <w:r>
        <w:rPr>
          <w:spacing w:val="7"/>
          <w:w w:val="125"/>
          <w:sz w:val="24"/>
        </w:rPr>
        <w:t> </w:t>
      </w:r>
      <w:r>
        <w:rPr>
          <w:w w:val="125"/>
          <w:sz w:val="24"/>
        </w:rPr>
        <w:t>végezhet.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976;mso-wrap-distance-left:0;mso-wrap-distance-right:0" from="56.693001pt,15.739309pt" to="538.583001pt,15.739309pt" stroked="true" strokeweight=".5pt" strokecolor="#000000">
            <v:stroke dashstyle="solid"/>
            <w10:wrap type="topAndBottom"/>
          </v:line>
        </w:pict>
      </w:r>
    </w:p>
    <w:p>
      <w:pPr>
        <w:pStyle w:val="ListParagraph"/>
        <w:numPr>
          <w:ilvl w:val="0"/>
          <w:numId w:val="14"/>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112. §. Hatályos: 2016. III.</w:t>
      </w:r>
      <w:r>
        <w:rPr>
          <w:i/>
          <w:spacing w:val="46"/>
          <w:w w:val="120"/>
          <w:sz w:val="18"/>
        </w:rPr>
        <w:t> </w:t>
      </w:r>
      <w:r>
        <w:rPr>
          <w:i/>
          <w:w w:val="120"/>
          <w:sz w:val="18"/>
        </w:rPr>
        <w:t>21-től.</w:t>
      </w:r>
    </w:p>
    <w:p>
      <w:pPr>
        <w:pStyle w:val="ListParagraph"/>
        <w:numPr>
          <w:ilvl w:val="0"/>
          <w:numId w:val="14"/>
        </w:numPr>
        <w:tabs>
          <w:tab w:pos="686" w:val="left" w:leader="none"/>
          <w:tab w:pos="687" w:val="left" w:leader="none"/>
        </w:tabs>
        <w:spacing w:line="203" w:lineRule="exact" w:before="0" w:after="0"/>
        <w:ind w:left="686" w:right="0" w:hanging="344"/>
        <w:jc w:val="left"/>
        <w:rPr>
          <w:i/>
          <w:sz w:val="18"/>
        </w:rPr>
      </w:pPr>
      <w:r>
        <w:rPr>
          <w:i/>
          <w:w w:val="125"/>
          <w:sz w:val="18"/>
        </w:rPr>
        <w:t>Módosította: 2015. évi LXXXV. törvény 237. §</w:t>
      </w:r>
      <w:r>
        <w:rPr>
          <w:i/>
          <w:spacing w:val="-6"/>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0"/>
          <w:numId w:val="15"/>
        </w:numPr>
        <w:tabs>
          <w:tab w:pos="657" w:val="left" w:leader="none"/>
        </w:tabs>
        <w:spacing w:line="225" w:lineRule="auto" w:before="172" w:after="0"/>
        <w:ind w:left="113" w:right="126" w:firstLine="204"/>
        <w:jc w:val="both"/>
        <w:rPr>
          <w:sz w:val="24"/>
        </w:rPr>
      </w:pPr>
      <w:r>
        <w:rPr>
          <w:rFonts w:ascii="Arial" w:hAnsi="Arial"/>
          <w:b/>
          <w:w w:val="125"/>
          <w:sz w:val="24"/>
        </w:rPr>
        <w:t>§ </w:t>
      </w:r>
      <w:r>
        <w:rPr>
          <w:w w:val="125"/>
          <w:sz w:val="24"/>
        </w:rPr>
        <w:t>(1) A 3. § (3) bekezdés szerinti engedélyt nem szükséges beszerezni más EGT-államban székhellyel rendelkező hitelintézet és a 15. § (4) bekezdésben meghatározott feltételeknek megfelelő pénzügyi vállalkozás határon átnyúló szolgáltatására vonatkozóan, és a magyarországi fióktelepe által végzett, a székhely állam illetékes felügyeleti hatósága által engedélyezett tevékenységet illetően.</w:t>
      </w:r>
    </w:p>
    <w:p>
      <w:pPr>
        <w:pStyle w:val="BodyText"/>
        <w:spacing w:line="225" w:lineRule="auto" w:before="3"/>
        <w:ind w:right="134"/>
        <w:jc w:val="both"/>
      </w:pPr>
      <w:r>
        <w:rPr>
          <w:w w:val="125"/>
        </w:rPr>
        <w:t>(2) Pénzügyi intézménynek nem minősülő vállalkozás csoportfinanszírozást a Felügyelet engedélye nélkül is végezhet.</w:t>
      </w:r>
    </w:p>
    <w:p>
      <w:pPr>
        <w:pStyle w:val="BodyText"/>
        <w:spacing w:before="228"/>
        <w:ind w:left="3245" w:firstLine="0"/>
      </w:pPr>
      <w:r>
        <w:rPr>
          <w:w w:val="125"/>
        </w:rPr>
        <w:t>3. Értelmező rendelkezések</w:t>
      </w:r>
    </w:p>
    <w:p>
      <w:pPr>
        <w:pStyle w:val="ListParagraph"/>
        <w:numPr>
          <w:ilvl w:val="0"/>
          <w:numId w:val="15"/>
        </w:numPr>
        <w:tabs>
          <w:tab w:pos="678" w:val="left" w:leader="none"/>
        </w:tabs>
        <w:spacing w:line="225" w:lineRule="auto" w:before="236" w:after="0"/>
        <w:ind w:left="113" w:right="134" w:firstLine="204"/>
        <w:jc w:val="both"/>
        <w:rPr>
          <w:sz w:val="24"/>
        </w:rPr>
      </w:pPr>
      <w:r>
        <w:rPr>
          <w:rFonts w:ascii="Arial" w:hAnsi="Arial"/>
          <w:b/>
          <w:w w:val="125"/>
          <w:sz w:val="24"/>
        </w:rPr>
        <w:t>§ </w:t>
      </w:r>
      <w:r>
        <w:rPr>
          <w:w w:val="125"/>
          <w:sz w:val="24"/>
        </w:rPr>
        <w:t>(1) E törvényben, valamint az e törvény felhatalmazása alapján kiadott jogszabályok vonatkozásában</w:t>
      </w:r>
    </w:p>
    <w:p>
      <w:pPr>
        <w:pStyle w:val="ListParagraph"/>
        <w:numPr>
          <w:ilvl w:val="0"/>
          <w:numId w:val="16"/>
        </w:numPr>
        <w:tabs>
          <w:tab w:pos="649" w:val="left" w:leader="none"/>
        </w:tabs>
        <w:spacing w:line="225" w:lineRule="auto" w:before="1" w:after="0"/>
        <w:ind w:left="113" w:right="123" w:firstLine="204"/>
        <w:jc w:val="both"/>
        <w:rPr>
          <w:sz w:val="24"/>
        </w:rPr>
      </w:pPr>
      <w:r>
        <w:rPr>
          <w:i/>
          <w:w w:val="130"/>
          <w:sz w:val="24"/>
        </w:rPr>
        <w:t>alapjavadalmazás: </w:t>
      </w:r>
      <w:r>
        <w:rPr>
          <w:w w:val="130"/>
          <w:sz w:val="24"/>
        </w:rPr>
        <w:t>a javadalmazás azon része, amelyet a hitelintézet és</w:t>
      </w:r>
      <w:r>
        <w:rPr>
          <w:spacing w:val="-46"/>
          <w:w w:val="130"/>
          <w:sz w:val="24"/>
        </w:rPr>
        <w:t> </w:t>
      </w:r>
      <w:r>
        <w:rPr>
          <w:w w:val="130"/>
          <w:sz w:val="24"/>
        </w:rPr>
        <w:t>a vezető</w:t>
      </w:r>
      <w:r>
        <w:rPr>
          <w:spacing w:val="-43"/>
          <w:w w:val="130"/>
          <w:sz w:val="24"/>
        </w:rPr>
        <w:t> </w:t>
      </w:r>
      <w:r>
        <w:rPr>
          <w:w w:val="130"/>
          <w:sz w:val="24"/>
        </w:rPr>
        <w:t>állású</w:t>
      </w:r>
      <w:r>
        <w:rPr>
          <w:spacing w:val="-42"/>
          <w:w w:val="130"/>
          <w:sz w:val="24"/>
        </w:rPr>
        <w:t> </w:t>
      </w:r>
      <w:r>
        <w:rPr>
          <w:w w:val="130"/>
          <w:sz w:val="24"/>
        </w:rPr>
        <w:t>személy,</w:t>
      </w:r>
      <w:r>
        <w:rPr>
          <w:spacing w:val="-42"/>
          <w:w w:val="130"/>
          <w:sz w:val="24"/>
        </w:rPr>
        <w:t> </w:t>
      </w:r>
      <w:r>
        <w:rPr>
          <w:w w:val="130"/>
          <w:sz w:val="24"/>
        </w:rPr>
        <w:t>munkavállaló</w:t>
      </w:r>
      <w:r>
        <w:rPr>
          <w:spacing w:val="-42"/>
          <w:w w:val="130"/>
          <w:sz w:val="24"/>
        </w:rPr>
        <w:t> </w:t>
      </w:r>
      <w:r>
        <w:rPr>
          <w:w w:val="130"/>
          <w:sz w:val="24"/>
        </w:rPr>
        <w:t>közötti</w:t>
      </w:r>
      <w:r>
        <w:rPr>
          <w:spacing w:val="-42"/>
          <w:w w:val="130"/>
          <w:sz w:val="24"/>
        </w:rPr>
        <w:t> </w:t>
      </w:r>
      <w:r>
        <w:rPr>
          <w:w w:val="130"/>
          <w:sz w:val="24"/>
        </w:rPr>
        <w:t>szerződésben</w:t>
      </w:r>
      <w:r>
        <w:rPr>
          <w:spacing w:val="-42"/>
          <w:w w:val="130"/>
          <w:sz w:val="24"/>
        </w:rPr>
        <w:t> </w:t>
      </w:r>
      <w:r>
        <w:rPr>
          <w:w w:val="130"/>
          <w:sz w:val="24"/>
        </w:rPr>
        <w:t>meghatározottaknak megfelelően a hitelintézet a vezető állású személynek vagy munkavállalónak rendszeresen munkabérként kifizet, és amely megfelelően tükrözi a tisztség betöltéséhez szükséges szakmai tapasztalatokat és felelősséget, ideértve minden</w:t>
      </w:r>
      <w:r>
        <w:rPr>
          <w:spacing w:val="-10"/>
          <w:w w:val="130"/>
          <w:sz w:val="24"/>
        </w:rPr>
        <w:t> </w:t>
      </w:r>
      <w:r>
        <w:rPr>
          <w:w w:val="130"/>
          <w:sz w:val="24"/>
        </w:rPr>
        <w:t>olyan</w:t>
      </w:r>
      <w:r>
        <w:rPr>
          <w:spacing w:val="-8"/>
          <w:w w:val="130"/>
          <w:sz w:val="24"/>
        </w:rPr>
        <w:t> </w:t>
      </w:r>
      <w:r>
        <w:rPr>
          <w:w w:val="130"/>
          <w:sz w:val="24"/>
        </w:rPr>
        <w:t>juttatást,</w:t>
      </w:r>
      <w:r>
        <w:rPr>
          <w:spacing w:val="-8"/>
          <w:w w:val="130"/>
          <w:sz w:val="24"/>
        </w:rPr>
        <w:t> </w:t>
      </w:r>
      <w:r>
        <w:rPr>
          <w:w w:val="130"/>
          <w:sz w:val="24"/>
        </w:rPr>
        <w:t>amelyet</w:t>
      </w:r>
      <w:r>
        <w:rPr>
          <w:spacing w:val="-9"/>
          <w:w w:val="130"/>
          <w:sz w:val="24"/>
        </w:rPr>
        <w:t> </w:t>
      </w:r>
      <w:r>
        <w:rPr>
          <w:w w:val="130"/>
          <w:sz w:val="24"/>
        </w:rPr>
        <w:t>más</w:t>
      </w:r>
      <w:r>
        <w:rPr>
          <w:spacing w:val="-9"/>
          <w:w w:val="130"/>
          <w:sz w:val="24"/>
        </w:rPr>
        <w:t> </w:t>
      </w:r>
      <w:r>
        <w:rPr>
          <w:w w:val="130"/>
          <w:sz w:val="24"/>
        </w:rPr>
        <w:t>munkavállaló</w:t>
      </w:r>
      <w:r>
        <w:rPr>
          <w:spacing w:val="-10"/>
          <w:w w:val="130"/>
          <w:sz w:val="24"/>
        </w:rPr>
        <w:t> </w:t>
      </w:r>
      <w:r>
        <w:rPr>
          <w:w w:val="130"/>
          <w:sz w:val="24"/>
        </w:rPr>
        <w:t>is</w:t>
      </w:r>
      <w:r>
        <w:rPr>
          <w:spacing w:val="-9"/>
          <w:w w:val="130"/>
          <w:sz w:val="24"/>
        </w:rPr>
        <w:t> </w:t>
      </w:r>
      <w:r>
        <w:rPr>
          <w:w w:val="130"/>
          <w:sz w:val="24"/>
        </w:rPr>
        <w:t>megkap;</w:t>
      </w:r>
    </w:p>
    <w:p>
      <w:pPr>
        <w:pStyle w:val="ListParagraph"/>
        <w:numPr>
          <w:ilvl w:val="0"/>
          <w:numId w:val="16"/>
        </w:numPr>
        <w:tabs>
          <w:tab w:pos="713" w:val="left" w:leader="none"/>
        </w:tabs>
        <w:spacing w:line="225" w:lineRule="auto" w:before="4" w:after="0"/>
        <w:ind w:left="113" w:right="129" w:firstLine="204"/>
        <w:jc w:val="both"/>
        <w:rPr>
          <w:sz w:val="24"/>
        </w:rPr>
      </w:pPr>
      <w:r>
        <w:rPr>
          <w:i/>
          <w:w w:val="125"/>
          <w:sz w:val="24"/>
        </w:rPr>
        <w:t>anticiklikus tőkepufferráta: </w:t>
      </w:r>
      <w:r>
        <w:rPr>
          <w:w w:val="125"/>
          <w:sz w:val="24"/>
        </w:rPr>
        <w:t>a hitelintézet tevékenységéhez kapcsolódó prociklikusság csökkentését célzó tőkepuffer-követelmény meghatározásához alkalmazott arányszám, amelyet a hitelintézet a kitettségeihez  kapcsolódó  felek vonatkozásában alkalmaz azok földrajzi elhelyezkedése</w:t>
      </w:r>
      <w:r>
        <w:rPr>
          <w:spacing w:val="1"/>
          <w:w w:val="125"/>
          <w:sz w:val="24"/>
        </w:rPr>
        <w:t> </w:t>
      </w:r>
      <w:r>
        <w:rPr>
          <w:w w:val="125"/>
          <w:sz w:val="24"/>
        </w:rPr>
        <w:t>alapján;</w:t>
      </w:r>
    </w:p>
    <w:p>
      <w:pPr>
        <w:pStyle w:val="ListParagraph"/>
        <w:numPr>
          <w:ilvl w:val="0"/>
          <w:numId w:val="16"/>
        </w:numPr>
        <w:tabs>
          <w:tab w:pos="732" w:val="left" w:leader="none"/>
        </w:tabs>
        <w:spacing w:line="225" w:lineRule="auto" w:before="2" w:after="0"/>
        <w:ind w:left="113" w:right="131" w:firstLine="204"/>
        <w:jc w:val="both"/>
        <w:rPr>
          <w:sz w:val="24"/>
        </w:rPr>
      </w:pPr>
      <w:r>
        <w:rPr>
          <w:i/>
          <w:w w:val="125"/>
          <w:sz w:val="24"/>
        </w:rPr>
        <w:t>anyavállalat: </w:t>
      </w:r>
      <w:r>
        <w:rPr>
          <w:w w:val="125"/>
          <w:sz w:val="24"/>
        </w:rPr>
        <w:t>minden olyan vállalkozás, amely egy másik vállalkozás működésére ellenőrző befolyást</w:t>
      </w:r>
      <w:r>
        <w:rPr>
          <w:spacing w:val="1"/>
          <w:w w:val="125"/>
          <w:sz w:val="24"/>
        </w:rPr>
        <w:t> </w:t>
      </w:r>
      <w:r>
        <w:rPr>
          <w:w w:val="125"/>
          <w:sz w:val="24"/>
        </w:rPr>
        <w:t>gyakorol;</w:t>
      </w:r>
    </w:p>
    <w:p>
      <w:pPr>
        <w:pStyle w:val="ListParagraph"/>
        <w:numPr>
          <w:ilvl w:val="0"/>
          <w:numId w:val="16"/>
        </w:numPr>
        <w:tabs>
          <w:tab w:pos="696" w:val="left" w:leader="none"/>
        </w:tabs>
        <w:spacing w:line="225" w:lineRule="auto" w:before="1" w:after="0"/>
        <w:ind w:left="113" w:right="125" w:firstLine="204"/>
        <w:jc w:val="both"/>
        <w:rPr>
          <w:sz w:val="24"/>
        </w:rPr>
      </w:pPr>
      <w:r>
        <w:rPr>
          <w:i/>
          <w:w w:val="125"/>
          <w:sz w:val="24"/>
        </w:rPr>
        <w:t>arany kereskedelmi ügylet: </w:t>
      </w:r>
      <w:r>
        <w:rPr>
          <w:w w:val="125"/>
          <w:sz w:val="24"/>
        </w:rPr>
        <w:t>a színaranyra (arany, amelynek finomsága legalább  995/1000), továbbá - aranytartalmára tekintet nélkül - a  rúdaranyra  és az aranytömbre, valamint a forgalomban nem lévő arany pénzérmére és - numizmatikai céllal - a forgalomban lévő arany pénzérmére kötött</w:t>
      </w:r>
      <w:r>
        <w:rPr>
          <w:spacing w:val="26"/>
          <w:w w:val="125"/>
          <w:sz w:val="24"/>
        </w:rPr>
        <w:t> </w:t>
      </w:r>
      <w:r>
        <w:rPr>
          <w:w w:val="125"/>
          <w:sz w:val="24"/>
        </w:rPr>
        <w:t>ügylet;</w:t>
      </w:r>
    </w:p>
    <w:p>
      <w:pPr>
        <w:spacing w:line="257" w:lineRule="exact" w:before="0"/>
        <w:ind w:left="317" w:right="0" w:firstLine="0"/>
        <w:jc w:val="left"/>
        <w:rPr>
          <w:i/>
          <w:sz w:val="18"/>
        </w:rPr>
      </w:pPr>
      <w:r>
        <w:rPr>
          <w:w w:val="130"/>
          <w:sz w:val="24"/>
        </w:rPr>
        <w:t>4a.</w:t>
      </w:r>
      <w:r>
        <w:rPr>
          <w:i/>
          <w:w w:val="130"/>
          <w:position w:val="3"/>
          <w:sz w:val="18"/>
        </w:rPr>
        <w:t>1</w:t>
      </w:r>
    </w:p>
    <w:p>
      <w:pPr>
        <w:pStyle w:val="ListParagraph"/>
        <w:numPr>
          <w:ilvl w:val="0"/>
          <w:numId w:val="16"/>
        </w:numPr>
        <w:tabs>
          <w:tab w:pos="693" w:val="left" w:leader="none"/>
        </w:tabs>
        <w:spacing w:line="225" w:lineRule="auto" w:before="6" w:after="0"/>
        <w:ind w:left="113" w:right="130" w:firstLine="204"/>
        <w:jc w:val="both"/>
        <w:rPr>
          <w:sz w:val="24"/>
        </w:rPr>
      </w:pPr>
      <w:r>
        <w:rPr>
          <w:i/>
          <w:w w:val="125"/>
          <w:sz w:val="24"/>
        </w:rPr>
        <w:t>befektetés: </w:t>
      </w:r>
      <w:r>
        <w:rPr>
          <w:w w:val="125"/>
          <w:sz w:val="24"/>
        </w:rPr>
        <w:t>az ingatlan, az ingó dolog, a vagyoni értékű jog, illetve a vállalkozásokban fennálló részesedés (részvény, üzletrész, tagsági viszony  stb.), valamint a más pénzügyi vállalkozás részére nyújtott alárendelt kölcsöntőke;</w:t>
      </w:r>
    </w:p>
    <w:p>
      <w:pPr>
        <w:pStyle w:val="ListParagraph"/>
        <w:numPr>
          <w:ilvl w:val="0"/>
          <w:numId w:val="16"/>
        </w:numPr>
        <w:tabs>
          <w:tab w:pos="691" w:val="left" w:leader="none"/>
        </w:tabs>
        <w:spacing w:line="225" w:lineRule="auto" w:before="2" w:after="0"/>
        <w:ind w:left="113" w:right="123" w:firstLine="204"/>
        <w:jc w:val="both"/>
        <w:rPr>
          <w:sz w:val="24"/>
        </w:rPr>
      </w:pPr>
      <w:r>
        <w:rPr>
          <w:i/>
          <w:w w:val="130"/>
          <w:sz w:val="24"/>
        </w:rPr>
        <w:t>befolyásoló részesedés: </w:t>
      </w:r>
      <w:r>
        <w:rPr>
          <w:w w:val="130"/>
          <w:sz w:val="24"/>
        </w:rPr>
        <w:t>az 575/2013/EU európai parlamenti és tanácsi rendeletben (a továbbiakban: 575/2013/EU rendelet) ekként meghatározott fogalom;</w:t>
      </w:r>
    </w:p>
    <w:p>
      <w:pPr>
        <w:pStyle w:val="ListParagraph"/>
        <w:numPr>
          <w:ilvl w:val="0"/>
          <w:numId w:val="16"/>
        </w:numPr>
        <w:tabs>
          <w:tab w:pos="686" w:val="left" w:leader="none"/>
        </w:tabs>
        <w:spacing w:line="225" w:lineRule="auto" w:before="2" w:after="0"/>
        <w:ind w:left="113" w:right="124" w:firstLine="204"/>
        <w:jc w:val="both"/>
        <w:rPr>
          <w:sz w:val="24"/>
        </w:rPr>
      </w:pPr>
      <w:r>
        <w:rPr>
          <w:i/>
          <w:w w:val="130"/>
          <w:sz w:val="24"/>
        </w:rPr>
        <w:t>belső módszer: </w:t>
      </w:r>
      <w:r>
        <w:rPr>
          <w:w w:val="130"/>
          <w:sz w:val="24"/>
        </w:rPr>
        <w:t>az 575/2013/EU rendeletben belső minősítésen alapuló módszerként meghatározott</w:t>
      </w:r>
      <w:r>
        <w:rPr>
          <w:spacing w:val="-10"/>
          <w:w w:val="130"/>
          <w:sz w:val="24"/>
        </w:rPr>
        <w:t> </w:t>
      </w:r>
      <w:r>
        <w:rPr>
          <w:w w:val="130"/>
          <w:sz w:val="24"/>
        </w:rPr>
        <w:t>fogalom;</w:t>
      </w:r>
    </w:p>
    <w:p>
      <w:pPr>
        <w:pStyle w:val="BodyText"/>
        <w:tabs>
          <w:tab w:pos="887" w:val="left" w:leader="none"/>
          <w:tab w:pos="1824" w:val="left" w:leader="none"/>
          <w:tab w:pos="2194" w:val="left" w:leader="none"/>
          <w:tab w:pos="3289" w:val="left" w:leader="none"/>
          <w:tab w:pos="5547" w:val="left" w:leader="none"/>
          <w:tab w:pos="6388" w:val="left" w:leader="none"/>
          <w:tab w:pos="7301" w:val="left" w:leader="none"/>
          <w:tab w:pos="7881" w:val="left" w:leader="none"/>
          <w:tab w:pos="8357" w:val="left" w:leader="none"/>
          <w:tab w:pos="9504" w:val="left" w:leader="none"/>
        </w:tabs>
        <w:spacing w:line="249" w:lineRule="exact"/>
        <w:ind w:left="317" w:firstLine="0"/>
      </w:pPr>
      <w:r>
        <w:rPr>
          <w:w w:val="120"/>
        </w:rPr>
        <w:t>8.</w:t>
      </w:r>
      <w:r>
        <w:rPr>
          <w:i/>
          <w:w w:val="120"/>
          <w:position w:val="3"/>
          <w:sz w:val="18"/>
        </w:rPr>
        <w:t>2</w:t>
        <w:tab/>
      </w:r>
      <w:r>
        <w:rPr>
          <w:i/>
          <w:w w:val="120"/>
        </w:rPr>
        <w:t>betét:</w:t>
        <w:tab/>
      </w:r>
      <w:r>
        <w:rPr>
          <w:w w:val="120"/>
        </w:rPr>
        <w:t>a</w:t>
        <w:tab/>
        <w:t>Polgári</w:t>
        <w:tab/>
        <w:t>Törvénykönyvről</w:t>
        <w:tab/>
        <w:t>szóló</w:t>
        <w:tab/>
        <w:t>2013.</w:t>
        <w:tab/>
        <w:t>évi</w:t>
        <w:tab/>
        <w:t>V.</w:t>
        <w:tab/>
        <w:t>törvény</w:t>
        <w:tab/>
        <w:t>(a</w:t>
      </w:r>
    </w:p>
    <w:p>
      <w:pPr>
        <w:pStyle w:val="BodyText"/>
        <w:spacing w:line="225" w:lineRule="auto" w:before="12"/>
        <w:ind w:right="127" w:firstLine="0"/>
        <w:jc w:val="both"/>
      </w:pPr>
      <w:r>
        <w:rPr>
          <w:w w:val="125"/>
        </w:rPr>
        <w:t>továbbiakban: Ptk.) szerinti betétszerződés vagy a takarékbetétről szóló 1989. évi 2. törvényerejű rendelet szerinti takarékbetét-szerződés alapján fennálló tartozás, ideértve a hitelintézetnél a fizetésiszámla-szerződés alapján fennálló pozitív számlaegyenleget is;</w:t>
      </w:r>
    </w:p>
    <w:p>
      <w:pPr>
        <w:pStyle w:val="ListParagraph"/>
        <w:numPr>
          <w:ilvl w:val="0"/>
          <w:numId w:val="17"/>
        </w:numPr>
        <w:tabs>
          <w:tab w:pos="714" w:val="left" w:leader="none"/>
        </w:tabs>
        <w:spacing w:line="225" w:lineRule="auto" w:before="2" w:after="0"/>
        <w:ind w:left="113" w:right="126" w:firstLine="204"/>
        <w:jc w:val="both"/>
        <w:rPr>
          <w:sz w:val="24"/>
        </w:rPr>
      </w:pPr>
      <w:r>
        <w:rPr>
          <w:i/>
          <w:w w:val="125"/>
          <w:sz w:val="24"/>
        </w:rPr>
        <w:t>betét és más, a nyilvánosságtól származó visszafizetendő pénzeszköz gyűjtése: </w:t>
      </w:r>
      <w:r>
        <w:rPr>
          <w:w w:val="125"/>
          <w:sz w:val="24"/>
        </w:rPr>
        <w:t>pénzeszközök egyedileg előre meg nem határozott személyektől történő gyűjtése oly módon, hogy azzal a betétgyűjtő tulajdonosként rendelkezhet, de köteles azt - kamattal, más előny biztosításával vagy anélkül - visszafizetni;</w:t>
      </w:r>
    </w:p>
    <w:p>
      <w:pPr>
        <w:pStyle w:val="BodyText"/>
        <w:ind w:left="0" w:firstLine="0"/>
        <w:rPr>
          <w:sz w:val="20"/>
        </w:rPr>
      </w:pPr>
    </w:p>
    <w:p>
      <w:pPr>
        <w:pStyle w:val="BodyText"/>
        <w:spacing w:before="7"/>
        <w:ind w:left="0" w:firstLine="0"/>
        <w:rPr>
          <w:sz w:val="16"/>
        </w:rPr>
      </w:pPr>
      <w:r>
        <w:rPr/>
        <w:pict>
          <v:line style="position:absolute;mso-position-horizontal-relative:page;mso-position-vertical-relative:paragraph;z-index:-952;mso-wrap-distance-left:0;mso-wrap-distance-right:0" from="56.693001pt,11.778563pt" to="538.583001pt,11.778563pt" stroked="true" strokeweight=".5pt" strokecolor="#000000">
            <v:stroke dashstyle="solid"/>
            <w10:wrap type="topAndBottom"/>
          </v:line>
        </w:pict>
      </w:r>
    </w:p>
    <w:p>
      <w:pPr>
        <w:pStyle w:val="ListParagraph"/>
        <w:numPr>
          <w:ilvl w:val="0"/>
          <w:numId w:val="18"/>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2018.</w:t>
      </w:r>
      <w:r>
        <w:rPr>
          <w:i/>
          <w:spacing w:val="7"/>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7"/>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a).</w:t>
      </w:r>
      <w:r>
        <w:rPr>
          <w:i/>
          <w:spacing w:val="9"/>
          <w:w w:val="120"/>
          <w:sz w:val="18"/>
        </w:rPr>
        <w:t> </w:t>
      </w:r>
      <w:r>
        <w:rPr>
          <w:i/>
          <w:w w:val="120"/>
          <w:sz w:val="18"/>
        </w:rPr>
        <w:t>Hatálytalan:</w:t>
      </w:r>
      <w:r>
        <w:rPr>
          <w:i/>
          <w:spacing w:val="8"/>
          <w:w w:val="120"/>
          <w:sz w:val="18"/>
        </w:rPr>
        <w:t> </w:t>
      </w:r>
      <w:r>
        <w:rPr>
          <w:i/>
          <w:w w:val="120"/>
          <w:sz w:val="18"/>
        </w:rPr>
        <w:t>2019.</w:t>
      </w:r>
      <w:r>
        <w:rPr>
          <w:i/>
          <w:spacing w:val="8"/>
          <w:w w:val="120"/>
          <w:sz w:val="18"/>
        </w:rPr>
        <w:t> </w:t>
      </w:r>
      <w:r>
        <w:rPr>
          <w:i/>
          <w:w w:val="120"/>
          <w:sz w:val="18"/>
        </w:rPr>
        <w:t>III.</w:t>
      </w:r>
      <w:r>
        <w:rPr>
          <w:i/>
          <w:spacing w:val="9"/>
          <w:w w:val="120"/>
          <w:sz w:val="18"/>
        </w:rPr>
        <w:t> </w:t>
      </w:r>
      <w:r>
        <w:rPr>
          <w:i/>
          <w:w w:val="120"/>
          <w:sz w:val="18"/>
        </w:rPr>
        <w:t>31-től.</w:t>
      </w:r>
    </w:p>
    <w:p>
      <w:pPr>
        <w:pStyle w:val="ListParagraph"/>
        <w:numPr>
          <w:ilvl w:val="0"/>
          <w:numId w:val="18"/>
        </w:numPr>
        <w:tabs>
          <w:tab w:pos="686" w:val="left" w:leader="none"/>
          <w:tab w:pos="687" w:val="left" w:leader="none"/>
        </w:tabs>
        <w:spacing w:line="203" w:lineRule="exact" w:before="0" w:after="0"/>
        <w:ind w:left="686" w:right="0" w:hanging="344"/>
        <w:jc w:val="left"/>
        <w:rPr>
          <w:i/>
          <w:sz w:val="18"/>
        </w:rPr>
      </w:pPr>
      <w:r>
        <w:rPr>
          <w:i/>
          <w:w w:val="125"/>
          <w:sz w:val="18"/>
        </w:rPr>
        <w:t>Megállapította: ugyane törvény 306. § (1). Hatályos: 2014. III.</w:t>
      </w:r>
      <w:r>
        <w:rPr>
          <w:i/>
          <w:spacing w:val="-10"/>
          <w:w w:val="125"/>
          <w:sz w:val="18"/>
        </w:rPr>
        <w:t> </w:t>
      </w:r>
      <w:r>
        <w:rPr>
          <w:i/>
          <w:w w:val="125"/>
          <w:sz w:val="18"/>
        </w:rPr>
        <w:t>15-től.</w:t>
      </w:r>
    </w:p>
    <w:p>
      <w:pPr>
        <w:spacing w:after="0" w:line="203" w:lineRule="exact"/>
        <w:jc w:val="left"/>
        <w:rPr>
          <w:sz w:val="18"/>
        </w:rPr>
        <w:sectPr>
          <w:pgSz w:w="11900" w:h="16820"/>
          <w:pgMar w:header="1104" w:footer="0" w:top="1840" w:bottom="280" w:left="1020" w:right="1000"/>
        </w:sectPr>
      </w:pPr>
    </w:p>
    <w:p>
      <w:pPr>
        <w:pStyle w:val="ListParagraph"/>
        <w:numPr>
          <w:ilvl w:val="0"/>
          <w:numId w:val="17"/>
        </w:numPr>
        <w:tabs>
          <w:tab w:pos="786" w:val="left" w:leader="none"/>
        </w:tabs>
        <w:spacing w:line="225" w:lineRule="auto" w:before="173" w:after="0"/>
        <w:ind w:left="113" w:right="128" w:firstLine="204"/>
        <w:jc w:val="both"/>
        <w:rPr>
          <w:sz w:val="24"/>
        </w:rPr>
      </w:pPr>
      <w:r>
        <w:rPr>
          <w:i/>
          <w:w w:val="125"/>
          <w:sz w:val="24"/>
        </w:rPr>
        <w:t>csoport: </w:t>
      </w:r>
      <w:r>
        <w:rPr>
          <w:w w:val="125"/>
          <w:sz w:val="24"/>
        </w:rPr>
        <w:t>olyan vállalkozások összessége, amelyet egy anyavállalat, annak leányvállalatai és mindazon vállalkozások alkotnak, amelyekben  az anyavállalat vagy leányvállalata ellenőrző befolyással vagy részesedési viszonnyal</w:t>
      </w:r>
      <w:r>
        <w:rPr>
          <w:spacing w:val="-1"/>
          <w:w w:val="125"/>
          <w:sz w:val="24"/>
        </w:rPr>
        <w:t> </w:t>
      </w:r>
      <w:r>
        <w:rPr>
          <w:w w:val="125"/>
          <w:sz w:val="24"/>
        </w:rPr>
        <w:t>rendelkezik;</w:t>
      </w:r>
    </w:p>
    <w:p>
      <w:pPr>
        <w:pStyle w:val="ListParagraph"/>
        <w:numPr>
          <w:ilvl w:val="0"/>
          <w:numId w:val="17"/>
        </w:numPr>
        <w:tabs>
          <w:tab w:pos="776" w:val="left" w:leader="none"/>
        </w:tabs>
        <w:spacing w:line="225" w:lineRule="auto" w:before="2" w:after="0"/>
        <w:ind w:left="113" w:right="131" w:firstLine="204"/>
        <w:jc w:val="both"/>
        <w:rPr>
          <w:sz w:val="24"/>
        </w:rPr>
      </w:pPr>
      <w:r>
        <w:rPr>
          <w:i/>
          <w:w w:val="125"/>
          <w:sz w:val="24"/>
        </w:rPr>
        <w:t>csoportfinanszírozás: </w:t>
      </w:r>
      <w:r>
        <w:rPr>
          <w:w w:val="125"/>
          <w:sz w:val="24"/>
        </w:rPr>
        <w:t>anyavállalatnak leányvállalatokkal vagy ez utóbbiak egymás közötti, a likviditás biztosítása érdekében közösen végrehajtott pénzügyi művelete;</w:t>
      </w:r>
    </w:p>
    <w:p>
      <w:pPr>
        <w:tabs>
          <w:tab w:pos="1157" w:val="left" w:leader="none"/>
          <w:tab w:pos="2333" w:val="left" w:leader="none"/>
          <w:tab w:pos="4510" w:val="left" w:leader="none"/>
          <w:tab w:pos="5123" w:val="left" w:leader="none"/>
          <w:tab w:pos="7611" w:val="left" w:leader="none"/>
          <w:tab w:pos="8774" w:val="left" w:leader="none"/>
        </w:tabs>
        <w:spacing w:line="250" w:lineRule="exact" w:before="0"/>
        <w:ind w:left="317" w:right="0" w:firstLine="0"/>
        <w:jc w:val="left"/>
        <w:rPr>
          <w:sz w:val="24"/>
        </w:rPr>
      </w:pPr>
      <w:r>
        <w:rPr>
          <w:w w:val="130"/>
          <w:sz w:val="24"/>
        </w:rPr>
        <w:t>11a.</w:t>
      </w:r>
      <w:r>
        <w:rPr>
          <w:i/>
          <w:w w:val="130"/>
          <w:position w:val="3"/>
          <w:sz w:val="18"/>
        </w:rPr>
        <w:t>1</w:t>
        <w:tab/>
      </w:r>
      <w:r>
        <w:rPr>
          <w:i/>
          <w:w w:val="130"/>
          <w:sz w:val="24"/>
        </w:rPr>
        <w:t>digitális</w:t>
        <w:tab/>
        <w:t>tartalom</w:t>
      </w:r>
      <w:r>
        <w:rPr>
          <w:w w:val="130"/>
          <w:sz w:val="24"/>
        </w:rPr>
        <w:t>:</w:t>
      </w:r>
      <w:r>
        <w:rPr>
          <w:spacing w:val="68"/>
          <w:w w:val="130"/>
          <w:sz w:val="24"/>
        </w:rPr>
        <w:t> </w:t>
      </w:r>
      <w:r>
        <w:rPr>
          <w:w w:val="130"/>
          <w:sz w:val="24"/>
        </w:rPr>
        <w:t>olyan</w:t>
        <w:tab/>
        <w:t>áru</w:t>
        <w:tab/>
        <w:t>vagy </w:t>
      </w:r>
      <w:r>
        <w:rPr>
          <w:spacing w:val="5"/>
          <w:w w:val="130"/>
          <w:sz w:val="24"/>
        </w:rPr>
        <w:t> </w:t>
      </w:r>
      <w:r>
        <w:rPr>
          <w:w w:val="130"/>
          <w:sz w:val="24"/>
        </w:rPr>
        <w:t>szolgáltatás,</w:t>
        <w:tab/>
        <w:t>amelyet</w:t>
        <w:tab/>
        <w:t>digitális</w:t>
      </w:r>
    </w:p>
    <w:p>
      <w:pPr>
        <w:pStyle w:val="BodyText"/>
        <w:spacing w:line="225" w:lineRule="auto" w:before="12"/>
        <w:ind w:right="124" w:firstLine="0"/>
        <w:jc w:val="both"/>
      </w:pPr>
      <w:r>
        <w:rPr>
          <w:w w:val="125"/>
        </w:rPr>
        <w:t>formában állítanak elő és nyújtanak, illetve értékesítenek, és amelynek használata, igénybevétele meghatározott technikai eszközre korlátozódik és semmilyen formában nem jár fizikai áruk vagy szolgáltatások használatával, igénybevételével;</w:t>
      </w:r>
    </w:p>
    <w:p>
      <w:pPr>
        <w:pStyle w:val="ListParagraph"/>
        <w:numPr>
          <w:ilvl w:val="0"/>
          <w:numId w:val="17"/>
        </w:numPr>
        <w:tabs>
          <w:tab w:pos="814" w:val="left" w:leader="none"/>
        </w:tabs>
        <w:spacing w:line="225" w:lineRule="auto" w:before="2" w:after="0"/>
        <w:ind w:left="113" w:right="130" w:firstLine="204"/>
        <w:jc w:val="both"/>
        <w:rPr>
          <w:sz w:val="24"/>
        </w:rPr>
      </w:pPr>
      <w:r>
        <w:rPr>
          <w:i/>
          <w:w w:val="130"/>
          <w:sz w:val="24"/>
        </w:rPr>
        <w:t>dotációs tőke: </w:t>
      </w:r>
      <w:r>
        <w:rPr>
          <w:w w:val="130"/>
          <w:sz w:val="24"/>
        </w:rPr>
        <w:t>a fióktelep létesítéséhez és működéséhez a létesítő által tartósan, korlátlanul, tehermentesen a fióktelep szabad rendelkezésére bocsátott</w:t>
      </w:r>
      <w:r>
        <w:rPr>
          <w:spacing w:val="13"/>
          <w:w w:val="130"/>
          <w:sz w:val="24"/>
        </w:rPr>
        <w:t> </w:t>
      </w:r>
      <w:r>
        <w:rPr>
          <w:w w:val="130"/>
          <w:sz w:val="24"/>
        </w:rPr>
        <w:t>tőke;</w:t>
      </w:r>
    </w:p>
    <w:p>
      <w:pPr>
        <w:pStyle w:val="ListParagraph"/>
        <w:numPr>
          <w:ilvl w:val="0"/>
          <w:numId w:val="17"/>
        </w:numPr>
        <w:tabs>
          <w:tab w:pos="776" w:val="left" w:leader="none"/>
        </w:tabs>
        <w:spacing w:line="225" w:lineRule="auto" w:before="2" w:after="0"/>
        <w:ind w:left="113" w:right="131" w:firstLine="204"/>
        <w:jc w:val="both"/>
        <w:rPr>
          <w:sz w:val="24"/>
        </w:rPr>
      </w:pPr>
      <w:r>
        <w:rPr>
          <w:i/>
          <w:w w:val="125"/>
          <w:sz w:val="24"/>
        </w:rPr>
        <w:t>EGT-állam: </w:t>
      </w:r>
      <w:r>
        <w:rPr>
          <w:w w:val="125"/>
          <w:sz w:val="24"/>
        </w:rPr>
        <w:t>az Európai Unió tagállama és az Európai Gazdasági Térségről szóló megállapodásban részes más</w:t>
      </w:r>
      <w:r>
        <w:rPr>
          <w:spacing w:val="4"/>
          <w:w w:val="125"/>
          <w:sz w:val="24"/>
        </w:rPr>
        <w:t> </w:t>
      </w:r>
      <w:r>
        <w:rPr>
          <w:w w:val="125"/>
          <w:sz w:val="24"/>
        </w:rPr>
        <w:t>állam;</w:t>
      </w:r>
    </w:p>
    <w:p>
      <w:pPr>
        <w:pStyle w:val="ListParagraph"/>
        <w:numPr>
          <w:ilvl w:val="0"/>
          <w:numId w:val="17"/>
        </w:numPr>
        <w:tabs>
          <w:tab w:pos="928" w:val="left" w:leader="none"/>
        </w:tabs>
        <w:spacing w:line="225" w:lineRule="auto" w:before="1" w:after="0"/>
        <w:ind w:left="113" w:right="124" w:firstLine="204"/>
        <w:jc w:val="both"/>
        <w:rPr>
          <w:sz w:val="24"/>
        </w:rPr>
      </w:pPr>
      <w:r>
        <w:rPr>
          <w:i/>
          <w:w w:val="130"/>
          <w:sz w:val="24"/>
        </w:rPr>
        <w:t>egyéb rendszerszinten jelentős hitelintézet: </w:t>
      </w:r>
      <w:r>
        <w:rPr>
          <w:w w:val="130"/>
          <w:sz w:val="24"/>
        </w:rPr>
        <w:t>olyan rendszerszinten jelentős</w:t>
      </w:r>
      <w:r>
        <w:rPr>
          <w:spacing w:val="-29"/>
          <w:w w:val="130"/>
          <w:sz w:val="24"/>
        </w:rPr>
        <w:t> </w:t>
      </w:r>
      <w:r>
        <w:rPr>
          <w:w w:val="130"/>
          <w:sz w:val="24"/>
        </w:rPr>
        <w:t>hitelintézet,</w:t>
      </w:r>
      <w:r>
        <w:rPr>
          <w:spacing w:val="-18"/>
          <w:w w:val="130"/>
          <w:sz w:val="24"/>
        </w:rPr>
        <w:t> </w:t>
      </w:r>
      <w:r>
        <w:rPr>
          <w:w w:val="130"/>
          <w:sz w:val="24"/>
        </w:rPr>
        <w:t>amelynek</w:t>
      </w:r>
      <w:r>
        <w:rPr>
          <w:spacing w:val="-40"/>
          <w:w w:val="130"/>
          <w:sz w:val="24"/>
        </w:rPr>
        <w:t> </w:t>
      </w:r>
      <w:r>
        <w:rPr>
          <w:w w:val="130"/>
          <w:sz w:val="24"/>
        </w:rPr>
        <w:t>felszámolása</w:t>
      </w:r>
      <w:r>
        <w:rPr>
          <w:spacing w:val="-29"/>
          <w:w w:val="130"/>
          <w:sz w:val="24"/>
        </w:rPr>
        <w:t> </w:t>
      </w:r>
      <w:r>
        <w:rPr>
          <w:w w:val="130"/>
          <w:sz w:val="24"/>
        </w:rPr>
        <w:t>vagy</w:t>
      </w:r>
      <w:r>
        <w:rPr>
          <w:spacing w:val="-28"/>
          <w:w w:val="130"/>
          <w:sz w:val="24"/>
        </w:rPr>
        <w:t> </w:t>
      </w:r>
      <w:r>
        <w:rPr>
          <w:w w:val="130"/>
          <w:sz w:val="24"/>
        </w:rPr>
        <w:t>nem</w:t>
      </w:r>
      <w:r>
        <w:rPr>
          <w:spacing w:val="-29"/>
          <w:w w:val="130"/>
          <w:sz w:val="24"/>
        </w:rPr>
        <w:t> </w:t>
      </w:r>
      <w:r>
        <w:rPr>
          <w:w w:val="130"/>
          <w:sz w:val="24"/>
        </w:rPr>
        <w:t>prudens</w:t>
      </w:r>
      <w:r>
        <w:rPr>
          <w:spacing w:val="-29"/>
          <w:w w:val="130"/>
          <w:sz w:val="24"/>
        </w:rPr>
        <w:t> </w:t>
      </w:r>
      <w:r>
        <w:rPr>
          <w:w w:val="130"/>
          <w:sz w:val="24"/>
        </w:rPr>
        <w:t>működése</w:t>
      </w:r>
      <w:r>
        <w:rPr>
          <w:spacing w:val="-29"/>
          <w:w w:val="130"/>
          <w:sz w:val="24"/>
        </w:rPr>
        <w:t> </w:t>
      </w:r>
      <w:r>
        <w:rPr>
          <w:w w:val="130"/>
          <w:sz w:val="24"/>
        </w:rPr>
        <w:t>több EGT-állam tekintetében vagy EGT-állami szinten rendszerkockázathoz</w:t>
      </w:r>
      <w:r>
        <w:rPr>
          <w:spacing w:val="78"/>
          <w:w w:val="130"/>
          <w:sz w:val="24"/>
        </w:rPr>
        <w:t> </w:t>
      </w:r>
      <w:r>
        <w:rPr>
          <w:w w:val="130"/>
          <w:sz w:val="24"/>
        </w:rPr>
        <w:t>vezethet;</w:t>
      </w:r>
    </w:p>
    <w:p>
      <w:pPr>
        <w:pStyle w:val="ListParagraph"/>
        <w:numPr>
          <w:ilvl w:val="0"/>
          <w:numId w:val="17"/>
        </w:numPr>
        <w:tabs>
          <w:tab w:pos="867" w:val="left" w:leader="none"/>
        </w:tabs>
        <w:spacing w:line="225" w:lineRule="auto" w:before="2" w:after="0"/>
        <w:ind w:left="113" w:right="113" w:firstLine="204"/>
        <w:jc w:val="both"/>
        <w:rPr>
          <w:sz w:val="24"/>
        </w:rPr>
      </w:pPr>
      <w:r>
        <w:rPr>
          <w:i/>
          <w:w w:val="125"/>
          <w:sz w:val="24"/>
        </w:rPr>
        <w:t>egyéb rendszerszinten jelentős hitelintézetekre vonatkozó tőkepuffer követelmény: </w:t>
      </w:r>
      <w:r>
        <w:rPr>
          <w:w w:val="125"/>
          <w:sz w:val="24"/>
        </w:rPr>
        <w:t>a Magyarországon vagy más EGT-államban jelentős kockázatot hordozó hitelintézet csődvalószínűségének és kockázatvállalásának csökkentésére irányuló</w:t>
      </w:r>
      <w:r>
        <w:rPr>
          <w:spacing w:val="1"/>
          <w:w w:val="125"/>
          <w:sz w:val="24"/>
        </w:rPr>
        <w:t> </w:t>
      </w:r>
      <w:r>
        <w:rPr>
          <w:w w:val="125"/>
          <w:sz w:val="24"/>
        </w:rPr>
        <w:t>szavatolótőke-követelmény;</w:t>
      </w:r>
    </w:p>
    <w:p>
      <w:pPr>
        <w:pStyle w:val="ListParagraph"/>
        <w:numPr>
          <w:ilvl w:val="0"/>
          <w:numId w:val="17"/>
        </w:numPr>
        <w:tabs>
          <w:tab w:pos="934" w:val="left" w:leader="none"/>
        </w:tabs>
        <w:spacing w:line="225" w:lineRule="auto" w:before="3" w:after="0"/>
        <w:ind w:left="113" w:right="121" w:firstLine="204"/>
        <w:jc w:val="both"/>
        <w:rPr>
          <w:sz w:val="24"/>
        </w:rPr>
      </w:pPr>
      <w:r>
        <w:rPr>
          <w:i/>
          <w:w w:val="130"/>
          <w:sz w:val="24"/>
        </w:rPr>
        <w:t>elektronikus pénz: </w:t>
      </w:r>
      <w:r>
        <w:rPr>
          <w:w w:val="130"/>
          <w:sz w:val="24"/>
        </w:rPr>
        <w:t>az elektronikus pénz kibocsátójával szembeni követelés által megtestesített, elektronikusan tárolt - ideértve a mágneses tárolást is - összeg, amelyet pénzeszköz átvétele ellenében bocsátanak ki a</w:t>
      </w:r>
      <w:r>
        <w:rPr>
          <w:spacing w:val="78"/>
          <w:w w:val="130"/>
          <w:sz w:val="24"/>
        </w:rPr>
        <w:t> </w:t>
      </w:r>
      <w:r>
        <w:rPr>
          <w:w w:val="130"/>
          <w:sz w:val="24"/>
        </w:rPr>
        <w:t>pénzforgalmi</w:t>
      </w:r>
      <w:r>
        <w:rPr>
          <w:spacing w:val="-20"/>
          <w:w w:val="130"/>
          <w:sz w:val="24"/>
        </w:rPr>
        <w:t> </w:t>
      </w:r>
      <w:r>
        <w:rPr>
          <w:w w:val="130"/>
          <w:sz w:val="24"/>
        </w:rPr>
        <w:t>szolgáltatás</w:t>
      </w:r>
      <w:r>
        <w:rPr>
          <w:spacing w:val="-19"/>
          <w:w w:val="130"/>
          <w:sz w:val="24"/>
        </w:rPr>
        <w:t> </w:t>
      </w:r>
      <w:r>
        <w:rPr>
          <w:w w:val="130"/>
          <w:sz w:val="24"/>
        </w:rPr>
        <w:t>nyújtásáról</w:t>
      </w:r>
      <w:r>
        <w:rPr>
          <w:spacing w:val="-19"/>
          <w:w w:val="130"/>
          <w:sz w:val="24"/>
        </w:rPr>
        <w:t> </w:t>
      </w:r>
      <w:r>
        <w:rPr>
          <w:w w:val="130"/>
          <w:sz w:val="24"/>
        </w:rPr>
        <w:t>szóló</w:t>
      </w:r>
      <w:r>
        <w:rPr>
          <w:spacing w:val="-19"/>
          <w:w w:val="130"/>
          <w:sz w:val="24"/>
        </w:rPr>
        <w:t> </w:t>
      </w:r>
      <w:r>
        <w:rPr>
          <w:w w:val="130"/>
          <w:sz w:val="24"/>
        </w:rPr>
        <w:t>törvényben</w:t>
      </w:r>
      <w:r>
        <w:rPr>
          <w:spacing w:val="-20"/>
          <w:w w:val="130"/>
          <w:sz w:val="24"/>
        </w:rPr>
        <w:t> </w:t>
      </w:r>
      <w:r>
        <w:rPr>
          <w:w w:val="130"/>
          <w:sz w:val="24"/>
        </w:rPr>
        <w:t>meghatározott</w:t>
      </w:r>
      <w:r>
        <w:rPr>
          <w:spacing w:val="-16"/>
          <w:w w:val="130"/>
          <w:sz w:val="24"/>
        </w:rPr>
        <w:t> </w:t>
      </w:r>
      <w:r>
        <w:rPr>
          <w:w w:val="130"/>
          <w:sz w:val="24"/>
        </w:rPr>
        <w:t>fizetési műveletek teljesítése céljából, és amelyet az elektronikus pénz kibocsátóján kívül más természetes és jogi személy, jogi személyiség nélküli gazdasági társaság</w:t>
      </w:r>
      <w:r>
        <w:rPr>
          <w:spacing w:val="-19"/>
          <w:w w:val="130"/>
          <w:sz w:val="24"/>
        </w:rPr>
        <w:t> </w:t>
      </w:r>
      <w:r>
        <w:rPr>
          <w:w w:val="130"/>
          <w:sz w:val="24"/>
        </w:rPr>
        <w:t>és</w:t>
      </w:r>
      <w:r>
        <w:rPr>
          <w:spacing w:val="-19"/>
          <w:w w:val="130"/>
          <w:sz w:val="24"/>
        </w:rPr>
        <w:t> </w:t>
      </w:r>
      <w:r>
        <w:rPr>
          <w:w w:val="130"/>
          <w:sz w:val="24"/>
        </w:rPr>
        <w:t>egyéni</w:t>
      </w:r>
      <w:r>
        <w:rPr>
          <w:spacing w:val="-19"/>
          <w:w w:val="130"/>
          <w:sz w:val="24"/>
        </w:rPr>
        <w:t> </w:t>
      </w:r>
      <w:r>
        <w:rPr>
          <w:w w:val="130"/>
          <w:sz w:val="24"/>
        </w:rPr>
        <w:t>vállalkozó</w:t>
      </w:r>
      <w:r>
        <w:rPr>
          <w:spacing w:val="-10"/>
          <w:w w:val="130"/>
          <w:sz w:val="24"/>
        </w:rPr>
        <w:t> </w:t>
      </w:r>
      <w:r>
        <w:rPr>
          <w:w w:val="130"/>
          <w:sz w:val="24"/>
        </w:rPr>
        <w:t>is</w:t>
      </w:r>
      <w:r>
        <w:rPr>
          <w:spacing w:val="-28"/>
          <w:w w:val="130"/>
          <w:sz w:val="24"/>
        </w:rPr>
        <w:t> </w:t>
      </w:r>
      <w:r>
        <w:rPr>
          <w:w w:val="130"/>
          <w:sz w:val="24"/>
        </w:rPr>
        <w:t>elfogad,</w:t>
      </w:r>
      <w:r>
        <w:rPr>
          <w:spacing w:val="-19"/>
          <w:w w:val="130"/>
          <w:sz w:val="24"/>
        </w:rPr>
        <w:t> </w:t>
      </w:r>
      <w:r>
        <w:rPr>
          <w:w w:val="130"/>
          <w:sz w:val="24"/>
        </w:rPr>
        <w:t>ide</w:t>
      </w:r>
      <w:r>
        <w:rPr>
          <w:spacing w:val="-8"/>
          <w:w w:val="130"/>
          <w:sz w:val="24"/>
        </w:rPr>
        <w:t> </w:t>
      </w:r>
      <w:r>
        <w:rPr>
          <w:w w:val="130"/>
          <w:sz w:val="24"/>
        </w:rPr>
        <w:t>nem</w:t>
      </w:r>
      <w:r>
        <w:rPr>
          <w:spacing w:val="-30"/>
          <w:w w:val="130"/>
          <w:sz w:val="24"/>
        </w:rPr>
        <w:t> </w:t>
      </w:r>
      <w:r>
        <w:rPr>
          <w:w w:val="130"/>
          <w:sz w:val="24"/>
        </w:rPr>
        <w:t>értve</w:t>
      </w:r>
      <w:r>
        <w:rPr>
          <w:spacing w:val="-19"/>
          <w:w w:val="130"/>
          <w:sz w:val="24"/>
        </w:rPr>
        <w:t> </w:t>
      </w:r>
      <w:r>
        <w:rPr>
          <w:w w:val="130"/>
          <w:sz w:val="24"/>
        </w:rPr>
        <w:t>a</w:t>
      </w:r>
      <w:r>
        <w:rPr>
          <w:spacing w:val="-19"/>
          <w:w w:val="130"/>
          <w:sz w:val="24"/>
        </w:rPr>
        <w:t> </w:t>
      </w:r>
      <w:r>
        <w:rPr>
          <w:w w:val="130"/>
          <w:sz w:val="24"/>
        </w:rPr>
        <w:t>(4)</w:t>
      </w:r>
      <w:r>
        <w:rPr>
          <w:spacing w:val="-19"/>
          <w:w w:val="130"/>
          <w:sz w:val="24"/>
        </w:rPr>
        <w:t> </w:t>
      </w:r>
      <w:r>
        <w:rPr>
          <w:w w:val="130"/>
          <w:sz w:val="24"/>
        </w:rPr>
        <w:t>bekezdés</w:t>
      </w:r>
      <w:r>
        <w:rPr>
          <w:spacing w:val="-10"/>
          <w:w w:val="130"/>
          <w:sz w:val="24"/>
        </w:rPr>
        <w:t> </w:t>
      </w:r>
      <w:r>
        <w:rPr>
          <w:i/>
          <w:w w:val="130"/>
          <w:sz w:val="24"/>
        </w:rPr>
        <w:t>k)</w:t>
      </w:r>
      <w:r>
        <w:rPr>
          <w:i/>
          <w:spacing w:val="-18"/>
          <w:w w:val="130"/>
          <w:sz w:val="24"/>
        </w:rPr>
        <w:t> </w:t>
      </w:r>
      <w:r>
        <w:rPr>
          <w:w w:val="130"/>
          <w:sz w:val="24"/>
        </w:rPr>
        <w:t>pontja szerinti</w:t>
      </w:r>
      <w:r>
        <w:rPr>
          <w:spacing w:val="-9"/>
          <w:w w:val="130"/>
          <w:sz w:val="24"/>
        </w:rPr>
        <w:t> </w:t>
      </w:r>
      <w:r>
        <w:rPr>
          <w:w w:val="130"/>
          <w:sz w:val="24"/>
        </w:rPr>
        <w:t>eszközön</w:t>
      </w:r>
      <w:r>
        <w:rPr>
          <w:spacing w:val="-10"/>
          <w:w w:val="130"/>
          <w:sz w:val="24"/>
        </w:rPr>
        <w:t> </w:t>
      </w:r>
      <w:r>
        <w:rPr>
          <w:w w:val="130"/>
          <w:sz w:val="24"/>
        </w:rPr>
        <w:t>tárolt</w:t>
      </w:r>
      <w:r>
        <w:rPr>
          <w:spacing w:val="-9"/>
          <w:w w:val="130"/>
          <w:sz w:val="24"/>
        </w:rPr>
        <w:t> </w:t>
      </w:r>
      <w:r>
        <w:rPr>
          <w:w w:val="130"/>
          <w:sz w:val="24"/>
        </w:rPr>
        <w:t>vagy</w:t>
      </w:r>
      <w:r>
        <w:rPr>
          <w:spacing w:val="-6"/>
          <w:w w:val="130"/>
          <w:sz w:val="24"/>
        </w:rPr>
        <w:t> </w:t>
      </w:r>
      <w:r>
        <w:rPr>
          <w:i/>
          <w:w w:val="130"/>
          <w:sz w:val="24"/>
        </w:rPr>
        <w:t>l)</w:t>
      </w:r>
      <w:r>
        <w:rPr>
          <w:i/>
          <w:spacing w:val="-9"/>
          <w:w w:val="130"/>
          <w:sz w:val="24"/>
        </w:rPr>
        <w:t> </w:t>
      </w:r>
      <w:r>
        <w:rPr>
          <w:w w:val="130"/>
          <w:sz w:val="24"/>
        </w:rPr>
        <w:t>pontjában</w:t>
      </w:r>
      <w:r>
        <w:rPr>
          <w:spacing w:val="-9"/>
          <w:w w:val="130"/>
          <w:sz w:val="24"/>
        </w:rPr>
        <w:t> </w:t>
      </w:r>
      <w:r>
        <w:rPr>
          <w:w w:val="130"/>
          <w:sz w:val="24"/>
        </w:rPr>
        <w:t>rögzített</w:t>
      </w:r>
      <w:r>
        <w:rPr>
          <w:spacing w:val="-9"/>
          <w:w w:val="130"/>
          <w:sz w:val="24"/>
        </w:rPr>
        <w:t> </w:t>
      </w:r>
      <w:r>
        <w:rPr>
          <w:w w:val="130"/>
          <w:sz w:val="24"/>
        </w:rPr>
        <w:t>fizetési</w:t>
      </w:r>
      <w:r>
        <w:rPr>
          <w:spacing w:val="-8"/>
          <w:w w:val="130"/>
          <w:sz w:val="24"/>
        </w:rPr>
        <w:t> </w:t>
      </w:r>
      <w:r>
        <w:rPr>
          <w:w w:val="130"/>
          <w:sz w:val="24"/>
        </w:rPr>
        <w:t>műveletre</w:t>
      </w:r>
      <w:r>
        <w:rPr>
          <w:spacing w:val="-9"/>
          <w:w w:val="130"/>
          <w:sz w:val="24"/>
        </w:rPr>
        <w:t> </w:t>
      </w:r>
      <w:r>
        <w:rPr>
          <w:w w:val="130"/>
          <w:sz w:val="24"/>
        </w:rPr>
        <w:t>használt értéket;</w:t>
      </w:r>
    </w:p>
    <w:p>
      <w:pPr>
        <w:pStyle w:val="ListParagraph"/>
        <w:numPr>
          <w:ilvl w:val="0"/>
          <w:numId w:val="17"/>
        </w:numPr>
        <w:tabs>
          <w:tab w:pos="794" w:val="left" w:leader="none"/>
        </w:tabs>
        <w:spacing w:line="225" w:lineRule="auto" w:before="5" w:after="0"/>
        <w:ind w:left="113" w:right="130" w:firstLine="204"/>
        <w:jc w:val="both"/>
        <w:rPr>
          <w:sz w:val="24"/>
        </w:rPr>
      </w:pPr>
      <w:r>
        <w:rPr>
          <w:i/>
          <w:w w:val="125"/>
          <w:sz w:val="24"/>
        </w:rPr>
        <w:t>ellenőrzött vállalkozás: </w:t>
      </w:r>
      <w:r>
        <w:rPr>
          <w:w w:val="125"/>
          <w:sz w:val="24"/>
        </w:rPr>
        <w:t>a tőkepiacról szóló 2001. évi CXX. törvényben (a továbbiakban: Tpt.) meghatározott</w:t>
      </w:r>
      <w:r>
        <w:rPr>
          <w:spacing w:val="1"/>
          <w:w w:val="125"/>
          <w:sz w:val="24"/>
        </w:rPr>
        <w:t> </w:t>
      </w:r>
      <w:r>
        <w:rPr>
          <w:w w:val="125"/>
          <w:sz w:val="24"/>
        </w:rPr>
        <w:t>fogalom;</w:t>
      </w:r>
    </w:p>
    <w:p>
      <w:pPr>
        <w:pStyle w:val="ListParagraph"/>
        <w:numPr>
          <w:ilvl w:val="0"/>
          <w:numId w:val="17"/>
        </w:numPr>
        <w:tabs>
          <w:tab w:pos="914" w:val="left" w:leader="none"/>
        </w:tabs>
        <w:spacing w:line="225" w:lineRule="auto" w:before="1" w:after="0"/>
        <w:ind w:left="113" w:right="111" w:firstLine="204"/>
        <w:jc w:val="both"/>
        <w:rPr>
          <w:sz w:val="24"/>
        </w:rPr>
      </w:pPr>
      <w:r>
        <w:rPr>
          <w:i/>
          <w:w w:val="125"/>
          <w:sz w:val="24"/>
        </w:rPr>
        <w:t>ellenőrző befolyás: </w:t>
      </w:r>
      <w:r>
        <w:rPr>
          <w:w w:val="125"/>
          <w:sz w:val="24"/>
        </w:rPr>
        <w:t>a számvitelről szóló 2000. évi C. törvény (a továbbaikban: Szmt.) szerinti anyavállalat fogalmánál használt meghatározó befolyás vagy egy személy és egy vállalkozás között fennálló olyan kapcsolat, amelynek alapján</w:t>
      </w:r>
    </w:p>
    <w:p>
      <w:pPr>
        <w:pStyle w:val="ListParagraph"/>
        <w:numPr>
          <w:ilvl w:val="0"/>
          <w:numId w:val="19"/>
        </w:numPr>
        <w:tabs>
          <w:tab w:pos="715" w:val="left" w:leader="none"/>
        </w:tabs>
        <w:spacing w:line="225" w:lineRule="auto" w:before="2" w:after="0"/>
        <w:ind w:left="113" w:right="114" w:firstLine="204"/>
        <w:jc w:val="both"/>
        <w:rPr>
          <w:sz w:val="24"/>
        </w:rPr>
      </w:pPr>
      <w:r>
        <w:rPr>
          <w:w w:val="130"/>
          <w:sz w:val="24"/>
        </w:rPr>
        <w:t>a befolyással rendelkező személy dönthet a vállalkozás nyereségének felosztásáról, nyereségének vagy veszteségének más vállalkozáshoz való átcsoportosításáról, stratégiájáról, üzletpolitikájáról vagy értékesítési politikájáról,</w:t>
      </w:r>
    </w:p>
    <w:p>
      <w:pPr>
        <w:pStyle w:val="ListParagraph"/>
        <w:numPr>
          <w:ilvl w:val="0"/>
          <w:numId w:val="19"/>
        </w:numPr>
        <w:tabs>
          <w:tab w:pos="687" w:val="left" w:leader="none"/>
        </w:tabs>
        <w:spacing w:line="225" w:lineRule="auto" w:before="3" w:after="0"/>
        <w:ind w:left="113" w:right="128" w:firstLine="204"/>
        <w:jc w:val="both"/>
        <w:rPr>
          <w:sz w:val="24"/>
        </w:rPr>
      </w:pPr>
      <w:r>
        <w:rPr>
          <w:w w:val="125"/>
          <w:sz w:val="24"/>
        </w:rPr>
        <w:t>lehetővé válik - függetlenül attól, hogy a megállapodást alapszabályban (alapító okiratban) vagy más írásos szerződésben rögzítették - a vállalkozás irányításának más vállalkozás irányításával való összehangolása valamely  közös cél</w:t>
      </w:r>
      <w:r>
        <w:rPr>
          <w:spacing w:val="1"/>
          <w:w w:val="125"/>
          <w:sz w:val="24"/>
        </w:rPr>
        <w:t> </w:t>
      </w:r>
      <w:r>
        <w:rPr>
          <w:w w:val="125"/>
          <w:sz w:val="24"/>
        </w:rPr>
        <w:t>érdekében,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13"/>
        </w:rPr>
      </w:pPr>
      <w:r>
        <w:rPr/>
        <w:pict>
          <v:line style="position:absolute;mso-position-horizontal-relative:page;mso-position-vertical-relative:paragraph;z-index:-928;mso-wrap-distance-left:0;mso-wrap-distance-right:0" from="56.693001pt,9.732664pt" to="538.583001pt,9.73266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CXLV. törvény 121. § (1). Hatályos: 2018. I.</w:t>
      </w:r>
      <w:r>
        <w:rPr>
          <w:i/>
          <w:spacing w:val="-15"/>
          <w:w w:val="125"/>
          <w:sz w:val="18"/>
        </w:rPr>
        <w:t> </w:t>
      </w:r>
      <w:r>
        <w:rPr>
          <w:i/>
          <w:w w:val="125"/>
          <w:sz w:val="18"/>
        </w:rPr>
        <w:t>13-tól.</w:t>
      </w:r>
    </w:p>
    <w:p>
      <w:pPr>
        <w:spacing w:after="0"/>
        <w:jc w:val="left"/>
        <w:rPr>
          <w:sz w:val="18"/>
        </w:rPr>
        <w:sectPr>
          <w:pgSz w:w="11900" w:h="16820"/>
          <w:pgMar w:header="1104" w:footer="0" w:top="1840" w:bottom="280" w:left="1020" w:right="1000"/>
        </w:sectPr>
      </w:pPr>
    </w:p>
    <w:p>
      <w:pPr>
        <w:pStyle w:val="ListParagraph"/>
        <w:numPr>
          <w:ilvl w:val="0"/>
          <w:numId w:val="19"/>
        </w:numPr>
        <w:tabs>
          <w:tab w:pos="637" w:val="left" w:leader="none"/>
        </w:tabs>
        <w:spacing w:line="225" w:lineRule="auto" w:before="173" w:after="0"/>
        <w:ind w:left="113" w:right="131" w:firstLine="204"/>
        <w:jc w:val="both"/>
        <w:rPr>
          <w:sz w:val="24"/>
        </w:rPr>
      </w:pPr>
      <w:r>
        <w:rPr>
          <w:w w:val="125"/>
          <w:sz w:val="24"/>
        </w:rPr>
        <w:t>a közös irányítás a vállalkozások ügyvezetésének, felügyelő bizottságának részben (de a döntésekhez szükséges többséget kitevő) vagy teljesen azonos összetételén keresztül valósul meg</w:t>
      </w:r>
      <w:r>
        <w:rPr>
          <w:spacing w:val="3"/>
          <w:w w:val="125"/>
          <w:sz w:val="24"/>
        </w:rPr>
        <w:t> </w:t>
      </w:r>
      <w:r>
        <w:rPr>
          <w:w w:val="125"/>
          <w:sz w:val="24"/>
        </w:rPr>
        <w:t>vagy</w:t>
      </w:r>
    </w:p>
    <w:p>
      <w:pPr>
        <w:pStyle w:val="ListParagraph"/>
        <w:numPr>
          <w:ilvl w:val="0"/>
          <w:numId w:val="19"/>
        </w:numPr>
        <w:tabs>
          <w:tab w:pos="699" w:val="left" w:leader="none"/>
        </w:tabs>
        <w:spacing w:line="225" w:lineRule="auto" w:before="1" w:after="0"/>
        <w:ind w:left="113" w:right="126" w:firstLine="204"/>
        <w:jc w:val="both"/>
        <w:rPr>
          <w:sz w:val="24"/>
        </w:rPr>
      </w:pPr>
      <w:r>
        <w:rPr>
          <w:w w:val="125"/>
          <w:sz w:val="24"/>
        </w:rPr>
        <w:t>a befolyással rendelkező személy tőkekapcsolat nélkül gyakorol jelentős befolyást egy másik vállalkozás</w:t>
      </w:r>
      <w:r>
        <w:rPr>
          <w:spacing w:val="6"/>
          <w:w w:val="125"/>
          <w:sz w:val="24"/>
        </w:rPr>
        <w:t> </w:t>
      </w:r>
      <w:r>
        <w:rPr>
          <w:w w:val="125"/>
          <w:sz w:val="24"/>
        </w:rPr>
        <w:t>működésére;</w:t>
      </w:r>
    </w:p>
    <w:p>
      <w:pPr>
        <w:pStyle w:val="ListParagraph"/>
        <w:numPr>
          <w:ilvl w:val="0"/>
          <w:numId w:val="17"/>
        </w:numPr>
        <w:tabs>
          <w:tab w:pos="957" w:val="left" w:leader="none"/>
        </w:tabs>
        <w:spacing w:line="225" w:lineRule="auto" w:before="2" w:after="0"/>
        <w:ind w:left="113" w:right="126" w:firstLine="204"/>
        <w:jc w:val="both"/>
        <w:rPr>
          <w:sz w:val="24"/>
        </w:rPr>
      </w:pPr>
      <w:r>
        <w:rPr>
          <w:i/>
          <w:w w:val="130"/>
          <w:sz w:val="24"/>
        </w:rPr>
        <w:t>elsődleges alapvető tőke, alapvető tőke és járulékos tőke: </w:t>
      </w:r>
      <w:r>
        <w:rPr>
          <w:w w:val="130"/>
          <w:sz w:val="24"/>
        </w:rPr>
        <w:t>az 575/2013/EU rendeletben ekként meghatározott</w:t>
      </w:r>
      <w:r>
        <w:rPr>
          <w:spacing w:val="-29"/>
          <w:w w:val="130"/>
          <w:sz w:val="24"/>
        </w:rPr>
        <w:t> </w:t>
      </w:r>
      <w:r>
        <w:rPr>
          <w:w w:val="130"/>
          <w:sz w:val="24"/>
        </w:rPr>
        <w:t>fogalom;</w:t>
      </w:r>
    </w:p>
    <w:p>
      <w:pPr>
        <w:pStyle w:val="ListParagraph"/>
        <w:numPr>
          <w:ilvl w:val="0"/>
          <w:numId w:val="17"/>
        </w:numPr>
        <w:tabs>
          <w:tab w:pos="778" w:val="left" w:leader="none"/>
        </w:tabs>
        <w:spacing w:line="225" w:lineRule="auto" w:before="1" w:after="0"/>
        <w:ind w:left="113" w:right="124" w:firstLine="204"/>
        <w:jc w:val="both"/>
        <w:rPr>
          <w:sz w:val="24"/>
        </w:rPr>
      </w:pPr>
      <w:r>
        <w:rPr>
          <w:i/>
          <w:w w:val="125"/>
          <w:sz w:val="24"/>
        </w:rPr>
        <w:t>eszközfenntartási mutató: </w:t>
      </w:r>
      <w:r>
        <w:rPr>
          <w:w w:val="125"/>
          <w:sz w:val="24"/>
        </w:rPr>
        <w:t>olyan százalék formájában kifejezett hányados, amelynek számlálójában a fióktelep formájában működő pénzügyi intézmény Magyarországon meglévő pénzeszközeinek, a tulajdonában álló és harminc napon belül készpénzzé tehető értékpapírok piaci értékének, valamint problémamentes vagy külön figyelendőnek minősített hiteleinek és befektetéseinek összege, nevezőjében pedig a  fióktelep  Magyarországon vállalt kötelezettségei</w:t>
      </w:r>
      <w:r>
        <w:rPr>
          <w:spacing w:val="2"/>
          <w:w w:val="125"/>
          <w:sz w:val="24"/>
        </w:rPr>
        <w:t> </w:t>
      </w:r>
      <w:r>
        <w:rPr>
          <w:w w:val="125"/>
          <w:sz w:val="24"/>
        </w:rPr>
        <w:t>szerepelnek;</w:t>
      </w:r>
    </w:p>
    <w:p>
      <w:pPr>
        <w:pStyle w:val="ListParagraph"/>
        <w:numPr>
          <w:ilvl w:val="0"/>
          <w:numId w:val="17"/>
        </w:numPr>
        <w:tabs>
          <w:tab w:pos="778" w:val="left" w:leader="none"/>
        </w:tabs>
        <w:spacing w:line="225" w:lineRule="auto" w:before="4" w:after="0"/>
        <w:ind w:left="113" w:right="120" w:firstLine="204"/>
        <w:jc w:val="both"/>
        <w:rPr>
          <w:sz w:val="24"/>
        </w:rPr>
      </w:pPr>
      <w:r>
        <w:rPr>
          <w:i/>
          <w:w w:val="130"/>
          <w:sz w:val="24"/>
        </w:rPr>
        <w:t>EU-szintű</w:t>
      </w:r>
      <w:r>
        <w:rPr>
          <w:i/>
          <w:spacing w:val="-53"/>
          <w:w w:val="130"/>
          <w:sz w:val="24"/>
        </w:rPr>
        <w:t> </w:t>
      </w:r>
      <w:r>
        <w:rPr>
          <w:i/>
          <w:w w:val="130"/>
          <w:sz w:val="24"/>
        </w:rPr>
        <w:t>anyavállalat,</w:t>
      </w:r>
      <w:r>
        <w:rPr>
          <w:i/>
          <w:spacing w:val="-51"/>
          <w:w w:val="130"/>
          <w:sz w:val="24"/>
        </w:rPr>
        <w:t> </w:t>
      </w:r>
      <w:r>
        <w:rPr>
          <w:i/>
          <w:w w:val="130"/>
          <w:sz w:val="24"/>
        </w:rPr>
        <w:t>EU-szintű</w:t>
      </w:r>
      <w:r>
        <w:rPr>
          <w:i/>
          <w:spacing w:val="-53"/>
          <w:w w:val="130"/>
          <w:sz w:val="24"/>
        </w:rPr>
        <w:t> </w:t>
      </w:r>
      <w:r>
        <w:rPr>
          <w:i/>
          <w:w w:val="130"/>
          <w:sz w:val="24"/>
        </w:rPr>
        <w:t>pénzügyi</w:t>
      </w:r>
      <w:r>
        <w:rPr>
          <w:i/>
          <w:spacing w:val="-51"/>
          <w:w w:val="130"/>
          <w:sz w:val="24"/>
        </w:rPr>
        <w:t> </w:t>
      </w:r>
      <w:r>
        <w:rPr>
          <w:i/>
          <w:w w:val="130"/>
          <w:sz w:val="24"/>
        </w:rPr>
        <w:t>holding</w:t>
      </w:r>
      <w:r>
        <w:rPr>
          <w:i/>
          <w:spacing w:val="-50"/>
          <w:w w:val="130"/>
          <w:sz w:val="24"/>
        </w:rPr>
        <w:t> </w:t>
      </w:r>
      <w:r>
        <w:rPr>
          <w:i/>
          <w:w w:val="130"/>
          <w:sz w:val="24"/>
        </w:rPr>
        <w:t>társaság</w:t>
      </w:r>
      <w:r>
        <w:rPr>
          <w:i/>
          <w:spacing w:val="-54"/>
          <w:w w:val="130"/>
          <w:sz w:val="24"/>
        </w:rPr>
        <w:t> </w:t>
      </w:r>
      <w:r>
        <w:rPr>
          <w:i/>
          <w:w w:val="130"/>
          <w:sz w:val="24"/>
        </w:rPr>
        <w:t>és</w:t>
      </w:r>
      <w:r>
        <w:rPr>
          <w:i/>
          <w:spacing w:val="-52"/>
          <w:w w:val="130"/>
          <w:sz w:val="24"/>
        </w:rPr>
        <w:t> </w:t>
      </w:r>
      <w:r>
        <w:rPr>
          <w:i/>
          <w:w w:val="130"/>
          <w:sz w:val="24"/>
        </w:rPr>
        <w:t>EU-szintű vegyes pénzügyi holding társaság anyavállalat: </w:t>
      </w:r>
      <w:r>
        <w:rPr>
          <w:w w:val="130"/>
          <w:sz w:val="24"/>
        </w:rPr>
        <w:t>az 575/2013/EU rendeletben ekként meghatározott</w:t>
      </w:r>
      <w:r>
        <w:rPr>
          <w:spacing w:val="-9"/>
          <w:w w:val="130"/>
          <w:sz w:val="24"/>
        </w:rPr>
        <w:t> </w:t>
      </w:r>
      <w:r>
        <w:rPr>
          <w:w w:val="130"/>
          <w:sz w:val="24"/>
        </w:rPr>
        <w:t>fogalom;</w:t>
      </w:r>
    </w:p>
    <w:p>
      <w:pPr>
        <w:pStyle w:val="ListParagraph"/>
        <w:numPr>
          <w:ilvl w:val="0"/>
          <w:numId w:val="17"/>
        </w:numPr>
        <w:tabs>
          <w:tab w:pos="871" w:val="left" w:leader="none"/>
        </w:tabs>
        <w:spacing w:line="225" w:lineRule="auto" w:before="2" w:after="0"/>
        <w:ind w:left="113" w:right="125" w:firstLine="204"/>
        <w:jc w:val="both"/>
        <w:rPr>
          <w:sz w:val="24"/>
        </w:rPr>
      </w:pPr>
      <w:r>
        <w:rPr>
          <w:w w:val="125"/>
          <w:sz w:val="24"/>
        </w:rPr>
        <w:t>é</w:t>
      </w:r>
      <w:r>
        <w:rPr>
          <w:i/>
          <w:w w:val="125"/>
          <w:sz w:val="24"/>
        </w:rPr>
        <w:t>rtékpapírosítás: </w:t>
      </w:r>
      <w:r>
        <w:rPr>
          <w:w w:val="125"/>
          <w:sz w:val="24"/>
        </w:rPr>
        <w:t>az 575/2013/EU rendeletben ekként meghatározott fogalom;</w:t>
      </w:r>
    </w:p>
    <w:p>
      <w:pPr>
        <w:pStyle w:val="ListParagraph"/>
        <w:numPr>
          <w:ilvl w:val="0"/>
          <w:numId w:val="17"/>
        </w:numPr>
        <w:tabs>
          <w:tab w:pos="1013" w:val="left" w:leader="none"/>
        </w:tabs>
        <w:spacing w:line="225" w:lineRule="auto" w:before="1" w:after="0"/>
        <w:ind w:left="113" w:right="125" w:firstLine="204"/>
        <w:jc w:val="both"/>
        <w:rPr>
          <w:sz w:val="24"/>
        </w:rPr>
      </w:pPr>
      <w:r>
        <w:rPr>
          <w:w w:val="125"/>
          <w:sz w:val="24"/>
        </w:rPr>
        <w:t>é</w:t>
      </w:r>
      <w:r>
        <w:rPr>
          <w:i/>
          <w:w w:val="125"/>
          <w:sz w:val="24"/>
        </w:rPr>
        <w:t>rtékpapírosítási pozíció: </w:t>
      </w:r>
      <w:r>
        <w:rPr>
          <w:w w:val="125"/>
          <w:sz w:val="24"/>
        </w:rPr>
        <w:t>az 575/2013/EU rendeletben ekként meghatározott fogalom;</w:t>
      </w:r>
    </w:p>
    <w:p>
      <w:pPr>
        <w:pStyle w:val="ListParagraph"/>
        <w:numPr>
          <w:ilvl w:val="0"/>
          <w:numId w:val="17"/>
        </w:numPr>
        <w:tabs>
          <w:tab w:pos="947" w:val="left" w:leader="none"/>
        </w:tabs>
        <w:spacing w:line="225" w:lineRule="auto" w:before="1" w:after="0"/>
        <w:ind w:left="113" w:right="131" w:firstLine="204"/>
        <w:jc w:val="both"/>
        <w:rPr>
          <w:sz w:val="24"/>
        </w:rPr>
      </w:pPr>
      <w:r>
        <w:rPr>
          <w:i/>
          <w:w w:val="125"/>
          <w:sz w:val="24"/>
        </w:rPr>
        <w:t>felügyeleti hatóság: </w:t>
      </w:r>
      <w:r>
        <w:rPr>
          <w:w w:val="125"/>
          <w:sz w:val="24"/>
        </w:rPr>
        <w:t>a külföldi pénzügyi intézmény tevékenységi felügyeletét ellátó külföldi</w:t>
      </w:r>
      <w:r>
        <w:rPr>
          <w:spacing w:val="1"/>
          <w:w w:val="125"/>
          <w:sz w:val="24"/>
        </w:rPr>
        <w:t> </w:t>
      </w:r>
      <w:r>
        <w:rPr>
          <w:w w:val="125"/>
          <w:sz w:val="24"/>
        </w:rPr>
        <w:t>szervezet;</w:t>
      </w:r>
    </w:p>
    <w:p>
      <w:pPr>
        <w:pStyle w:val="ListParagraph"/>
        <w:numPr>
          <w:ilvl w:val="0"/>
          <w:numId w:val="17"/>
        </w:numPr>
        <w:tabs>
          <w:tab w:pos="856" w:val="left" w:leader="none"/>
        </w:tabs>
        <w:spacing w:line="225" w:lineRule="auto" w:before="1" w:after="0"/>
        <w:ind w:left="113" w:right="123" w:firstLine="204"/>
        <w:jc w:val="both"/>
        <w:rPr>
          <w:sz w:val="24"/>
        </w:rPr>
      </w:pPr>
      <w:r>
        <w:rPr>
          <w:i/>
          <w:w w:val="130"/>
          <w:sz w:val="24"/>
        </w:rPr>
        <w:t>felügyeleti jogkörrel rendelkező vezető testület: </w:t>
      </w:r>
      <w:r>
        <w:rPr>
          <w:w w:val="130"/>
          <w:sz w:val="24"/>
        </w:rPr>
        <w:t>az alapító okiratban vagy alapszabályban meghatározott olyan vezető testület, amely az irányítási jogkörrel rendelkező vezető testület döntéshozatalát</w:t>
      </w:r>
      <w:r>
        <w:rPr>
          <w:spacing w:val="-38"/>
          <w:w w:val="130"/>
          <w:sz w:val="24"/>
        </w:rPr>
        <w:t> </w:t>
      </w:r>
      <w:r>
        <w:rPr>
          <w:w w:val="130"/>
          <w:sz w:val="24"/>
        </w:rPr>
        <w:t>ellenőrzi;</w:t>
      </w:r>
    </w:p>
    <w:p>
      <w:pPr>
        <w:pStyle w:val="ListParagraph"/>
        <w:numPr>
          <w:ilvl w:val="0"/>
          <w:numId w:val="17"/>
        </w:numPr>
        <w:tabs>
          <w:tab w:pos="951" w:val="left" w:leader="none"/>
        </w:tabs>
        <w:spacing w:line="225" w:lineRule="auto" w:before="2" w:after="0"/>
        <w:ind w:left="113" w:right="121" w:firstLine="204"/>
        <w:jc w:val="both"/>
        <w:rPr>
          <w:sz w:val="24"/>
        </w:rPr>
      </w:pPr>
      <w:r>
        <w:rPr>
          <w:i/>
          <w:w w:val="130"/>
          <w:sz w:val="24"/>
        </w:rPr>
        <w:t>fizetési művelet, fizetési számla és pénzforgalmi szolgáltató: </w:t>
      </w:r>
      <w:r>
        <w:rPr>
          <w:w w:val="130"/>
          <w:sz w:val="24"/>
        </w:rPr>
        <w:t>a pénzforgalmi</w:t>
      </w:r>
      <w:r>
        <w:rPr>
          <w:spacing w:val="-20"/>
          <w:w w:val="130"/>
          <w:sz w:val="24"/>
        </w:rPr>
        <w:t> </w:t>
      </w:r>
      <w:r>
        <w:rPr>
          <w:w w:val="130"/>
          <w:sz w:val="24"/>
        </w:rPr>
        <w:t>szolgáltatás</w:t>
      </w:r>
      <w:r>
        <w:rPr>
          <w:spacing w:val="-19"/>
          <w:w w:val="130"/>
          <w:sz w:val="24"/>
        </w:rPr>
        <w:t> </w:t>
      </w:r>
      <w:r>
        <w:rPr>
          <w:w w:val="130"/>
          <w:sz w:val="24"/>
        </w:rPr>
        <w:t>nyújtásáról</w:t>
      </w:r>
      <w:r>
        <w:rPr>
          <w:spacing w:val="-19"/>
          <w:w w:val="130"/>
          <w:sz w:val="24"/>
        </w:rPr>
        <w:t> </w:t>
      </w:r>
      <w:r>
        <w:rPr>
          <w:w w:val="130"/>
          <w:sz w:val="24"/>
        </w:rPr>
        <w:t>szóló</w:t>
      </w:r>
      <w:r>
        <w:rPr>
          <w:spacing w:val="-19"/>
          <w:w w:val="130"/>
          <w:sz w:val="24"/>
        </w:rPr>
        <w:t> </w:t>
      </w:r>
      <w:r>
        <w:rPr>
          <w:w w:val="130"/>
          <w:sz w:val="24"/>
        </w:rPr>
        <w:t>törvényben</w:t>
      </w:r>
      <w:r>
        <w:rPr>
          <w:spacing w:val="-20"/>
          <w:w w:val="130"/>
          <w:sz w:val="24"/>
        </w:rPr>
        <w:t> </w:t>
      </w:r>
      <w:r>
        <w:rPr>
          <w:w w:val="130"/>
          <w:sz w:val="24"/>
        </w:rPr>
        <w:t>meghatározott</w:t>
      </w:r>
      <w:r>
        <w:rPr>
          <w:spacing w:val="-16"/>
          <w:w w:val="130"/>
          <w:sz w:val="24"/>
        </w:rPr>
        <w:t> </w:t>
      </w:r>
      <w:r>
        <w:rPr>
          <w:w w:val="130"/>
          <w:sz w:val="24"/>
        </w:rPr>
        <w:t>fizetési művelet, fizetési számla és pénzforgalmi</w:t>
      </w:r>
      <w:r>
        <w:rPr>
          <w:spacing w:val="-23"/>
          <w:w w:val="130"/>
          <w:sz w:val="24"/>
        </w:rPr>
        <w:t> </w:t>
      </w:r>
      <w:r>
        <w:rPr>
          <w:w w:val="130"/>
          <w:sz w:val="24"/>
        </w:rPr>
        <w:t>szolgáltató;</w:t>
      </w:r>
    </w:p>
    <w:p>
      <w:pPr>
        <w:spacing w:line="250" w:lineRule="exact" w:before="0"/>
        <w:ind w:left="317" w:right="0" w:firstLine="0"/>
        <w:jc w:val="left"/>
        <w:rPr>
          <w:sz w:val="24"/>
        </w:rPr>
      </w:pPr>
      <w:r>
        <w:rPr>
          <w:w w:val="130"/>
          <w:sz w:val="24"/>
        </w:rPr>
        <w:t>26a.</w:t>
      </w:r>
      <w:r>
        <w:rPr>
          <w:i/>
          <w:w w:val="130"/>
          <w:position w:val="3"/>
          <w:sz w:val="18"/>
        </w:rPr>
        <w:t>1 </w:t>
      </w:r>
      <w:r>
        <w:rPr>
          <w:i/>
          <w:w w:val="130"/>
          <w:sz w:val="24"/>
        </w:rPr>
        <w:t>fizetési műveletek elfogadása: </w:t>
      </w:r>
      <w:r>
        <w:rPr>
          <w:w w:val="130"/>
          <w:sz w:val="24"/>
        </w:rPr>
        <w:t>a kedvezményezettel, azaz a fizetési</w:t>
      </w:r>
    </w:p>
    <w:p>
      <w:pPr>
        <w:pStyle w:val="BodyText"/>
        <w:spacing w:line="225" w:lineRule="auto" w:before="12"/>
        <w:ind w:right="126" w:firstLine="0"/>
        <w:jc w:val="both"/>
      </w:pPr>
      <w:r>
        <w:rPr>
          <w:w w:val="125"/>
        </w:rPr>
        <w:t>művelet tárgyát képező pénz jogosultjával kötött szerződés alapján olyan fizetési műveletek fogadása és feldolgozása, amelynek eredménye pénz átutalása a kedvezményezett</w:t>
      </w:r>
      <w:r>
        <w:rPr>
          <w:spacing w:val="5"/>
          <w:w w:val="125"/>
        </w:rPr>
        <w:t> </w:t>
      </w:r>
      <w:r>
        <w:rPr>
          <w:w w:val="125"/>
        </w:rPr>
        <w:t>részére;</w:t>
      </w:r>
    </w:p>
    <w:p>
      <w:pPr>
        <w:spacing w:line="250" w:lineRule="exact" w:before="0"/>
        <w:ind w:left="317" w:right="0" w:firstLine="0"/>
        <w:jc w:val="left"/>
        <w:rPr>
          <w:sz w:val="24"/>
        </w:rPr>
      </w:pPr>
      <w:r>
        <w:rPr>
          <w:w w:val="125"/>
          <w:sz w:val="24"/>
        </w:rPr>
        <w:t>27.</w:t>
      </w:r>
      <w:r>
        <w:rPr>
          <w:i/>
          <w:w w:val="125"/>
          <w:position w:val="3"/>
          <w:sz w:val="18"/>
        </w:rPr>
        <w:t>2 </w:t>
      </w:r>
      <w:r>
        <w:rPr>
          <w:i/>
          <w:w w:val="125"/>
          <w:sz w:val="24"/>
        </w:rPr>
        <w:t>fizetési rendszer: </w:t>
      </w:r>
      <w:r>
        <w:rPr>
          <w:w w:val="125"/>
          <w:sz w:val="24"/>
        </w:rPr>
        <w:t>elszámolási, illetve kiegyenlítési rendszer, amely</w:t>
      </w:r>
      <w:r>
        <w:rPr>
          <w:spacing w:val="53"/>
          <w:w w:val="125"/>
          <w:sz w:val="24"/>
        </w:rPr>
        <w:t> </w:t>
      </w:r>
      <w:r>
        <w:rPr>
          <w:w w:val="125"/>
          <w:sz w:val="24"/>
        </w:rPr>
        <w:t>a</w:t>
      </w:r>
    </w:p>
    <w:p>
      <w:pPr>
        <w:pStyle w:val="BodyText"/>
        <w:spacing w:line="225" w:lineRule="auto" w:before="12"/>
        <w:ind w:right="117" w:firstLine="0"/>
        <w:jc w:val="both"/>
      </w:pPr>
      <w:r>
        <w:rPr>
          <w:w w:val="125"/>
        </w:rPr>
        <w:t>fizetési műveletek feldolgozására, elszámolására vagy teljesítésére megállapodásban vagy szabványban rögzített eljárásokat, valamint egységes szabályokat alkalmaz;</w:t>
      </w:r>
    </w:p>
    <w:p>
      <w:pPr>
        <w:tabs>
          <w:tab w:pos="1185" w:val="left" w:leader="none"/>
          <w:tab w:pos="4269" w:val="left" w:leader="none"/>
          <w:tab w:pos="6022" w:val="left" w:leader="none"/>
          <w:tab w:pos="6905" w:val="left" w:leader="none"/>
          <w:tab w:pos="8656" w:val="left" w:leader="none"/>
          <w:tab w:pos="9609" w:val="left" w:leader="none"/>
        </w:tabs>
        <w:spacing w:line="250" w:lineRule="exact" w:before="0"/>
        <w:ind w:left="317" w:right="0" w:firstLine="0"/>
        <w:jc w:val="left"/>
        <w:rPr>
          <w:sz w:val="24"/>
        </w:rPr>
      </w:pPr>
      <w:r>
        <w:rPr>
          <w:w w:val="130"/>
          <w:sz w:val="24"/>
        </w:rPr>
        <w:t>27a.</w:t>
      </w:r>
      <w:r>
        <w:rPr>
          <w:i/>
          <w:w w:val="130"/>
          <w:position w:val="3"/>
          <w:sz w:val="18"/>
        </w:rPr>
        <w:t>3</w:t>
        <w:tab/>
      </w:r>
      <w:r>
        <w:rPr>
          <w:i/>
          <w:w w:val="130"/>
          <w:sz w:val="24"/>
        </w:rPr>
        <w:t>fizetés-kezdeményezési</w:t>
        <w:tab/>
        <w:t>szolgáltatás:</w:t>
        <w:tab/>
      </w:r>
      <w:r>
        <w:rPr>
          <w:w w:val="130"/>
          <w:sz w:val="24"/>
        </w:rPr>
        <w:t>olyan</w:t>
        <w:tab/>
        <w:t>szolgáltatás,</w:t>
        <w:tab/>
        <w:t>amely</w:t>
        <w:tab/>
        <w:t>a</w:t>
      </w:r>
    </w:p>
    <w:p>
      <w:pPr>
        <w:pStyle w:val="BodyText"/>
        <w:spacing w:line="225" w:lineRule="auto" w:before="12"/>
        <w:ind w:right="130" w:firstLine="0"/>
        <w:jc w:val="both"/>
      </w:pPr>
      <w:r>
        <w:rPr>
          <w:w w:val="125"/>
        </w:rPr>
        <w:t>pénzforgalmi szolgáltatást igénybe vevő kérésére másik pénzforgalmi szolgáltatónál vezetett fizetési számla vonatkozásában fizetési megbízás indítására szolgál;</w:t>
      </w:r>
    </w:p>
    <w:p>
      <w:pPr>
        <w:pStyle w:val="ListParagraph"/>
        <w:numPr>
          <w:ilvl w:val="0"/>
          <w:numId w:val="20"/>
        </w:numPr>
        <w:tabs>
          <w:tab w:pos="795" w:val="left" w:leader="none"/>
        </w:tabs>
        <w:spacing w:line="225" w:lineRule="auto" w:before="2" w:after="0"/>
        <w:ind w:left="113" w:right="131" w:firstLine="204"/>
        <w:jc w:val="both"/>
        <w:rPr>
          <w:sz w:val="24"/>
        </w:rPr>
      </w:pPr>
      <w:r>
        <w:rPr>
          <w:i/>
          <w:w w:val="125"/>
          <w:sz w:val="24"/>
        </w:rPr>
        <w:t>fogyasztó: </w:t>
      </w:r>
      <w:r>
        <w:rPr>
          <w:w w:val="125"/>
          <w:sz w:val="24"/>
        </w:rPr>
        <w:t>az önálló foglalkozásán és gazdasági tevékenységén kívül eső célok érdekében eljáró természetes</w:t>
      </w:r>
      <w:r>
        <w:rPr>
          <w:spacing w:val="7"/>
          <w:w w:val="125"/>
          <w:sz w:val="24"/>
        </w:rPr>
        <w:t> </w:t>
      </w:r>
      <w:r>
        <w:rPr>
          <w:w w:val="125"/>
          <w:sz w:val="24"/>
        </w:rPr>
        <w:t>személy;</w:t>
      </w:r>
    </w:p>
    <w:p>
      <w:pPr>
        <w:pStyle w:val="ListParagraph"/>
        <w:numPr>
          <w:ilvl w:val="0"/>
          <w:numId w:val="20"/>
        </w:numPr>
        <w:tabs>
          <w:tab w:pos="849" w:val="left" w:leader="none"/>
        </w:tabs>
        <w:spacing w:line="225" w:lineRule="auto" w:before="1" w:after="0"/>
        <w:ind w:left="113" w:right="107" w:firstLine="204"/>
        <w:jc w:val="both"/>
        <w:rPr>
          <w:sz w:val="24"/>
        </w:rPr>
      </w:pPr>
      <w:r>
        <w:rPr>
          <w:i/>
          <w:w w:val="125"/>
          <w:sz w:val="24"/>
        </w:rPr>
        <w:t>forgatható utalvány: </w:t>
      </w:r>
      <w:r>
        <w:rPr>
          <w:w w:val="125"/>
          <w:sz w:val="24"/>
        </w:rPr>
        <w:t>minden olyan, az utalványkibocsátóval szembeni pénzkövetelést megtestesítő bankjegynek, 55. pont szerinti készpénz-helyettesítő fizetési eszköznek és értékpapírnak nem minősülő, átruházható és többször felhasználható, papír alapú fizetési  eszköz,  amely  áruk vagy szolgáltatások ellenértékének a kiegyenlítésére</w:t>
      </w:r>
      <w:r>
        <w:rPr>
          <w:spacing w:val="-51"/>
          <w:w w:val="125"/>
          <w:sz w:val="24"/>
        </w:rPr>
        <w:t> </w:t>
      </w:r>
      <w:r>
        <w:rPr>
          <w:w w:val="125"/>
          <w:sz w:val="24"/>
        </w:rPr>
        <w:t>szolgál;</w:t>
      </w:r>
    </w:p>
    <w:p>
      <w:pPr>
        <w:pStyle w:val="BodyText"/>
        <w:ind w:left="0" w:firstLine="0"/>
        <w:rPr>
          <w:sz w:val="20"/>
        </w:rPr>
      </w:pPr>
    </w:p>
    <w:p>
      <w:pPr>
        <w:pStyle w:val="BodyText"/>
        <w:spacing w:before="4"/>
        <w:ind w:left="0" w:firstLine="0"/>
        <w:rPr>
          <w:sz w:val="18"/>
        </w:rPr>
      </w:pPr>
      <w:r>
        <w:rPr/>
        <w:pict>
          <v:line style="position:absolute;mso-position-horizontal-relative:page;mso-position-vertical-relative:paragraph;z-index:-904;mso-wrap-distance-left:0;mso-wrap-distance-right:0" from="56.693001pt,12.757664pt" to="538.583001pt,12.75766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2017. évi CXLV. törvény 121. § (2). Hatályos: 2018. I.</w:t>
      </w:r>
      <w:r>
        <w:rPr>
          <w:i/>
          <w:spacing w:val="-15"/>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2</w:t>
        <w:tab/>
        <w:t>Megállapította: 2017. évi CXLV. törvény 121. § (3). Hatályos: 2018. I.</w:t>
      </w:r>
      <w:r>
        <w:rPr>
          <w:i/>
          <w:spacing w:val="-23"/>
          <w:w w:val="125"/>
          <w:sz w:val="18"/>
        </w:rPr>
        <w:t> </w:t>
      </w:r>
      <w:r>
        <w:rPr>
          <w:i/>
          <w:w w:val="125"/>
          <w:sz w:val="18"/>
        </w:rPr>
        <w:t>13-tól.</w:t>
      </w:r>
    </w:p>
    <w:p>
      <w:pPr>
        <w:tabs>
          <w:tab w:pos="686" w:val="left" w:leader="none"/>
        </w:tabs>
        <w:spacing w:line="203" w:lineRule="exact" w:before="0"/>
        <w:ind w:left="342" w:right="0" w:firstLine="0"/>
        <w:jc w:val="left"/>
        <w:rPr>
          <w:i/>
          <w:sz w:val="18"/>
        </w:rPr>
      </w:pPr>
      <w:r>
        <w:rPr>
          <w:i/>
          <w:w w:val="125"/>
          <w:sz w:val="18"/>
        </w:rPr>
        <w:t>3</w:t>
        <w:tab/>
        <w:t>Beiktatta: 2017. évi CXLV. törvény 121. § (4). Hatályos: 2018. I.</w:t>
      </w:r>
      <w:r>
        <w:rPr>
          <w:i/>
          <w:spacing w:val="-15"/>
          <w:w w:val="125"/>
          <w:sz w:val="18"/>
        </w:rPr>
        <w:t> </w:t>
      </w:r>
      <w:r>
        <w:rPr>
          <w:i/>
          <w:w w:val="125"/>
          <w:sz w:val="18"/>
        </w:rPr>
        <w:t>13-tól.</w:t>
      </w:r>
    </w:p>
    <w:p>
      <w:pPr>
        <w:spacing w:after="0" w:line="203" w:lineRule="exact"/>
        <w:jc w:val="left"/>
        <w:rPr>
          <w:sz w:val="18"/>
        </w:rPr>
        <w:sectPr>
          <w:pgSz w:w="11900" w:h="16820"/>
          <w:pgMar w:header="1104" w:footer="0" w:top="1840" w:bottom="280" w:left="1020" w:right="1000"/>
        </w:sectPr>
      </w:pPr>
    </w:p>
    <w:p>
      <w:pPr>
        <w:pStyle w:val="ListParagraph"/>
        <w:numPr>
          <w:ilvl w:val="0"/>
          <w:numId w:val="20"/>
        </w:numPr>
        <w:tabs>
          <w:tab w:pos="879" w:val="left" w:leader="none"/>
        </w:tabs>
        <w:spacing w:line="225" w:lineRule="auto" w:before="173" w:after="0"/>
        <w:ind w:left="113" w:right="125" w:firstLine="204"/>
        <w:jc w:val="both"/>
        <w:rPr>
          <w:sz w:val="24"/>
        </w:rPr>
      </w:pPr>
      <w:r>
        <w:rPr>
          <w:i/>
          <w:w w:val="125"/>
          <w:sz w:val="24"/>
        </w:rPr>
        <w:t>forgatható utalvány kibocsátására irányuló tevékenység: </w:t>
      </w:r>
      <w:r>
        <w:rPr>
          <w:w w:val="125"/>
          <w:sz w:val="24"/>
        </w:rPr>
        <w:t>pénzeszköz ellenében a forgatható utalványnak az utalványkibocsátó által  közvetlenül  vagy utalványforgalmazó útján az utalványbirtokos rendelkezésére</w:t>
      </w:r>
      <w:r>
        <w:rPr>
          <w:spacing w:val="2"/>
          <w:w w:val="125"/>
          <w:sz w:val="24"/>
        </w:rPr>
        <w:t> </w:t>
      </w:r>
      <w:r>
        <w:rPr>
          <w:w w:val="125"/>
          <w:sz w:val="24"/>
        </w:rPr>
        <w:t>bocsátása;</w:t>
      </w:r>
    </w:p>
    <w:p>
      <w:pPr>
        <w:pStyle w:val="BodyText"/>
        <w:spacing w:line="250" w:lineRule="exact"/>
        <w:ind w:left="317" w:firstLine="0"/>
      </w:pPr>
      <w:r>
        <w:rPr>
          <w:w w:val="125"/>
        </w:rPr>
        <w:t>31.</w:t>
      </w:r>
      <w:r>
        <w:rPr>
          <w:i/>
          <w:w w:val="125"/>
          <w:position w:val="3"/>
          <w:sz w:val="18"/>
        </w:rPr>
        <w:t>1</w:t>
      </w:r>
      <w:r>
        <w:rPr>
          <w:i/>
          <w:spacing w:val="56"/>
          <w:w w:val="125"/>
          <w:position w:val="3"/>
          <w:sz w:val="18"/>
        </w:rPr>
        <w:t> </w:t>
      </w:r>
      <w:r>
        <w:rPr>
          <w:i/>
          <w:w w:val="125"/>
        </w:rPr>
        <w:t>főiroda: </w:t>
      </w:r>
      <w:r>
        <w:rPr>
          <w:w w:val="125"/>
        </w:rPr>
        <w:t>az a hely, ahol a pénzügyi intézmény, illetve a közvetítő</w:t>
      </w:r>
    </w:p>
    <w:p>
      <w:pPr>
        <w:pStyle w:val="BodyText"/>
        <w:spacing w:line="267" w:lineRule="exact"/>
        <w:ind w:firstLine="0"/>
      </w:pPr>
      <w:r>
        <w:rPr>
          <w:w w:val="130"/>
        </w:rPr>
        <w:t>főtevékenységét végzi, és ahol a központi döntéshozatal történik;</w:t>
      </w:r>
    </w:p>
    <w:p>
      <w:pPr>
        <w:pStyle w:val="ListParagraph"/>
        <w:numPr>
          <w:ilvl w:val="0"/>
          <w:numId w:val="21"/>
        </w:numPr>
        <w:tabs>
          <w:tab w:pos="855" w:val="left" w:leader="none"/>
        </w:tabs>
        <w:spacing w:line="225" w:lineRule="auto" w:before="5" w:after="0"/>
        <w:ind w:left="113" w:right="124" w:firstLine="204"/>
        <w:jc w:val="both"/>
        <w:rPr>
          <w:sz w:val="24"/>
        </w:rPr>
      </w:pPr>
      <w:r>
        <w:rPr>
          <w:i/>
          <w:w w:val="130"/>
          <w:sz w:val="24"/>
        </w:rPr>
        <w:t>globálisan rendszerszinten jelentős hitelintézet: </w:t>
      </w:r>
      <w:r>
        <w:rPr>
          <w:w w:val="130"/>
          <w:sz w:val="24"/>
        </w:rPr>
        <w:t>olyan rendszerszinten jelentős hitelintézet, amelynek fizetésképtelenné válása vagy nem prudens működése</w:t>
      </w:r>
      <w:r>
        <w:rPr>
          <w:spacing w:val="-20"/>
          <w:w w:val="130"/>
          <w:sz w:val="24"/>
        </w:rPr>
        <w:t> </w:t>
      </w:r>
      <w:r>
        <w:rPr>
          <w:w w:val="130"/>
          <w:sz w:val="24"/>
        </w:rPr>
        <w:t>globális</w:t>
      </w:r>
      <w:r>
        <w:rPr>
          <w:spacing w:val="-19"/>
          <w:w w:val="130"/>
          <w:sz w:val="24"/>
        </w:rPr>
        <w:t> </w:t>
      </w:r>
      <w:r>
        <w:rPr>
          <w:w w:val="130"/>
          <w:sz w:val="24"/>
        </w:rPr>
        <w:t>szintű</w:t>
      </w:r>
      <w:r>
        <w:rPr>
          <w:spacing w:val="-18"/>
          <w:w w:val="130"/>
          <w:sz w:val="24"/>
        </w:rPr>
        <w:t> </w:t>
      </w:r>
      <w:r>
        <w:rPr>
          <w:w w:val="130"/>
          <w:sz w:val="24"/>
        </w:rPr>
        <w:t>rendszerkockázathoz</w:t>
      </w:r>
      <w:r>
        <w:rPr>
          <w:spacing w:val="-19"/>
          <w:w w:val="130"/>
          <w:sz w:val="24"/>
        </w:rPr>
        <w:t> </w:t>
      </w:r>
      <w:r>
        <w:rPr>
          <w:w w:val="130"/>
          <w:sz w:val="24"/>
        </w:rPr>
        <w:t>vezethet</w:t>
      </w:r>
      <w:r>
        <w:rPr>
          <w:spacing w:val="-19"/>
          <w:w w:val="130"/>
          <w:sz w:val="24"/>
        </w:rPr>
        <w:t> </w:t>
      </w:r>
      <w:r>
        <w:rPr>
          <w:w w:val="130"/>
          <w:sz w:val="24"/>
        </w:rPr>
        <w:t>és</w:t>
      </w:r>
      <w:r>
        <w:rPr>
          <w:spacing w:val="-20"/>
          <w:w w:val="130"/>
          <w:sz w:val="24"/>
        </w:rPr>
        <w:t> </w:t>
      </w:r>
      <w:r>
        <w:rPr>
          <w:w w:val="130"/>
          <w:sz w:val="24"/>
        </w:rPr>
        <w:t>amelynek</w:t>
      </w:r>
      <w:r>
        <w:rPr>
          <w:spacing w:val="-19"/>
          <w:w w:val="130"/>
          <w:sz w:val="24"/>
        </w:rPr>
        <w:t> </w:t>
      </w:r>
      <w:r>
        <w:rPr>
          <w:w w:val="130"/>
          <w:sz w:val="24"/>
        </w:rPr>
        <w:t>nincs</w:t>
      </w:r>
    </w:p>
    <w:p>
      <w:pPr>
        <w:pStyle w:val="ListParagraph"/>
        <w:numPr>
          <w:ilvl w:val="0"/>
          <w:numId w:val="22"/>
        </w:numPr>
        <w:tabs>
          <w:tab w:pos="631" w:val="left" w:leader="none"/>
        </w:tabs>
        <w:spacing w:line="256" w:lineRule="exact" w:before="0" w:after="0"/>
        <w:ind w:left="630" w:right="0" w:hanging="313"/>
        <w:jc w:val="left"/>
        <w:rPr>
          <w:sz w:val="24"/>
        </w:rPr>
      </w:pPr>
      <w:r>
        <w:rPr>
          <w:w w:val="125"/>
          <w:sz w:val="24"/>
        </w:rPr>
        <w:t>EU-szintű hitelintézeti</w:t>
      </w:r>
      <w:r>
        <w:rPr>
          <w:spacing w:val="1"/>
          <w:w w:val="125"/>
          <w:sz w:val="24"/>
        </w:rPr>
        <w:t> </w:t>
      </w:r>
      <w:r>
        <w:rPr>
          <w:w w:val="125"/>
          <w:sz w:val="24"/>
        </w:rPr>
        <w:t>anyavállalata,</w:t>
      </w:r>
    </w:p>
    <w:p>
      <w:pPr>
        <w:pStyle w:val="ListParagraph"/>
        <w:numPr>
          <w:ilvl w:val="0"/>
          <w:numId w:val="22"/>
        </w:numPr>
        <w:tabs>
          <w:tab w:pos="653" w:val="left" w:leader="none"/>
        </w:tabs>
        <w:spacing w:line="260" w:lineRule="exact" w:before="0" w:after="0"/>
        <w:ind w:left="652" w:right="0" w:hanging="335"/>
        <w:jc w:val="left"/>
        <w:rPr>
          <w:sz w:val="24"/>
        </w:rPr>
      </w:pPr>
      <w:r>
        <w:rPr>
          <w:w w:val="125"/>
          <w:sz w:val="24"/>
        </w:rPr>
        <w:t>EU-szintű pénzügyi holding társaság</w:t>
      </w:r>
      <w:r>
        <w:rPr>
          <w:spacing w:val="-7"/>
          <w:w w:val="125"/>
          <w:sz w:val="24"/>
        </w:rPr>
        <w:t> </w:t>
      </w:r>
      <w:r>
        <w:rPr>
          <w:w w:val="125"/>
          <w:sz w:val="24"/>
        </w:rPr>
        <w:t>anyavállalata,</w:t>
      </w:r>
    </w:p>
    <w:p>
      <w:pPr>
        <w:pStyle w:val="ListParagraph"/>
        <w:numPr>
          <w:ilvl w:val="0"/>
          <w:numId w:val="22"/>
        </w:numPr>
        <w:tabs>
          <w:tab w:pos="623" w:val="left" w:leader="none"/>
        </w:tabs>
        <w:spacing w:line="260" w:lineRule="exact" w:before="0" w:after="0"/>
        <w:ind w:left="622" w:right="0" w:hanging="305"/>
        <w:jc w:val="left"/>
        <w:rPr>
          <w:sz w:val="24"/>
        </w:rPr>
      </w:pPr>
      <w:r>
        <w:rPr>
          <w:w w:val="125"/>
          <w:sz w:val="24"/>
        </w:rPr>
        <w:t>EU-szintű vegyes pénzügyi holding társaság</w:t>
      </w:r>
      <w:r>
        <w:rPr>
          <w:spacing w:val="5"/>
          <w:w w:val="125"/>
          <w:sz w:val="24"/>
        </w:rPr>
        <w:t> </w:t>
      </w:r>
      <w:r>
        <w:rPr>
          <w:w w:val="125"/>
          <w:sz w:val="24"/>
        </w:rPr>
        <w:t>anyavállalata;</w:t>
      </w:r>
    </w:p>
    <w:p>
      <w:pPr>
        <w:pStyle w:val="ListParagraph"/>
        <w:numPr>
          <w:ilvl w:val="0"/>
          <w:numId w:val="21"/>
        </w:numPr>
        <w:tabs>
          <w:tab w:pos="1050" w:val="left" w:leader="none"/>
        </w:tabs>
        <w:spacing w:line="225" w:lineRule="auto" w:before="6" w:after="0"/>
        <w:ind w:left="113" w:right="122" w:firstLine="204"/>
        <w:jc w:val="both"/>
        <w:rPr>
          <w:sz w:val="24"/>
        </w:rPr>
      </w:pPr>
      <w:r>
        <w:rPr>
          <w:i/>
          <w:w w:val="130"/>
          <w:sz w:val="24"/>
        </w:rPr>
        <w:t>globálisan rendszerszinten jelentős hitelintézetekre vonatkozó tőkepuffer-követelmény: </w:t>
      </w:r>
      <w:r>
        <w:rPr>
          <w:w w:val="130"/>
          <w:sz w:val="24"/>
        </w:rPr>
        <w:t>a rendszerszintű kockázatokat hordozó, globálisan tevékenykedő intézmények csődvalószínűségének és kockázatvállalásának csökkentésére irányuló</w:t>
      </w:r>
      <w:r>
        <w:rPr>
          <w:spacing w:val="-15"/>
          <w:w w:val="130"/>
          <w:sz w:val="24"/>
        </w:rPr>
        <w:t> </w:t>
      </w:r>
      <w:r>
        <w:rPr>
          <w:w w:val="130"/>
          <w:sz w:val="24"/>
        </w:rPr>
        <w:t>szavatolótőke-követelmény;</w:t>
      </w:r>
    </w:p>
    <w:p>
      <w:pPr>
        <w:pStyle w:val="ListParagraph"/>
        <w:numPr>
          <w:ilvl w:val="0"/>
          <w:numId w:val="21"/>
        </w:numPr>
        <w:tabs>
          <w:tab w:pos="776" w:val="left" w:leader="none"/>
        </w:tabs>
        <w:spacing w:line="257" w:lineRule="exact" w:before="0" w:after="0"/>
        <w:ind w:left="775" w:right="0" w:hanging="458"/>
        <w:jc w:val="left"/>
        <w:rPr>
          <w:sz w:val="24"/>
        </w:rPr>
      </w:pPr>
      <w:r>
        <w:rPr>
          <w:i/>
          <w:w w:val="125"/>
          <w:sz w:val="24"/>
        </w:rPr>
        <w:t>harmadik ország: </w:t>
      </w:r>
      <w:r>
        <w:rPr>
          <w:w w:val="125"/>
          <w:sz w:val="24"/>
        </w:rPr>
        <w:t>az az ország, amely nem</w:t>
      </w:r>
      <w:r>
        <w:rPr>
          <w:spacing w:val="-2"/>
          <w:w w:val="125"/>
          <w:sz w:val="24"/>
        </w:rPr>
        <w:t> </w:t>
      </w:r>
      <w:r>
        <w:rPr>
          <w:w w:val="125"/>
          <w:sz w:val="24"/>
        </w:rPr>
        <w:t>EGT-állam;</w:t>
      </w:r>
    </w:p>
    <w:p>
      <w:pPr>
        <w:pStyle w:val="ListParagraph"/>
        <w:numPr>
          <w:ilvl w:val="0"/>
          <w:numId w:val="21"/>
        </w:numPr>
        <w:tabs>
          <w:tab w:pos="855" w:val="left" w:leader="none"/>
        </w:tabs>
        <w:spacing w:line="225" w:lineRule="auto" w:before="5" w:after="0"/>
        <w:ind w:left="113" w:right="123" w:firstLine="204"/>
        <w:jc w:val="both"/>
        <w:rPr>
          <w:sz w:val="24"/>
        </w:rPr>
      </w:pPr>
      <w:r>
        <w:rPr>
          <w:i/>
          <w:w w:val="130"/>
          <w:sz w:val="24"/>
        </w:rPr>
        <w:t>harmadik országbeli hitelintézet: </w:t>
      </w:r>
      <w:r>
        <w:rPr>
          <w:w w:val="130"/>
          <w:sz w:val="24"/>
        </w:rPr>
        <w:t>az a hitelintézet, amely a székhely állam szerinti jogszabályi rendelkezéseknek megfelelően engedéllyel rendelkezik olyan tevékenységek végzésére, amelyek megfeleltethetők a 3.</w:t>
      </w:r>
      <w:r>
        <w:rPr>
          <w:spacing w:val="3"/>
          <w:w w:val="130"/>
          <w:sz w:val="24"/>
        </w:rPr>
        <w:t> </w:t>
      </w:r>
      <w:r>
        <w:rPr>
          <w:w w:val="130"/>
          <w:sz w:val="24"/>
        </w:rPr>
        <w:t>§</w:t>
      </w:r>
    </w:p>
    <w:p>
      <w:pPr>
        <w:pStyle w:val="ListParagraph"/>
        <w:numPr>
          <w:ilvl w:val="0"/>
          <w:numId w:val="23"/>
        </w:numPr>
        <w:tabs>
          <w:tab w:pos="635" w:val="left" w:leader="none"/>
        </w:tabs>
        <w:spacing w:line="225" w:lineRule="auto" w:before="2" w:after="0"/>
        <w:ind w:left="113" w:right="125" w:firstLine="0"/>
        <w:jc w:val="left"/>
        <w:rPr>
          <w:sz w:val="24"/>
        </w:rPr>
      </w:pPr>
      <w:r>
        <w:rPr>
          <w:w w:val="125"/>
          <w:sz w:val="24"/>
        </w:rPr>
        <w:t>bekezdés </w:t>
      </w:r>
      <w:r>
        <w:rPr>
          <w:i/>
          <w:w w:val="125"/>
          <w:sz w:val="24"/>
        </w:rPr>
        <w:t>a)</w:t>
      </w:r>
      <w:r>
        <w:rPr>
          <w:w w:val="125"/>
          <w:sz w:val="24"/>
        </w:rPr>
        <w:t>, </w:t>
      </w:r>
      <w:r>
        <w:rPr>
          <w:i/>
          <w:w w:val="125"/>
          <w:sz w:val="24"/>
        </w:rPr>
        <w:t>b)</w:t>
      </w:r>
      <w:r>
        <w:rPr>
          <w:w w:val="125"/>
          <w:sz w:val="24"/>
        </w:rPr>
        <w:t>, </w:t>
      </w:r>
      <w:r>
        <w:rPr>
          <w:i/>
          <w:spacing w:val="-4"/>
          <w:w w:val="125"/>
          <w:sz w:val="24"/>
        </w:rPr>
        <w:t>d)</w:t>
      </w:r>
      <w:r>
        <w:rPr>
          <w:spacing w:val="-4"/>
          <w:w w:val="125"/>
          <w:sz w:val="24"/>
        </w:rPr>
        <w:t>,</w:t>
      </w:r>
      <w:r>
        <w:rPr>
          <w:spacing w:val="67"/>
          <w:w w:val="125"/>
          <w:sz w:val="24"/>
        </w:rPr>
        <w:t> </w:t>
      </w:r>
      <w:r>
        <w:rPr>
          <w:i/>
          <w:w w:val="125"/>
          <w:sz w:val="24"/>
        </w:rPr>
        <w:t>e) </w:t>
      </w:r>
      <w:r>
        <w:rPr>
          <w:w w:val="125"/>
          <w:sz w:val="24"/>
        </w:rPr>
        <w:t>vagy </w:t>
      </w:r>
      <w:r>
        <w:rPr>
          <w:i/>
          <w:w w:val="125"/>
          <w:sz w:val="24"/>
        </w:rPr>
        <w:t>f) </w:t>
      </w:r>
      <w:r>
        <w:rPr>
          <w:w w:val="125"/>
          <w:sz w:val="24"/>
        </w:rPr>
        <w:t>pontjában foglaltaknak, és amelynek székhelye harmadik országban</w:t>
      </w:r>
      <w:r>
        <w:rPr>
          <w:spacing w:val="4"/>
          <w:w w:val="125"/>
          <w:sz w:val="24"/>
        </w:rPr>
        <w:t> </w:t>
      </w:r>
      <w:r>
        <w:rPr>
          <w:w w:val="125"/>
          <w:sz w:val="24"/>
        </w:rPr>
        <w:t>van;</w:t>
      </w:r>
    </w:p>
    <w:p>
      <w:pPr>
        <w:pStyle w:val="ListParagraph"/>
        <w:numPr>
          <w:ilvl w:val="0"/>
          <w:numId w:val="21"/>
        </w:numPr>
        <w:tabs>
          <w:tab w:pos="936" w:val="left" w:leader="none"/>
        </w:tabs>
        <w:spacing w:line="225" w:lineRule="auto" w:before="1" w:after="0"/>
        <w:ind w:left="113" w:right="125" w:firstLine="204"/>
        <w:jc w:val="both"/>
        <w:rPr>
          <w:sz w:val="24"/>
        </w:rPr>
      </w:pPr>
      <w:r>
        <w:rPr>
          <w:i/>
          <w:w w:val="130"/>
          <w:sz w:val="24"/>
        </w:rPr>
        <w:t>harmadik országbeli pénzügyi intézmény: </w:t>
      </w:r>
      <w:r>
        <w:rPr>
          <w:w w:val="130"/>
          <w:sz w:val="24"/>
        </w:rPr>
        <w:t>a harmadik országbeli hitelintézet és a harmadik országbeli pénzügyi</w:t>
      </w:r>
      <w:r>
        <w:rPr>
          <w:spacing w:val="-46"/>
          <w:w w:val="130"/>
          <w:sz w:val="24"/>
        </w:rPr>
        <w:t> </w:t>
      </w:r>
      <w:r>
        <w:rPr>
          <w:w w:val="130"/>
          <w:sz w:val="24"/>
        </w:rPr>
        <w:t>vállalkozás;</w:t>
      </w:r>
    </w:p>
    <w:p>
      <w:pPr>
        <w:pStyle w:val="ListParagraph"/>
        <w:numPr>
          <w:ilvl w:val="0"/>
          <w:numId w:val="21"/>
        </w:numPr>
        <w:tabs>
          <w:tab w:pos="851" w:val="left" w:leader="none"/>
        </w:tabs>
        <w:spacing w:line="225" w:lineRule="auto" w:before="1" w:after="0"/>
        <w:ind w:left="113" w:right="121" w:firstLine="204"/>
        <w:jc w:val="both"/>
        <w:rPr>
          <w:sz w:val="24"/>
        </w:rPr>
      </w:pPr>
      <w:r>
        <w:rPr>
          <w:i/>
          <w:w w:val="130"/>
          <w:sz w:val="24"/>
        </w:rPr>
        <w:t>harmadik országbeli pénzügyi vállalkozás: </w:t>
      </w:r>
      <w:r>
        <w:rPr>
          <w:w w:val="130"/>
          <w:sz w:val="24"/>
        </w:rPr>
        <w:t>az a pénzügyi vállalkozás, amely a székhely állam szerinti jogszabályi rendelkezéseknek megfelelően engedéllyel</w:t>
      </w:r>
      <w:r>
        <w:rPr>
          <w:spacing w:val="-16"/>
          <w:w w:val="130"/>
          <w:sz w:val="24"/>
        </w:rPr>
        <w:t> </w:t>
      </w:r>
      <w:r>
        <w:rPr>
          <w:w w:val="130"/>
          <w:sz w:val="24"/>
        </w:rPr>
        <w:t>rendelkezik</w:t>
      </w:r>
      <w:r>
        <w:rPr>
          <w:spacing w:val="-15"/>
          <w:w w:val="130"/>
          <w:sz w:val="24"/>
        </w:rPr>
        <w:t> </w:t>
      </w:r>
      <w:r>
        <w:rPr>
          <w:w w:val="130"/>
          <w:sz w:val="24"/>
        </w:rPr>
        <w:t>egy</w:t>
      </w:r>
      <w:r>
        <w:rPr>
          <w:spacing w:val="-15"/>
          <w:w w:val="130"/>
          <w:sz w:val="24"/>
        </w:rPr>
        <w:t> </w:t>
      </w:r>
      <w:r>
        <w:rPr>
          <w:w w:val="130"/>
          <w:sz w:val="24"/>
        </w:rPr>
        <w:t>vagy</w:t>
      </w:r>
      <w:r>
        <w:rPr>
          <w:spacing w:val="-16"/>
          <w:w w:val="130"/>
          <w:sz w:val="24"/>
        </w:rPr>
        <w:t> </w:t>
      </w:r>
      <w:r>
        <w:rPr>
          <w:w w:val="130"/>
          <w:sz w:val="24"/>
        </w:rPr>
        <w:t>több</w:t>
      </w:r>
      <w:r>
        <w:rPr>
          <w:spacing w:val="-15"/>
          <w:w w:val="130"/>
          <w:sz w:val="24"/>
        </w:rPr>
        <w:t> </w:t>
      </w:r>
      <w:r>
        <w:rPr>
          <w:w w:val="130"/>
          <w:sz w:val="24"/>
        </w:rPr>
        <w:t>olyan</w:t>
      </w:r>
      <w:r>
        <w:rPr>
          <w:spacing w:val="-15"/>
          <w:w w:val="130"/>
          <w:sz w:val="24"/>
        </w:rPr>
        <w:t> </w:t>
      </w:r>
      <w:r>
        <w:rPr>
          <w:w w:val="130"/>
          <w:sz w:val="24"/>
        </w:rPr>
        <w:t>tevékenység</w:t>
      </w:r>
      <w:r>
        <w:rPr>
          <w:spacing w:val="-16"/>
          <w:w w:val="130"/>
          <w:sz w:val="24"/>
        </w:rPr>
        <w:t> </w:t>
      </w:r>
      <w:r>
        <w:rPr>
          <w:w w:val="130"/>
          <w:sz w:val="24"/>
        </w:rPr>
        <w:t>végzésére,</w:t>
      </w:r>
      <w:r>
        <w:rPr>
          <w:spacing w:val="-13"/>
          <w:w w:val="130"/>
          <w:sz w:val="24"/>
        </w:rPr>
        <w:t> </w:t>
      </w:r>
      <w:r>
        <w:rPr>
          <w:w w:val="130"/>
          <w:sz w:val="24"/>
        </w:rPr>
        <w:t>amelyek megfeleltethetők a 3. § (1) bekezdés </w:t>
      </w:r>
      <w:r>
        <w:rPr>
          <w:i/>
          <w:w w:val="130"/>
          <w:sz w:val="24"/>
        </w:rPr>
        <w:t>b)-c) </w:t>
      </w:r>
      <w:r>
        <w:rPr>
          <w:w w:val="130"/>
          <w:sz w:val="24"/>
        </w:rPr>
        <w:t>és </w:t>
      </w:r>
      <w:r>
        <w:rPr>
          <w:i/>
          <w:w w:val="130"/>
          <w:sz w:val="24"/>
        </w:rPr>
        <w:t>g)-l) </w:t>
      </w:r>
      <w:r>
        <w:rPr>
          <w:w w:val="130"/>
          <w:sz w:val="24"/>
        </w:rPr>
        <w:t>pontjában, valamint a (2) bekezdés </w:t>
      </w:r>
      <w:r>
        <w:rPr>
          <w:i/>
          <w:w w:val="130"/>
          <w:sz w:val="24"/>
        </w:rPr>
        <w:t>a)-d) </w:t>
      </w:r>
      <w:r>
        <w:rPr>
          <w:w w:val="130"/>
          <w:sz w:val="24"/>
        </w:rPr>
        <w:t>pontjában foglaltaknak, és amelynek székhelye harmadik országban</w:t>
      </w:r>
      <w:r>
        <w:rPr>
          <w:spacing w:val="-3"/>
          <w:w w:val="130"/>
          <w:sz w:val="24"/>
        </w:rPr>
        <w:t> </w:t>
      </w:r>
      <w:r>
        <w:rPr>
          <w:w w:val="130"/>
          <w:sz w:val="24"/>
        </w:rPr>
        <w:t>van;</w:t>
      </w:r>
    </w:p>
    <w:p>
      <w:pPr>
        <w:pStyle w:val="BodyText"/>
        <w:spacing w:line="225" w:lineRule="auto" w:before="4"/>
        <w:ind w:right="123"/>
        <w:jc w:val="both"/>
      </w:pPr>
      <w:r>
        <w:rPr>
          <w:w w:val="125"/>
        </w:rPr>
        <w:t>38.</w:t>
      </w:r>
      <w:r>
        <w:rPr>
          <w:i/>
          <w:w w:val="125"/>
          <w:position w:val="3"/>
          <w:sz w:val="18"/>
        </w:rPr>
        <w:t>2 </w:t>
      </w:r>
      <w:r>
        <w:rPr>
          <w:i/>
          <w:w w:val="125"/>
        </w:rPr>
        <w:t>határon átnyúló szolgáltatás: </w:t>
      </w:r>
      <w:r>
        <w:rPr>
          <w:w w:val="125"/>
        </w:rPr>
        <w:t>olyan pénzügyi, illetve kiegészítő pénzügyi szolgáltatás nyújtása, amikor a szolgáltatás nyújtása nem  a  szolgáltatást  nyújtó székhelyével, telephelyével, főirodájával, fióktelepével azonos országban történik, és a szolgáltatást igénybe vevő ügyfél  telephelye,  lakóhelye (lakcíme) sem abban az országban van, amelyben a szolgáltatást nyújtó székhelye, telephelye, főirodája,</w:t>
      </w:r>
      <w:r>
        <w:rPr>
          <w:spacing w:val="2"/>
          <w:w w:val="125"/>
        </w:rPr>
        <w:t> </w:t>
      </w:r>
      <w:r>
        <w:rPr>
          <w:w w:val="125"/>
        </w:rPr>
        <w:t>fióktelepe;</w:t>
      </w:r>
    </w:p>
    <w:p>
      <w:pPr>
        <w:spacing w:line="251" w:lineRule="exact" w:before="0"/>
        <w:ind w:left="317" w:right="0" w:firstLine="0"/>
        <w:jc w:val="left"/>
        <w:rPr>
          <w:sz w:val="24"/>
        </w:rPr>
      </w:pPr>
      <w:r>
        <w:rPr>
          <w:w w:val="125"/>
          <w:sz w:val="24"/>
        </w:rPr>
        <w:t>39.</w:t>
      </w:r>
      <w:r>
        <w:rPr>
          <w:i/>
          <w:w w:val="125"/>
          <w:position w:val="3"/>
          <w:sz w:val="18"/>
        </w:rPr>
        <w:t>3 </w:t>
      </w:r>
      <w:r>
        <w:rPr>
          <w:i/>
          <w:w w:val="125"/>
          <w:sz w:val="24"/>
        </w:rPr>
        <w:t>helyreállítási terv: </w:t>
      </w:r>
      <w:r>
        <w:rPr>
          <w:w w:val="125"/>
          <w:sz w:val="24"/>
        </w:rPr>
        <w:t>olyan terv, amelyben foglalt a hitelintézet által</w:t>
      </w:r>
    </w:p>
    <w:p>
      <w:pPr>
        <w:pStyle w:val="BodyText"/>
        <w:spacing w:line="225" w:lineRule="auto" w:before="12"/>
        <w:ind w:right="118" w:firstLine="0"/>
        <w:jc w:val="both"/>
      </w:pPr>
      <w:r>
        <w:rPr>
          <w:w w:val="130"/>
        </w:rPr>
        <w:t>végrehajtandó lépések a likviditást vagy a fizetőképességet (szolvenciát) súlyosan veszélyeztető állapot esetén - rendkívüli állami pénzügyi támogatás igénybevétele nélkül - biztosítják a hitelintézet pénzügyi helyzetének stabilizálódását;</w:t>
      </w:r>
    </w:p>
    <w:p>
      <w:pPr>
        <w:pStyle w:val="ListParagraph"/>
        <w:numPr>
          <w:ilvl w:val="0"/>
          <w:numId w:val="24"/>
        </w:numPr>
        <w:tabs>
          <w:tab w:pos="776" w:val="left" w:leader="none"/>
        </w:tabs>
        <w:spacing w:line="257" w:lineRule="exact" w:before="0" w:after="0"/>
        <w:ind w:left="775" w:right="0" w:hanging="458"/>
        <w:jc w:val="left"/>
        <w:rPr>
          <w:i/>
          <w:sz w:val="24"/>
        </w:rPr>
      </w:pPr>
      <w:r>
        <w:rPr>
          <w:i/>
          <w:w w:val="130"/>
          <w:sz w:val="24"/>
        </w:rPr>
        <w:t>hitel és pénzkölcsön</w:t>
      </w:r>
      <w:r>
        <w:rPr>
          <w:i/>
          <w:spacing w:val="-12"/>
          <w:w w:val="130"/>
          <w:sz w:val="24"/>
        </w:rPr>
        <w:t> </w:t>
      </w:r>
      <w:r>
        <w:rPr>
          <w:i/>
          <w:w w:val="130"/>
          <w:sz w:val="24"/>
        </w:rPr>
        <w:t>nyújtása:</w:t>
      </w:r>
    </w:p>
    <w:p>
      <w:pPr>
        <w:pStyle w:val="ListParagraph"/>
        <w:numPr>
          <w:ilvl w:val="0"/>
          <w:numId w:val="25"/>
        </w:numPr>
        <w:tabs>
          <w:tab w:pos="655" w:val="left" w:leader="none"/>
        </w:tabs>
        <w:spacing w:line="225" w:lineRule="auto" w:before="5" w:after="0"/>
        <w:ind w:left="113" w:right="125" w:firstLine="204"/>
        <w:jc w:val="both"/>
        <w:rPr>
          <w:sz w:val="24"/>
        </w:rPr>
      </w:pPr>
      <w:r>
        <w:rPr>
          <w:i/>
          <w:w w:val="130"/>
          <w:sz w:val="24"/>
        </w:rPr>
        <w:t>hitelnyújtás: </w:t>
      </w:r>
      <w:r>
        <w:rPr>
          <w:w w:val="130"/>
          <w:sz w:val="24"/>
        </w:rPr>
        <w:t>a hitelező és az adós között írásban létesített hitelszerződés alapján meghatározott hitelkeret rendelkezésre tartása az adós részére, jutalék ellenében és a hitelező kötelezettségvállalása meghatározott szerződési feltételek megléte esetén a kölcsönszerződés megkötésére vagy</w:t>
      </w:r>
      <w:r>
        <w:rPr>
          <w:spacing w:val="78"/>
          <w:w w:val="130"/>
          <w:sz w:val="24"/>
        </w:rPr>
        <w:t> </w:t>
      </w:r>
      <w:r>
        <w:rPr>
          <w:w w:val="130"/>
          <w:sz w:val="24"/>
        </w:rPr>
        <w:t>egyéb hitelművelet</w:t>
      </w:r>
      <w:r>
        <w:rPr>
          <w:spacing w:val="-8"/>
          <w:w w:val="130"/>
          <w:sz w:val="24"/>
        </w:rPr>
        <w:t> </w:t>
      </w:r>
      <w:r>
        <w:rPr>
          <w:w w:val="130"/>
          <w:sz w:val="24"/>
        </w:rPr>
        <w:t>végzésére,</w:t>
      </w:r>
    </w:p>
    <w:p>
      <w:pPr>
        <w:pStyle w:val="ListParagraph"/>
        <w:numPr>
          <w:ilvl w:val="0"/>
          <w:numId w:val="25"/>
        </w:numPr>
        <w:tabs>
          <w:tab w:pos="653" w:val="left" w:leader="none"/>
        </w:tabs>
        <w:spacing w:line="265" w:lineRule="exact" w:before="0" w:after="0"/>
        <w:ind w:left="652" w:right="0" w:hanging="335"/>
        <w:jc w:val="left"/>
        <w:rPr>
          <w:i/>
          <w:sz w:val="24"/>
        </w:rPr>
      </w:pPr>
      <w:r>
        <w:rPr>
          <w:i/>
          <w:w w:val="125"/>
          <w:sz w:val="24"/>
        </w:rPr>
        <w:t>pénzkölcsönnyújtás:</w:t>
      </w:r>
    </w:p>
    <w:p>
      <w:pPr>
        <w:pStyle w:val="BodyText"/>
        <w:ind w:left="0" w:firstLine="0"/>
        <w:rPr>
          <w:i/>
          <w:sz w:val="20"/>
        </w:rPr>
      </w:pPr>
    </w:p>
    <w:p>
      <w:pPr>
        <w:pStyle w:val="BodyText"/>
        <w:ind w:left="0" w:firstLine="0"/>
        <w:rPr>
          <w:i/>
          <w:sz w:val="20"/>
        </w:rPr>
      </w:pPr>
    </w:p>
    <w:p>
      <w:pPr>
        <w:pStyle w:val="BodyText"/>
        <w:spacing w:before="6"/>
        <w:ind w:left="0" w:firstLine="0"/>
        <w:rPr>
          <w:i/>
          <w:sz w:val="20"/>
        </w:rPr>
      </w:pPr>
      <w:r>
        <w:rPr/>
        <w:pict>
          <v:line style="position:absolute;mso-position-horizontal-relative:page;mso-position-vertical-relative:paragraph;z-index:-880;mso-wrap-distance-left:0;mso-wrap-distance-right:0" from="56.693001pt,14.013773pt" to="538.583001pt,14.013773pt" stroked="true" strokeweight=".5pt" strokecolor="#000000">
            <v:stroke dashstyle="solid"/>
            <w10:wrap type="topAndBottom"/>
          </v:line>
        </w:pict>
      </w:r>
    </w:p>
    <w:p>
      <w:pPr>
        <w:pStyle w:val="ListParagraph"/>
        <w:numPr>
          <w:ilvl w:val="0"/>
          <w:numId w:val="26"/>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113.</w:t>
      </w:r>
      <w:r>
        <w:rPr>
          <w:i/>
          <w:spacing w:val="-12"/>
          <w:w w:val="125"/>
          <w:sz w:val="18"/>
        </w:rPr>
        <w:t> </w:t>
      </w:r>
      <w:r>
        <w:rPr>
          <w:i/>
          <w:w w:val="125"/>
          <w:sz w:val="18"/>
        </w:rPr>
        <w:t>§</w:t>
      </w:r>
      <w:r>
        <w:rPr>
          <w:i/>
          <w:spacing w:val="-12"/>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2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113.</w:t>
      </w:r>
      <w:r>
        <w:rPr>
          <w:i/>
          <w:spacing w:val="-12"/>
          <w:w w:val="125"/>
          <w:sz w:val="18"/>
        </w:rPr>
        <w:t> </w:t>
      </w:r>
      <w:r>
        <w:rPr>
          <w:i/>
          <w:w w:val="125"/>
          <w:sz w:val="18"/>
        </w:rPr>
        <w:t>§</w:t>
      </w:r>
      <w:r>
        <w:rPr>
          <w:i/>
          <w:spacing w:val="-12"/>
          <w:w w:val="125"/>
          <w:sz w:val="18"/>
        </w:rPr>
        <w:t> </w:t>
      </w:r>
      <w:r>
        <w:rPr>
          <w:i/>
          <w:w w:val="125"/>
          <w:sz w:val="18"/>
        </w:rPr>
        <w:t>(2).</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26"/>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XXXVII. törvény 161. § (1). Hatályos: 2014. IX.</w:t>
      </w:r>
      <w:r>
        <w:rPr>
          <w:i/>
          <w:spacing w:val="-31"/>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4"/>
        <w:jc w:val="both"/>
      </w:pPr>
      <w:r>
        <w:rPr>
          <w:i/>
          <w:w w:val="125"/>
        </w:rPr>
        <w:t>ba) </w:t>
      </w:r>
      <w:r>
        <w:rPr>
          <w:w w:val="125"/>
        </w:rPr>
        <w:t>a hitelező és az adós között létesített hitel- vagy  kölcsönszerződés  alapján a pénzösszeg rendelkezésre bocsátása,  amelyet  az  adós  a szerződésben megállapított időpontban - kamat ellenében vagy anélkül -  köteles</w:t>
      </w:r>
      <w:r>
        <w:rPr>
          <w:spacing w:val="-1"/>
          <w:w w:val="125"/>
        </w:rPr>
        <w:t> </w:t>
      </w:r>
      <w:r>
        <w:rPr>
          <w:w w:val="125"/>
        </w:rPr>
        <w:t>visszafizetni,</w:t>
      </w:r>
    </w:p>
    <w:p>
      <w:pPr>
        <w:pStyle w:val="BodyText"/>
        <w:spacing w:line="225" w:lineRule="auto" w:before="2"/>
        <w:ind w:right="126"/>
        <w:jc w:val="both"/>
      </w:pPr>
      <w:r>
        <w:rPr>
          <w:i/>
          <w:w w:val="130"/>
        </w:rPr>
        <w:t>bb) </w:t>
      </w:r>
      <w:r>
        <w:rPr>
          <w:w w:val="130"/>
        </w:rPr>
        <w:t>minden olyan megállapodás, amely értékpapír vételéről és határidős visszaszármaztatásáról rendelkezik és a szerződés tárgyát képező értékpapírok a vevő (hitelező) javára az ellenérték óvadéki biztosítékául szolgálnak úgy, hogy azokat az ügylet ideje alatt további ügyletben sem elidegeníteni, sem megterhelni nem lehet,</w:t>
      </w:r>
    </w:p>
    <w:p>
      <w:pPr>
        <w:pStyle w:val="BodyText"/>
        <w:spacing w:line="225" w:lineRule="auto" w:before="3"/>
        <w:ind w:right="123"/>
        <w:jc w:val="both"/>
      </w:pPr>
      <w:r>
        <w:rPr>
          <w:i/>
          <w:w w:val="125"/>
        </w:rPr>
        <w:t>bc) </w:t>
      </w:r>
      <w:r>
        <w:rPr>
          <w:w w:val="125"/>
        </w:rPr>
        <w:t>a jelzálog-hitelintézetről és a jelzáloglevélről szóló törvény szerinti önálló zálogjog vásárlása és egyidejű eladása útján végzett tevékenység,</w:t>
      </w:r>
    </w:p>
    <w:p>
      <w:pPr>
        <w:pStyle w:val="BodyText"/>
        <w:spacing w:line="256" w:lineRule="exact"/>
        <w:ind w:left="317" w:firstLine="0"/>
      </w:pPr>
      <w:r>
        <w:rPr>
          <w:i/>
          <w:w w:val="125"/>
        </w:rPr>
        <w:t>bd) </w:t>
      </w:r>
      <w:r>
        <w:rPr>
          <w:w w:val="125"/>
        </w:rPr>
        <w:t>zálogkölcsön nyújtása, valamint</w:t>
      </w:r>
    </w:p>
    <w:p>
      <w:pPr>
        <w:pStyle w:val="BodyText"/>
        <w:spacing w:line="260" w:lineRule="exact"/>
        <w:ind w:left="317" w:firstLine="0"/>
      </w:pPr>
      <w:r>
        <w:rPr>
          <w:i/>
          <w:w w:val="125"/>
        </w:rPr>
        <w:t>be) </w:t>
      </w:r>
      <w:r>
        <w:rPr>
          <w:w w:val="125"/>
        </w:rPr>
        <w:t>csoportfinanszírozás,</w:t>
      </w:r>
    </w:p>
    <w:p>
      <w:pPr>
        <w:pStyle w:val="ListParagraph"/>
        <w:numPr>
          <w:ilvl w:val="0"/>
          <w:numId w:val="25"/>
        </w:numPr>
        <w:tabs>
          <w:tab w:pos="778" w:val="left" w:leader="none"/>
        </w:tabs>
        <w:spacing w:line="225" w:lineRule="auto" w:before="5" w:after="0"/>
        <w:ind w:left="113" w:right="126" w:firstLine="204"/>
        <w:jc w:val="both"/>
        <w:rPr>
          <w:sz w:val="24"/>
        </w:rPr>
      </w:pPr>
      <w:r>
        <w:rPr>
          <w:w w:val="125"/>
          <w:sz w:val="24"/>
        </w:rPr>
        <w:t>a hitel és pénzkölcsön nyújtására irányuló pénzügyi szolgáltatási tevékenység a hitelképesség vizsgálatával, a hitel és kölcsönszerződések előkészítésével, a folyósított kölcsönök nyilvántartásával, figyelemmel kísérésével, ellenőrzésével, a behajtással kapcsolatos intézkedéseket is  magában foglalja;</w:t>
      </w:r>
    </w:p>
    <w:p>
      <w:pPr>
        <w:pStyle w:val="ListParagraph"/>
        <w:numPr>
          <w:ilvl w:val="0"/>
          <w:numId w:val="24"/>
        </w:numPr>
        <w:tabs>
          <w:tab w:pos="888" w:val="left" w:leader="none"/>
        </w:tabs>
        <w:spacing w:line="225" w:lineRule="auto" w:before="3" w:after="0"/>
        <w:ind w:left="113" w:right="127" w:firstLine="204"/>
        <w:jc w:val="both"/>
        <w:rPr>
          <w:sz w:val="24"/>
        </w:rPr>
      </w:pPr>
      <w:r>
        <w:rPr>
          <w:i/>
          <w:w w:val="130"/>
          <w:sz w:val="24"/>
        </w:rPr>
        <w:t>hitelezésikockázat-mérséklés: </w:t>
      </w:r>
      <w:r>
        <w:rPr>
          <w:w w:val="130"/>
          <w:sz w:val="24"/>
        </w:rPr>
        <w:t>hitelintézet által alkalmazott eljárás a hitelintézet kitettségeivel összefüggő hitelkockázatok</w:t>
      </w:r>
      <w:r>
        <w:rPr>
          <w:spacing w:val="-48"/>
          <w:w w:val="130"/>
          <w:sz w:val="24"/>
        </w:rPr>
        <w:t> </w:t>
      </w:r>
      <w:r>
        <w:rPr>
          <w:w w:val="130"/>
          <w:sz w:val="24"/>
        </w:rPr>
        <w:t>csökkentésére;</w:t>
      </w:r>
    </w:p>
    <w:p>
      <w:pPr>
        <w:pStyle w:val="ListParagraph"/>
        <w:numPr>
          <w:ilvl w:val="0"/>
          <w:numId w:val="24"/>
        </w:numPr>
        <w:tabs>
          <w:tab w:pos="776" w:val="left" w:leader="none"/>
        </w:tabs>
        <w:spacing w:line="256" w:lineRule="exact" w:before="0" w:after="0"/>
        <w:ind w:left="775" w:right="0" w:hanging="458"/>
        <w:jc w:val="left"/>
        <w:rPr>
          <w:i/>
          <w:sz w:val="24"/>
        </w:rPr>
      </w:pPr>
      <w:r>
        <w:rPr>
          <w:i/>
          <w:w w:val="125"/>
          <w:sz w:val="24"/>
        </w:rPr>
        <w:t>hitelreferencia-szolgáltatás:</w:t>
      </w:r>
    </w:p>
    <w:p>
      <w:pPr>
        <w:pStyle w:val="ListParagraph"/>
        <w:numPr>
          <w:ilvl w:val="0"/>
          <w:numId w:val="27"/>
        </w:numPr>
        <w:tabs>
          <w:tab w:pos="675" w:val="left" w:leader="none"/>
        </w:tabs>
        <w:spacing w:line="225" w:lineRule="auto" w:before="6" w:after="0"/>
        <w:ind w:left="113" w:right="129" w:firstLine="204"/>
        <w:jc w:val="both"/>
        <w:rPr>
          <w:sz w:val="24"/>
        </w:rPr>
      </w:pPr>
      <w:r>
        <w:rPr>
          <w:w w:val="125"/>
          <w:sz w:val="24"/>
        </w:rPr>
        <w:t>banktitkot nem sértő bankinformáció díjazás ellenében történő nyújtása vagy</w:t>
      </w:r>
    </w:p>
    <w:p>
      <w:pPr>
        <w:pStyle w:val="ListParagraph"/>
        <w:numPr>
          <w:ilvl w:val="0"/>
          <w:numId w:val="27"/>
        </w:numPr>
        <w:tabs>
          <w:tab w:pos="687" w:val="left" w:leader="none"/>
        </w:tabs>
        <w:spacing w:line="225" w:lineRule="auto" w:before="1" w:after="0"/>
        <w:ind w:left="113" w:right="129" w:firstLine="204"/>
        <w:jc w:val="both"/>
        <w:rPr>
          <w:sz w:val="24"/>
        </w:rPr>
      </w:pPr>
      <w:r>
        <w:rPr>
          <w:w w:val="125"/>
          <w:sz w:val="24"/>
        </w:rPr>
        <w:t>a központi hitelinformációs rendszerről szóló törvényben meghatározott központi hitelinformációs rendszert kezelő pénzügyi vállalkozás által történő adatkezelés;</w:t>
      </w:r>
    </w:p>
    <w:p>
      <w:pPr>
        <w:tabs>
          <w:tab w:pos="1171" w:val="left" w:leader="none"/>
          <w:tab w:pos="3369" w:val="left" w:leader="none"/>
          <w:tab w:pos="3727" w:val="left" w:leader="none"/>
          <w:tab w:pos="5848" w:val="left" w:leader="none"/>
          <w:tab w:pos="6629" w:val="left" w:leader="none"/>
          <w:tab w:pos="6986" w:val="left" w:leader="none"/>
          <w:tab w:pos="8800" w:val="left" w:leader="none"/>
        </w:tabs>
        <w:spacing w:line="250" w:lineRule="exact" w:before="0"/>
        <w:ind w:left="317" w:right="0" w:firstLine="0"/>
        <w:jc w:val="left"/>
        <w:rPr>
          <w:sz w:val="24"/>
        </w:rPr>
      </w:pPr>
      <w:r>
        <w:rPr>
          <w:w w:val="125"/>
          <w:sz w:val="24"/>
        </w:rPr>
        <w:t>42a.</w:t>
      </w:r>
      <w:r>
        <w:rPr>
          <w:i/>
          <w:w w:val="125"/>
          <w:position w:val="3"/>
          <w:sz w:val="18"/>
        </w:rPr>
        <w:t>1</w:t>
        <w:tab/>
      </w:r>
      <w:r>
        <w:rPr>
          <w:i/>
          <w:w w:val="125"/>
          <w:sz w:val="24"/>
        </w:rPr>
        <w:t>hiteltanácsadás:</w:t>
        <w:tab/>
      </w:r>
      <w:r>
        <w:rPr>
          <w:w w:val="125"/>
          <w:sz w:val="24"/>
        </w:rPr>
        <w:t>a</w:t>
        <w:tab/>
        <w:t>jelzáloghitelhez</w:t>
        <w:tab/>
        <w:t>vagy</w:t>
        <w:tab/>
        <w:t>a</w:t>
        <w:tab/>
        <w:t>fogyasztónak</w:t>
        <w:tab/>
        <w:t>nyújtott</w:t>
      </w:r>
    </w:p>
    <w:p>
      <w:pPr>
        <w:pStyle w:val="BodyText"/>
        <w:spacing w:line="225" w:lineRule="auto" w:before="12"/>
        <w:ind w:right="130" w:firstLine="0"/>
        <w:jc w:val="both"/>
      </w:pPr>
      <w:r>
        <w:rPr>
          <w:w w:val="125"/>
        </w:rPr>
        <w:t>ingatlanra vonatkozó pénzügyi lízinghez kapcsolódó - a hitel és pénzkölcsön, valamint pénzügyi lízing nyújtásától, továbbá a pénzügyi szolgáltatás közvetítésétől elkülönülő - személyre szabott ajánlások adása;</w:t>
      </w:r>
    </w:p>
    <w:p>
      <w:pPr>
        <w:pStyle w:val="ListParagraph"/>
        <w:numPr>
          <w:ilvl w:val="0"/>
          <w:numId w:val="24"/>
        </w:numPr>
        <w:tabs>
          <w:tab w:pos="892" w:val="left" w:leader="none"/>
        </w:tabs>
        <w:spacing w:line="225" w:lineRule="auto" w:before="2" w:after="0"/>
        <w:ind w:left="113" w:right="125" w:firstLine="204"/>
        <w:jc w:val="both"/>
        <w:rPr>
          <w:sz w:val="24"/>
        </w:rPr>
      </w:pPr>
      <w:r>
        <w:rPr>
          <w:i/>
          <w:w w:val="130"/>
          <w:sz w:val="24"/>
        </w:rPr>
        <w:t>illetékes felügyeleti hatóság: </w:t>
      </w:r>
      <w:r>
        <w:rPr>
          <w:w w:val="130"/>
          <w:sz w:val="24"/>
        </w:rPr>
        <w:t>az 575/2013/EU rendeletben illetékes hatóságként meghatározott</w:t>
      </w:r>
      <w:r>
        <w:rPr>
          <w:spacing w:val="-8"/>
          <w:w w:val="130"/>
          <w:sz w:val="24"/>
        </w:rPr>
        <w:t> </w:t>
      </w:r>
      <w:r>
        <w:rPr>
          <w:w w:val="130"/>
          <w:sz w:val="24"/>
        </w:rPr>
        <w:t>fogalom;</w:t>
      </w:r>
    </w:p>
    <w:p>
      <w:pPr>
        <w:pStyle w:val="ListParagraph"/>
        <w:numPr>
          <w:ilvl w:val="0"/>
          <w:numId w:val="24"/>
        </w:numPr>
        <w:tabs>
          <w:tab w:pos="839" w:val="left" w:leader="none"/>
        </w:tabs>
        <w:spacing w:line="225" w:lineRule="auto" w:before="1" w:after="0"/>
        <w:ind w:left="113" w:right="120" w:firstLine="204"/>
        <w:jc w:val="both"/>
        <w:rPr>
          <w:sz w:val="24"/>
        </w:rPr>
      </w:pPr>
      <w:r>
        <w:rPr>
          <w:i/>
          <w:w w:val="125"/>
          <w:sz w:val="24"/>
        </w:rPr>
        <w:t>induló tőke: </w:t>
      </w:r>
      <w:r>
        <w:rPr>
          <w:w w:val="125"/>
          <w:sz w:val="24"/>
        </w:rPr>
        <w:t>a jegyzett tőke - ide nem értve az osztalékelsőbbségi, a nyereséges évben az elmúlt év(ek) elmaradt hozamkifizetésére is feljogosító jegyzett és befizetett részvények névértékét -, a tőketartalék és az eredménytartalék összege; az alapítványi formában működő pénzügyi vállalkozás esetén az alapítvány létesítéséhez az alapító által tartósan, korlátlanul, tehermentesen az alapítványi cél megvalósítása érdekében az alapítvány rendelkezésére bocsátott</w:t>
      </w:r>
      <w:r>
        <w:rPr>
          <w:spacing w:val="7"/>
          <w:w w:val="125"/>
          <w:sz w:val="24"/>
        </w:rPr>
        <w:t> </w:t>
      </w:r>
      <w:r>
        <w:rPr>
          <w:w w:val="125"/>
          <w:sz w:val="24"/>
        </w:rPr>
        <w:t>tőke;</w:t>
      </w:r>
    </w:p>
    <w:p>
      <w:pPr>
        <w:pStyle w:val="ListParagraph"/>
        <w:numPr>
          <w:ilvl w:val="0"/>
          <w:numId w:val="24"/>
        </w:numPr>
        <w:tabs>
          <w:tab w:pos="826" w:val="left" w:leader="none"/>
        </w:tabs>
        <w:spacing w:line="225" w:lineRule="auto" w:before="4" w:after="0"/>
        <w:ind w:left="113" w:right="124" w:firstLine="204"/>
        <w:jc w:val="both"/>
        <w:rPr>
          <w:sz w:val="24"/>
        </w:rPr>
      </w:pPr>
      <w:r>
        <w:rPr>
          <w:i/>
          <w:w w:val="125"/>
          <w:sz w:val="24"/>
        </w:rPr>
        <w:t>intézményspecifikus anticiklikus tőkepuffer-követelmény: </w:t>
      </w:r>
      <w:r>
        <w:rPr>
          <w:w w:val="125"/>
          <w:sz w:val="24"/>
        </w:rPr>
        <w:t>a hitelintézeti tevékenység prociklikusságának a csökkentésére irányuló, az ügyfél - akivel szemben a hitelezési kitettség fennáll - elhelyezkedésének figyelembevételével számított szavatolótőke-követelmény;</w:t>
      </w:r>
    </w:p>
    <w:p>
      <w:pPr>
        <w:pStyle w:val="ListParagraph"/>
        <w:numPr>
          <w:ilvl w:val="0"/>
          <w:numId w:val="24"/>
        </w:numPr>
        <w:tabs>
          <w:tab w:pos="792" w:val="left" w:leader="none"/>
        </w:tabs>
        <w:spacing w:line="225" w:lineRule="auto" w:before="2" w:after="0"/>
        <w:ind w:left="113" w:right="125" w:firstLine="204"/>
        <w:jc w:val="both"/>
        <w:rPr>
          <w:sz w:val="24"/>
        </w:rPr>
      </w:pPr>
      <w:r>
        <w:rPr>
          <w:i/>
          <w:w w:val="130"/>
          <w:sz w:val="24"/>
        </w:rPr>
        <w:t>irányítási</w:t>
      </w:r>
      <w:r>
        <w:rPr>
          <w:i/>
          <w:spacing w:val="-14"/>
          <w:w w:val="130"/>
          <w:sz w:val="24"/>
        </w:rPr>
        <w:t> </w:t>
      </w:r>
      <w:r>
        <w:rPr>
          <w:i/>
          <w:w w:val="130"/>
          <w:sz w:val="24"/>
        </w:rPr>
        <w:t>jogkörrel</w:t>
      </w:r>
      <w:r>
        <w:rPr>
          <w:i/>
          <w:spacing w:val="-13"/>
          <w:w w:val="130"/>
          <w:sz w:val="24"/>
        </w:rPr>
        <w:t> </w:t>
      </w:r>
      <w:r>
        <w:rPr>
          <w:i/>
          <w:w w:val="130"/>
          <w:sz w:val="24"/>
        </w:rPr>
        <w:t>rendelkező</w:t>
      </w:r>
      <w:r>
        <w:rPr>
          <w:i/>
          <w:spacing w:val="-14"/>
          <w:w w:val="130"/>
          <w:sz w:val="24"/>
        </w:rPr>
        <w:t> </w:t>
      </w:r>
      <w:r>
        <w:rPr>
          <w:i/>
          <w:w w:val="130"/>
          <w:sz w:val="24"/>
        </w:rPr>
        <w:t>vezető</w:t>
      </w:r>
      <w:r>
        <w:rPr>
          <w:i/>
          <w:spacing w:val="-13"/>
          <w:w w:val="130"/>
          <w:sz w:val="24"/>
        </w:rPr>
        <w:t> </w:t>
      </w:r>
      <w:r>
        <w:rPr>
          <w:i/>
          <w:w w:val="130"/>
          <w:sz w:val="24"/>
        </w:rPr>
        <w:t>testület:</w:t>
      </w:r>
      <w:r>
        <w:rPr>
          <w:i/>
          <w:spacing w:val="-10"/>
          <w:w w:val="130"/>
          <w:sz w:val="24"/>
        </w:rPr>
        <w:t> </w:t>
      </w:r>
      <w:r>
        <w:rPr>
          <w:w w:val="130"/>
          <w:sz w:val="24"/>
        </w:rPr>
        <w:t>az</w:t>
      </w:r>
      <w:r>
        <w:rPr>
          <w:spacing w:val="-13"/>
          <w:w w:val="130"/>
          <w:sz w:val="24"/>
        </w:rPr>
        <w:t> </w:t>
      </w:r>
      <w:r>
        <w:rPr>
          <w:w w:val="130"/>
          <w:sz w:val="24"/>
        </w:rPr>
        <w:t>alapító</w:t>
      </w:r>
      <w:r>
        <w:rPr>
          <w:spacing w:val="-7"/>
          <w:w w:val="130"/>
          <w:sz w:val="24"/>
        </w:rPr>
        <w:t> </w:t>
      </w:r>
      <w:r>
        <w:rPr>
          <w:w w:val="130"/>
          <w:sz w:val="24"/>
        </w:rPr>
        <w:t>okiratban</w:t>
      </w:r>
      <w:r>
        <w:rPr>
          <w:spacing w:val="-20"/>
          <w:w w:val="130"/>
          <w:sz w:val="24"/>
        </w:rPr>
        <w:t> </w:t>
      </w:r>
      <w:r>
        <w:rPr>
          <w:w w:val="130"/>
          <w:sz w:val="24"/>
        </w:rPr>
        <w:t>vagy alapszabályban meghatározott olyan vezető testület, amely a döntéshozatalra jogosult;</w:t>
      </w:r>
    </w:p>
    <w:p>
      <w:pPr>
        <w:pStyle w:val="ListParagraph"/>
        <w:numPr>
          <w:ilvl w:val="0"/>
          <w:numId w:val="24"/>
        </w:numPr>
        <w:tabs>
          <w:tab w:pos="807" w:val="left" w:leader="none"/>
        </w:tabs>
        <w:spacing w:line="225" w:lineRule="auto" w:before="2" w:after="0"/>
        <w:ind w:left="113" w:right="124" w:firstLine="204"/>
        <w:jc w:val="both"/>
        <w:rPr>
          <w:sz w:val="24"/>
        </w:rPr>
      </w:pPr>
      <w:r>
        <w:rPr>
          <w:i/>
          <w:w w:val="130"/>
          <w:sz w:val="24"/>
        </w:rPr>
        <w:t>javadalmazás:</w:t>
      </w:r>
      <w:r>
        <w:rPr>
          <w:i/>
          <w:spacing w:val="-10"/>
          <w:w w:val="130"/>
          <w:sz w:val="24"/>
        </w:rPr>
        <w:t> </w:t>
      </w:r>
      <w:r>
        <w:rPr>
          <w:w w:val="130"/>
          <w:sz w:val="24"/>
        </w:rPr>
        <w:t>a</w:t>
      </w:r>
      <w:r>
        <w:rPr>
          <w:spacing w:val="-9"/>
          <w:w w:val="130"/>
          <w:sz w:val="24"/>
        </w:rPr>
        <w:t> </w:t>
      </w:r>
      <w:r>
        <w:rPr>
          <w:w w:val="130"/>
          <w:sz w:val="24"/>
        </w:rPr>
        <w:t>hitelintézet</w:t>
      </w:r>
      <w:r>
        <w:rPr>
          <w:spacing w:val="-9"/>
          <w:w w:val="130"/>
          <w:sz w:val="24"/>
        </w:rPr>
        <w:t> </w:t>
      </w:r>
      <w:r>
        <w:rPr>
          <w:w w:val="130"/>
          <w:sz w:val="24"/>
        </w:rPr>
        <w:t>által</w:t>
      </w:r>
      <w:r>
        <w:rPr>
          <w:spacing w:val="-8"/>
          <w:w w:val="130"/>
          <w:sz w:val="24"/>
        </w:rPr>
        <w:t> </w:t>
      </w:r>
      <w:r>
        <w:rPr>
          <w:w w:val="130"/>
          <w:sz w:val="24"/>
        </w:rPr>
        <w:t>a</w:t>
      </w:r>
      <w:r>
        <w:rPr>
          <w:spacing w:val="-9"/>
          <w:w w:val="130"/>
          <w:sz w:val="24"/>
        </w:rPr>
        <w:t> </w:t>
      </w:r>
      <w:r>
        <w:rPr>
          <w:w w:val="130"/>
          <w:sz w:val="24"/>
        </w:rPr>
        <w:t>vezető</w:t>
      </w:r>
      <w:r>
        <w:rPr>
          <w:spacing w:val="-10"/>
          <w:w w:val="130"/>
          <w:sz w:val="24"/>
        </w:rPr>
        <w:t> </w:t>
      </w:r>
      <w:r>
        <w:rPr>
          <w:w w:val="130"/>
          <w:sz w:val="24"/>
        </w:rPr>
        <w:t>állású</w:t>
      </w:r>
      <w:r>
        <w:rPr>
          <w:spacing w:val="-9"/>
          <w:w w:val="130"/>
          <w:sz w:val="24"/>
        </w:rPr>
        <w:t> </w:t>
      </w:r>
      <w:r>
        <w:rPr>
          <w:w w:val="130"/>
          <w:sz w:val="24"/>
        </w:rPr>
        <w:t>személy,</w:t>
      </w:r>
      <w:r>
        <w:rPr>
          <w:spacing w:val="-8"/>
          <w:w w:val="130"/>
          <w:sz w:val="24"/>
        </w:rPr>
        <w:t> </w:t>
      </w:r>
      <w:r>
        <w:rPr>
          <w:w w:val="130"/>
          <w:sz w:val="24"/>
        </w:rPr>
        <w:t>munkavállaló részére</w:t>
      </w:r>
      <w:r>
        <w:rPr>
          <w:spacing w:val="-22"/>
          <w:w w:val="130"/>
          <w:sz w:val="24"/>
        </w:rPr>
        <w:t> </w:t>
      </w:r>
      <w:r>
        <w:rPr>
          <w:w w:val="130"/>
          <w:sz w:val="24"/>
        </w:rPr>
        <w:t>minden,</w:t>
      </w:r>
      <w:r>
        <w:rPr>
          <w:spacing w:val="-16"/>
          <w:w w:val="130"/>
          <w:sz w:val="24"/>
        </w:rPr>
        <w:t> </w:t>
      </w:r>
      <w:r>
        <w:rPr>
          <w:w w:val="130"/>
          <w:sz w:val="24"/>
        </w:rPr>
        <w:t>a</w:t>
      </w:r>
      <w:r>
        <w:rPr>
          <w:spacing w:val="-27"/>
          <w:w w:val="130"/>
          <w:sz w:val="24"/>
        </w:rPr>
        <w:t> </w:t>
      </w:r>
      <w:r>
        <w:rPr>
          <w:w w:val="130"/>
          <w:sz w:val="24"/>
        </w:rPr>
        <w:t>munkaviszony</w:t>
      </w:r>
      <w:r>
        <w:rPr>
          <w:spacing w:val="-22"/>
          <w:w w:val="130"/>
          <w:sz w:val="24"/>
        </w:rPr>
        <w:t> </w:t>
      </w:r>
      <w:r>
        <w:rPr>
          <w:w w:val="130"/>
          <w:sz w:val="24"/>
        </w:rPr>
        <w:t>alapján</w:t>
      </w:r>
      <w:r>
        <w:rPr>
          <w:spacing w:val="-22"/>
          <w:w w:val="130"/>
          <w:sz w:val="24"/>
        </w:rPr>
        <w:t> </w:t>
      </w:r>
      <w:r>
        <w:rPr>
          <w:w w:val="130"/>
          <w:sz w:val="24"/>
        </w:rPr>
        <w:t>közvetlenül</w:t>
      </w:r>
      <w:r>
        <w:rPr>
          <w:spacing w:val="-21"/>
          <w:w w:val="130"/>
          <w:sz w:val="24"/>
        </w:rPr>
        <w:t> </w:t>
      </w:r>
      <w:r>
        <w:rPr>
          <w:w w:val="130"/>
          <w:sz w:val="24"/>
        </w:rPr>
        <w:t>vagy</w:t>
      </w:r>
      <w:r>
        <w:rPr>
          <w:spacing w:val="-22"/>
          <w:w w:val="130"/>
          <w:sz w:val="24"/>
        </w:rPr>
        <w:t> </w:t>
      </w:r>
      <w:r>
        <w:rPr>
          <w:w w:val="130"/>
          <w:sz w:val="24"/>
        </w:rPr>
        <w:t>közvetve,</w:t>
      </w:r>
      <w:r>
        <w:rPr>
          <w:spacing w:val="-22"/>
          <w:w w:val="130"/>
          <w:sz w:val="24"/>
        </w:rPr>
        <w:t> </w:t>
      </w:r>
      <w:r>
        <w:rPr>
          <w:w w:val="130"/>
          <w:sz w:val="24"/>
        </w:rPr>
        <w:t>pénzbeli, természetbeni,</w:t>
      </w:r>
      <w:r>
        <w:rPr>
          <w:spacing w:val="-11"/>
          <w:w w:val="130"/>
          <w:sz w:val="24"/>
        </w:rPr>
        <w:t> </w:t>
      </w:r>
      <w:r>
        <w:rPr>
          <w:w w:val="130"/>
          <w:sz w:val="24"/>
        </w:rPr>
        <w:t>vagyoni</w:t>
      </w:r>
      <w:r>
        <w:rPr>
          <w:spacing w:val="-1"/>
          <w:w w:val="130"/>
          <w:sz w:val="24"/>
        </w:rPr>
        <w:t> </w:t>
      </w:r>
      <w:r>
        <w:rPr>
          <w:w w:val="130"/>
          <w:sz w:val="24"/>
        </w:rPr>
        <w:t>jog</w:t>
      </w:r>
      <w:r>
        <w:rPr>
          <w:spacing w:val="-19"/>
          <w:w w:val="130"/>
          <w:sz w:val="24"/>
        </w:rPr>
        <w:t> </w:t>
      </w:r>
      <w:r>
        <w:rPr>
          <w:w w:val="130"/>
          <w:sz w:val="24"/>
        </w:rPr>
        <w:t>vagy</w:t>
      </w:r>
      <w:r>
        <w:rPr>
          <w:spacing w:val="-11"/>
          <w:w w:val="130"/>
          <w:sz w:val="24"/>
        </w:rPr>
        <w:t> </w:t>
      </w:r>
      <w:r>
        <w:rPr>
          <w:w w:val="130"/>
          <w:sz w:val="24"/>
        </w:rPr>
        <w:t>egyéb</w:t>
      </w:r>
      <w:r>
        <w:rPr>
          <w:spacing w:val="-10"/>
          <w:w w:val="130"/>
          <w:sz w:val="24"/>
        </w:rPr>
        <w:t> </w:t>
      </w:r>
      <w:r>
        <w:rPr>
          <w:w w:val="130"/>
          <w:sz w:val="24"/>
        </w:rPr>
        <w:t>formában</w:t>
      </w:r>
      <w:r>
        <w:rPr>
          <w:spacing w:val="1"/>
          <w:w w:val="130"/>
          <w:sz w:val="24"/>
        </w:rPr>
        <w:t> </w:t>
      </w:r>
      <w:r>
        <w:rPr>
          <w:w w:val="130"/>
          <w:sz w:val="24"/>
        </w:rPr>
        <w:t>nyújtott</w:t>
      </w:r>
      <w:r>
        <w:rPr>
          <w:spacing w:val="-21"/>
          <w:w w:val="130"/>
          <w:sz w:val="24"/>
        </w:rPr>
        <w:t> </w:t>
      </w:r>
      <w:r>
        <w:rPr>
          <w:w w:val="130"/>
          <w:sz w:val="24"/>
        </w:rPr>
        <w:t>juttatás;</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856;mso-wrap-distance-left:0;mso-wrap-distance-right:0" from="56.693001pt,8.207859pt" to="538.583001pt,8.20785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0"/>
          <w:sz w:val="18"/>
        </w:rPr>
        <w:t>1</w:t>
        <w:tab/>
        <w:t>Beiktatta: 2015. évi CCXV. törvény 113. § (3). Hatályos: 2016. III.</w:t>
      </w:r>
      <w:r>
        <w:rPr>
          <w:i/>
          <w:spacing w:val="53"/>
          <w:w w:val="120"/>
          <w:sz w:val="18"/>
        </w:rPr>
        <w:t> </w:t>
      </w:r>
      <w:r>
        <w:rPr>
          <w:i/>
          <w:w w:val="120"/>
          <w:sz w:val="18"/>
        </w:rPr>
        <w:t>21-től.</w:t>
      </w:r>
    </w:p>
    <w:p>
      <w:pPr>
        <w:spacing w:after="0"/>
        <w:jc w:val="left"/>
        <w:rPr>
          <w:sz w:val="18"/>
        </w:rPr>
        <w:sectPr>
          <w:pgSz w:w="11900" w:h="16820"/>
          <w:pgMar w:header="1104" w:footer="0" w:top="1840" w:bottom="280" w:left="1020" w:right="1000"/>
        </w:sectPr>
      </w:pPr>
    </w:p>
    <w:p>
      <w:pPr>
        <w:tabs>
          <w:tab w:pos="1186" w:val="left" w:leader="none"/>
          <w:tab w:pos="2676" w:val="left" w:leader="none"/>
          <w:tab w:pos="4462" w:val="left" w:leader="none"/>
          <w:tab w:pos="5104" w:val="left" w:leader="none"/>
          <w:tab w:pos="7083" w:val="left" w:leader="none"/>
          <w:tab w:pos="8927" w:val="left" w:leader="none"/>
        </w:tabs>
        <w:spacing w:line="261" w:lineRule="exact" w:before="159"/>
        <w:ind w:left="317" w:right="0" w:firstLine="0"/>
        <w:jc w:val="left"/>
        <w:rPr>
          <w:sz w:val="24"/>
        </w:rPr>
      </w:pPr>
      <w:r>
        <w:rPr>
          <w:w w:val="125"/>
          <w:sz w:val="24"/>
        </w:rPr>
        <w:t>48.</w:t>
      </w:r>
      <w:r>
        <w:rPr>
          <w:i/>
          <w:w w:val="125"/>
          <w:position w:val="3"/>
          <w:sz w:val="18"/>
        </w:rPr>
        <w:t>1</w:t>
        <w:tab/>
      </w:r>
      <w:r>
        <w:rPr>
          <w:i/>
          <w:w w:val="125"/>
          <w:sz w:val="24"/>
        </w:rPr>
        <w:t>járulékos</w:t>
        <w:tab/>
        <w:t>vállalkozás:</w:t>
        <w:tab/>
      </w:r>
      <w:r>
        <w:rPr>
          <w:w w:val="125"/>
          <w:sz w:val="24"/>
        </w:rPr>
        <w:t>az</w:t>
        <w:tab/>
        <w:t>575/2013/EU</w:t>
        <w:tab/>
        <w:t>rendeletben</w:t>
        <w:tab/>
        <w:t>ekként</w:t>
      </w:r>
    </w:p>
    <w:p>
      <w:pPr>
        <w:pStyle w:val="BodyText"/>
        <w:spacing w:line="267" w:lineRule="exact"/>
        <w:ind w:firstLine="0"/>
      </w:pPr>
      <w:r>
        <w:rPr>
          <w:w w:val="125"/>
        </w:rPr>
        <w:t>meghatározott fogalom;</w:t>
      </w:r>
    </w:p>
    <w:p>
      <w:pPr>
        <w:pStyle w:val="ListParagraph"/>
        <w:numPr>
          <w:ilvl w:val="0"/>
          <w:numId w:val="28"/>
        </w:numPr>
        <w:tabs>
          <w:tab w:pos="776" w:val="left" w:leader="none"/>
        </w:tabs>
        <w:spacing w:line="260" w:lineRule="exact" w:before="0" w:after="0"/>
        <w:ind w:left="775" w:right="0" w:hanging="458"/>
        <w:jc w:val="left"/>
        <w:rPr>
          <w:sz w:val="24"/>
        </w:rPr>
      </w:pPr>
      <w:r>
        <w:rPr>
          <w:i/>
          <w:w w:val="125"/>
          <w:sz w:val="24"/>
        </w:rPr>
        <w:t>jegyzett tőke: </w:t>
      </w:r>
      <w:r>
        <w:rPr>
          <w:w w:val="125"/>
          <w:sz w:val="24"/>
        </w:rPr>
        <w:t>az Szmt. 35. § (3) bekezdése szerint meghatározott</w:t>
      </w:r>
      <w:r>
        <w:rPr>
          <w:spacing w:val="7"/>
          <w:w w:val="125"/>
          <w:sz w:val="24"/>
        </w:rPr>
        <w:t> </w:t>
      </w:r>
      <w:r>
        <w:rPr>
          <w:w w:val="125"/>
          <w:sz w:val="24"/>
        </w:rPr>
        <w:t>tőke;</w:t>
      </w:r>
    </w:p>
    <w:p>
      <w:pPr>
        <w:pStyle w:val="ListParagraph"/>
        <w:numPr>
          <w:ilvl w:val="0"/>
          <w:numId w:val="28"/>
        </w:numPr>
        <w:tabs>
          <w:tab w:pos="896" w:val="left" w:leader="none"/>
        </w:tabs>
        <w:spacing w:line="225" w:lineRule="auto" w:before="5" w:after="0"/>
        <w:ind w:left="113" w:right="127" w:firstLine="204"/>
        <w:jc w:val="both"/>
        <w:rPr>
          <w:sz w:val="24"/>
        </w:rPr>
      </w:pPr>
      <w:r>
        <w:rPr>
          <w:i/>
          <w:w w:val="125"/>
          <w:sz w:val="24"/>
        </w:rPr>
        <w:t>jelzáloghitel: </w:t>
      </w:r>
      <w:r>
        <w:rPr>
          <w:w w:val="125"/>
          <w:sz w:val="24"/>
        </w:rPr>
        <w:t>a fogyasztó részére ingatlanon alapított jelzálogjog - ideértve az önálló zálogjogként alapított zálogjogot is - fedezete mellett  nyújtott hitel vagy</w:t>
      </w:r>
      <w:r>
        <w:rPr>
          <w:spacing w:val="1"/>
          <w:w w:val="125"/>
          <w:sz w:val="24"/>
        </w:rPr>
        <w:t> </w:t>
      </w:r>
      <w:r>
        <w:rPr>
          <w:w w:val="125"/>
          <w:sz w:val="24"/>
        </w:rPr>
        <w:t>kölcsön;</w:t>
      </w:r>
    </w:p>
    <w:p>
      <w:pPr>
        <w:spacing w:line="250" w:lineRule="exact" w:before="0"/>
        <w:ind w:left="317" w:right="0" w:firstLine="0"/>
        <w:jc w:val="left"/>
        <w:rPr>
          <w:sz w:val="24"/>
        </w:rPr>
      </w:pPr>
      <w:r>
        <w:rPr>
          <w:w w:val="125"/>
          <w:sz w:val="24"/>
        </w:rPr>
        <w:t>51</w:t>
      </w:r>
      <w:r>
        <w:rPr>
          <w:i/>
          <w:w w:val="125"/>
          <w:sz w:val="24"/>
        </w:rPr>
        <w:t>.</w:t>
      </w:r>
      <w:r>
        <w:rPr>
          <w:i/>
          <w:w w:val="125"/>
          <w:position w:val="3"/>
          <w:sz w:val="18"/>
        </w:rPr>
        <w:t>2 </w:t>
      </w:r>
      <w:r>
        <w:rPr>
          <w:i/>
          <w:w w:val="125"/>
          <w:sz w:val="24"/>
        </w:rPr>
        <w:t>jó üzleti hírnév: </w:t>
      </w:r>
      <w:r>
        <w:rPr>
          <w:w w:val="125"/>
          <w:sz w:val="24"/>
        </w:rPr>
        <w:t>a pénzügyi intézmény, a vegyes pénzügyi holding</w:t>
      </w:r>
    </w:p>
    <w:p>
      <w:pPr>
        <w:pStyle w:val="BodyText"/>
        <w:spacing w:line="225" w:lineRule="auto" w:before="12"/>
        <w:ind w:right="133" w:firstLine="0"/>
        <w:jc w:val="both"/>
      </w:pPr>
      <w:r>
        <w:rPr>
          <w:w w:val="130"/>
        </w:rPr>
        <w:t>társaság, illetve a közvetítő vezetőinek, befolyásoló részesedéssel rendelkező tagjainak</w:t>
      </w:r>
      <w:r>
        <w:rPr>
          <w:spacing w:val="-10"/>
          <w:w w:val="130"/>
        </w:rPr>
        <w:t> </w:t>
      </w:r>
      <w:r>
        <w:rPr>
          <w:w w:val="130"/>
        </w:rPr>
        <w:t>a</w:t>
      </w:r>
      <w:r>
        <w:rPr>
          <w:spacing w:val="-9"/>
          <w:w w:val="130"/>
        </w:rPr>
        <w:t> </w:t>
      </w:r>
      <w:r>
        <w:rPr>
          <w:w w:val="130"/>
        </w:rPr>
        <w:t>pénzügyi</w:t>
      </w:r>
      <w:r>
        <w:rPr>
          <w:spacing w:val="-9"/>
          <w:w w:val="130"/>
        </w:rPr>
        <w:t> </w:t>
      </w:r>
      <w:r>
        <w:rPr>
          <w:w w:val="130"/>
        </w:rPr>
        <w:t>intézmény,</w:t>
      </w:r>
      <w:r>
        <w:rPr>
          <w:spacing w:val="-9"/>
          <w:w w:val="130"/>
        </w:rPr>
        <w:t> </w:t>
      </w:r>
      <w:r>
        <w:rPr>
          <w:w w:val="130"/>
        </w:rPr>
        <w:t>a</w:t>
      </w:r>
      <w:r>
        <w:rPr>
          <w:spacing w:val="-9"/>
          <w:w w:val="130"/>
        </w:rPr>
        <w:t> </w:t>
      </w:r>
      <w:r>
        <w:rPr>
          <w:w w:val="130"/>
        </w:rPr>
        <w:t>vegyes</w:t>
      </w:r>
      <w:r>
        <w:rPr>
          <w:spacing w:val="-9"/>
          <w:w w:val="130"/>
        </w:rPr>
        <w:t> </w:t>
      </w:r>
      <w:r>
        <w:rPr>
          <w:w w:val="130"/>
        </w:rPr>
        <w:t>pénzügyi</w:t>
      </w:r>
      <w:r>
        <w:rPr>
          <w:spacing w:val="-10"/>
          <w:w w:val="130"/>
        </w:rPr>
        <w:t> </w:t>
      </w:r>
      <w:r>
        <w:rPr>
          <w:w w:val="130"/>
        </w:rPr>
        <w:t>holding</w:t>
      </w:r>
      <w:r>
        <w:rPr>
          <w:spacing w:val="-9"/>
          <w:w w:val="130"/>
        </w:rPr>
        <w:t> </w:t>
      </w:r>
      <w:r>
        <w:rPr>
          <w:w w:val="130"/>
        </w:rPr>
        <w:t>társaság,</w:t>
      </w:r>
      <w:r>
        <w:rPr>
          <w:spacing w:val="-9"/>
          <w:w w:val="130"/>
        </w:rPr>
        <w:t> </w:t>
      </w:r>
      <w:r>
        <w:rPr>
          <w:w w:val="130"/>
        </w:rPr>
        <w:t>illetve</w:t>
      </w:r>
      <w:r>
        <w:rPr>
          <w:spacing w:val="-9"/>
          <w:w w:val="130"/>
        </w:rPr>
        <w:t> </w:t>
      </w:r>
      <w:r>
        <w:rPr>
          <w:w w:val="130"/>
        </w:rPr>
        <w:t>a közvetítő irányítására és tulajdonlására való alkalmasságát igazoló feltételek megléte;</w:t>
      </w:r>
    </w:p>
    <w:p>
      <w:pPr>
        <w:pStyle w:val="ListParagraph"/>
        <w:numPr>
          <w:ilvl w:val="0"/>
          <w:numId w:val="29"/>
        </w:numPr>
        <w:tabs>
          <w:tab w:pos="939" w:val="left" w:leader="none"/>
        </w:tabs>
        <w:spacing w:line="225" w:lineRule="auto" w:before="2" w:after="0"/>
        <w:ind w:left="113" w:right="130" w:firstLine="204"/>
        <w:jc w:val="both"/>
        <w:rPr>
          <w:sz w:val="24"/>
        </w:rPr>
      </w:pPr>
      <w:r>
        <w:rPr>
          <w:i/>
          <w:w w:val="125"/>
          <w:sz w:val="24"/>
        </w:rPr>
        <w:t>kamat: </w:t>
      </w:r>
      <w:r>
        <w:rPr>
          <w:w w:val="125"/>
          <w:sz w:val="24"/>
        </w:rPr>
        <w:t>az adós által a kölcsönnyújtónak (betételhelyezőnek) az elfogadott betét vagy az igénybe vett kölcsön használatáért, kockázatáért fizetendő, a betét- vagy kölcsönösszeg százalékában meghatározott, időarányosan térítendő (elszámolandó) pénzösszeg vagy egyéb</w:t>
      </w:r>
      <w:r>
        <w:rPr>
          <w:spacing w:val="20"/>
          <w:w w:val="125"/>
          <w:sz w:val="24"/>
        </w:rPr>
        <w:t> </w:t>
      </w:r>
      <w:r>
        <w:rPr>
          <w:w w:val="125"/>
          <w:sz w:val="24"/>
        </w:rPr>
        <w:t>hozadék;</w:t>
      </w:r>
    </w:p>
    <w:p>
      <w:pPr>
        <w:pStyle w:val="ListParagraph"/>
        <w:numPr>
          <w:ilvl w:val="0"/>
          <w:numId w:val="29"/>
        </w:numPr>
        <w:tabs>
          <w:tab w:pos="874" w:val="left" w:leader="none"/>
        </w:tabs>
        <w:spacing w:line="225" w:lineRule="auto" w:before="3" w:after="0"/>
        <w:ind w:left="113" w:right="125" w:firstLine="204"/>
        <w:jc w:val="both"/>
        <w:rPr>
          <w:sz w:val="24"/>
        </w:rPr>
      </w:pPr>
      <w:r>
        <w:rPr>
          <w:i/>
          <w:w w:val="125"/>
          <w:sz w:val="24"/>
        </w:rPr>
        <w:t>kereskedési könyv: </w:t>
      </w:r>
      <w:r>
        <w:rPr>
          <w:w w:val="125"/>
          <w:sz w:val="24"/>
        </w:rPr>
        <w:t>az 575/2013/EU rendeletben ekként alkalmazott fogalom;</w:t>
      </w:r>
    </w:p>
    <w:p>
      <w:pPr>
        <w:pStyle w:val="ListParagraph"/>
        <w:numPr>
          <w:ilvl w:val="0"/>
          <w:numId w:val="29"/>
        </w:numPr>
        <w:tabs>
          <w:tab w:pos="852" w:val="left" w:leader="none"/>
        </w:tabs>
        <w:spacing w:line="225" w:lineRule="auto" w:before="1" w:after="0"/>
        <w:ind w:left="113" w:right="123" w:firstLine="204"/>
        <w:jc w:val="both"/>
        <w:rPr>
          <w:sz w:val="24"/>
        </w:rPr>
      </w:pPr>
      <w:r>
        <w:rPr>
          <w:i/>
          <w:w w:val="130"/>
          <w:sz w:val="24"/>
        </w:rPr>
        <w:t>készpénzátutalás: </w:t>
      </w:r>
      <w:r>
        <w:rPr>
          <w:w w:val="130"/>
          <w:sz w:val="24"/>
        </w:rPr>
        <w:t>fizetési számla megnyitása nélkül a fizető fél által befizetett pénz utalása a kedvezményezett vagy a kedvezményezett megbízásából eljáró pénzforgalmi szolgáltató részére abból a célból, hogy a pénz a kedvezményezett részére kifizetésre</w:t>
      </w:r>
      <w:r>
        <w:rPr>
          <w:spacing w:val="-29"/>
          <w:w w:val="130"/>
          <w:sz w:val="24"/>
        </w:rPr>
        <w:t> </w:t>
      </w:r>
      <w:r>
        <w:rPr>
          <w:w w:val="130"/>
          <w:sz w:val="24"/>
        </w:rPr>
        <w:t>kerüljön;</w:t>
      </w:r>
    </w:p>
    <w:p>
      <w:pPr>
        <w:pStyle w:val="ListParagraph"/>
        <w:numPr>
          <w:ilvl w:val="0"/>
          <w:numId w:val="29"/>
        </w:numPr>
        <w:tabs>
          <w:tab w:pos="776" w:val="left" w:leader="none"/>
        </w:tabs>
        <w:spacing w:line="257" w:lineRule="exact" w:before="0" w:after="0"/>
        <w:ind w:left="775" w:right="0" w:hanging="458"/>
        <w:jc w:val="left"/>
        <w:rPr>
          <w:i/>
          <w:sz w:val="24"/>
        </w:rPr>
      </w:pPr>
      <w:r>
        <w:rPr>
          <w:i/>
          <w:w w:val="130"/>
          <w:sz w:val="24"/>
        </w:rPr>
        <w:t>készpénz-helyettesítő fizetési</w:t>
      </w:r>
      <w:r>
        <w:rPr>
          <w:i/>
          <w:spacing w:val="-7"/>
          <w:w w:val="130"/>
          <w:sz w:val="24"/>
        </w:rPr>
        <w:t> </w:t>
      </w:r>
      <w:r>
        <w:rPr>
          <w:i/>
          <w:w w:val="130"/>
          <w:sz w:val="24"/>
        </w:rPr>
        <w:t>eszköz:</w:t>
      </w:r>
    </w:p>
    <w:p>
      <w:pPr>
        <w:pStyle w:val="ListParagraph"/>
        <w:numPr>
          <w:ilvl w:val="0"/>
          <w:numId w:val="30"/>
        </w:numPr>
        <w:tabs>
          <w:tab w:pos="631" w:val="left" w:leader="none"/>
        </w:tabs>
        <w:spacing w:line="260" w:lineRule="exact" w:before="0" w:after="0"/>
        <w:ind w:left="630" w:right="0" w:hanging="313"/>
        <w:jc w:val="left"/>
        <w:rPr>
          <w:sz w:val="24"/>
        </w:rPr>
      </w:pPr>
      <w:r>
        <w:rPr>
          <w:w w:val="130"/>
          <w:sz w:val="24"/>
        </w:rPr>
        <w:t>a</w:t>
      </w:r>
      <w:r>
        <w:rPr>
          <w:spacing w:val="-4"/>
          <w:w w:val="130"/>
          <w:sz w:val="24"/>
        </w:rPr>
        <w:t> </w:t>
      </w:r>
      <w:r>
        <w:rPr>
          <w:w w:val="130"/>
          <w:sz w:val="24"/>
        </w:rPr>
        <w:t>csekk,</w:t>
      </w:r>
    </w:p>
    <w:p>
      <w:pPr>
        <w:pStyle w:val="ListParagraph"/>
        <w:numPr>
          <w:ilvl w:val="0"/>
          <w:numId w:val="30"/>
        </w:numPr>
        <w:tabs>
          <w:tab w:pos="653" w:val="left" w:leader="none"/>
        </w:tabs>
        <w:spacing w:line="260" w:lineRule="exact" w:before="0" w:after="0"/>
        <w:ind w:left="652" w:right="0" w:hanging="335"/>
        <w:jc w:val="left"/>
        <w:rPr>
          <w:sz w:val="24"/>
        </w:rPr>
      </w:pPr>
      <w:r>
        <w:rPr>
          <w:w w:val="125"/>
          <w:sz w:val="24"/>
        </w:rPr>
        <w:t>az elektronikus</w:t>
      </w:r>
      <w:r>
        <w:rPr>
          <w:spacing w:val="-10"/>
          <w:w w:val="125"/>
          <w:sz w:val="24"/>
        </w:rPr>
        <w:t> </w:t>
      </w:r>
      <w:r>
        <w:rPr>
          <w:w w:val="125"/>
          <w:sz w:val="24"/>
        </w:rPr>
        <w:t>pénz,</w:t>
      </w:r>
    </w:p>
    <w:p>
      <w:pPr>
        <w:pStyle w:val="ListParagraph"/>
        <w:numPr>
          <w:ilvl w:val="0"/>
          <w:numId w:val="30"/>
        </w:numPr>
        <w:tabs>
          <w:tab w:pos="764" w:val="left" w:leader="none"/>
        </w:tabs>
        <w:spacing w:line="225" w:lineRule="auto" w:before="5" w:after="0"/>
        <w:ind w:left="113" w:right="129" w:firstLine="204"/>
        <w:jc w:val="both"/>
        <w:rPr>
          <w:sz w:val="24"/>
        </w:rPr>
      </w:pPr>
      <w:r>
        <w:rPr>
          <w:w w:val="130"/>
          <w:sz w:val="24"/>
        </w:rPr>
        <w:t>a pénzforgalmi szolgáltató és az ügyfél közötti keretszerződésben meghatározott olyan személyre szabott dolog vagy eljárás, amely lehetővé teszi az ügyfél számára a fizetési megbízás</w:t>
      </w:r>
      <w:r>
        <w:rPr>
          <w:spacing w:val="-41"/>
          <w:w w:val="130"/>
          <w:sz w:val="24"/>
        </w:rPr>
        <w:t> </w:t>
      </w:r>
      <w:r>
        <w:rPr>
          <w:w w:val="130"/>
          <w:sz w:val="24"/>
        </w:rPr>
        <w:t>megtételét;</w:t>
      </w:r>
    </w:p>
    <w:p>
      <w:pPr>
        <w:spacing w:line="256" w:lineRule="exact" w:before="0"/>
        <w:ind w:left="317" w:right="0" w:firstLine="0"/>
        <w:jc w:val="left"/>
        <w:rPr>
          <w:sz w:val="24"/>
        </w:rPr>
      </w:pPr>
      <w:r>
        <w:rPr>
          <w:w w:val="130"/>
          <w:sz w:val="24"/>
        </w:rPr>
        <w:t>56.</w:t>
      </w:r>
      <w:r>
        <w:rPr>
          <w:i/>
          <w:w w:val="130"/>
          <w:position w:val="3"/>
          <w:sz w:val="18"/>
        </w:rPr>
        <w:t>3 </w:t>
      </w:r>
      <w:r>
        <w:rPr>
          <w:i/>
          <w:w w:val="130"/>
          <w:sz w:val="24"/>
        </w:rPr>
        <w:t>készpénz-helyettesítő fizetési eszköz kibocsátása: </w:t>
      </w:r>
      <w:r>
        <w:rPr>
          <w:w w:val="130"/>
          <w:sz w:val="24"/>
        </w:rPr>
        <w:t>szerződés alapján</w:t>
      </w:r>
    </w:p>
    <w:p>
      <w:pPr>
        <w:pStyle w:val="ListParagraph"/>
        <w:numPr>
          <w:ilvl w:val="0"/>
          <w:numId w:val="31"/>
        </w:numPr>
        <w:tabs>
          <w:tab w:pos="746" w:val="left" w:leader="none"/>
        </w:tabs>
        <w:spacing w:line="225" w:lineRule="auto" w:before="6" w:after="0"/>
        <w:ind w:left="113" w:right="126" w:firstLine="204"/>
        <w:jc w:val="both"/>
        <w:rPr>
          <w:sz w:val="24"/>
        </w:rPr>
      </w:pPr>
      <w:r>
        <w:rPr>
          <w:w w:val="130"/>
          <w:sz w:val="24"/>
        </w:rPr>
        <w:t>a csekknek vagy az elektronikus pénznek az ügyfél rendelkezésére bocsátása,</w:t>
      </w:r>
      <w:r>
        <w:rPr>
          <w:spacing w:val="-3"/>
          <w:w w:val="130"/>
          <w:sz w:val="24"/>
        </w:rPr>
        <w:t> </w:t>
      </w:r>
      <w:r>
        <w:rPr>
          <w:w w:val="130"/>
          <w:sz w:val="24"/>
        </w:rPr>
        <w:t>valamint</w:t>
      </w:r>
    </w:p>
    <w:p>
      <w:pPr>
        <w:pStyle w:val="ListParagraph"/>
        <w:numPr>
          <w:ilvl w:val="0"/>
          <w:numId w:val="31"/>
        </w:numPr>
        <w:tabs>
          <w:tab w:pos="734" w:val="left" w:leader="none"/>
        </w:tabs>
        <w:spacing w:line="225" w:lineRule="auto" w:before="1" w:after="0"/>
        <w:ind w:left="113" w:right="123" w:firstLine="204"/>
        <w:jc w:val="both"/>
        <w:rPr>
          <w:sz w:val="24"/>
        </w:rPr>
      </w:pPr>
      <w:r>
        <w:rPr>
          <w:w w:val="125"/>
          <w:sz w:val="24"/>
        </w:rPr>
        <w:t>a fizető félnek az 55. pont </w:t>
      </w:r>
      <w:r>
        <w:rPr>
          <w:i/>
          <w:w w:val="125"/>
          <w:sz w:val="24"/>
        </w:rPr>
        <w:t>c) </w:t>
      </w:r>
      <w:r>
        <w:rPr>
          <w:w w:val="125"/>
          <w:sz w:val="24"/>
        </w:rPr>
        <w:t>alpontja szerinti készpénz-helyettesítő  fizetési eszköz rendelkezésre bocsátása  fizetési  műveletek kezdeményezéséhez, jóváhagyásához és feldolgozásához;</w:t>
      </w:r>
    </w:p>
    <w:p>
      <w:pPr>
        <w:pStyle w:val="BodyText"/>
        <w:spacing w:line="225" w:lineRule="auto" w:before="1"/>
        <w:ind w:right="131"/>
        <w:jc w:val="both"/>
      </w:pPr>
      <w:r>
        <w:rPr>
          <w:w w:val="125"/>
        </w:rPr>
        <w:t>57. </w:t>
      </w:r>
      <w:r>
        <w:rPr>
          <w:i/>
          <w:w w:val="125"/>
        </w:rPr>
        <w:t>készpénz-helyettesítő fizetési eszköz kibocsátásával kapcsolatos szolgáltatásnyújtás: </w:t>
      </w:r>
      <w:r>
        <w:rPr>
          <w:w w:val="125"/>
        </w:rPr>
        <w:t>a készpénz-helyettesítő fizetési eszköz kibocsátására, kezelésére és használatára vonatkozó jogszabályok alapján nyújtott, vagy az ügyféllel, valamint az eladóval vagy a szolgáltatóval kötött szerződésben a kibocsátó által elvállalt szolgáltatások összessége, ide nem értve a készpénz-helyettesítő fizetési eszközzel kapcsolatos szolgáltatásnak a készpénz-helyettesítő fizetési eszköz használatával összefüggő elszámolás forgalom lebonyolítását;</w:t>
      </w:r>
    </w:p>
    <w:p>
      <w:pPr>
        <w:spacing w:line="253" w:lineRule="exact" w:before="0"/>
        <w:ind w:left="317" w:right="0" w:firstLine="0"/>
        <w:jc w:val="left"/>
        <w:rPr>
          <w:sz w:val="24"/>
        </w:rPr>
      </w:pPr>
      <w:r>
        <w:rPr>
          <w:w w:val="130"/>
          <w:sz w:val="24"/>
        </w:rPr>
        <w:t>58.</w:t>
      </w:r>
      <w:r>
        <w:rPr>
          <w:i/>
          <w:w w:val="130"/>
          <w:position w:val="3"/>
          <w:sz w:val="18"/>
        </w:rPr>
        <w:t>4 </w:t>
      </w:r>
      <w:r>
        <w:rPr>
          <w:i/>
          <w:w w:val="130"/>
          <w:sz w:val="24"/>
        </w:rPr>
        <w:t>kiszervezés: </w:t>
      </w:r>
      <w:r>
        <w:rPr>
          <w:w w:val="130"/>
          <w:sz w:val="24"/>
        </w:rPr>
        <w:t>ha a pénzügyi intézmény a pénzügyi vagy kiegészítő</w:t>
      </w:r>
    </w:p>
    <w:p>
      <w:pPr>
        <w:pStyle w:val="BodyText"/>
        <w:spacing w:line="225" w:lineRule="auto" w:before="12"/>
        <w:ind w:right="128" w:firstLine="0"/>
        <w:jc w:val="both"/>
      </w:pPr>
      <w:r>
        <w:rPr>
          <w:w w:val="125"/>
        </w:rPr>
        <w:t>pénzügyi szolgáltatási tevékenységéhez kapcsolódó vagy jogszabály által végezni rendelt olyan tevékenységét, amelynek során adatkezelés, adatfeldolgozás vagy adattárolás valósul meg, nem önállóan végzi, hanem annak folyamatos vagy rendszeres elvégzésére tőle szervezetileg független személlyel köt</w:t>
      </w:r>
      <w:r>
        <w:rPr>
          <w:spacing w:val="1"/>
          <w:w w:val="125"/>
        </w:rPr>
        <w:t> </w:t>
      </w:r>
      <w:r>
        <w:rPr>
          <w:w w:val="125"/>
        </w:rPr>
        <w:t>szerződést;</w:t>
      </w:r>
    </w:p>
    <w:p>
      <w:pPr>
        <w:pStyle w:val="ListParagraph"/>
        <w:numPr>
          <w:ilvl w:val="0"/>
          <w:numId w:val="32"/>
        </w:numPr>
        <w:tabs>
          <w:tab w:pos="776" w:val="left" w:leader="none"/>
        </w:tabs>
        <w:spacing w:line="265" w:lineRule="exact" w:before="0" w:after="0"/>
        <w:ind w:left="775" w:right="0" w:hanging="458"/>
        <w:jc w:val="left"/>
        <w:rPr>
          <w:i/>
          <w:sz w:val="24"/>
        </w:rPr>
      </w:pPr>
      <w:r>
        <w:rPr>
          <w:i/>
          <w:w w:val="125"/>
          <w:sz w:val="24"/>
        </w:rPr>
        <w:t>kockázat, vagy</w:t>
      </w:r>
      <w:r>
        <w:rPr>
          <w:i/>
          <w:spacing w:val="-1"/>
          <w:w w:val="125"/>
          <w:sz w:val="24"/>
        </w:rPr>
        <w:t> </w:t>
      </w:r>
      <w:r>
        <w:rPr>
          <w:i/>
          <w:w w:val="125"/>
          <w:sz w:val="24"/>
        </w:rPr>
        <w:t>kockázatvállalás:</w:t>
      </w:r>
    </w:p>
    <w:p>
      <w:pPr>
        <w:pStyle w:val="BodyText"/>
        <w:spacing w:before="5"/>
        <w:ind w:left="0" w:firstLine="0"/>
        <w:rPr>
          <w:i/>
          <w:sz w:val="20"/>
        </w:rPr>
      </w:pPr>
      <w:r>
        <w:rPr/>
        <w:pict>
          <v:line style="position:absolute;mso-position-horizontal-relative:page;mso-position-vertical-relative:paragraph;z-index:-832;mso-wrap-distance-left:0;mso-wrap-distance-right:0" from="56.693001pt,13.989023pt" to="538.583001pt,13.989023pt" stroked="true" strokeweight=".5pt" strokecolor="#000000">
            <v:stroke dashstyle="solid"/>
            <w10:wrap type="topAndBottom"/>
          </v:line>
        </w:pict>
      </w:r>
    </w:p>
    <w:p>
      <w:pPr>
        <w:pStyle w:val="ListParagraph"/>
        <w:numPr>
          <w:ilvl w:val="0"/>
          <w:numId w:val="33"/>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188. § (1). Hatályos: 2015. VII.</w:t>
      </w:r>
      <w:r>
        <w:rPr>
          <w:i/>
          <w:spacing w:val="-30"/>
          <w:w w:val="125"/>
          <w:sz w:val="18"/>
        </w:rPr>
        <w:t> </w:t>
      </w:r>
      <w:r>
        <w:rPr>
          <w:i/>
          <w:w w:val="125"/>
          <w:sz w:val="18"/>
        </w:rPr>
        <w:t>7-től.</w:t>
      </w:r>
    </w:p>
    <w:p>
      <w:pPr>
        <w:pStyle w:val="ListParagraph"/>
        <w:numPr>
          <w:ilvl w:val="0"/>
          <w:numId w:val="33"/>
        </w:numPr>
        <w:tabs>
          <w:tab w:pos="686" w:val="left" w:leader="none"/>
          <w:tab w:pos="687" w:val="left" w:leader="none"/>
        </w:tabs>
        <w:spacing w:line="232" w:lineRule="auto" w:before="2" w:after="0"/>
        <w:ind w:left="342" w:right="2069" w:firstLine="0"/>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113.</w:t>
      </w:r>
      <w:r>
        <w:rPr>
          <w:i/>
          <w:spacing w:val="-11"/>
          <w:w w:val="125"/>
          <w:sz w:val="18"/>
        </w:rPr>
        <w:t> </w:t>
      </w:r>
      <w:r>
        <w:rPr>
          <w:i/>
          <w:w w:val="125"/>
          <w:sz w:val="18"/>
        </w:rPr>
        <w:t>§</w:t>
      </w:r>
      <w:r>
        <w:rPr>
          <w:i/>
          <w:spacing w:val="-10"/>
          <w:w w:val="125"/>
          <w:sz w:val="18"/>
        </w:rPr>
        <w:t> </w:t>
      </w:r>
      <w:r>
        <w:rPr>
          <w:i/>
          <w:w w:val="125"/>
          <w:sz w:val="18"/>
        </w:rPr>
        <w:t>(4).</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III.</w:t>
      </w:r>
      <w:r>
        <w:rPr>
          <w:i/>
          <w:spacing w:val="-11"/>
          <w:w w:val="125"/>
          <w:sz w:val="18"/>
        </w:rPr>
        <w:t> </w:t>
      </w:r>
      <w:r>
        <w:rPr>
          <w:i/>
          <w:w w:val="125"/>
          <w:sz w:val="18"/>
        </w:rPr>
        <w:t>21-től. 3</w:t>
        <w:tab/>
        <w:t>Megállapította:</w:t>
      </w:r>
      <w:r>
        <w:rPr>
          <w:i/>
          <w:spacing w:val="-8"/>
          <w:w w:val="125"/>
          <w:sz w:val="18"/>
        </w:rPr>
        <w:t> </w:t>
      </w:r>
      <w:r>
        <w:rPr>
          <w:i/>
          <w:w w:val="125"/>
          <w:sz w:val="18"/>
        </w:rPr>
        <w:t>2017.</w:t>
      </w:r>
      <w:r>
        <w:rPr>
          <w:i/>
          <w:spacing w:val="-8"/>
          <w:w w:val="125"/>
          <w:sz w:val="18"/>
        </w:rPr>
        <w:t> </w:t>
      </w:r>
      <w:r>
        <w:rPr>
          <w:i/>
          <w:w w:val="125"/>
          <w:sz w:val="18"/>
        </w:rPr>
        <w:t>évi</w:t>
      </w:r>
      <w:r>
        <w:rPr>
          <w:i/>
          <w:spacing w:val="-8"/>
          <w:w w:val="125"/>
          <w:sz w:val="18"/>
        </w:rPr>
        <w:t> </w:t>
      </w:r>
      <w:r>
        <w:rPr>
          <w:i/>
          <w:w w:val="125"/>
          <w:sz w:val="18"/>
        </w:rPr>
        <w:t>CXLV.</w:t>
      </w:r>
      <w:r>
        <w:rPr>
          <w:i/>
          <w:spacing w:val="-8"/>
          <w:w w:val="125"/>
          <w:sz w:val="18"/>
        </w:rPr>
        <w:t> </w:t>
      </w:r>
      <w:r>
        <w:rPr>
          <w:i/>
          <w:w w:val="125"/>
          <w:sz w:val="18"/>
        </w:rPr>
        <w:t>törvény</w:t>
      </w:r>
      <w:r>
        <w:rPr>
          <w:i/>
          <w:spacing w:val="-8"/>
          <w:w w:val="125"/>
          <w:sz w:val="18"/>
        </w:rPr>
        <w:t> </w:t>
      </w:r>
      <w:r>
        <w:rPr>
          <w:i/>
          <w:w w:val="125"/>
          <w:sz w:val="18"/>
        </w:rPr>
        <w:t>121.</w:t>
      </w:r>
      <w:r>
        <w:rPr>
          <w:i/>
          <w:spacing w:val="-8"/>
          <w:w w:val="125"/>
          <w:sz w:val="18"/>
        </w:rPr>
        <w:t> </w:t>
      </w:r>
      <w:r>
        <w:rPr>
          <w:i/>
          <w:w w:val="125"/>
          <w:sz w:val="18"/>
        </w:rPr>
        <w:t>§</w:t>
      </w:r>
      <w:r>
        <w:rPr>
          <w:i/>
          <w:spacing w:val="-7"/>
          <w:w w:val="125"/>
          <w:sz w:val="18"/>
        </w:rPr>
        <w:t> </w:t>
      </w:r>
      <w:r>
        <w:rPr>
          <w:i/>
          <w:w w:val="125"/>
          <w:sz w:val="18"/>
        </w:rPr>
        <w:t>(5).</w:t>
      </w:r>
      <w:r>
        <w:rPr>
          <w:i/>
          <w:spacing w:val="-7"/>
          <w:w w:val="125"/>
          <w:sz w:val="18"/>
        </w:rPr>
        <w:t> </w:t>
      </w:r>
      <w:r>
        <w:rPr>
          <w:i/>
          <w:w w:val="125"/>
          <w:sz w:val="18"/>
        </w:rPr>
        <w:t>Hatályos:</w:t>
      </w:r>
      <w:r>
        <w:rPr>
          <w:i/>
          <w:spacing w:val="-7"/>
          <w:w w:val="125"/>
          <w:sz w:val="18"/>
        </w:rPr>
        <w:t> </w:t>
      </w:r>
      <w:r>
        <w:rPr>
          <w:i/>
          <w:w w:val="125"/>
          <w:sz w:val="18"/>
        </w:rPr>
        <w:t>2018.</w:t>
      </w:r>
      <w:r>
        <w:rPr>
          <w:i/>
          <w:spacing w:val="-8"/>
          <w:w w:val="125"/>
          <w:sz w:val="18"/>
        </w:rPr>
        <w:t> </w:t>
      </w:r>
      <w:r>
        <w:rPr>
          <w:i/>
          <w:w w:val="125"/>
          <w:sz w:val="18"/>
        </w:rPr>
        <w:t>I.</w:t>
      </w:r>
      <w:r>
        <w:rPr>
          <w:i/>
          <w:spacing w:val="-7"/>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4</w:t>
        <w:tab/>
        <w:t>Megállapította: 2015. évi LXXXV. törvény 188. § (2). Hatályos: 2015. VII.</w:t>
      </w:r>
      <w:r>
        <w:rPr>
          <w:i/>
          <w:spacing w:val="-30"/>
          <w:w w:val="125"/>
          <w:sz w:val="18"/>
        </w:rPr>
        <w:t> </w:t>
      </w:r>
      <w:r>
        <w:rPr>
          <w:i/>
          <w:w w:val="125"/>
          <w:sz w:val="18"/>
        </w:rPr>
        <w:t>7-től.</w:t>
      </w:r>
    </w:p>
    <w:p>
      <w:pPr>
        <w:spacing w:after="0" w:line="200" w:lineRule="exact"/>
        <w:jc w:val="left"/>
        <w:rPr>
          <w:sz w:val="18"/>
        </w:rPr>
        <w:sectPr>
          <w:pgSz w:w="11900" w:h="16820"/>
          <w:pgMar w:header="1104" w:footer="0" w:top="1840" w:bottom="280" w:left="1020" w:right="1000"/>
        </w:sectPr>
      </w:pPr>
    </w:p>
    <w:p>
      <w:pPr>
        <w:pStyle w:val="ListParagraph"/>
        <w:numPr>
          <w:ilvl w:val="0"/>
          <w:numId w:val="34"/>
        </w:numPr>
        <w:tabs>
          <w:tab w:pos="749" w:val="left" w:leader="none"/>
        </w:tabs>
        <w:spacing w:line="225" w:lineRule="auto" w:before="173" w:after="0"/>
        <w:ind w:left="113" w:right="133" w:firstLine="204"/>
        <w:jc w:val="both"/>
        <w:rPr>
          <w:sz w:val="24"/>
        </w:rPr>
      </w:pPr>
      <w:r>
        <w:rPr>
          <w:w w:val="130"/>
          <w:sz w:val="24"/>
        </w:rPr>
        <w:t>a kölcsön nyújtása, ideértve az adósságra kibocsátott, hitelviszonyt megtestesítő értékpapír megvásárlását</w:t>
      </w:r>
      <w:r>
        <w:rPr>
          <w:spacing w:val="-11"/>
          <w:w w:val="130"/>
          <w:sz w:val="24"/>
        </w:rPr>
        <w:t> </w:t>
      </w:r>
      <w:r>
        <w:rPr>
          <w:w w:val="130"/>
          <w:sz w:val="24"/>
        </w:rPr>
        <w:t>is;</w:t>
      </w:r>
    </w:p>
    <w:p>
      <w:pPr>
        <w:pStyle w:val="ListParagraph"/>
        <w:numPr>
          <w:ilvl w:val="0"/>
          <w:numId w:val="34"/>
        </w:numPr>
        <w:tabs>
          <w:tab w:pos="653" w:val="left" w:leader="none"/>
        </w:tabs>
        <w:spacing w:line="256" w:lineRule="exact" w:before="0" w:after="0"/>
        <w:ind w:left="652" w:right="0" w:hanging="335"/>
        <w:jc w:val="left"/>
        <w:rPr>
          <w:sz w:val="24"/>
        </w:rPr>
      </w:pPr>
      <w:r>
        <w:rPr>
          <w:w w:val="125"/>
          <w:sz w:val="24"/>
        </w:rPr>
        <w:t>a váltó és csekk, valamint egyéb kötelezvény</w:t>
      </w:r>
      <w:r>
        <w:rPr>
          <w:spacing w:val="12"/>
          <w:w w:val="125"/>
          <w:sz w:val="24"/>
        </w:rPr>
        <w:t> </w:t>
      </w:r>
      <w:r>
        <w:rPr>
          <w:w w:val="125"/>
          <w:sz w:val="24"/>
        </w:rPr>
        <w:t>leszámítolása;</w:t>
      </w:r>
    </w:p>
    <w:p>
      <w:pPr>
        <w:pStyle w:val="ListParagraph"/>
        <w:numPr>
          <w:ilvl w:val="0"/>
          <w:numId w:val="34"/>
        </w:numPr>
        <w:tabs>
          <w:tab w:pos="723" w:val="left" w:leader="none"/>
        </w:tabs>
        <w:spacing w:line="225" w:lineRule="auto" w:before="5" w:after="0"/>
        <w:ind w:left="113" w:right="125" w:firstLine="204"/>
        <w:jc w:val="both"/>
        <w:rPr>
          <w:sz w:val="24"/>
        </w:rPr>
      </w:pPr>
      <w:r>
        <w:rPr>
          <w:w w:val="130"/>
          <w:sz w:val="24"/>
        </w:rPr>
        <w:t>a hitelintézet által adott garancia, kezesség és az egyéb biztosíték, ideértve a hitelintézet bármilyen más, jövőbeni vagy függő kötelezettségét, vállalt garanciáját, kezességét, illetve az ezekre nyújtott egyéb bankári biztosítékot</w:t>
      </w:r>
      <w:r>
        <w:rPr>
          <w:spacing w:val="-3"/>
          <w:w w:val="130"/>
          <w:sz w:val="24"/>
        </w:rPr>
        <w:t> </w:t>
      </w:r>
      <w:r>
        <w:rPr>
          <w:w w:val="130"/>
          <w:sz w:val="24"/>
        </w:rPr>
        <w:t>is;</w:t>
      </w:r>
    </w:p>
    <w:p>
      <w:pPr>
        <w:pStyle w:val="ListParagraph"/>
        <w:numPr>
          <w:ilvl w:val="0"/>
          <w:numId w:val="34"/>
        </w:numPr>
        <w:tabs>
          <w:tab w:pos="783" w:val="left" w:leader="none"/>
        </w:tabs>
        <w:spacing w:line="225" w:lineRule="auto" w:before="2" w:after="0"/>
        <w:ind w:left="113" w:right="128" w:firstLine="204"/>
        <w:jc w:val="both"/>
        <w:rPr>
          <w:sz w:val="24"/>
        </w:rPr>
      </w:pPr>
      <w:r>
        <w:rPr>
          <w:w w:val="130"/>
          <w:sz w:val="24"/>
        </w:rPr>
        <w:t>a hitelintézet által vállalt minden olyan kötelezettség, amellyel a hitelintézet ellenszolgáltatás fejében átruházott pénzkövetelés teljesítéséért jótáll</w:t>
      </w:r>
      <w:r>
        <w:rPr>
          <w:spacing w:val="-3"/>
          <w:w w:val="130"/>
          <w:sz w:val="24"/>
        </w:rPr>
        <w:t> </w:t>
      </w:r>
      <w:r>
        <w:rPr>
          <w:w w:val="130"/>
          <w:sz w:val="24"/>
        </w:rPr>
        <w:t>vagy</w:t>
      </w:r>
      <w:r>
        <w:rPr>
          <w:spacing w:val="-23"/>
          <w:w w:val="130"/>
          <w:sz w:val="24"/>
        </w:rPr>
        <w:t> </w:t>
      </w:r>
      <w:r>
        <w:rPr>
          <w:w w:val="130"/>
          <w:sz w:val="24"/>
        </w:rPr>
        <w:t>vállalja,</w:t>
      </w:r>
      <w:r>
        <w:rPr>
          <w:spacing w:val="-13"/>
          <w:w w:val="130"/>
          <w:sz w:val="24"/>
        </w:rPr>
        <w:t> </w:t>
      </w:r>
      <w:r>
        <w:rPr>
          <w:w w:val="130"/>
          <w:sz w:val="24"/>
        </w:rPr>
        <w:t>hogy</w:t>
      </w:r>
      <w:r>
        <w:rPr>
          <w:spacing w:val="-12"/>
          <w:w w:val="130"/>
          <w:sz w:val="24"/>
        </w:rPr>
        <w:t> </w:t>
      </w:r>
      <w:r>
        <w:rPr>
          <w:w w:val="130"/>
          <w:sz w:val="24"/>
        </w:rPr>
        <w:t>a</w:t>
      </w:r>
      <w:r>
        <w:rPr>
          <w:spacing w:val="-13"/>
          <w:w w:val="130"/>
          <w:sz w:val="24"/>
        </w:rPr>
        <w:t> </w:t>
      </w:r>
      <w:r>
        <w:rPr>
          <w:w w:val="130"/>
          <w:sz w:val="24"/>
        </w:rPr>
        <w:t>vevő követelésére</w:t>
      </w:r>
      <w:r>
        <w:rPr>
          <w:spacing w:val="-26"/>
          <w:w w:val="130"/>
          <w:sz w:val="24"/>
        </w:rPr>
        <w:t> </w:t>
      </w:r>
      <w:r>
        <w:rPr>
          <w:w w:val="130"/>
          <w:sz w:val="24"/>
        </w:rPr>
        <w:t>azt</w:t>
      </w:r>
      <w:r>
        <w:rPr>
          <w:spacing w:val="-13"/>
          <w:w w:val="130"/>
          <w:sz w:val="24"/>
        </w:rPr>
        <w:t> </w:t>
      </w:r>
      <w:r>
        <w:rPr>
          <w:w w:val="130"/>
          <w:sz w:val="24"/>
        </w:rPr>
        <w:t>visszavásárolja;</w:t>
      </w:r>
    </w:p>
    <w:p>
      <w:pPr>
        <w:pStyle w:val="ListParagraph"/>
        <w:numPr>
          <w:ilvl w:val="0"/>
          <w:numId w:val="34"/>
        </w:numPr>
        <w:tabs>
          <w:tab w:pos="854" w:val="left" w:leader="none"/>
        </w:tabs>
        <w:spacing w:line="225" w:lineRule="auto" w:before="2" w:after="0"/>
        <w:ind w:left="113" w:right="127" w:firstLine="204"/>
        <w:jc w:val="both"/>
        <w:rPr>
          <w:sz w:val="24"/>
        </w:rPr>
      </w:pPr>
      <w:r>
        <w:rPr>
          <w:w w:val="130"/>
          <w:sz w:val="24"/>
        </w:rPr>
        <w:t>a hitelintézetnek bármely vállalkozásában szerzett részesedése, függetlenül a részesedés birtoklásának</w:t>
      </w:r>
      <w:r>
        <w:rPr>
          <w:spacing w:val="-16"/>
          <w:w w:val="130"/>
          <w:sz w:val="24"/>
        </w:rPr>
        <w:t> </w:t>
      </w:r>
      <w:r>
        <w:rPr>
          <w:w w:val="130"/>
          <w:sz w:val="24"/>
        </w:rPr>
        <w:t>időtartamától;</w:t>
      </w:r>
    </w:p>
    <w:p>
      <w:pPr>
        <w:pStyle w:val="ListParagraph"/>
        <w:numPr>
          <w:ilvl w:val="0"/>
          <w:numId w:val="34"/>
        </w:numPr>
        <w:tabs>
          <w:tab w:pos="577" w:val="left" w:leader="none"/>
        </w:tabs>
        <w:spacing w:line="256" w:lineRule="exact" w:before="0" w:after="0"/>
        <w:ind w:left="576" w:right="0" w:hanging="259"/>
        <w:jc w:val="left"/>
        <w:rPr>
          <w:sz w:val="24"/>
        </w:rPr>
      </w:pPr>
      <w:r>
        <w:rPr>
          <w:w w:val="130"/>
          <w:sz w:val="24"/>
        </w:rPr>
        <w:t>a hitelintézet által megvásárolt</w:t>
      </w:r>
      <w:r>
        <w:rPr>
          <w:spacing w:val="-20"/>
          <w:w w:val="130"/>
          <w:sz w:val="24"/>
        </w:rPr>
        <w:t> </w:t>
      </w:r>
      <w:r>
        <w:rPr>
          <w:w w:val="130"/>
          <w:sz w:val="24"/>
        </w:rPr>
        <w:t>pénzkövetelés;</w:t>
      </w:r>
    </w:p>
    <w:p>
      <w:pPr>
        <w:pStyle w:val="ListParagraph"/>
        <w:numPr>
          <w:ilvl w:val="0"/>
          <w:numId w:val="34"/>
        </w:numPr>
        <w:tabs>
          <w:tab w:pos="653" w:val="left" w:leader="none"/>
        </w:tabs>
        <w:spacing w:line="260" w:lineRule="exact" w:before="0" w:after="0"/>
        <w:ind w:left="652" w:right="0" w:hanging="335"/>
        <w:jc w:val="left"/>
        <w:rPr>
          <w:sz w:val="24"/>
        </w:rPr>
      </w:pPr>
      <w:r>
        <w:rPr>
          <w:w w:val="125"/>
          <w:sz w:val="24"/>
        </w:rPr>
        <w:t>a pénzügyi lízing nyújtása,</w:t>
      </w:r>
      <w:r>
        <w:rPr>
          <w:spacing w:val="-10"/>
          <w:w w:val="125"/>
          <w:sz w:val="24"/>
        </w:rPr>
        <w:t> </w:t>
      </w:r>
      <w:r>
        <w:rPr>
          <w:w w:val="125"/>
          <w:sz w:val="24"/>
        </w:rPr>
        <w:t>valamint</w:t>
      </w:r>
    </w:p>
    <w:p>
      <w:pPr>
        <w:pStyle w:val="ListParagraph"/>
        <w:numPr>
          <w:ilvl w:val="0"/>
          <w:numId w:val="34"/>
        </w:numPr>
        <w:tabs>
          <w:tab w:pos="671" w:val="left" w:leader="none"/>
        </w:tabs>
        <w:spacing w:line="225" w:lineRule="auto" w:before="6" w:after="0"/>
        <w:ind w:left="113" w:right="127" w:firstLine="204"/>
        <w:jc w:val="both"/>
        <w:rPr>
          <w:sz w:val="24"/>
        </w:rPr>
      </w:pPr>
      <w:r>
        <w:rPr>
          <w:w w:val="130"/>
          <w:sz w:val="24"/>
        </w:rPr>
        <w:t>más hitelintézetnél elhelyezett betét, ide nem értve a jegybanki kötelező tartalék előírást a levelező bankon keresztül teljesítő hitelintézetek által elhelyezett kötelező tartalék</w:t>
      </w:r>
      <w:r>
        <w:rPr>
          <w:spacing w:val="-13"/>
          <w:w w:val="130"/>
          <w:sz w:val="24"/>
        </w:rPr>
        <w:t> </w:t>
      </w:r>
      <w:r>
        <w:rPr>
          <w:w w:val="130"/>
          <w:sz w:val="24"/>
        </w:rPr>
        <w:t>összegét;</w:t>
      </w:r>
    </w:p>
    <w:p>
      <w:pPr>
        <w:pStyle w:val="ListParagraph"/>
        <w:numPr>
          <w:ilvl w:val="0"/>
          <w:numId w:val="32"/>
        </w:numPr>
        <w:tabs>
          <w:tab w:pos="779" w:val="left" w:leader="none"/>
        </w:tabs>
        <w:spacing w:line="225" w:lineRule="auto" w:before="1" w:after="0"/>
        <w:ind w:left="113" w:right="128" w:firstLine="204"/>
        <w:jc w:val="both"/>
        <w:rPr>
          <w:sz w:val="24"/>
        </w:rPr>
      </w:pPr>
      <w:r>
        <w:rPr>
          <w:i/>
          <w:w w:val="125"/>
          <w:sz w:val="24"/>
        </w:rPr>
        <w:t>követelésvásárlási tevékenység: </w:t>
      </w:r>
      <w:r>
        <w:rPr>
          <w:w w:val="125"/>
          <w:sz w:val="24"/>
        </w:rPr>
        <w:t>követelésnek - a kötelezett kockázatának átvállalásával vagy anélkül történő - megszerzése, megelőlegezése (ideértve a faktoringot és a forfetírozást is), valamint leszámítolása, függetlenül  attól,  hogy a követelés esedékességének nyilvántartását és a kintlévőségek  beszedését ki</w:t>
      </w:r>
      <w:r>
        <w:rPr>
          <w:spacing w:val="1"/>
          <w:w w:val="125"/>
          <w:sz w:val="24"/>
        </w:rPr>
        <w:t> </w:t>
      </w:r>
      <w:r>
        <w:rPr>
          <w:w w:val="125"/>
          <w:sz w:val="24"/>
        </w:rPr>
        <w:t>végzi;</w:t>
      </w:r>
    </w:p>
    <w:p>
      <w:pPr>
        <w:spacing w:line="225" w:lineRule="auto" w:before="3"/>
        <w:ind w:left="113" w:right="129" w:firstLine="204"/>
        <w:jc w:val="both"/>
        <w:rPr>
          <w:sz w:val="24"/>
        </w:rPr>
      </w:pPr>
      <w:r>
        <w:rPr>
          <w:w w:val="130"/>
          <w:sz w:val="24"/>
        </w:rPr>
        <w:t>61.</w:t>
      </w:r>
      <w:r>
        <w:rPr>
          <w:i/>
          <w:w w:val="130"/>
          <w:position w:val="3"/>
          <w:sz w:val="18"/>
        </w:rPr>
        <w:t>1</w:t>
      </w:r>
      <w:r>
        <w:rPr>
          <w:i/>
          <w:spacing w:val="7"/>
          <w:w w:val="130"/>
          <w:position w:val="3"/>
          <w:sz w:val="18"/>
        </w:rPr>
        <w:t> </w:t>
      </w:r>
      <w:r>
        <w:rPr>
          <w:i/>
          <w:w w:val="130"/>
          <w:sz w:val="24"/>
        </w:rPr>
        <w:t>közeli</w:t>
      </w:r>
      <w:r>
        <w:rPr>
          <w:i/>
          <w:spacing w:val="-12"/>
          <w:w w:val="130"/>
          <w:sz w:val="24"/>
        </w:rPr>
        <w:t> </w:t>
      </w:r>
      <w:r>
        <w:rPr>
          <w:i/>
          <w:w w:val="130"/>
          <w:sz w:val="24"/>
        </w:rPr>
        <w:t>hozzátartozó:</w:t>
      </w:r>
      <w:r>
        <w:rPr>
          <w:i/>
          <w:spacing w:val="-11"/>
          <w:w w:val="130"/>
          <w:sz w:val="24"/>
        </w:rPr>
        <w:t> </w:t>
      </w:r>
      <w:r>
        <w:rPr>
          <w:w w:val="130"/>
          <w:sz w:val="24"/>
        </w:rPr>
        <w:t>a</w:t>
      </w:r>
      <w:r>
        <w:rPr>
          <w:spacing w:val="-12"/>
          <w:w w:val="130"/>
          <w:sz w:val="24"/>
        </w:rPr>
        <w:t> </w:t>
      </w:r>
      <w:r>
        <w:rPr>
          <w:w w:val="130"/>
          <w:sz w:val="24"/>
        </w:rPr>
        <w:t>Ptk.-ban</w:t>
      </w:r>
      <w:r>
        <w:rPr>
          <w:spacing w:val="-12"/>
          <w:w w:val="130"/>
          <w:sz w:val="24"/>
        </w:rPr>
        <w:t> </w:t>
      </w:r>
      <w:r>
        <w:rPr>
          <w:w w:val="130"/>
          <w:sz w:val="24"/>
        </w:rPr>
        <w:t>meghatározott</w:t>
      </w:r>
      <w:r>
        <w:rPr>
          <w:spacing w:val="-12"/>
          <w:w w:val="130"/>
          <w:sz w:val="24"/>
        </w:rPr>
        <w:t> </w:t>
      </w:r>
      <w:r>
        <w:rPr>
          <w:w w:val="130"/>
          <w:sz w:val="24"/>
        </w:rPr>
        <w:t>közeli</w:t>
      </w:r>
      <w:r>
        <w:rPr>
          <w:spacing w:val="-12"/>
          <w:w w:val="130"/>
          <w:sz w:val="24"/>
        </w:rPr>
        <w:t> </w:t>
      </w:r>
      <w:r>
        <w:rPr>
          <w:w w:val="130"/>
          <w:sz w:val="24"/>
        </w:rPr>
        <w:t>hozzátartozó</w:t>
      </w:r>
      <w:r>
        <w:rPr>
          <w:spacing w:val="-12"/>
          <w:w w:val="130"/>
          <w:sz w:val="24"/>
        </w:rPr>
        <w:t> </w:t>
      </w:r>
      <w:r>
        <w:rPr>
          <w:w w:val="130"/>
          <w:sz w:val="24"/>
        </w:rPr>
        <w:t>és</w:t>
      </w:r>
      <w:r>
        <w:rPr>
          <w:spacing w:val="-12"/>
          <w:w w:val="130"/>
          <w:sz w:val="24"/>
        </w:rPr>
        <w:t> </w:t>
      </w:r>
      <w:r>
        <w:rPr>
          <w:w w:val="130"/>
          <w:sz w:val="24"/>
        </w:rPr>
        <w:t>az élettárs;</w:t>
      </w:r>
    </w:p>
    <w:p>
      <w:pPr>
        <w:tabs>
          <w:tab w:pos="1034" w:val="left" w:leader="none"/>
          <w:tab w:pos="3260" w:val="left" w:leader="none"/>
          <w:tab w:pos="4342" w:val="left" w:leader="none"/>
          <w:tab w:pos="5156" w:val="left" w:leader="none"/>
          <w:tab w:pos="6844" w:val="left" w:leader="none"/>
          <w:tab w:pos="7334" w:val="left" w:leader="none"/>
          <w:tab w:pos="7697" w:val="left" w:leader="none"/>
          <w:tab w:pos="8855" w:val="left" w:leader="none"/>
        </w:tabs>
        <w:spacing w:line="250" w:lineRule="exact" w:before="0"/>
        <w:ind w:left="317" w:right="0" w:firstLine="0"/>
        <w:jc w:val="left"/>
        <w:rPr>
          <w:sz w:val="24"/>
        </w:rPr>
      </w:pPr>
      <w:r>
        <w:rPr>
          <w:w w:val="130"/>
          <w:sz w:val="24"/>
        </w:rPr>
        <w:t>62.</w:t>
      </w:r>
      <w:r>
        <w:rPr>
          <w:i/>
          <w:w w:val="130"/>
          <w:position w:val="3"/>
          <w:sz w:val="18"/>
        </w:rPr>
        <w:t>2</w:t>
        <w:tab/>
      </w:r>
      <w:r>
        <w:rPr>
          <w:i/>
          <w:w w:val="130"/>
          <w:sz w:val="24"/>
        </w:rPr>
        <w:t>közérdeklődésre</w:t>
        <w:tab/>
        <w:t>számot</w:t>
        <w:tab/>
        <w:t>tartó</w:t>
        <w:tab/>
        <w:t>hitelintézet:</w:t>
        <w:tab/>
      </w:r>
      <w:r>
        <w:rPr>
          <w:w w:val="130"/>
          <w:sz w:val="24"/>
        </w:rPr>
        <w:t>az</w:t>
        <w:tab/>
        <w:t>e</w:t>
        <w:tab/>
        <w:t>törvény</w:t>
        <w:tab/>
        <w:t>szerinti</w:t>
      </w:r>
    </w:p>
    <w:p>
      <w:pPr>
        <w:pStyle w:val="BodyText"/>
        <w:spacing w:line="225" w:lineRule="auto" w:before="12"/>
        <w:ind w:firstLine="0"/>
      </w:pPr>
      <w:r>
        <w:rPr>
          <w:w w:val="125"/>
        </w:rPr>
        <w:t>hitelintézet, kivéve az MNB, az MFB Magyar Fejlesztési Bank Zártkörűen Működő Részvénytársaság és a Magyar Export-Import Bank Zrt.;</w:t>
      </w:r>
    </w:p>
    <w:p>
      <w:pPr>
        <w:pStyle w:val="ListParagraph"/>
        <w:numPr>
          <w:ilvl w:val="0"/>
          <w:numId w:val="35"/>
        </w:numPr>
        <w:tabs>
          <w:tab w:pos="796" w:val="left" w:leader="none"/>
        </w:tabs>
        <w:spacing w:line="225" w:lineRule="auto" w:before="1" w:after="0"/>
        <w:ind w:left="113" w:right="128" w:firstLine="204"/>
        <w:jc w:val="both"/>
        <w:rPr>
          <w:sz w:val="24"/>
        </w:rPr>
      </w:pPr>
      <w:r>
        <w:rPr>
          <w:i/>
          <w:w w:val="130"/>
          <w:sz w:val="24"/>
        </w:rPr>
        <w:t>közös</w:t>
      </w:r>
      <w:r>
        <w:rPr>
          <w:i/>
          <w:spacing w:val="-9"/>
          <w:w w:val="130"/>
          <w:sz w:val="24"/>
        </w:rPr>
        <w:t> </w:t>
      </w:r>
      <w:r>
        <w:rPr>
          <w:i/>
          <w:w w:val="130"/>
          <w:sz w:val="24"/>
        </w:rPr>
        <w:t>vezetésű</w:t>
      </w:r>
      <w:r>
        <w:rPr>
          <w:i/>
          <w:spacing w:val="-8"/>
          <w:w w:val="130"/>
          <w:sz w:val="24"/>
        </w:rPr>
        <w:t> </w:t>
      </w:r>
      <w:r>
        <w:rPr>
          <w:i/>
          <w:w w:val="130"/>
          <w:sz w:val="24"/>
        </w:rPr>
        <w:t>vállalat:</w:t>
      </w:r>
      <w:r>
        <w:rPr>
          <w:i/>
          <w:spacing w:val="2"/>
          <w:w w:val="130"/>
          <w:sz w:val="24"/>
        </w:rPr>
        <w:t> </w:t>
      </w:r>
      <w:r>
        <w:rPr>
          <w:w w:val="130"/>
          <w:sz w:val="24"/>
        </w:rPr>
        <w:t>az</w:t>
      </w:r>
      <w:r>
        <w:rPr>
          <w:spacing w:val="-14"/>
          <w:w w:val="130"/>
          <w:sz w:val="24"/>
        </w:rPr>
        <w:t> </w:t>
      </w:r>
      <w:r>
        <w:rPr>
          <w:w w:val="130"/>
          <w:sz w:val="24"/>
        </w:rPr>
        <w:t>Szmt.</w:t>
      </w:r>
      <w:r>
        <w:rPr>
          <w:spacing w:val="-8"/>
          <w:w w:val="130"/>
          <w:sz w:val="24"/>
        </w:rPr>
        <w:t> </w:t>
      </w:r>
      <w:r>
        <w:rPr>
          <w:w w:val="130"/>
          <w:sz w:val="24"/>
        </w:rPr>
        <w:t>meghatározása</w:t>
      </w:r>
      <w:r>
        <w:rPr>
          <w:spacing w:val="-8"/>
          <w:w w:val="130"/>
          <w:sz w:val="24"/>
        </w:rPr>
        <w:t> </w:t>
      </w:r>
      <w:r>
        <w:rPr>
          <w:w w:val="130"/>
          <w:sz w:val="24"/>
        </w:rPr>
        <w:t>szerinti</w:t>
      </w:r>
      <w:r>
        <w:rPr>
          <w:spacing w:val="-8"/>
          <w:w w:val="130"/>
          <w:sz w:val="24"/>
        </w:rPr>
        <w:t> </w:t>
      </w:r>
      <w:r>
        <w:rPr>
          <w:w w:val="130"/>
          <w:sz w:val="24"/>
        </w:rPr>
        <w:t>közös</w:t>
      </w:r>
      <w:r>
        <w:rPr>
          <w:spacing w:val="-9"/>
          <w:w w:val="130"/>
          <w:sz w:val="24"/>
        </w:rPr>
        <w:t> </w:t>
      </w:r>
      <w:r>
        <w:rPr>
          <w:w w:val="130"/>
          <w:sz w:val="24"/>
        </w:rPr>
        <w:t>vezetésű vállalat;</w:t>
      </w:r>
    </w:p>
    <w:p>
      <w:pPr>
        <w:pStyle w:val="ListParagraph"/>
        <w:numPr>
          <w:ilvl w:val="0"/>
          <w:numId w:val="35"/>
        </w:numPr>
        <w:tabs>
          <w:tab w:pos="925" w:val="left" w:leader="none"/>
        </w:tabs>
        <w:spacing w:line="225" w:lineRule="auto" w:before="1" w:after="0"/>
        <w:ind w:left="113" w:right="125" w:firstLine="204"/>
        <w:jc w:val="both"/>
        <w:rPr>
          <w:sz w:val="24"/>
        </w:rPr>
      </w:pPr>
      <w:r>
        <w:rPr>
          <w:i/>
          <w:w w:val="130"/>
          <w:sz w:val="24"/>
        </w:rPr>
        <w:t>központi szervhez tartósan kapcsolt hitelintézet: </w:t>
      </w:r>
      <w:r>
        <w:rPr>
          <w:w w:val="130"/>
          <w:sz w:val="24"/>
        </w:rPr>
        <w:t>az 575/2013/EU rendelet 10. cikkének megfelelő mentesítést kapó</w:t>
      </w:r>
      <w:r>
        <w:rPr>
          <w:spacing w:val="-43"/>
          <w:w w:val="130"/>
          <w:sz w:val="24"/>
        </w:rPr>
        <w:t> </w:t>
      </w:r>
      <w:r>
        <w:rPr>
          <w:w w:val="130"/>
          <w:sz w:val="24"/>
        </w:rPr>
        <w:t>hitelintézet;</w:t>
      </w:r>
    </w:p>
    <w:p>
      <w:pPr>
        <w:pStyle w:val="ListParagraph"/>
        <w:numPr>
          <w:ilvl w:val="0"/>
          <w:numId w:val="35"/>
        </w:numPr>
        <w:tabs>
          <w:tab w:pos="1039" w:val="left" w:leader="none"/>
        </w:tabs>
        <w:spacing w:line="225" w:lineRule="auto" w:before="1" w:after="0"/>
        <w:ind w:left="113" w:right="125" w:firstLine="204"/>
        <w:jc w:val="both"/>
        <w:rPr>
          <w:sz w:val="24"/>
        </w:rPr>
      </w:pPr>
      <w:r>
        <w:rPr>
          <w:i/>
          <w:w w:val="130"/>
          <w:sz w:val="24"/>
        </w:rPr>
        <w:t>központi szerződő fél: </w:t>
      </w:r>
      <w:r>
        <w:rPr>
          <w:w w:val="130"/>
          <w:sz w:val="24"/>
        </w:rPr>
        <w:t>az 575/2013/EU rendeletben ekként meghatározott</w:t>
      </w:r>
      <w:r>
        <w:rPr>
          <w:spacing w:val="-4"/>
          <w:w w:val="130"/>
          <w:sz w:val="24"/>
        </w:rPr>
        <w:t> </w:t>
      </w:r>
      <w:r>
        <w:rPr>
          <w:w w:val="130"/>
          <w:sz w:val="24"/>
        </w:rPr>
        <w:t>fogalom;</w:t>
      </w:r>
    </w:p>
    <w:p>
      <w:pPr>
        <w:pStyle w:val="ListParagraph"/>
        <w:numPr>
          <w:ilvl w:val="0"/>
          <w:numId w:val="35"/>
        </w:numPr>
        <w:tabs>
          <w:tab w:pos="798" w:val="left" w:leader="none"/>
        </w:tabs>
        <w:spacing w:line="225" w:lineRule="auto" w:before="2" w:after="0"/>
        <w:ind w:left="113" w:right="131" w:firstLine="204"/>
        <w:jc w:val="both"/>
        <w:rPr>
          <w:sz w:val="24"/>
        </w:rPr>
      </w:pPr>
      <w:r>
        <w:rPr>
          <w:i/>
          <w:w w:val="130"/>
          <w:sz w:val="24"/>
        </w:rPr>
        <w:t>közvetett</w:t>
      </w:r>
      <w:r>
        <w:rPr>
          <w:i/>
          <w:spacing w:val="-21"/>
          <w:w w:val="130"/>
          <w:sz w:val="24"/>
        </w:rPr>
        <w:t> </w:t>
      </w:r>
      <w:r>
        <w:rPr>
          <w:i/>
          <w:w w:val="130"/>
          <w:sz w:val="24"/>
        </w:rPr>
        <w:t>tulajdon:</w:t>
      </w:r>
      <w:r>
        <w:rPr>
          <w:i/>
          <w:spacing w:val="-17"/>
          <w:w w:val="130"/>
          <w:sz w:val="24"/>
        </w:rPr>
        <w:t> </w:t>
      </w:r>
      <w:r>
        <w:rPr>
          <w:w w:val="130"/>
          <w:sz w:val="24"/>
        </w:rPr>
        <w:t>egy</w:t>
      </w:r>
      <w:r>
        <w:rPr>
          <w:spacing w:val="-21"/>
          <w:w w:val="130"/>
          <w:sz w:val="24"/>
        </w:rPr>
        <w:t> </w:t>
      </w:r>
      <w:r>
        <w:rPr>
          <w:w w:val="130"/>
          <w:sz w:val="24"/>
        </w:rPr>
        <w:t>vállalkozás</w:t>
      </w:r>
      <w:r>
        <w:rPr>
          <w:spacing w:val="-20"/>
          <w:w w:val="130"/>
          <w:sz w:val="24"/>
        </w:rPr>
        <w:t> </w:t>
      </w:r>
      <w:r>
        <w:rPr>
          <w:w w:val="130"/>
          <w:sz w:val="24"/>
        </w:rPr>
        <w:t>tulajdoni</w:t>
      </w:r>
      <w:r>
        <w:rPr>
          <w:spacing w:val="-21"/>
          <w:w w:val="130"/>
          <w:sz w:val="24"/>
        </w:rPr>
        <w:t> </w:t>
      </w:r>
      <w:r>
        <w:rPr>
          <w:w w:val="130"/>
          <w:sz w:val="24"/>
        </w:rPr>
        <w:t>hányadának,</w:t>
      </w:r>
      <w:r>
        <w:rPr>
          <w:spacing w:val="-20"/>
          <w:w w:val="130"/>
          <w:sz w:val="24"/>
        </w:rPr>
        <w:t> </w:t>
      </w:r>
      <w:r>
        <w:rPr>
          <w:w w:val="130"/>
          <w:sz w:val="24"/>
        </w:rPr>
        <w:t>vagy</w:t>
      </w:r>
      <w:r>
        <w:rPr>
          <w:spacing w:val="-20"/>
          <w:w w:val="130"/>
          <w:sz w:val="24"/>
        </w:rPr>
        <w:t> </w:t>
      </w:r>
      <w:r>
        <w:rPr>
          <w:w w:val="130"/>
          <w:sz w:val="24"/>
        </w:rPr>
        <w:t>szavazati jogának a vállalkozásban tulajdoni részesedéssel vagy szavazati joggal rendelkező</w:t>
      </w:r>
      <w:r>
        <w:rPr>
          <w:spacing w:val="-37"/>
          <w:w w:val="130"/>
          <w:sz w:val="24"/>
        </w:rPr>
        <w:t> </w:t>
      </w:r>
      <w:r>
        <w:rPr>
          <w:w w:val="130"/>
          <w:sz w:val="24"/>
        </w:rPr>
        <w:t>más</w:t>
      </w:r>
      <w:r>
        <w:rPr>
          <w:spacing w:val="-37"/>
          <w:w w:val="130"/>
          <w:sz w:val="24"/>
        </w:rPr>
        <w:t> </w:t>
      </w:r>
      <w:r>
        <w:rPr>
          <w:w w:val="130"/>
          <w:sz w:val="24"/>
        </w:rPr>
        <w:t>vállalkozás</w:t>
      </w:r>
      <w:r>
        <w:rPr>
          <w:spacing w:val="-37"/>
          <w:w w:val="130"/>
          <w:sz w:val="24"/>
        </w:rPr>
        <w:t> </w:t>
      </w:r>
      <w:r>
        <w:rPr>
          <w:w w:val="130"/>
          <w:sz w:val="24"/>
        </w:rPr>
        <w:t>(a</w:t>
      </w:r>
      <w:r>
        <w:rPr>
          <w:spacing w:val="-37"/>
          <w:w w:val="130"/>
          <w:sz w:val="24"/>
        </w:rPr>
        <w:t> </w:t>
      </w:r>
      <w:r>
        <w:rPr>
          <w:w w:val="130"/>
          <w:sz w:val="24"/>
        </w:rPr>
        <w:t>3.</w:t>
      </w:r>
      <w:r>
        <w:rPr>
          <w:spacing w:val="-37"/>
          <w:w w:val="130"/>
          <w:sz w:val="24"/>
        </w:rPr>
        <w:t> </w:t>
      </w:r>
      <w:r>
        <w:rPr>
          <w:w w:val="130"/>
          <w:sz w:val="24"/>
        </w:rPr>
        <w:t>melléklet</w:t>
      </w:r>
      <w:r>
        <w:rPr>
          <w:spacing w:val="-28"/>
          <w:w w:val="130"/>
          <w:sz w:val="24"/>
        </w:rPr>
        <w:t> </w:t>
      </w:r>
      <w:r>
        <w:rPr>
          <w:w w:val="130"/>
          <w:sz w:val="24"/>
        </w:rPr>
        <w:t>alkalmazásában:</w:t>
      </w:r>
      <w:r>
        <w:rPr>
          <w:spacing w:val="-45"/>
          <w:w w:val="130"/>
          <w:sz w:val="24"/>
        </w:rPr>
        <w:t> </w:t>
      </w:r>
      <w:r>
        <w:rPr>
          <w:w w:val="130"/>
          <w:sz w:val="24"/>
        </w:rPr>
        <w:t>köztes</w:t>
      </w:r>
      <w:r>
        <w:rPr>
          <w:spacing w:val="-37"/>
          <w:w w:val="130"/>
          <w:sz w:val="24"/>
        </w:rPr>
        <w:t> </w:t>
      </w:r>
      <w:r>
        <w:rPr>
          <w:w w:val="130"/>
          <w:sz w:val="24"/>
        </w:rPr>
        <w:t>vállalkozás) tulajdoni hányadán vagy szavazati jogán keresztül történő birtoklása vagy gyakorlása;</w:t>
      </w:r>
    </w:p>
    <w:p>
      <w:pPr>
        <w:spacing w:line="251" w:lineRule="exact" w:before="0"/>
        <w:ind w:left="317" w:right="0" w:firstLine="0"/>
        <w:jc w:val="left"/>
        <w:rPr>
          <w:sz w:val="24"/>
        </w:rPr>
      </w:pPr>
      <w:r>
        <w:rPr>
          <w:w w:val="125"/>
          <w:sz w:val="24"/>
        </w:rPr>
        <w:t>66a.</w:t>
      </w:r>
      <w:r>
        <w:rPr>
          <w:i/>
          <w:w w:val="125"/>
          <w:position w:val="3"/>
          <w:sz w:val="18"/>
        </w:rPr>
        <w:t>3 </w:t>
      </w:r>
      <w:r>
        <w:rPr>
          <w:i/>
          <w:w w:val="125"/>
          <w:sz w:val="24"/>
        </w:rPr>
        <w:t>közvetítői alvállalkozó: </w:t>
      </w:r>
      <w:r>
        <w:rPr>
          <w:w w:val="125"/>
          <w:sz w:val="24"/>
        </w:rPr>
        <w:t>közvetítővel pénzügyi szolgáltatás közvetítése</w:t>
      </w:r>
    </w:p>
    <w:p>
      <w:pPr>
        <w:pStyle w:val="BodyText"/>
        <w:spacing w:line="225" w:lineRule="auto" w:before="12"/>
        <w:ind w:firstLine="0"/>
      </w:pPr>
      <w:r>
        <w:rPr>
          <w:w w:val="125"/>
        </w:rPr>
        <w:t>tevékenységi körében megbízási szerződést kötött jogi személy, egyéni cég és egyéni vállalkozó;</w:t>
      </w:r>
    </w:p>
    <w:p>
      <w:pPr>
        <w:pStyle w:val="ListParagraph"/>
        <w:numPr>
          <w:ilvl w:val="0"/>
          <w:numId w:val="35"/>
        </w:numPr>
        <w:tabs>
          <w:tab w:pos="789" w:val="left" w:leader="none"/>
        </w:tabs>
        <w:spacing w:line="225" w:lineRule="auto" w:before="1" w:after="0"/>
        <w:ind w:left="113" w:right="126" w:firstLine="204"/>
        <w:jc w:val="both"/>
        <w:rPr>
          <w:sz w:val="24"/>
        </w:rPr>
      </w:pPr>
      <w:r>
        <w:rPr>
          <w:i/>
          <w:w w:val="130"/>
          <w:sz w:val="24"/>
        </w:rPr>
        <w:t>közvetítői díj:</w:t>
      </w:r>
      <w:r>
        <w:rPr>
          <w:i/>
          <w:spacing w:val="-14"/>
          <w:w w:val="130"/>
          <w:sz w:val="24"/>
        </w:rPr>
        <w:t> </w:t>
      </w:r>
      <w:r>
        <w:rPr>
          <w:w w:val="130"/>
          <w:sz w:val="24"/>
        </w:rPr>
        <w:t>minden</w:t>
      </w:r>
      <w:r>
        <w:rPr>
          <w:spacing w:val="-8"/>
          <w:w w:val="130"/>
          <w:sz w:val="24"/>
        </w:rPr>
        <w:t> </w:t>
      </w:r>
      <w:r>
        <w:rPr>
          <w:w w:val="130"/>
          <w:sz w:val="24"/>
        </w:rPr>
        <w:t>olyan</w:t>
      </w:r>
      <w:r>
        <w:rPr>
          <w:spacing w:val="-8"/>
          <w:w w:val="130"/>
          <w:sz w:val="24"/>
        </w:rPr>
        <w:t> </w:t>
      </w:r>
      <w:r>
        <w:rPr>
          <w:w w:val="130"/>
          <w:sz w:val="24"/>
        </w:rPr>
        <w:t>pénzben</w:t>
      </w:r>
      <w:r>
        <w:rPr>
          <w:spacing w:val="-7"/>
          <w:w w:val="130"/>
          <w:sz w:val="24"/>
        </w:rPr>
        <w:t> </w:t>
      </w:r>
      <w:r>
        <w:rPr>
          <w:w w:val="130"/>
          <w:sz w:val="24"/>
        </w:rPr>
        <w:t>vagy</w:t>
      </w:r>
      <w:r>
        <w:rPr>
          <w:spacing w:val="-9"/>
          <w:w w:val="130"/>
          <w:sz w:val="24"/>
        </w:rPr>
        <w:t> </w:t>
      </w:r>
      <w:r>
        <w:rPr>
          <w:w w:val="130"/>
          <w:sz w:val="24"/>
        </w:rPr>
        <w:t>természetben</w:t>
      </w:r>
      <w:r>
        <w:rPr>
          <w:spacing w:val="-8"/>
          <w:w w:val="130"/>
          <w:sz w:val="24"/>
        </w:rPr>
        <w:t> </w:t>
      </w:r>
      <w:r>
        <w:rPr>
          <w:w w:val="130"/>
          <w:sz w:val="24"/>
        </w:rPr>
        <w:t>juttatott</w:t>
      </w:r>
      <w:r>
        <w:rPr>
          <w:spacing w:val="-8"/>
          <w:w w:val="130"/>
          <w:sz w:val="24"/>
        </w:rPr>
        <w:t> </w:t>
      </w:r>
      <w:r>
        <w:rPr>
          <w:w w:val="130"/>
          <w:sz w:val="24"/>
        </w:rPr>
        <w:t>térítés, amelyet a közvetítő akár az ügyféltől, akár a pénzügyi szolgáltatást nyújtó</w:t>
      </w:r>
      <w:r>
        <w:rPr>
          <w:spacing w:val="78"/>
          <w:w w:val="130"/>
          <w:sz w:val="24"/>
        </w:rPr>
        <w:t> </w:t>
      </w:r>
      <w:r>
        <w:rPr>
          <w:w w:val="130"/>
          <w:sz w:val="24"/>
        </w:rPr>
        <w:t>személytől</w:t>
      </w:r>
      <w:r>
        <w:rPr>
          <w:spacing w:val="-26"/>
          <w:w w:val="130"/>
          <w:sz w:val="24"/>
        </w:rPr>
        <w:t> </w:t>
      </w:r>
      <w:r>
        <w:rPr>
          <w:w w:val="130"/>
          <w:sz w:val="24"/>
        </w:rPr>
        <w:t>az</w:t>
      </w:r>
      <w:r>
        <w:rPr>
          <w:spacing w:val="-26"/>
          <w:w w:val="130"/>
          <w:sz w:val="24"/>
        </w:rPr>
        <w:t> </w:t>
      </w:r>
      <w:r>
        <w:rPr>
          <w:w w:val="130"/>
          <w:sz w:val="24"/>
        </w:rPr>
        <w:t>ügyfél</w:t>
      </w:r>
      <w:r>
        <w:rPr>
          <w:spacing w:val="-25"/>
          <w:w w:val="130"/>
          <w:sz w:val="24"/>
        </w:rPr>
        <w:t> </w:t>
      </w:r>
      <w:r>
        <w:rPr>
          <w:w w:val="130"/>
          <w:sz w:val="24"/>
        </w:rPr>
        <w:t>és</w:t>
      </w:r>
      <w:r>
        <w:rPr>
          <w:spacing w:val="-26"/>
          <w:w w:val="130"/>
          <w:sz w:val="24"/>
        </w:rPr>
        <w:t> </w:t>
      </w:r>
      <w:r>
        <w:rPr>
          <w:w w:val="130"/>
          <w:sz w:val="24"/>
        </w:rPr>
        <w:t>a</w:t>
      </w:r>
      <w:r>
        <w:rPr>
          <w:spacing w:val="-26"/>
          <w:w w:val="130"/>
          <w:sz w:val="24"/>
        </w:rPr>
        <w:t> </w:t>
      </w:r>
      <w:r>
        <w:rPr>
          <w:w w:val="130"/>
          <w:sz w:val="24"/>
        </w:rPr>
        <w:t>pénzügyi</w:t>
      </w:r>
      <w:r>
        <w:rPr>
          <w:spacing w:val="-25"/>
          <w:w w:val="130"/>
          <w:sz w:val="24"/>
        </w:rPr>
        <w:t> </w:t>
      </w:r>
      <w:r>
        <w:rPr>
          <w:w w:val="130"/>
          <w:sz w:val="24"/>
        </w:rPr>
        <w:t>szolgáltatást</w:t>
      </w:r>
      <w:r>
        <w:rPr>
          <w:spacing w:val="-26"/>
          <w:w w:val="130"/>
          <w:sz w:val="24"/>
        </w:rPr>
        <w:t> </w:t>
      </w:r>
      <w:r>
        <w:rPr>
          <w:w w:val="130"/>
          <w:sz w:val="24"/>
        </w:rPr>
        <w:t>nyújtó</w:t>
      </w:r>
      <w:r>
        <w:rPr>
          <w:spacing w:val="-21"/>
          <w:w w:val="130"/>
          <w:sz w:val="24"/>
        </w:rPr>
        <w:t> </w:t>
      </w:r>
      <w:r>
        <w:rPr>
          <w:w w:val="130"/>
          <w:sz w:val="24"/>
        </w:rPr>
        <w:t>személy</w:t>
      </w:r>
      <w:r>
        <w:rPr>
          <w:spacing w:val="-31"/>
          <w:w w:val="130"/>
          <w:sz w:val="24"/>
        </w:rPr>
        <w:t> </w:t>
      </w:r>
      <w:r>
        <w:rPr>
          <w:w w:val="130"/>
          <w:sz w:val="24"/>
        </w:rPr>
        <w:t>között</w:t>
      </w:r>
      <w:r>
        <w:rPr>
          <w:spacing w:val="-25"/>
          <w:w w:val="130"/>
          <w:sz w:val="24"/>
        </w:rPr>
        <w:t> </w:t>
      </w:r>
      <w:r>
        <w:rPr>
          <w:w w:val="130"/>
          <w:sz w:val="24"/>
        </w:rPr>
        <w:t>létrejött pénzügyi szolgáltatásra vonatkozó megállapodás érvényes létrejöttéért és meghatározott esetekben annak teljesítéséért, illetve meghatározott időtartamig történő fennállásáért</w:t>
      </w:r>
      <w:r>
        <w:rPr>
          <w:spacing w:val="-10"/>
          <w:w w:val="130"/>
          <w:sz w:val="24"/>
        </w:rPr>
        <w:t> </w:t>
      </w:r>
      <w:r>
        <w:rPr>
          <w:w w:val="130"/>
          <w:sz w:val="24"/>
        </w:rPr>
        <w:t>kap;</w:t>
      </w:r>
    </w:p>
    <w:p>
      <w:pPr>
        <w:pStyle w:val="BodyText"/>
        <w:ind w:left="0" w:firstLine="0"/>
        <w:rPr>
          <w:sz w:val="20"/>
        </w:rPr>
      </w:pPr>
    </w:p>
    <w:p>
      <w:pPr>
        <w:pStyle w:val="BodyText"/>
        <w:ind w:left="0" w:firstLine="0"/>
        <w:rPr>
          <w:sz w:val="20"/>
        </w:rPr>
      </w:pPr>
    </w:p>
    <w:p>
      <w:pPr>
        <w:pStyle w:val="BodyText"/>
        <w:ind w:left="0" w:firstLine="0"/>
        <w:rPr>
          <w:sz w:val="21"/>
        </w:rPr>
      </w:pPr>
      <w:r>
        <w:rPr/>
        <w:pict>
          <v:line style="position:absolute;mso-position-horizontal-relative:page;mso-position-vertical-relative:paragraph;z-index:-808;mso-wrap-distance-left:0;mso-wrap-distance-right:0" from="56.693001pt,14.300438pt" to="538.583001pt,14.300438pt" stroked="true" strokeweight=".5pt" strokecolor="#000000">
            <v:stroke dashstyle="solid"/>
            <w10:wrap type="topAndBottom"/>
          </v:line>
        </w:pict>
      </w:r>
    </w:p>
    <w:p>
      <w:pPr>
        <w:pStyle w:val="ListParagraph"/>
        <w:numPr>
          <w:ilvl w:val="0"/>
          <w:numId w:val="36"/>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188. § (4). Hatályos: 2015. VII.</w:t>
      </w:r>
      <w:r>
        <w:rPr>
          <w:i/>
          <w:spacing w:val="-30"/>
          <w:w w:val="125"/>
          <w:sz w:val="18"/>
        </w:rPr>
        <w:t> </w:t>
      </w:r>
      <w:r>
        <w:rPr>
          <w:i/>
          <w:w w:val="125"/>
          <w:sz w:val="18"/>
        </w:rPr>
        <w:t>7-től.</w:t>
      </w:r>
    </w:p>
    <w:p>
      <w:pPr>
        <w:pStyle w:val="ListParagraph"/>
        <w:numPr>
          <w:ilvl w:val="0"/>
          <w:numId w:val="36"/>
        </w:numPr>
        <w:tabs>
          <w:tab w:pos="686" w:val="left" w:leader="none"/>
          <w:tab w:pos="687" w:val="left" w:leader="none"/>
        </w:tabs>
        <w:spacing w:line="232" w:lineRule="auto" w:before="2" w:after="0"/>
        <w:ind w:left="342" w:right="2024" w:firstLine="0"/>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LXXXV.</w:t>
      </w:r>
      <w:r>
        <w:rPr>
          <w:i/>
          <w:spacing w:val="-11"/>
          <w:w w:val="125"/>
          <w:sz w:val="18"/>
        </w:rPr>
        <w:t> </w:t>
      </w:r>
      <w:r>
        <w:rPr>
          <w:i/>
          <w:w w:val="125"/>
          <w:sz w:val="18"/>
        </w:rPr>
        <w:t>törvény</w:t>
      </w:r>
      <w:r>
        <w:rPr>
          <w:i/>
          <w:spacing w:val="-12"/>
          <w:w w:val="125"/>
          <w:sz w:val="18"/>
        </w:rPr>
        <w:t> </w:t>
      </w:r>
      <w:r>
        <w:rPr>
          <w:i/>
          <w:w w:val="125"/>
          <w:sz w:val="18"/>
        </w:rPr>
        <w:t>188.</w:t>
      </w:r>
      <w:r>
        <w:rPr>
          <w:i/>
          <w:spacing w:val="-12"/>
          <w:w w:val="125"/>
          <w:sz w:val="18"/>
        </w:rPr>
        <w:t> </w:t>
      </w:r>
      <w:r>
        <w:rPr>
          <w:i/>
          <w:w w:val="125"/>
          <w:sz w:val="18"/>
        </w:rPr>
        <w:t>§</w:t>
      </w:r>
      <w:r>
        <w:rPr>
          <w:i/>
          <w:spacing w:val="-10"/>
          <w:w w:val="125"/>
          <w:sz w:val="18"/>
        </w:rPr>
        <w:t> </w:t>
      </w:r>
      <w:r>
        <w:rPr>
          <w:i/>
          <w:w w:val="125"/>
          <w:sz w:val="18"/>
        </w:rPr>
        <w:t>(3).</w:t>
      </w:r>
      <w:r>
        <w:rPr>
          <w:i/>
          <w:spacing w:val="-11"/>
          <w:w w:val="125"/>
          <w:sz w:val="18"/>
        </w:rPr>
        <w:t> </w:t>
      </w:r>
      <w:r>
        <w:rPr>
          <w:i/>
          <w:w w:val="125"/>
          <w:sz w:val="18"/>
        </w:rPr>
        <w:t>Hatályos:</w:t>
      </w:r>
      <w:r>
        <w:rPr>
          <w:i/>
          <w:spacing w:val="-11"/>
          <w:w w:val="125"/>
          <w:sz w:val="18"/>
        </w:rPr>
        <w:t> </w:t>
      </w:r>
      <w:r>
        <w:rPr>
          <w:i/>
          <w:w w:val="125"/>
          <w:sz w:val="18"/>
        </w:rPr>
        <w:t>2015.</w:t>
      </w:r>
      <w:r>
        <w:rPr>
          <w:i/>
          <w:spacing w:val="-12"/>
          <w:w w:val="125"/>
          <w:sz w:val="18"/>
        </w:rPr>
        <w:t> </w:t>
      </w:r>
      <w:r>
        <w:rPr>
          <w:i/>
          <w:w w:val="125"/>
          <w:sz w:val="18"/>
        </w:rPr>
        <w:t>VII.</w:t>
      </w:r>
      <w:r>
        <w:rPr>
          <w:i/>
          <w:spacing w:val="-11"/>
          <w:w w:val="125"/>
          <w:sz w:val="18"/>
        </w:rPr>
        <w:t> </w:t>
      </w:r>
      <w:r>
        <w:rPr>
          <w:i/>
          <w:w w:val="125"/>
          <w:sz w:val="18"/>
        </w:rPr>
        <w:t>7-től. 3</w:t>
        <w:tab/>
        <w:t>Beiktatta:</w:t>
      </w:r>
      <w:r>
        <w:rPr>
          <w:i/>
          <w:spacing w:val="-6"/>
          <w:w w:val="125"/>
          <w:sz w:val="18"/>
        </w:rPr>
        <w:t> </w:t>
      </w:r>
      <w:r>
        <w:rPr>
          <w:i/>
          <w:w w:val="125"/>
          <w:sz w:val="18"/>
        </w:rPr>
        <w:t>2015.</w:t>
      </w:r>
      <w:r>
        <w:rPr>
          <w:i/>
          <w:spacing w:val="-5"/>
          <w:w w:val="125"/>
          <w:sz w:val="18"/>
        </w:rPr>
        <w:t> </w:t>
      </w:r>
      <w:r>
        <w:rPr>
          <w:i/>
          <w:w w:val="125"/>
          <w:sz w:val="18"/>
        </w:rPr>
        <w:t>évi</w:t>
      </w:r>
      <w:r>
        <w:rPr>
          <w:i/>
          <w:spacing w:val="-5"/>
          <w:w w:val="125"/>
          <w:sz w:val="18"/>
        </w:rPr>
        <w:t> </w:t>
      </w:r>
      <w:r>
        <w:rPr>
          <w:i/>
          <w:w w:val="125"/>
          <w:sz w:val="18"/>
        </w:rPr>
        <w:t>CCXV.</w:t>
      </w:r>
      <w:r>
        <w:rPr>
          <w:i/>
          <w:spacing w:val="-4"/>
          <w:w w:val="125"/>
          <w:sz w:val="18"/>
        </w:rPr>
        <w:t> </w:t>
      </w:r>
      <w:r>
        <w:rPr>
          <w:i/>
          <w:w w:val="125"/>
          <w:sz w:val="18"/>
        </w:rPr>
        <w:t>törvény</w:t>
      </w:r>
      <w:r>
        <w:rPr>
          <w:i/>
          <w:spacing w:val="-5"/>
          <w:w w:val="125"/>
          <w:sz w:val="18"/>
        </w:rPr>
        <w:t> </w:t>
      </w:r>
      <w:r>
        <w:rPr>
          <w:i/>
          <w:w w:val="125"/>
          <w:sz w:val="18"/>
        </w:rPr>
        <w:t>113.</w:t>
      </w:r>
      <w:r>
        <w:rPr>
          <w:i/>
          <w:spacing w:val="-5"/>
          <w:w w:val="125"/>
          <w:sz w:val="18"/>
        </w:rPr>
        <w:t> </w:t>
      </w:r>
      <w:r>
        <w:rPr>
          <w:i/>
          <w:w w:val="125"/>
          <w:sz w:val="18"/>
        </w:rPr>
        <w:t>§</w:t>
      </w:r>
      <w:r>
        <w:rPr>
          <w:i/>
          <w:spacing w:val="-4"/>
          <w:w w:val="125"/>
          <w:sz w:val="18"/>
        </w:rPr>
        <w:t> </w:t>
      </w:r>
      <w:r>
        <w:rPr>
          <w:i/>
          <w:w w:val="125"/>
          <w:sz w:val="18"/>
        </w:rPr>
        <w:t>(5).</w:t>
      </w:r>
      <w:r>
        <w:rPr>
          <w:i/>
          <w:spacing w:val="-4"/>
          <w:w w:val="125"/>
          <w:sz w:val="18"/>
        </w:rPr>
        <w:t> </w:t>
      </w:r>
      <w:r>
        <w:rPr>
          <w:i/>
          <w:w w:val="125"/>
          <w:sz w:val="18"/>
        </w:rPr>
        <w:t>Hatályos:</w:t>
      </w:r>
      <w:r>
        <w:rPr>
          <w:i/>
          <w:spacing w:val="-4"/>
          <w:w w:val="125"/>
          <w:sz w:val="18"/>
        </w:rPr>
        <w:t> </w:t>
      </w:r>
      <w:r>
        <w:rPr>
          <w:i/>
          <w:w w:val="125"/>
          <w:sz w:val="18"/>
        </w:rPr>
        <w:t>2016.</w:t>
      </w:r>
      <w:r>
        <w:rPr>
          <w:i/>
          <w:spacing w:val="-5"/>
          <w:w w:val="125"/>
          <w:sz w:val="18"/>
        </w:rPr>
        <w:t> </w:t>
      </w:r>
      <w:r>
        <w:rPr>
          <w:i/>
          <w:w w:val="125"/>
          <w:sz w:val="18"/>
        </w:rPr>
        <w:t>III.</w:t>
      </w:r>
      <w:r>
        <w:rPr>
          <w:i/>
          <w:spacing w:val="-4"/>
          <w:w w:val="125"/>
          <w:sz w:val="18"/>
        </w:rPr>
        <w:t> </w:t>
      </w:r>
      <w:r>
        <w:rPr>
          <w:i/>
          <w:w w:val="125"/>
          <w:sz w:val="18"/>
        </w:rPr>
        <w:t>21-től.</w:t>
      </w:r>
    </w:p>
    <w:p>
      <w:pPr>
        <w:spacing w:after="0" w:line="232" w:lineRule="auto"/>
        <w:jc w:val="left"/>
        <w:rPr>
          <w:sz w:val="18"/>
        </w:rPr>
        <w:sectPr>
          <w:pgSz w:w="11900" w:h="16820"/>
          <w:pgMar w:header="1104" w:footer="0" w:top="1840" w:bottom="280" w:left="1020" w:right="1000"/>
        </w:sectPr>
      </w:pPr>
    </w:p>
    <w:p>
      <w:pPr>
        <w:pStyle w:val="ListParagraph"/>
        <w:numPr>
          <w:ilvl w:val="0"/>
          <w:numId w:val="35"/>
        </w:numPr>
        <w:tabs>
          <w:tab w:pos="788" w:val="left" w:leader="none"/>
        </w:tabs>
        <w:spacing w:line="225" w:lineRule="auto" w:before="173" w:after="0"/>
        <w:ind w:left="113" w:right="126" w:firstLine="204"/>
        <w:jc w:val="both"/>
        <w:rPr>
          <w:sz w:val="24"/>
        </w:rPr>
      </w:pPr>
      <w:r>
        <w:rPr>
          <w:i/>
          <w:w w:val="130"/>
          <w:sz w:val="24"/>
        </w:rPr>
        <w:t>közvetlen</w:t>
      </w:r>
      <w:r>
        <w:rPr>
          <w:i/>
          <w:spacing w:val="-24"/>
          <w:w w:val="130"/>
          <w:sz w:val="24"/>
        </w:rPr>
        <w:t> </w:t>
      </w:r>
      <w:r>
        <w:rPr>
          <w:i/>
          <w:w w:val="130"/>
          <w:sz w:val="24"/>
        </w:rPr>
        <w:t>banküzemi</w:t>
      </w:r>
      <w:r>
        <w:rPr>
          <w:i/>
          <w:spacing w:val="-23"/>
          <w:w w:val="130"/>
          <w:sz w:val="24"/>
        </w:rPr>
        <w:t> </w:t>
      </w:r>
      <w:r>
        <w:rPr>
          <w:i/>
          <w:w w:val="130"/>
          <w:sz w:val="24"/>
        </w:rPr>
        <w:t>célt</w:t>
      </w:r>
      <w:r>
        <w:rPr>
          <w:i/>
          <w:spacing w:val="-23"/>
          <w:w w:val="130"/>
          <w:sz w:val="24"/>
        </w:rPr>
        <w:t> </w:t>
      </w:r>
      <w:r>
        <w:rPr>
          <w:i/>
          <w:w w:val="130"/>
          <w:sz w:val="24"/>
        </w:rPr>
        <w:t>szolgáló</w:t>
      </w:r>
      <w:r>
        <w:rPr>
          <w:i/>
          <w:spacing w:val="-16"/>
          <w:w w:val="130"/>
          <w:sz w:val="24"/>
        </w:rPr>
        <w:t> </w:t>
      </w:r>
      <w:r>
        <w:rPr>
          <w:i/>
          <w:w w:val="130"/>
          <w:sz w:val="24"/>
        </w:rPr>
        <w:t>vállalkozás:</w:t>
      </w:r>
      <w:r>
        <w:rPr>
          <w:i/>
          <w:spacing w:val="-27"/>
          <w:w w:val="130"/>
          <w:sz w:val="24"/>
        </w:rPr>
        <w:t> </w:t>
      </w:r>
      <w:r>
        <w:rPr>
          <w:w w:val="130"/>
          <w:sz w:val="24"/>
        </w:rPr>
        <w:t>egy</w:t>
      </w:r>
      <w:r>
        <w:rPr>
          <w:spacing w:val="-14"/>
          <w:w w:val="130"/>
          <w:sz w:val="24"/>
        </w:rPr>
        <w:t> </w:t>
      </w:r>
      <w:r>
        <w:rPr>
          <w:w w:val="130"/>
          <w:sz w:val="24"/>
        </w:rPr>
        <w:t>vagy</w:t>
      </w:r>
      <w:r>
        <w:rPr>
          <w:spacing w:val="-32"/>
          <w:w w:val="130"/>
          <w:sz w:val="24"/>
        </w:rPr>
        <w:t> </w:t>
      </w:r>
      <w:r>
        <w:rPr>
          <w:w w:val="130"/>
          <w:sz w:val="24"/>
        </w:rPr>
        <w:t>több</w:t>
      </w:r>
      <w:r>
        <w:rPr>
          <w:spacing w:val="-23"/>
          <w:w w:val="130"/>
          <w:sz w:val="24"/>
        </w:rPr>
        <w:t> </w:t>
      </w:r>
      <w:r>
        <w:rPr>
          <w:w w:val="130"/>
          <w:sz w:val="24"/>
        </w:rPr>
        <w:t>hitelintézet vagy pénzügyi vállalkozás üzemviteléhez, zavartalan működéséhez nélkülözhetetlen fejlesztést, beszerzést, értékesítést, ipari szolgáltatást és termékelőállítást</w:t>
      </w:r>
      <w:r>
        <w:rPr>
          <w:spacing w:val="-19"/>
          <w:w w:val="130"/>
          <w:sz w:val="24"/>
        </w:rPr>
        <w:t> </w:t>
      </w:r>
      <w:r>
        <w:rPr>
          <w:w w:val="130"/>
          <w:sz w:val="24"/>
        </w:rPr>
        <w:t>végző,</w:t>
      </w:r>
      <w:r>
        <w:rPr>
          <w:spacing w:val="-19"/>
          <w:w w:val="130"/>
          <w:sz w:val="24"/>
        </w:rPr>
        <w:t> </w:t>
      </w:r>
      <w:r>
        <w:rPr>
          <w:w w:val="130"/>
          <w:sz w:val="24"/>
        </w:rPr>
        <w:t>illetve</w:t>
      </w:r>
      <w:r>
        <w:rPr>
          <w:spacing w:val="-18"/>
          <w:w w:val="130"/>
          <w:sz w:val="24"/>
        </w:rPr>
        <w:t> </w:t>
      </w:r>
      <w:r>
        <w:rPr>
          <w:w w:val="130"/>
          <w:sz w:val="24"/>
        </w:rPr>
        <w:t>biztonsági</w:t>
      </w:r>
      <w:r>
        <w:rPr>
          <w:spacing w:val="-18"/>
          <w:w w:val="130"/>
          <w:sz w:val="24"/>
        </w:rPr>
        <w:t> </w:t>
      </w:r>
      <w:r>
        <w:rPr>
          <w:w w:val="130"/>
          <w:sz w:val="24"/>
        </w:rPr>
        <w:t>feladatokat</w:t>
      </w:r>
      <w:r>
        <w:rPr>
          <w:spacing w:val="-18"/>
          <w:w w:val="130"/>
          <w:sz w:val="24"/>
        </w:rPr>
        <w:t> </w:t>
      </w:r>
      <w:r>
        <w:rPr>
          <w:w w:val="130"/>
          <w:sz w:val="24"/>
        </w:rPr>
        <w:t>ellátó</w:t>
      </w:r>
      <w:r>
        <w:rPr>
          <w:spacing w:val="-18"/>
          <w:w w:val="130"/>
          <w:sz w:val="24"/>
        </w:rPr>
        <w:t> </w:t>
      </w:r>
      <w:r>
        <w:rPr>
          <w:w w:val="130"/>
          <w:sz w:val="24"/>
        </w:rPr>
        <w:t>vállalkozás;</w:t>
      </w:r>
    </w:p>
    <w:p>
      <w:pPr>
        <w:spacing w:line="250" w:lineRule="exact" w:before="0"/>
        <w:ind w:left="317" w:right="0" w:firstLine="0"/>
        <w:jc w:val="left"/>
        <w:rPr>
          <w:sz w:val="24"/>
        </w:rPr>
      </w:pPr>
      <w:r>
        <w:rPr>
          <w:w w:val="130"/>
          <w:sz w:val="24"/>
        </w:rPr>
        <w:t>69.</w:t>
      </w:r>
      <w:r>
        <w:rPr>
          <w:i/>
          <w:w w:val="130"/>
          <w:position w:val="3"/>
          <w:sz w:val="18"/>
        </w:rPr>
        <w:t>1 </w:t>
      </w:r>
      <w:r>
        <w:rPr>
          <w:i/>
          <w:w w:val="130"/>
          <w:sz w:val="24"/>
        </w:rPr>
        <w:t>kritikus</w:t>
      </w:r>
      <w:r>
        <w:rPr>
          <w:i/>
          <w:spacing w:val="55"/>
          <w:w w:val="130"/>
          <w:sz w:val="24"/>
        </w:rPr>
        <w:t> </w:t>
      </w:r>
      <w:r>
        <w:rPr>
          <w:i/>
          <w:w w:val="130"/>
          <w:sz w:val="24"/>
        </w:rPr>
        <w:t>funkció:</w:t>
      </w:r>
      <w:r>
        <w:rPr>
          <w:i/>
          <w:spacing w:val="57"/>
          <w:w w:val="130"/>
          <w:sz w:val="24"/>
        </w:rPr>
        <w:t> </w:t>
      </w:r>
      <w:r>
        <w:rPr>
          <w:w w:val="130"/>
          <w:sz w:val="24"/>
        </w:rPr>
        <w:t>azok</w:t>
      </w:r>
      <w:r>
        <w:rPr>
          <w:spacing w:val="55"/>
          <w:w w:val="130"/>
          <w:sz w:val="24"/>
        </w:rPr>
        <w:t> </w:t>
      </w:r>
      <w:r>
        <w:rPr>
          <w:w w:val="130"/>
          <w:sz w:val="24"/>
        </w:rPr>
        <w:t>a</w:t>
      </w:r>
      <w:r>
        <w:rPr>
          <w:spacing w:val="55"/>
          <w:w w:val="130"/>
          <w:sz w:val="24"/>
        </w:rPr>
        <w:t> </w:t>
      </w:r>
      <w:r>
        <w:rPr>
          <w:w w:val="130"/>
          <w:sz w:val="24"/>
        </w:rPr>
        <w:t>tevékenységek,</w:t>
      </w:r>
      <w:r>
        <w:rPr>
          <w:spacing w:val="55"/>
          <w:w w:val="130"/>
          <w:sz w:val="24"/>
        </w:rPr>
        <w:t> </w:t>
      </w:r>
      <w:r>
        <w:rPr>
          <w:w w:val="130"/>
          <w:sz w:val="24"/>
        </w:rPr>
        <w:t>szolgáltatások</w:t>
      </w:r>
      <w:r>
        <w:rPr>
          <w:spacing w:val="55"/>
          <w:w w:val="130"/>
          <w:sz w:val="24"/>
        </w:rPr>
        <w:t> </w:t>
      </w:r>
      <w:r>
        <w:rPr>
          <w:w w:val="130"/>
          <w:sz w:val="24"/>
        </w:rPr>
        <w:t>és</w:t>
      </w:r>
      <w:r>
        <w:rPr>
          <w:spacing w:val="55"/>
          <w:w w:val="130"/>
          <w:sz w:val="24"/>
        </w:rPr>
        <w:t> </w:t>
      </w:r>
      <w:r>
        <w:rPr>
          <w:w w:val="130"/>
          <w:sz w:val="24"/>
        </w:rPr>
        <w:t>működési</w:t>
      </w:r>
    </w:p>
    <w:p>
      <w:pPr>
        <w:pStyle w:val="BodyText"/>
        <w:spacing w:line="225" w:lineRule="auto" w:before="12"/>
        <w:ind w:right="123" w:firstLine="0"/>
        <w:jc w:val="both"/>
      </w:pPr>
      <w:r>
        <w:rPr>
          <w:w w:val="125"/>
        </w:rPr>
        <w:t>folyamatok, amelyek megszűnése vagy korlátozottan megvalósítható helyettesíthetősége a hitelintézet vagy a csoport méretéből, piaci részesedéséből, külső és belső összekapcsolódásából, összetettségéből vagy határon átnyúlásából fakadóan Magyarországon vagy más EGT-államban valószínűsíthetően megzavarná a gazdaság vagy a  pénzügyi  piacok működését;</w:t>
      </w:r>
    </w:p>
    <w:p>
      <w:pPr>
        <w:pStyle w:val="ListParagraph"/>
        <w:numPr>
          <w:ilvl w:val="0"/>
          <w:numId w:val="37"/>
        </w:numPr>
        <w:tabs>
          <w:tab w:pos="1051" w:val="left" w:leader="none"/>
        </w:tabs>
        <w:spacing w:line="225" w:lineRule="auto" w:before="3" w:after="0"/>
        <w:ind w:left="113" w:right="122" w:firstLine="204"/>
        <w:jc w:val="both"/>
        <w:rPr>
          <w:sz w:val="24"/>
        </w:rPr>
      </w:pPr>
      <w:r>
        <w:rPr>
          <w:i/>
          <w:w w:val="125"/>
          <w:sz w:val="24"/>
        </w:rPr>
        <w:t>külföldi hitelintézet: </w:t>
      </w:r>
      <w:r>
        <w:rPr>
          <w:w w:val="125"/>
          <w:sz w:val="24"/>
        </w:rPr>
        <w:t>az a hitelintézet, amelynek székhelye Magyarországon kívül</w:t>
      </w:r>
      <w:r>
        <w:rPr>
          <w:spacing w:val="-1"/>
          <w:w w:val="125"/>
          <w:sz w:val="24"/>
        </w:rPr>
        <w:t> </w:t>
      </w:r>
      <w:r>
        <w:rPr>
          <w:w w:val="125"/>
          <w:sz w:val="24"/>
        </w:rPr>
        <w:t>van;</w:t>
      </w:r>
    </w:p>
    <w:p>
      <w:pPr>
        <w:pStyle w:val="ListParagraph"/>
        <w:numPr>
          <w:ilvl w:val="0"/>
          <w:numId w:val="37"/>
        </w:numPr>
        <w:tabs>
          <w:tab w:pos="784" w:val="left" w:leader="none"/>
        </w:tabs>
        <w:spacing w:line="225" w:lineRule="auto" w:before="2" w:after="0"/>
        <w:ind w:left="113" w:right="130" w:firstLine="204"/>
        <w:jc w:val="both"/>
        <w:rPr>
          <w:sz w:val="24"/>
        </w:rPr>
      </w:pPr>
      <w:r>
        <w:rPr>
          <w:i/>
          <w:w w:val="130"/>
          <w:sz w:val="24"/>
        </w:rPr>
        <w:t>külföldi</w:t>
      </w:r>
      <w:r>
        <w:rPr>
          <w:i/>
          <w:spacing w:val="-25"/>
          <w:w w:val="130"/>
          <w:sz w:val="24"/>
        </w:rPr>
        <w:t> </w:t>
      </w:r>
      <w:r>
        <w:rPr>
          <w:i/>
          <w:w w:val="130"/>
          <w:sz w:val="24"/>
        </w:rPr>
        <w:t>pénzügyi</w:t>
      </w:r>
      <w:r>
        <w:rPr>
          <w:i/>
          <w:spacing w:val="-25"/>
          <w:w w:val="130"/>
          <w:sz w:val="24"/>
        </w:rPr>
        <w:t> </w:t>
      </w:r>
      <w:r>
        <w:rPr>
          <w:i/>
          <w:w w:val="130"/>
          <w:sz w:val="24"/>
        </w:rPr>
        <w:t>intézmény:</w:t>
      </w:r>
      <w:r>
        <w:rPr>
          <w:i/>
          <w:spacing w:val="-23"/>
          <w:w w:val="130"/>
          <w:sz w:val="24"/>
        </w:rPr>
        <w:t> </w:t>
      </w:r>
      <w:r>
        <w:rPr>
          <w:w w:val="130"/>
          <w:sz w:val="24"/>
        </w:rPr>
        <w:t>a</w:t>
      </w:r>
      <w:r>
        <w:rPr>
          <w:spacing w:val="-25"/>
          <w:w w:val="130"/>
          <w:sz w:val="24"/>
        </w:rPr>
        <w:t> </w:t>
      </w:r>
      <w:r>
        <w:rPr>
          <w:w w:val="130"/>
          <w:sz w:val="24"/>
        </w:rPr>
        <w:t>külföldi</w:t>
      </w:r>
      <w:r>
        <w:rPr>
          <w:spacing w:val="-25"/>
          <w:w w:val="130"/>
          <w:sz w:val="24"/>
        </w:rPr>
        <w:t> </w:t>
      </w:r>
      <w:r>
        <w:rPr>
          <w:w w:val="130"/>
          <w:sz w:val="24"/>
        </w:rPr>
        <w:t>hitelintézet</w:t>
      </w:r>
      <w:r>
        <w:rPr>
          <w:spacing w:val="-24"/>
          <w:w w:val="130"/>
          <w:sz w:val="24"/>
        </w:rPr>
        <w:t> </w:t>
      </w:r>
      <w:r>
        <w:rPr>
          <w:w w:val="130"/>
          <w:sz w:val="24"/>
        </w:rPr>
        <w:t>és</w:t>
      </w:r>
      <w:r>
        <w:rPr>
          <w:spacing w:val="-25"/>
          <w:w w:val="130"/>
          <w:sz w:val="24"/>
        </w:rPr>
        <w:t> </w:t>
      </w:r>
      <w:r>
        <w:rPr>
          <w:w w:val="130"/>
          <w:sz w:val="24"/>
        </w:rPr>
        <w:t>a</w:t>
      </w:r>
      <w:r>
        <w:rPr>
          <w:spacing w:val="-25"/>
          <w:w w:val="130"/>
          <w:sz w:val="24"/>
        </w:rPr>
        <w:t> </w:t>
      </w:r>
      <w:r>
        <w:rPr>
          <w:w w:val="130"/>
          <w:sz w:val="24"/>
        </w:rPr>
        <w:t>külföldi</w:t>
      </w:r>
      <w:r>
        <w:rPr>
          <w:spacing w:val="-25"/>
          <w:w w:val="130"/>
          <w:sz w:val="24"/>
        </w:rPr>
        <w:t> </w:t>
      </w:r>
      <w:r>
        <w:rPr>
          <w:w w:val="130"/>
          <w:sz w:val="24"/>
        </w:rPr>
        <w:t>pénzügyi vállalkozás;</w:t>
      </w:r>
    </w:p>
    <w:p>
      <w:pPr>
        <w:pStyle w:val="ListParagraph"/>
        <w:numPr>
          <w:ilvl w:val="0"/>
          <w:numId w:val="37"/>
        </w:numPr>
        <w:tabs>
          <w:tab w:pos="893" w:val="left" w:leader="none"/>
        </w:tabs>
        <w:spacing w:line="225" w:lineRule="auto" w:before="1" w:after="0"/>
        <w:ind w:left="113" w:right="128" w:firstLine="204"/>
        <w:jc w:val="both"/>
        <w:rPr>
          <w:sz w:val="24"/>
        </w:rPr>
      </w:pPr>
      <w:r>
        <w:rPr>
          <w:i/>
          <w:w w:val="125"/>
          <w:sz w:val="24"/>
        </w:rPr>
        <w:t>külföldi pénzügyi vállalkozás: </w:t>
      </w:r>
      <w:r>
        <w:rPr>
          <w:w w:val="125"/>
          <w:sz w:val="24"/>
        </w:rPr>
        <w:t>az a pénzügyi vállalkozás, amelynek székhelye Magyarországon kívül</w:t>
      </w:r>
      <w:r>
        <w:rPr>
          <w:spacing w:val="-1"/>
          <w:w w:val="125"/>
          <w:sz w:val="24"/>
        </w:rPr>
        <w:t> </w:t>
      </w:r>
      <w:r>
        <w:rPr>
          <w:w w:val="125"/>
          <w:sz w:val="24"/>
        </w:rPr>
        <w:t>van;</w:t>
      </w:r>
    </w:p>
    <w:p>
      <w:pPr>
        <w:pStyle w:val="ListParagraph"/>
        <w:numPr>
          <w:ilvl w:val="0"/>
          <w:numId w:val="37"/>
        </w:numPr>
        <w:tabs>
          <w:tab w:pos="849" w:val="left" w:leader="none"/>
        </w:tabs>
        <w:spacing w:line="225" w:lineRule="auto" w:before="1" w:after="0"/>
        <w:ind w:left="113" w:right="132" w:firstLine="204"/>
        <w:jc w:val="both"/>
        <w:rPr>
          <w:sz w:val="24"/>
        </w:rPr>
      </w:pPr>
      <w:r>
        <w:rPr>
          <w:i/>
          <w:w w:val="125"/>
          <w:sz w:val="24"/>
        </w:rPr>
        <w:t>külföldi vállalkozás: </w:t>
      </w:r>
      <w:r>
        <w:rPr>
          <w:w w:val="125"/>
          <w:sz w:val="24"/>
        </w:rPr>
        <w:t>a külföldi székhelyű vállalkozások magyarországi fióktelepeiről és kereskedelmi képviseleteiről szóló 1997. évi CXXXII. törvény (a továbbiakban: Fkt.) 2. § </w:t>
      </w:r>
      <w:r>
        <w:rPr>
          <w:i/>
          <w:w w:val="125"/>
          <w:sz w:val="24"/>
        </w:rPr>
        <w:t>a) </w:t>
      </w:r>
      <w:r>
        <w:rPr>
          <w:w w:val="125"/>
          <w:sz w:val="24"/>
        </w:rPr>
        <w:t>pontjában meghatározott</w:t>
      </w:r>
      <w:r>
        <w:rPr>
          <w:spacing w:val="15"/>
          <w:w w:val="125"/>
          <w:sz w:val="24"/>
        </w:rPr>
        <w:t> </w:t>
      </w:r>
      <w:r>
        <w:rPr>
          <w:w w:val="125"/>
          <w:sz w:val="24"/>
        </w:rPr>
        <w:t>fogalom;</w:t>
      </w:r>
    </w:p>
    <w:p>
      <w:pPr>
        <w:pStyle w:val="ListParagraph"/>
        <w:numPr>
          <w:ilvl w:val="0"/>
          <w:numId w:val="37"/>
        </w:numPr>
        <w:tabs>
          <w:tab w:pos="814" w:val="left" w:leader="none"/>
        </w:tabs>
        <w:spacing w:line="225" w:lineRule="auto" w:before="2" w:after="0"/>
        <w:ind w:left="113" w:right="125" w:firstLine="204"/>
        <w:jc w:val="both"/>
        <w:rPr>
          <w:sz w:val="24"/>
        </w:rPr>
      </w:pPr>
      <w:r>
        <w:rPr>
          <w:i/>
          <w:w w:val="130"/>
          <w:sz w:val="24"/>
        </w:rPr>
        <w:t>különleges célú gazdasági egység: </w:t>
      </w:r>
      <w:r>
        <w:rPr>
          <w:w w:val="130"/>
          <w:sz w:val="24"/>
        </w:rPr>
        <w:t>az 575/2013/EU rendeletben ekként meghatározott</w:t>
      </w:r>
      <w:r>
        <w:rPr>
          <w:spacing w:val="-4"/>
          <w:w w:val="130"/>
          <w:sz w:val="24"/>
        </w:rPr>
        <w:t> </w:t>
      </w:r>
      <w:r>
        <w:rPr>
          <w:w w:val="130"/>
          <w:sz w:val="24"/>
        </w:rPr>
        <w:t>fogalom;</w:t>
      </w:r>
    </w:p>
    <w:p>
      <w:pPr>
        <w:pStyle w:val="ListParagraph"/>
        <w:numPr>
          <w:ilvl w:val="0"/>
          <w:numId w:val="37"/>
        </w:numPr>
        <w:tabs>
          <w:tab w:pos="947" w:val="left" w:leader="none"/>
        </w:tabs>
        <w:spacing w:line="225" w:lineRule="auto" w:before="1" w:after="0"/>
        <w:ind w:left="113" w:right="125" w:firstLine="204"/>
        <w:jc w:val="both"/>
        <w:rPr>
          <w:sz w:val="24"/>
        </w:rPr>
      </w:pPr>
      <w:r>
        <w:rPr>
          <w:i/>
          <w:w w:val="125"/>
          <w:sz w:val="24"/>
        </w:rPr>
        <w:t>külső hitelminősítő intézet: </w:t>
      </w:r>
      <w:r>
        <w:rPr>
          <w:w w:val="125"/>
          <w:sz w:val="24"/>
        </w:rPr>
        <w:t>az 575/2013/EU rendeletben ekként meghatározott fogalom;</w:t>
      </w:r>
    </w:p>
    <w:p>
      <w:pPr>
        <w:pStyle w:val="ListParagraph"/>
        <w:numPr>
          <w:ilvl w:val="0"/>
          <w:numId w:val="37"/>
        </w:numPr>
        <w:tabs>
          <w:tab w:pos="806" w:val="left" w:leader="none"/>
        </w:tabs>
        <w:spacing w:line="225" w:lineRule="auto" w:before="1" w:after="0"/>
        <w:ind w:left="113" w:right="128" w:firstLine="204"/>
        <w:jc w:val="both"/>
        <w:rPr>
          <w:sz w:val="24"/>
        </w:rPr>
      </w:pPr>
      <w:r>
        <w:rPr>
          <w:i/>
          <w:w w:val="125"/>
          <w:sz w:val="24"/>
        </w:rPr>
        <w:t>lakáscélú hitel- vagy kölcsönszerződés: </w:t>
      </w:r>
      <w:r>
        <w:rPr>
          <w:w w:val="125"/>
          <w:sz w:val="24"/>
        </w:rPr>
        <w:t>ingatlanra alapított jelzálogjog - ideértve az önálló zálogjogként alapított jelzálogjogot is - fedezete mellett megkötött olyan hitel- vagy kölcsönszerződés,</w:t>
      </w:r>
    </w:p>
    <w:p>
      <w:pPr>
        <w:pStyle w:val="ListParagraph"/>
        <w:numPr>
          <w:ilvl w:val="0"/>
          <w:numId w:val="38"/>
        </w:numPr>
        <w:tabs>
          <w:tab w:pos="656" w:val="left" w:leader="none"/>
        </w:tabs>
        <w:spacing w:line="225" w:lineRule="auto" w:before="2" w:after="0"/>
        <w:ind w:left="113" w:right="127" w:firstLine="204"/>
        <w:jc w:val="both"/>
        <w:rPr>
          <w:sz w:val="24"/>
        </w:rPr>
      </w:pPr>
      <w:r>
        <w:rPr>
          <w:w w:val="130"/>
          <w:sz w:val="24"/>
        </w:rPr>
        <w:t>amelyben a felek által okiratban rögzített hitelcél lakóingatlan vásárlása, építése, bővítése, korszerűsítése, felújítása,</w:t>
      </w:r>
      <w:r>
        <w:rPr>
          <w:spacing w:val="-20"/>
          <w:w w:val="130"/>
          <w:sz w:val="24"/>
        </w:rPr>
        <w:t> </w:t>
      </w:r>
      <w:r>
        <w:rPr>
          <w:w w:val="130"/>
          <w:sz w:val="24"/>
        </w:rPr>
        <w:t>vagy</w:t>
      </w:r>
    </w:p>
    <w:p>
      <w:pPr>
        <w:pStyle w:val="ListParagraph"/>
        <w:numPr>
          <w:ilvl w:val="0"/>
          <w:numId w:val="38"/>
        </w:numPr>
        <w:tabs>
          <w:tab w:pos="732" w:val="left" w:leader="none"/>
        </w:tabs>
        <w:spacing w:line="225" w:lineRule="auto" w:before="1" w:after="0"/>
        <w:ind w:left="113" w:right="125" w:firstLine="204"/>
        <w:jc w:val="both"/>
        <w:rPr>
          <w:sz w:val="24"/>
        </w:rPr>
      </w:pPr>
      <w:r>
        <w:rPr>
          <w:w w:val="125"/>
          <w:sz w:val="24"/>
        </w:rPr>
        <w:t>amelynek igazolt célja az </w:t>
      </w:r>
      <w:r>
        <w:rPr>
          <w:i/>
          <w:w w:val="125"/>
          <w:sz w:val="24"/>
        </w:rPr>
        <w:t>a) </w:t>
      </w:r>
      <w:r>
        <w:rPr>
          <w:w w:val="125"/>
          <w:sz w:val="24"/>
        </w:rPr>
        <w:t>pontban meghatározott célokra nyújtott kölcsön kiváltása és ennek összege kizárólag a hitelnyújtók közötti árfolyamkülönbség miatt, valamint az eredeti hiteltartozás lezárásához és az    új hitel folyósításához kapcsolódó igazolt díjakkal és költségekkel haladhatja meg az eredeti hiteltartozás kiváltásakor fennálló</w:t>
      </w:r>
      <w:r>
        <w:rPr>
          <w:spacing w:val="23"/>
          <w:w w:val="125"/>
          <w:sz w:val="24"/>
        </w:rPr>
        <w:t> </w:t>
      </w:r>
      <w:r>
        <w:rPr>
          <w:w w:val="125"/>
          <w:sz w:val="24"/>
        </w:rPr>
        <w:t>összeget;</w:t>
      </w:r>
    </w:p>
    <w:p>
      <w:pPr>
        <w:pStyle w:val="ListParagraph"/>
        <w:numPr>
          <w:ilvl w:val="0"/>
          <w:numId w:val="37"/>
        </w:numPr>
        <w:tabs>
          <w:tab w:pos="898" w:val="left" w:leader="none"/>
        </w:tabs>
        <w:spacing w:line="225" w:lineRule="auto" w:before="3" w:after="0"/>
        <w:ind w:left="113" w:right="126" w:firstLine="204"/>
        <w:jc w:val="both"/>
        <w:rPr>
          <w:sz w:val="24"/>
        </w:rPr>
      </w:pPr>
      <w:r>
        <w:rPr>
          <w:i/>
          <w:w w:val="125"/>
          <w:sz w:val="24"/>
        </w:rPr>
        <w:t>lakáscélú pénzügyi lízingszerződés: </w:t>
      </w:r>
      <w:r>
        <w:rPr>
          <w:w w:val="125"/>
          <w:sz w:val="24"/>
        </w:rPr>
        <w:t>olyan pénzügyi lízingszerződés, amelyben a felek által okiratban rögzített cél lakóingatlan tulajdonjogának harmadik személy eladótól történő, lízingbevevő általi</w:t>
      </w:r>
      <w:r>
        <w:rPr>
          <w:spacing w:val="13"/>
          <w:w w:val="125"/>
          <w:sz w:val="24"/>
        </w:rPr>
        <w:t> </w:t>
      </w:r>
      <w:r>
        <w:rPr>
          <w:w w:val="125"/>
          <w:sz w:val="24"/>
        </w:rPr>
        <w:t>megszerzése;</w:t>
      </w:r>
    </w:p>
    <w:p>
      <w:pPr>
        <w:pStyle w:val="ListParagraph"/>
        <w:numPr>
          <w:ilvl w:val="0"/>
          <w:numId w:val="37"/>
        </w:numPr>
        <w:tabs>
          <w:tab w:pos="795" w:val="left" w:leader="none"/>
        </w:tabs>
        <w:spacing w:line="225" w:lineRule="auto" w:before="1" w:after="0"/>
        <w:ind w:left="113" w:right="130" w:firstLine="204"/>
        <w:jc w:val="both"/>
        <w:rPr>
          <w:sz w:val="24"/>
        </w:rPr>
      </w:pPr>
      <w:r>
        <w:rPr>
          <w:i/>
          <w:w w:val="125"/>
          <w:sz w:val="24"/>
        </w:rPr>
        <w:t>leányvállalat: </w:t>
      </w:r>
      <w:r>
        <w:rPr>
          <w:w w:val="125"/>
          <w:sz w:val="24"/>
        </w:rPr>
        <w:t>minden olyan vállalkozás, amelynek működésére egy másik vállalkozás ellenőrző befolyást gyakorol, a leányvállalat valamennyi leányvállalatát az anyavállalat leányvállalatának kell</w:t>
      </w:r>
      <w:r>
        <w:rPr>
          <w:spacing w:val="8"/>
          <w:w w:val="125"/>
          <w:sz w:val="24"/>
        </w:rPr>
        <w:t> </w:t>
      </w:r>
      <w:r>
        <w:rPr>
          <w:w w:val="125"/>
          <w:sz w:val="24"/>
        </w:rPr>
        <w:t>tekinteni;</w:t>
      </w:r>
    </w:p>
    <w:p>
      <w:pPr>
        <w:pStyle w:val="ListParagraph"/>
        <w:numPr>
          <w:ilvl w:val="0"/>
          <w:numId w:val="37"/>
        </w:numPr>
        <w:tabs>
          <w:tab w:pos="1031" w:val="left" w:leader="none"/>
        </w:tabs>
        <w:spacing w:line="225" w:lineRule="auto" w:before="2" w:after="0"/>
        <w:ind w:left="113" w:right="116" w:firstLine="204"/>
        <w:jc w:val="both"/>
        <w:rPr>
          <w:sz w:val="24"/>
        </w:rPr>
      </w:pPr>
      <w:r>
        <w:rPr>
          <w:i/>
          <w:w w:val="130"/>
          <w:sz w:val="24"/>
        </w:rPr>
        <w:t>letéti szolgáltatás (pénzletétkezelés): </w:t>
      </w:r>
      <w:r>
        <w:rPr>
          <w:w w:val="130"/>
          <w:sz w:val="24"/>
        </w:rPr>
        <w:t>pénzösszegek az ügyfél megbízásából, elkülönített letéti számlán kamatra vagy kamat nélkül történő elhelyezése és kezelése, jogszabályban rögzített feltételek</w:t>
      </w:r>
      <w:r>
        <w:rPr>
          <w:spacing w:val="-52"/>
          <w:w w:val="130"/>
          <w:sz w:val="24"/>
        </w:rPr>
        <w:t> </w:t>
      </w:r>
      <w:r>
        <w:rPr>
          <w:w w:val="130"/>
          <w:sz w:val="24"/>
        </w:rPr>
        <w:t>szerint;</w:t>
      </w:r>
    </w:p>
    <w:p>
      <w:pPr>
        <w:pStyle w:val="ListParagraph"/>
        <w:numPr>
          <w:ilvl w:val="0"/>
          <w:numId w:val="37"/>
        </w:numPr>
        <w:tabs>
          <w:tab w:pos="776" w:val="left" w:leader="none"/>
        </w:tabs>
        <w:spacing w:line="256" w:lineRule="exact" w:before="0" w:after="0"/>
        <w:ind w:left="775" w:right="0" w:hanging="458"/>
        <w:jc w:val="left"/>
        <w:rPr>
          <w:sz w:val="24"/>
        </w:rPr>
      </w:pPr>
      <w:r>
        <w:rPr>
          <w:i/>
          <w:w w:val="125"/>
          <w:sz w:val="24"/>
        </w:rPr>
        <w:t>likvid eszköz: </w:t>
      </w:r>
      <w:r>
        <w:rPr>
          <w:w w:val="125"/>
          <w:sz w:val="24"/>
        </w:rPr>
        <w:t>pénz vagy azonnal pénzzé tehető eszközök</w:t>
      </w:r>
      <w:r>
        <w:rPr>
          <w:spacing w:val="25"/>
          <w:w w:val="125"/>
          <w:sz w:val="24"/>
        </w:rPr>
        <w:t> </w:t>
      </w:r>
      <w:r>
        <w:rPr>
          <w:w w:val="125"/>
          <w:sz w:val="24"/>
        </w:rPr>
        <w:t>összessége;</w:t>
      </w:r>
    </w:p>
    <w:p>
      <w:pPr>
        <w:pStyle w:val="ListParagraph"/>
        <w:numPr>
          <w:ilvl w:val="0"/>
          <w:numId w:val="37"/>
        </w:numPr>
        <w:tabs>
          <w:tab w:pos="800" w:val="left" w:leader="none"/>
        </w:tabs>
        <w:spacing w:line="225" w:lineRule="auto" w:before="6" w:after="0"/>
        <w:ind w:left="113" w:right="126" w:firstLine="204"/>
        <w:jc w:val="both"/>
        <w:rPr>
          <w:sz w:val="24"/>
        </w:rPr>
      </w:pPr>
      <w:r>
        <w:rPr>
          <w:i/>
          <w:w w:val="125"/>
          <w:sz w:val="24"/>
        </w:rPr>
        <w:t>mérlegfőösszeg: </w:t>
      </w:r>
      <w:r>
        <w:rPr>
          <w:w w:val="125"/>
          <w:sz w:val="24"/>
        </w:rPr>
        <w:t>a számviteli jogszabályok által ilyenként meghatározott összeg;</w:t>
      </w:r>
    </w:p>
    <w:p>
      <w:pPr>
        <w:pStyle w:val="ListParagraph"/>
        <w:numPr>
          <w:ilvl w:val="0"/>
          <w:numId w:val="37"/>
        </w:numPr>
        <w:tabs>
          <w:tab w:pos="793" w:val="left" w:leader="none"/>
        </w:tabs>
        <w:spacing w:line="225" w:lineRule="auto" w:before="1" w:after="0"/>
        <w:ind w:left="113" w:right="130" w:firstLine="204"/>
        <w:jc w:val="both"/>
        <w:rPr>
          <w:sz w:val="24"/>
        </w:rPr>
      </w:pPr>
      <w:r>
        <w:rPr>
          <w:i/>
          <w:w w:val="125"/>
          <w:sz w:val="24"/>
        </w:rPr>
        <w:t>modellkockázat: </w:t>
      </w:r>
      <w:r>
        <w:rPr>
          <w:w w:val="125"/>
          <w:sz w:val="24"/>
        </w:rPr>
        <w:t>a belső modellek téves kidolgozása, megvalósítása vagy használata miatti téves eredménynek a döntés során való felhasználásából fakadó potenciális</w:t>
      </w:r>
      <w:r>
        <w:rPr>
          <w:spacing w:val="2"/>
          <w:w w:val="125"/>
          <w:sz w:val="24"/>
        </w:rPr>
        <w:t> </w:t>
      </w:r>
      <w:r>
        <w:rPr>
          <w:w w:val="125"/>
          <w:sz w:val="24"/>
        </w:rPr>
        <w:t>veszteség;</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784;mso-wrap-distance-left:0;mso-wrap-distance-right:0" from="56.693001pt,8.204461pt" to="538.583001pt,8.20446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XXXVII. törvény 161. § (2). Hatályos: 2014. IX.</w:t>
      </w:r>
      <w:r>
        <w:rPr>
          <w:i/>
          <w:spacing w:val="-31"/>
          <w:w w:val="125"/>
          <w:sz w:val="18"/>
        </w:rPr>
        <w:t> </w:t>
      </w:r>
      <w:r>
        <w:rPr>
          <w:i/>
          <w:w w:val="125"/>
          <w:sz w:val="18"/>
        </w:rPr>
        <w:t>16-tól.</w:t>
      </w:r>
    </w:p>
    <w:p>
      <w:pPr>
        <w:spacing w:after="0"/>
        <w:jc w:val="left"/>
        <w:rPr>
          <w:sz w:val="18"/>
        </w:rPr>
        <w:sectPr>
          <w:pgSz w:w="11900" w:h="16820"/>
          <w:pgMar w:header="1104" w:footer="0" w:top="1840" w:bottom="280" w:left="1020" w:right="1000"/>
        </w:sectPr>
      </w:pPr>
    </w:p>
    <w:p>
      <w:pPr>
        <w:pStyle w:val="ListParagraph"/>
        <w:numPr>
          <w:ilvl w:val="0"/>
          <w:numId w:val="37"/>
        </w:numPr>
        <w:tabs>
          <w:tab w:pos="810" w:val="left" w:leader="none"/>
        </w:tabs>
        <w:spacing w:line="225" w:lineRule="auto" w:before="173" w:after="0"/>
        <w:ind w:left="113" w:right="125" w:firstLine="204"/>
        <w:jc w:val="both"/>
        <w:rPr>
          <w:sz w:val="24"/>
        </w:rPr>
      </w:pPr>
      <w:r>
        <w:rPr>
          <w:i/>
          <w:w w:val="130"/>
          <w:sz w:val="24"/>
        </w:rPr>
        <w:t>működési kockázat: </w:t>
      </w:r>
      <w:r>
        <w:rPr>
          <w:w w:val="130"/>
          <w:sz w:val="24"/>
        </w:rPr>
        <w:t>az 575/2013/EU rendeletben ekként meghatározott fogalom;</w:t>
      </w:r>
    </w:p>
    <w:p>
      <w:pPr>
        <w:pStyle w:val="ListParagraph"/>
        <w:numPr>
          <w:ilvl w:val="0"/>
          <w:numId w:val="37"/>
        </w:numPr>
        <w:tabs>
          <w:tab w:pos="911" w:val="left" w:leader="none"/>
        </w:tabs>
        <w:spacing w:line="225" w:lineRule="auto" w:before="1" w:after="0"/>
        <w:ind w:left="113" w:right="125" w:firstLine="204"/>
        <w:jc w:val="both"/>
        <w:rPr>
          <w:sz w:val="24"/>
        </w:rPr>
      </w:pPr>
      <w:r>
        <w:rPr>
          <w:i/>
          <w:w w:val="130"/>
          <w:sz w:val="24"/>
        </w:rPr>
        <w:t>nem kötelező nyugdíjjuttatás: </w:t>
      </w:r>
      <w:r>
        <w:rPr>
          <w:w w:val="130"/>
          <w:sz w:val="24"/>
        </w:rPr>
        <w:t>a hitelintézet által a vezető állású személynek, munkavállalónak nem kötelező alapon nyújtott, emelt nyugdíjjuttatás a munkavállaló teljesítményjavadalmazásának részeként, amely nem foglalja magában a munkavállalónak a vállalati nyugdíjrendszer feltételei alapján nyújtott felhalmozott</w:t>
      </w:r>
      <w:r>
        <w:rPr>
          <w:spacing w:val="-19"/>
          <w:w w:val="130"/>
          <w:sz w:val="24"/>
        </w:rPr>
        <w:t> </w:t>
      </w:r>
      <w:r>
        <w:rPr>
          <w:w w:val="130"/>
          <w:sz w:val="24"/>
        </w:rPr>
        <w:t>juttatást;</w:t>
      </w:r>
    </w:p>
    <w:p>
      <w:pPr>
        <w:pStyle w:val="BodyText"/>
        <w:tabs>
          <w:tab w:pos="1185" w:val="left" w:leader="none"/>
          <w:tab w:pos="2070" w:val="left" w:leader="none"/>
          <w:tab w:pos="2442" w:val="left" w:leader="none"/>
          <w:tab w:pos="4272" w:val="left" w:leader="none"/>
          <w:tab w:pos="5947" w:val="left" w:leader="none"/>
          <w:tab w:pos="7536" w:val="left" w:leader="none"/>
          <w:tab w:pos="8380" w:val="left" w:leader="none"/>
        </w:tabs>
        <w:spacing w:line="251" w:lineRule="exact"/>
        <w:ind w:left="317" w:firstLine="0"/>
      </w:pPr>
      <w:r>
        <w:rPr>
          <w:w w:val="130"/>
        </w:rPr>
        <w:t>84a.</w:t>
      </w:r>
      <w:r>
        <w:rPr>
          <w:i/>
          <w:w w:val="130"/>
          <w:position w:val="3"/>
          <w:sz w:val="18"/>
        </w:rPr>
        <w:t>1</w:t>
        <w:tab/>
      </w:r>
      <w:r>
        <w:rPr>
          <w:i/>
          <w:w w:val="130"/>
        </w:rPr>
        <w:t>pénz:</w:t>
        <w:tab/>
      </w:r>
      <w:r>
        <w:rPr>
          <w:w w:val="130"/>
        </w:rPr>
        <w:t>a</w:t>
        <w:tab/>
        <w:t>pénzforgalmi</w:t>
        <w:tab/>
        <w:t>szolgáltatás</w:t>
        <w:tab/>
        <w:t>nyújtásáról</w:t>
        <w:tab/>
        <w:t>szóló</w:t>
        <w:tab/>
        <w:t>törvényben</w:t>
      </w:r>
    </w:p>
    <w:p>
      <w:pPr>
        <w:pStyle w:val="BodyText"/>
        <w:spacing w:line="267" w:lineRule="exact"/>
        <w:ind w:firstLine="0"/>
      </w:pPr>
      <w:r>
        <w:rPr>
          <w:w w:val="130"/>
        </w:rPr>
        <w:t>meghatározott pénz;</w:t>
      </w:r>
    </w:p>
    <w:p>
      <w:pPr>
        <w:pStyle w:val="ListParagraph"/>
        <w:numPr>
          <w:ilvl w:val="0"/>
          <w:numId w:val="37"/>
        </w:numPr>
        <w:tabs>
          <w:tab w:pos="969" w:val="left" w:leader="none"/>
        </w:tabs>
        <w:spacing w:line="225" w:lineRule="auto" w:before="5" w:after="0"/>
        <w:ind w:left="113" w:right="126" w:firstLine="204"/>
        <w:jc w:val="both"/>
        <w:rPr>
          <w:sz w:val="24"/>
        </w:rPr>
      </w:pPr>
      <w:r>
        <w:rPr>
          <w:i/>
          <w:w w:val="130"/>
          <w:sz w:val="24"/>
        </w:rPr>
        <w:t>pénzfeldolgozási tevékenység: </w:t>
      </w:r>
      <w:r>
        <w:rPr>
          <w:w w:val="130"/>
          <w:sz w:val="24"/>
        </w:rPr>
        <w:t>bankjegyek és pénzérmék tételes megszámlálása, valódiság és forgalomképesség szempontjából történő ellenőrzése, továbbá az újra forgalomba hozható bankjegykötegek és pénzérmetételek</w:t>
      </w:r>
      <w:r>
        <w:rPr>
          <w:spacing w:val="-3"/>
          <w:w w:val="130"/>
          <w:sz w:val="24"/>
        </w:rPr>
        <w:t> </w:t>
      </w:r>
      <w:r>
        <w:rPr>
          <w:w w:val="130"/>
          <w:sz w:val="24"/>
        </w:rPr>
        <w:t>kialakítása;</w:t>
      </w:r>
    </w:p>
    <w:p>
      <w:pPr>
        <w:pStyle w:val="ListParagraph"/>
        <w:numPr>
          <w:ilvl w:val="0"/>
          <w:numId w:val="37"/>
        </w:numPr>
        <w:tabs>
          <w:tab w:pos="965" w:val="left" w:leader="none"/>
        </w:tabs>
        <w:spacing w:line="225" w:lineRule="auto" w:before="2" w:after="0"/>
        <w:ind w:left="113" w:right="126" w:firstLine="204"/>
        <w:jc w:val="both"/>
        <w:rPr>
          <w:sz w:val="24"/>
        </w:rPr>
      </w:pPr>
      <w:r>
        <w:rPr>
          <w:i/>
          <w:w w:val="125"/>
          <w:sz w:val="24"/>
        </w:rPr>
        <w:t>pénzforgalmi intézmény: </w:t>
      </w:r>
      <w:r>
        <w:rPr>
          <w:w w:val="125"/>
          <w:sz w:val="24"/>
        </w:rPr>
        <w:t>az egyes fizetési szolgáltatókról szóló törvényben meghatározott</w:t>
      </w:r>
      <w:r>
        <w:rPr>
          <w:spacing w:val="9"/>
          <w:w w:val="125"/>
          <w:sz w:val="24"/>
        </w:rPr>
        <w:t> </w:t>
      </w:r>
      <w:r>
        <w:rPr>
          <w:w w:val="125"/>
          <w:sz w:val="24"/>
        </w:rPr>
        <w:t>fogalom;</w:t>
      </w:r>
    </w:p>
    <w:p>
      <w:pPr>
        <w:pStyle w:val="ListParagraph"/>
        <w:numPr>
          <w:ilvl w:val="0"/>
          <w:numId w:val="37"/>
        </w:numPr>
        <w:tabs>
          <w:tab w:pos="776" w:val="left" w:leader="none"/>
        </w:tabs>
        <w:spacing w:line="256" w:lineRule="exact" w:before="0" w:after="0"/>
        <w:ind w:left="775" w:right="0" w:hanging="458"/>
        <w:jc w:val="left"/>
        <w:rPr>
          <w:i/>
          <w:sz w:val="24"/>
        </w:rPr>
      </w:pPr>
      <w:r>
        <w:rPr>
          <w:i/>
          <w:w w:val="125"/>
          <w:sz w:val="24"/>
        </w:rPr>
        <w:t>pénzforgalmi szolgáltatás:</w:t>
      </w:r>
    </w:p>
    <w:p>
      <w:pPr>
        <w:pStyle w:val="ListParagraph"/>
        <w:numPr>
          <w:ilvl w:val="0"/>
          <w:numId w:val="39"/>
        </w:numPr>
        <w:tabs>
          <w:tab w:pos="658" w:val="left" w:leader="none"/>
        </w:tabs>
        <w:spacing w:line="225" w:lineRule="auto" w:before="6" w:after="0"/>
        <w:ind w:left="113" w:right="135" w:firstLine="204"/>
        <w:jc w:val="both"/>
        <w:rPr>
          <w:sz w:val="24"/>
        </w:rPr>
      </w:pPr>
      <w:r>
        <w:rPr>
          <w:w w:val="130"/>
          <w:sz w:val="24"/>
        </w:rPr>
        <w:t>a fizetési számlára történő készpénzbefizetést lehetővé tevő szolgáltatás, valamint</w:t>
      </w:r>
      <w:r>
        <w:rPr>
          <w:spacing w:val="-13"/>
          <w:w w:val="130"/>
          <w:sz w:val="24"/>
        </w:rPr>
        <w:t> </w:t>
      </w:r>
      <w:r>
        <w:rPr>
          <w:w w:val="130"/>
          <w:sz w:val="24"/>
        </w:rPr>
        <w:t>a</w:t>
      </w:r>
      <w:r>
        <w:rPr>
          <w:spacing w:val="3"/>
          <w:w w:val="130"/>
          <w:sz w:val="24"/>
        </w:rPr>
        <w:t> </w:t>
      </w:r>
      <w:r>
        <w:rPr>
          <w:w w:val="130"/>
          <w:sz w:val="24"/>
        </w:rPr>
        <w:t>fizetési</w:t>
      </w:r>
      <w:r>
        <w:rPr>
          <w:spacing w:val="-28"/>
          <w:w w:val="130"/>
          <w:sz w:val="24"/>
        </w:rPr>
        <w:t> </w:t>
      </w:r>
      <w:r>
        <w:rPr>
          <w:w w:val="130"/>
          <w:sz w:val="24"/>
        </w:rPr>
        <w:t>számla</w:t>
      </w:r>
      <w:r>
        <w:rPr>
          <w:spacing w:val="-11"/>
          <w:w w:val="130"/>
          <w:sz w:val="24"/>
        </w:rPr>
        <w:t> </w:t>
      </w:r>
      <w:r>
        <w:rPr>
          <w:w w:val="130"/>
          <w:sz w:val="24"/>
        </w:rPr>
        <w:t>vezetéséhez</w:t>
      </w:r>
      <w:r>
        <w:rPr>
          <w:spacing w:val="-13"/>
          <w:w w:val="130"/>
          <w:sz w:val="24"/>
        </w:rPr>
        <w:t> </w:t>
      </w:r>
      <w:r>
        <w:rPr>
          <w:w w:val="130"/>
          <w:sz w:val="24"/>
        </w:rPr>
        <w:t>szükséges</w:t>
      </w:r>
      <w:r>
        <w:rPr>
          <w:spacing w:val="-7"/>
          <w:w w:val="130"/>
          <w:sz w:val="24"/>
        </w:rPr>
        <w:t> </w:t>
      </w:r>
      <w:r>
        <w:rPr>
          <w:w w:val="130"/>
          <w:sz w:val="24"/>
        </w:rPr>
        <w:t>összes</w:t>
      </w:r>
      <w:r>
        <w:rPr>
          <w:spacing w:val="-17"/>
          <w:w w:val="130"/>
          <w:sz w:val="24"/>
        </w:rPr>
        <w:t> </w:t>
      </w:r>
      <w:r>
        <w:rPr>
          <w:w w:val="130"/>
          <w:sz w:val="24"/>
        </w:rPr>
        <w:t>tevékenység,</w:t>
      </w:r>
    </w:p>
    <w:p>
      <w:pPr>
        <w:pStyle w:val="ListParagraph"/>
        <w:numPr>
          <w:ilvl w:val="0"/>
          <w:numId w:val="39"/>
        </w:numPr>
        <w:tabs>
          <w:tab w:pos="667" w:val="left" w:leader="none"/>
        </w:tabs>
        <w:spacing w:line="225" w:lineRule="auto" w:before="1" w:after="0"/>
        <w:ind w:left="113" w:right="135" w:firstLine="204"/>
        <w:jc w:val="both"/>
        <w:rPr>
          <w:sz w:val="24"/>
        </w:rPr>
      </w:pPr>
      <w:r>
        <w:rPr>
          <w:w w:val="125"/>
          <w:sz w:val="24"/>
        </w:rPr>
        <w:t>a fizetési számláról történő készpénzkifizetést lehetővé tevő szolgáltatás, valamint a fizetési számla vezetéséhez szükséges összes</w:t>
      </w:r>
      <w:r>
        <w:rPr>
          <w:spacing w:val="-43"/>
          <w:w w:val="125"/>
          <w:sz w:val="24"/>
        </w:rPr>
        <w:t> </w:t>
      </w:r>
      <w:r>
        <w:rPr>
          <w:w w:val="125"/>
          <w:sz w:val="24"/>
        </w:rPr>
        <w:t>tevékenység,</w:t>
      </w:r>
    </w:p>
    <w:p>
      <w:pPr>
        <w:pStyle w:val="ListParagraph"/>
        <w:numPr>
          <w:ilvl w:val="0"/>
          <w:numId w:val="39"/>
        </w:numPr>
        <w:tabs>
          <w:tab w:pos="623" w:val="left" w:leader="none"/>
        </w:tabs>
        <w:spacing w:line="256" w:lineRule="exact" w:before="0" w:after="0"/>
        <w:ind w:left="622" w:right="0" w:hanging="305"/>
        <w:jc w:val="left"/>
        <w:rPr>
          <w:sz w:val="24"/>
        </w:rPr>
      </w:pPr>
      <w:r>
        <w:rPr>
          <w:w w:val="130"/>
          <w:sz w:val="24"/>
        </w:rPr>
        <w:t>a fizetési műveletek fizetési számlák közötti</w:t>
      </w:r>
      <w:r>
        <w:rPr>
          <w:spacing w:val="-46"/>
          <w:w w:val="130"/>
          <w:sz w:val="24"/>
        </w:rPr>
        <w:t> </w:t>
      </w:r>
      <w:r>
        <w:rPr>
          <w:w w:val="130"/>
          <w:sz w:val="24"/>
        </w:rPr>
        <w:t>teljesítése,</w:t>
      </w:r>
    </w:p>
    <w:p>
      <w:pPr>
        <w:pStyle w:val="ListParagraph"/>
        <w:numPr>
          <w:ilvl w:val="0"/>
          <w:numId w:val="39"/>
        </w:numPr>
        <w:tabs>
          <w:tab w:pos="643" w:val="left" w:leader="none"/>
        </w:tabs>
        <w:spacing w:line="225" w:lineRule="auto" w:before="6" w:after="0"/>
        <w:ind w:left="113" w:right="126" w:firstLine="204"/>
        <w:jc w:val="both"/>
        <w:rPr>
          <w:sz w:val="24"/>
        </w:rPr>
      </w:pPr>
      <w:r>
        <w:rPr>
          <w:w w:val="130"/>
          <w:sz w:val="24"/>
        </w:rPr>
        <w:t>a</w:t>
      </w:r>
      <w:r>
        <w:rPr>
          <w:spacing w:val="-13"/>
          <w:w w:val="130"/>
          <w:sz w:val="24"/>
        </w:rPr>
        <w:t> </w:t>
      </w:r>
      <w:r>
        <w:rPr>
          <w:i/>
          <w:w w:val="130"/>
          <w:sz w:val="24"/>
        </w:rPr>
        <w:t>c)</w:t>
      </w:r>
      <w:r>
        <w:rPr>
          <w:i/>
          <w:spacing w:val="-12"/>
          <w:w w:val="130"/>
          <w:sz w:val="24"/>
        </w:rPr>
        <w:t> </w:t>
      </w:r>
      <w:r>
        <w:rPr>
          <w:w w:val="130"/>
          <w:sz w:val="24"/>
        </w:rPr>
        <w:t>pontban</w:t>
      </w:r>
      <w:r>
        <w:rPr>
          <w:spacing w:val="-13"/>
          <w:w w:val="130"/>
          <w:sz w:val="24"/>
        </w:rPr>
        <w:t> </w:t>
      </w:r>
      <w:r>
        <w:rPr>
          <w:w w:val="130"/>
          <w:sz w:val="24"/>
        </w:rPr>
        <w:t>meghatározott</w:t>
      </w:r>
      <w:r>
        <w:rPr>
          <w:spacing w:val="-12"/>
          <w:w w:val="130"/>
          <w:sz w:val="24"/>
        </w:rPr>
        <w:t> </w:t>
      </w:r>
      <w:r>
        <w:rPr>
          <w:w w:val="130"/>
          <w:sz w:val="24"/>
        </w:rPr>
        <w:t>szolgáltatás,</w:t>
      </w:r>
      <w:r>
        <w:rPr>
          <w:spacing w:val="-13"/>
          <w:w w:val="130"/>
          <w:sz w:val="24"/>
        </w:rPr>
        <w:t> </w:t>
      </w:r>
      <w:r>
        <w:rPr>
          <w:w w:val="130"/>
          <w:sz w:val="24"/>
        </w:rPr>
        <w:t>ha</w:t>
      </w:r>
      <w:r>
        <w:rPr>
          <w:spacing w:val="-12"/>
          <w:w w:val="130"/>
          <w:sz w:val="24"/>
        </w:rPr>
        <w:t> </w:t>
      </w:r>
      <w:r>
        <w:rPr>
          <w:w w:val="130"/>
          <w:sz w:val="24"/>
        </w:rPr>
        <w:t>a</w:t>
      </w:r>
      <w:r>
        <w:rPr>
          <w:spacing w:val="-12"/>
          <w:w w:val="130"/>
          <w:sz w:val="24"/>
        </w:rPr>
        <w:t> </w:t>
      </w:r>
      <w:r>
        <w:rPr>
          <w:w w:val="130"/>
          <w:sz w:val="24"/>
        </w:rPr>
        <w:t>fizetési</w:t>
      </w:r>
      <w:r>
        <w:rPr>
          <w:spacing w:val="-13"/>
          <w:w w:val="130"/>
          <w:sz w:val="24"/>
        </w:rPr>
        <w:t> </w:t>
      </w:r>
      <w:r>
        <w:rPr>
          <w:w w:val="130"/>
          <w:sz w:val="24"/>
        </w:rPr>
        <w:t>művelet</w:t>
      </w:r>
      <w:r>
        <w:rPr>
          <w:spacing w:val="-12"/>
          <w:w w:val="130"/>
          <w:sz w:val="24"/>
        </w:rPr>
        <w:t> </w:t>
      </w:r>
      <w:r>
        <w:rPr>
          <w:w w:val="130"/>
          <w:sz w:val="24"/>
        </w:rPr>
        <w:t>teljesítése</w:t>
      </w:r>
      <w:r>
        <w:rPr>
          <w:spacing w:val="-14"/>
          <w:w w:val="130"/>
          <w:sz w:val="24"/>
        </w:rPr>
        <w:t> </w:t>
      </w:r>
      <w:r>
        <w:rPr>
          <w:w w:val="130"/>
          <w:sz w:val="24"/>
        </w:rPr>
        <w:t>a pénzforgalmi szolgáltatást igénybe vevő ügyfél rendelkezésére álló hitelkeretéből</w:t>
      </w:r>
      <w:r>
        <w:rPr>
          <w:spacing w:val="-3"/>
          <w:w w:val="130"/>
          <w:sz w:val="24"/>
        </w:rPr>
        <w:t> </w:t>
      </w:r>
      <w:r>
        <w:rPr>
          <w:w w:val="130"/>
          <w:sz w:val="24"/>
        </w:rPr>
        <w:t>történik,</w:t>
      </w:r>
    </w:p>
    <w:p>
      <w:pPr>
        <w:pStyle w:val="ListParagraph"/>
        <w:numPr>
          <w:ilvl w:val="0"/>
          <w:numId w:val="39"/>
        </w:numPr>
        <w:tabs>
          <w:tab w:pos="555" w:val="left" w:leader="none"/>
        </w:tabs>
        <w:spacing w:line="249" w:lineRule="exact" w:before="0" w:after="0"/>
        <w:ind w:left="554" w:right="0" w:hanging="237"/>
        <w:jc w:val="left"/>
        <w:rPr>
          <w:sz w:val="24"/>
        </w:rPr>
      </w:pPr>
      <w:r>
        <w:rPr>
          <w:i/>
          <w:w w:val="125"/>
          <w:position w:val="3"/>
          <w:sz w:val="18"/>
        </w:rPr>
        <w:t>2</w:t>
      </w:r>
      <w:r>
        <w:rPr>
          <w:i/>
          <w:spacing w:val="12"/>
          <w:w w:val="125"/>
          <w:position w:val="3"/>
          <w:sz w:val="18"/>
        </w:rPr>
        <w:t> </w:t>
      </w:r>
      <w:r>
        <w:rPr>
          <w:w w:val="125"/>
          <w:sz w:val="24"/>
        </w:rPr>
        <w:t>a</w:t>
      </w:r>
      <w:r>
        <w:rPr>
          <w:spacing w:val="51"/>
          <w:w w:val="125"/>
          <w:sz w:val="24"/>
        </w:rPr>
        <w:t> </w:t>
      </w:r>
      <w:r>
        <w:rPr>
          <w:w w:val="125"/>
          <w:sz w:val="24"/>
        </w:rPr>
        <w:t>készpénz-helyettesítő</w:t>
      </w:r>
      <w:r>
        <w:rPr>
          <w:spacing w:val="49"/>
          <w:w w:val="125"/>
          <w:sz w:val="24"/>
        </w:rPr>
        <w:t> </w:t>
      </w:r>
      <w:r>
        <w:rPr>
          <w:w w:val="125"/>
          <w:sz w:val="24"/>
        </w:rPr>
        <w:t>fizetési</w:t>
      </w:r>
      <w:r>
        <w:rPr>
          <w:spacing w:val="50"/>
          <w:w w:val="125"/>
          <w:sz w:val="24"/>
        </w:rPr>
        <w:t> </w:t>
      </w:r>
      <w:r>
        <w:rPr>
          <w:w w:val="125"/>
          <w:sz w:val="24"/>
        </w:rPr>
        <w:t>eszköz</w:t>
      </w:r>
      <w:r>
        <w:rPr>
          <w:spacing w:val="49"/>
          <w:w w:val="125"/>
          <w:sz w:val="24"/>
        </w:rPr>
        <w:t> </w:t>
      </w:r>
      <w:r>
        <w:rPr>
          <w:w w:val="125"/>
          <w:sz w:val="24"/>
        </w:rPr>
        <w:t>-</w:t>
      </w:r>
      <w:r>
        <w:rPr>
          <w:spacing w:val="49"/>
          <w:w w:val="125"/>
          <w:sz w:val="24"/>
        </w:rPr>
        <w:t> </w:t>
      </w:r>
      <w:r>
        <w:rPr>
          <w:w w:val="125"/>
          <w:sz w:val="24"/>
        </w:rPr>
        <w:t>ide</w:t>
      </w:r>
      <w:r>
        <w:rPr>
          <w:spacing w:val="50"/>
          <w:w w:val="125"/>
          <w:sz w:val="24"/>
        </w:rPr>
        <w:t> </w:t>
      </w:r>
      <w:r>
        <w:rPr>
          <w:w w:val="125"/>
          <w:sz w:val="24"/>
        </w:rPr>
        <w:t>nem</w:t>
      </w:r>
      <w:r>
        <w:rPr>
          <w:spacing w:val="50"/>
          <w:w w:val="125"/>
          <w:sz w:val="24"/>
        </w:rPr>
        <w:t> </w:t>
      </w:r>
      <w:r>
        <w:rPr>
          <w:w w:val="125"/>
          <w:sz w:val="24"/>
        </w:rPr>
        <w:t>értve</w:t>
      </w:r>
      <w:r>
        <w:rPr>
          <w:spacing w:val="49"/>
          <w:w w:val="125"/>
          <w:sz w:val="24"/>
        </w:rPr>
        <w:t> </w:t>
      </w:r>
      <w:r>
        <w:rPr>
          <w:w w:val="125"/>
          <w:sz w:val="24"/>
        </w:rPr>
        <w:t>a</w:t>
      </w:r>
      <w:r>
        <w:rPr>
          <w:spacing w:val="50"/>
          <w:w w:val="125"/>
          <w:sz w:val="24"/>
        </w:rPr>
        <w:t> </w:t>
      </w:r>
      <w:r>
        <w:rPr>
          <w:w w:val="125"/>
          <w:sz w:val="24"/>
        </w:rPr>
        <w:t>csekket</w:t>
      </w:r>
      <w:r>
        <w:rPr>
          <w:spacing w:val="51"/>
          <w:w w:val="125"/>
          <w:sz w:val="24"/>
        </w:rPr>
        <w:t> </w:t>
      </w:r>
      <w:r>
        <w:rPr>
          <w:w w:val="125"/>
          <w:sz w:val="24"/>
        </w:rPr>
        <w:t>és</w:t>
      </w:r>
      <w:r>
        <w:rPr>
          <w:spacing w:val="49"/>
          <w:w w:val="125"/>
          <w:sz w:val="24"/>
        </w:rPr>
        <w:t> </w:t>
      </w:r>
      <w:r>
        <w:rPr>
          <w:w w:val="125"/>
          <w:sz w:val="24"/>
        </w:rPr>
        <w:t>az</w:t>
      </w:r>
    </w:p>
    <w:p>
      <w:pPr>
        <w:pStyle w:val="BodyText"/>
        <w:spacing w:line="267" w:lineRule="exact"/>
        <w:ind w:firstLine="0"/>
      </w:pPr>
      <w:r>
        <w:rPr>
          <w:w w:val="125"/>
        </w:rPr>
        <w:t>elektronikus pénzt - kibocsátása, valamint fizetési műveletek elfogadása,</w:t>
      </w:r>
    </w:p>
    <w:p>
      <w:pPr>
        <w:pStyle w:val="ListParagraph"/>
        <w:numPr>
          <w:ilvl w:val="0"/>
          <w:numId w:val="39"/>
        </w:numPr>
        <w:tabs>
          <w:tab w:pos="577" w:val="left" w:leader="none"/>
        </w:tabs>
        <w:spacing w:line="260" w:lineRule="exact" w:before="0" w:after="0"/>
        <w:ind w:left="576" w:right="0" w:hanging="259"/>
        <w:jc w:val="left"/>
        <w:rPr>
          <w:sz w:val="24"/>
        </w:rPr>
      </w:pPr>
      <w:r>
        <w:rPr>
          <w:w w:val="130"/>
          <w:sz w:val="24"/>
        </w:rPr>
        <w:t>a</w:t>
      </w:r>
      <w:r>
        <w:rPr>
          <w:spacing w:val="-4"/>
          <w:w w:val="130"/>
          <w:sz w:val="24"/>
        </w:rPr>
        <w:t> </w:t>
      </w:r>
      <w:r>
        <w:rPr>
          <w:w w:val="130"/>
          <w:sz w:val="24"/>
        </w:rPr>
        <w:t>készpénzátutalás,</w:t>
      </w:r>
    </w:p>
    <w:p>
      <w:pPr>
        <w:pStyle w:val="ListParagraph"/>
        <w:numPr>
          <w:ilvl w:val="0"/>
          <w:numId w:val="39"/>
        </w:numPr>
        <w:tabs>
          <w:tab w:pos="567" w:val="left" w:leader="none"/>
        </w:tabs>
        <w:spacing w:line="260" w:lineRule="exact" w:before="0" w:after="0"/>
        <w:ind w:left="566" w:right="0" w:hanging="249"/>
        <w:jc w:val="left"/>
        <w:rPr>
          <w:sz w:val="24"/>
        </w:rPr>
      </w:pPr>
      <w:r>
        <w:rPr>
          <w:i/>
          <w:w w:val="130"/>
          <w:position w:val="3"/>
          <w:sz w:val="18"/>
        </w:rPr>
        <w:t>3 </w:t>
      </w:r>
      <w:r>
        <w:rPr>
          <w:w w:val="130"/>
          <w:sz w:val="24"/>
        </w:rPr>
        <w:t>a fizetés-kezdeményezési</w:t>
      </w:r>
      <w:r>
        <w:rPr>
          <w:spacing w:val="5"/>
          <w:w w:val="130"/>
          <w:sz w:val="24"/>
        </w:rPr>
        <w:t> </w:t>
      </w:r>
      <w:r>
        <w:rPr>
          <w:w w:val="130"/>
          <w:sz w:val="24"/>
        </w:rPr>
        <w:t>szolgáltatás,</w:t>
      </w:r>
    </w:p>
    <w:p>
      <w:pPr>
        <w:pStyle w:val="ListParagraph"/>
        <w:numPr>
          <w:ilvl w:val="0"/>
          <w:numId w:val="39"/>
        </w:numPr>
        <w:tabs>
          <w:tab w:pos="568" w:val="left" w:leader="none"/>
        </w:tabs>
        <w:spacing w:line="260" w:lineRule="exact" w:before="0" w:after="0"/>
        <w:ind w:left="567" w:right="0" w:hanging="250"/>
        <w:jc w:val="left"/>
        <w:rPr>
          <w:sz w:val="24"/>
        </w:rPr>
      </w:pPr>
      <w:r>
        <w:rPr>
          <w:i/>
          <w:w w:val="125"/>
          <w:position w:val="3"/>
          <w:sz w:val="18"/>
        </w:rPr>
        <w:t>4 </w:t>
      </w:r>
      <w:r>
        <w:rPr>
          <w:w w:val="125"/>
          <w:sz w:val="24"/>
        </w:rPr>
        <w:t>a számlainformációs</w:t>
      </w:r>
      <w:r>
        <w:rPr>
          <w:spacing w:val="-35"/>
          <w:w w:val="125"/>
          <w:sz w:val="24"/>
        </w:rPr>
        <w:t> </w:t>
      </w:r>
      <w:r>
        <w:rPr>
          <w:w w:val="125"/>
          <w:sz w:val="24"/>
        </w:rPr>
        <w:t>szolgáltatás;</w:t>
      </w:r>
    </w:p>
    <w:p>
      <w:pPr>
        <w:pStyle w:val="ListParagraph"/>
        <w:numPr>
          <w:ilvl w:val="0"/>
          <w:numId w:val="37"/>
        </w:numPr>
        <w:tabs>
          <w:tab w:pos="949" w:val="left" w:leader="none"/>
          <w:tab w:pos="950" w:val="left" w:leader="none"/>
          <w:tab w:pos="2295" w:val="left" w:leader="none"/>
          <w:tab w:pos="3459" w:val="left" w:leader="none"/>
          <w:tab w:pos="4829" w:val="left" w:leader="none"/>
          <w:tab w:pos="5348" w:val="left" w:leader="none"/>
          <w:tab w:pos="7205" w:val="left" w:leader="none"/>
          <w:tab w:pos="8927" w:val="left" w:leader="none"/>
        </w:tabs>
        <w:spacing w:line="225" w:lineRule="auto" w:before="5" w:after="0"/>
        <w:ind w:left="113" w:right="125" w:firstLine="204"/>
        <w:jc w:val="left"/>
        <w:rPr>
          <w:sz w:val="24"/>
        </w:rPr>
      </w:pPr>
      <w:r>
        <w:rPr>
          <w:i/>
          <w:w w:val="130"/>
          <w:sz w:val="24"/>
        </w:rPr>
        <w:t>pénzügyi</w:t>
        <w:tab/>
        <w:t>holding</w:t>
        <w:tab/>
        <w:t>társaság:</w:t>
        <w:tab/>
      </w:r>
      <w:r>
        <w:rPr>
          <w:w w:val="130"/>
          <w:sz w:val="24"/>
        </w:rPr>
        <w:t>az</w:t>
        <w:tab/>
        <w:t>575/2013/EU</w:t>
        <w:tab/>
        <w:t>rendeletben</w:t>
        <w:tab/>
      </w:r>
      <w:r>
        <w:rPr>
          <w:spacing w:val="-3"/>
          <w:w w:val="130"/>
          <w:sz w:val="24"/>
        </w:rPr>
        <w:t>ekként </w:t>
      </w:r>
      <w:r>
        <w:rPr>
          <w:w w:val="130"/>
          <w:sz w:val="24"/>
        </w:rPr>
        <w:t>meghatározott</w:t>
      </w:r>
      <w:r>
        <w:rPr>
          <w:spacing w:val="-4"/>
          <w:w w:val="130"/>
          <w:sz w:val="24"/>
        </w:rPr>
        <w:t> </w:t>
      </w:r>
      <w:r>
        <w:rPr>
          <w:w w:val="130"/>
          <w:sz w:val="24"/>
        </w:rPr>
        <w:t>fogalom;</w:t>
      </w:r>
    </w:p>
    <w:p>
      <w:pPr>
        <w:spacing w:line="249" w:lineRule="exact" w:before="0"/>
        <w:ind w:left="317" w:right="0" w:firstLine="0"/>
        <w:jc w:val="left"/>
        <w:rPr>
          <w:sz w:val="24"/>
        </w:rPr>
      </w:pPr>
      <w:r>
        <w:rPr>
          <w:w w:val="130"/>
          <w:sz w:val="24"/>
        </w:rPr>
        <w:t>89.</w:t>
      </w:r>
      <w:r>
        <w:rPr>
          <w:i/>
          <w:w w:val="130"/>
          <w:position w:val="3"/>
          <w:sz w:val="18"/>
        </w:rPr>
        <w:t>5 </w:t>
      </w:r>
      <w:r>
        <w:rPr>
          <w:i/>
          <w:w w:val="130"/>
          <w:sz w:val="24"/>
        </w:rPr>
        <w:t>pénzügyi</w:t>
      </w:r>
      <w:r>
        <w:rPr>
          <w:i/>
          <w:spacing w:val="56"/>
          <w:w w:val="130"/>
          <w:sz w:val="24"/>
        </w:rPr>
        <w:t> </w:t>
      </w:r>
      <w:r>
        <w:rPr>
          <w:i/>
          <w:w w:val="130"/>
          <w:sz w:val="24"/>
        </w:rPr>
        <w:t>lízing:</w:t>
      </w:r>
      <w:r>
        <w:rPr>
          <w:i/>
          <w:spacing w:val="57"/>
          <w:w w:val="130"/>
          <w:sz w:val="24"/>
        </w:rPr>
        <w:t> </w:t>
      </w:r>
      <w:r>
        <w:rPr>
          <w:w w:val="130"/>
          <w:sz w:val="24"/>
        </w:rPr>
        <w:t>az</w:t>
      </w:r>
      <w:r>
        <w:rPr>
          <w:spacing w:val="56"/>
          <w:w w:val="130"/>
          <w:sz w:val="24"/>
        </w:rPr>
        <w:t> </w:t>
      </w:r>
      <w:r>
        <w:rPr>
          <w:w w:val="130"/>
          <w:sz w:val="24"/>
        </w:rPr>
        <w:t>a</w:t>
      </w:r>
      <w:r>
        <w:rPr>
          <w:spacing w:val="56"/>
          <w:w w:val="130"/>
          <w:sz w:val="24"/>
        </w:rPr>
        <w:t> </w:t>
      </w:r>
      <w:r>
        <w:rPr>
          <w:w w:val="130"/>
          <w:sz w:val="24"/>
        </w:rPr>
        <w:t>tevékenység,</w:t>
      </w:r>
      <w:r>
        <w:rPr>
          <w:spacing w:val="56"/>
          <w:w w:val="130"/>
          <w:sz w:val="24"/>
        </w:rPr>
        <w:t> </w:t>
      </w:r>
      <w:r>
        <w:rPr>
          <w:w w:val="130"/>
          <w:sz w:val="24"/>
        </w:rPr>
        <w:t>amelynek</w:t>
      </w:r>
      <w:r>
        <w:rPr>
          <w:spacing w:val="56"/>
          <w:w w:val="130"/>
          <w:sz w:val="24"/>
        </w:rPr>
        <w:t> </w:t>
      </w:r>
      <w:r>
        <w:rPr>
          <w:w w:val="130"/>
          <w:sz w:val="24"/>
        </w:rPr>
        <w:t>során</w:t>
      </w:r>
      <w:r>
        <w:rPr>
          <w:spacing w:val="57"/>
          <w:w w:val="130"/>
          <w:sz w:val="24"/>
        </w:rPr>
        <w:t> </w:t>
      </w:r>
      <w:r>
        <w:rPr>
          <w:w w:val="130"/>
          <w:sz w:val="24"/>
        </w:rPr>
        <w:t>a</w:t>
      </w:r>
      <w:r>
        <w:rPr>
          <w:spacing w:val="56"/>
          <w:w w:val="130"/>
          <w:sz w:val="24"/>
        </w:rPr>
        <w:t> </w:t>
      </w:r>
      <w:r>
        <w:rPr>
          <w:w w:val="130"/>
          <w:sz w:val="24"/>
        </w:rPr>
        <w:t>lízingbeadó</w:t>
      </w:r>
      <w:r>
        <w:rPr>
          <w:spacing w:val="56"/>
          <w:w w:val="130"/>
          <w:sz w:val="24"/>
        </w:rPr>
        <w:t> </w:t>
      </w:r>
      <w:r>
        <w:rPr>
          <w:w w:val="130"/>
          <w:sz w:val="24"/>
        </w:rPr>
        <w:t>a</w:t>
      </w:r>
    </w:p>
    <w:p>
      <w:pPr>
        <w:pStyle w:val="BodyText"/>
        <w:spacing w:line="225" w:lineRule="auto" w:before="12"/>
        <w:ind w:right="128" w:firstLine="0"/>
        <w:jc w:val="both"/>
      </w:pPr>
      <w:r>
        <w:rPr>
          <w:w w:val="130"/>
        </w:rPr>
        <w:t>tulajdonában lévő ingatlant vagy ingó dolgot, illetve vagyoni értékű jogot a lízingbevevő</w:t>
      </w:r>
      <w:r>
        <w:rPr>
          <w:spacing w:val="-29"/>
          <w:w w:val="130"/>
        </w:rPr>
        <w:t> </w:t>
      </w:r>
      <w:r>
        <w:rPr>
          <w:w w:val="130"/>
        </w:rPr>
        <w:t>határozott</w:t>
      </w:r>
      <w:r>
        <w:rPr>
          <w:spacing w:val="-29"/>
          <w:w w:val="130"/>
        </w:rPr>
        <w:t> </w:t>
      </w:r>
      <w:r>
        <w:rPr>
          <w:w w:val="130"/>
        </w:rPr>
        <w:t>idejű</w:t>
      </w:r>
      <w:r>
        <w:rPr>
          <w:spacing w:val="-29"/>
          <w:w w:val="130"/>
        </w:rPr>
        <w:t> </w:t>
      </w:r>
      <w:r>
        <w:rPr>
          <w:w w:val="130"/>
        </w:rPr>
        <w:t>használatába</w:t>
      </w:r>
      <w:r>
        <w:rPr>
          <w:spacing w:val="-29"/>
          <w:w w:val="130"/>
        </w:rPr>
        <w:t> </w:t>
      </w:r>
      <w:r>
        <w:rPr>
          <w:w w:val="130"/>
        </w:rPr>
        <w:t>adja</w:t>
      </w:r>
      <w:r>
        <w:rPr>
          <w:spacing w:val="-29"/>
          <w:w w:val="130"/>
        </w:rPr>
        <w:t> </w:t>
      </w:r>
      <w:r>
        <w:rPr>
          <w:w w:val="130"/>
        </w:rPr>
        <w:t>oly</w:t>
      </w:r>
      <w:r>
        <w:rPr>
          <w:spacing w:val="-29"/>
          <w:w w:val="130"/>
        </w:rPr>
        <w:t> </w:t>
      </w:r>
      <w:r>
        <w:rPr>
          <w:w w:val="130"/>
        </w:rPr>
        <w:t>módon,</w:t>
      </w:r>
      <w:r>
        <w:rPr>
          <w:spacing w:val="-29"/>
          <w:w w:val="130"/>
        </w:rPr>
        <w:t> </w:t>
      </w:r>
      <w:r>
        <w:rPr>
          <w:w w:val="130"/>
        </w:rPr>
        <w:t>hogy</w:t>
      </w:r>
      <w:r>
        <w:rPr>
          <w:spacing w:val="-29"/>
          <w:w w:val="130"/>
        </w:rPr>
        <w:t> </w:t>
      </w:r>
      <w:r>
        <w:rPr>
          <w:w w:val="130"/>
        </w:rPr>
        <w:t>a</w:t>
      </w:r>
      <w:r>
        <w:rPr>
          <w:spacing w:val="-29"/>
          <w:w w:val="130"/>
        </w:rPr>
        <w:t> </w:t>
      </w:r>
      <w:r>
        <w:rPr>
          <w:w w:val="130"/>
        </w:rPr>
        <w:t>használatba adással a</w:t>
      </w:r>
      <w:r>
        <w:rPr>
          <w:spacing w:val="-9"/>
          <w:w w:val="130"/>
        </w:rPr>
        <w:t> </w:t>
      </w:r>
      <w:r>
        <w:rPr>
          <w:w w:val="130"/>
        </w:rPr>
        <w:t>lízingbevevő</w:t>
      </w:r>
    </w:p>
    <w:p>
      <w:pPr>
        <w:pStyle w:val="ListParagraph"/>
        <w:numPr>
          <w:ilvl w:val="0"/>
          <w:numId w:val="40"/>
        </w:numPr>
        <w:tabs>
          <w:tab w:pos="631" w:val="left" w:leader="none"/>
        </w:tabs>
        <w:spacing w:line="256" w:lineRule="exact" w:before="0" w:after="0"/>
        <w:ind w:left="630" w:right="0" w:hanging="313"/>
        <w:jc w:val="left"/>
        <w:rPr>
          <w:sz w:val="24"/>
        </w:rPr>
      </w:pPr>
      <w:r>
        <w:rPr>
          <w:w w:val="130"/>
          <w:sz w:val="24"/>
        </w:rPr>
        <w:t>viseli a kárveszély átszállásából származó</w:t>
      </w:r>
      <w:r>
        <w:rPr>
          <w:spacing w:val="-41"/>
          <w:w w:val="130"/>
          <w:sz w:val="24"/>
        </w:rPr>
        <w:t> </w:t>
      </w:r>
      <w:r>
        <w:rPr>
          <w:w w:val="130"/>
          <w:sz w:val="24"/>
        </w:rPr>
        <w:t>kockázatot,</w:t>
      </w:r>
    </w:p>
    <w:p>
      <w:pPr>
        <w:pStyle w:val="ListParagraph"/>
        <w:numPr>
          <w:ilvl w:val="0"/>
          <w:numId w:val="40"/>
        </w:numPr>
        <w:tabs>
          <w:tab w:pos="653" w:val="left" w:leader="none"/>
        </w:tabs>
        <w:spacing w:line="260" w:lineRule="exact" w:before="0" w:after="0"/>
        <w:ind w:left="652" w:right="0" w:hanging="335"/>
        <w:jc w:val="left"/>
        <w:rPr>
          <w:sz w:val="24"/>
        </w:rPr>
      </w:pPr>
      <w:r>
        <w:rPr>
          <w:w w:val="125"/>
          <w:sz w:val="24"/>
        </w:rPr>
        <w:t>a hasznok szedésére jogosulttá</w:t>
      </w:r>
      <w:r>
        <w:rPr>
          <w:spacing w:val="-4"/>
          <w:w w:val="125"/>
          <w:sz w:val="24"/>
        </w:rPr>
        <w:t> </w:t>
      </w:r>
      <w:r>
        <w:rPr>
          <w:w w:val="125"/>
          <w:sz w:val="24"/>
        </w:rPr>
        <w:t>válik,</w:t>
      </w:r>
    </w:p>
    <w:p>
      <w:pPr>
        <w:pStyle w:val="ListParagraph"/>
        <w:numPr>
          <w:ilvl w:val="0"/>
          <w:numId w:val="40"/>
        </w:numPr>
        <w:tabs>
          <w:tab w:pos="751" w:val="left" w:leader="none"/>
          <w:tab w:pos="752" w:val="left" w:leader="none"/>
          <w:tab w:pos="1585" w:val="left" w:leader="none"/>
          <w:tab w:pos="1934" w:val="left" w:leader="none"/>
          <w:tab w:pos="3299" w:val="left" w:leader="none"/>
          <w:tab w:pos="4535" w:val="left" w:leader="none"/>
          <w:tab w:pos="5837" w:val="left" w:leader="none"/>
          <w:tab w:pos="6186" w:val="left" w:leader="none"/>
          <w:tab w:pos="7725" w:val="left" w:leader="none"/>
          <w:tab w:pos="8206" w:val="left" w:leader="none"/>
        </w:tabs>
        <w:spacing w:line="225" w:lineRule="auto" w:before="5" w:after="0"/>
        <w:ind w:left="113" w:right="120" w:firstLine="204"/>
        <w:jc w:val="left"/>
        <w:rPr>
          <w:sz w:val="24"/>
        </w:rPr>
      </w:pPr>
      <w:r>
        <w:rPr>
          <w:w w:val="130"/>
          <w:sz w:val="24"/>
        </w:rPr>
        <w:t>viseli</w:t>
        <w:tab/>
        <w:t>a</w:t>
        <w:tab/>
        <w:t>közvetlen</w:t>
        <w:tab/>
        <w:t>terheket</w:t>
        <w:tab/>
        <w:t>(ideértve</w:t>
        <w:tab/>
        <w:t>a</w:t>
        <w:tab/>
        <w:t>fenntartási</w:t>
        <w:tab/>
        <w:t>és</w:t>
        <w:tab/>
      </w:r>
      <w:r>
        <w:rPr>
          <w:spacing w:val="-1"/>
          <w:w w:val="125"/>
          <w:sz w:val="24"/>
        </w:rPr>
        <w:t>amortizációs </w:t>
      </w:r>
      <w:r>
        <w:rPr>
          <w:w w:val="130"/>
          <w:sz w:val="24"/>
        </w:rPr>
        <w:t>költségeket</w:t>
      </w:r>
      <w:r>
        <w:rPr>
          <w:spacing w:val="-4"/>
          <w:w w:val="130"/>
          <w:sz w:val="24"/>
        </w:rPr>
        <w:t> </w:t>
      </w:r>
      <w:r>
        <w:rPr>
          <w:w w:val="130"/>
          <w:sz w:val="24"/>
        </w:rPr>
        <w:t>is),</w:t>
      </w:r>
    </w:p>
    <w:p>
      <w:pPr>
        <w:pStyle w:val="ListParagraph"/>
        <w:numPr>
          <w:ilvl w:val="0"/>
          <w:numId w:val="40"/>
        </w:numPr>
        <w:tabs>
          <w:tab w:pos="775" w:val="left" w:leader="none"/>
        </w:tabs>
        <w:spacing w:line="225" w:lineRule="auto" w:before="1" w:after="0"/>
        <w:ind w:left="113" w:right="128" w:firstLine="204"/>
        <w:jc w:val="both"/>
        <w:rPr>
          <w:sz w:val="24"/>
        </w:rPr>
      </w:pPr>
      <w:r>
        <w:rPr>
          <w:w w:val="125"/>
          <w:sz w:val="24"/>
        </w:rPr>
        <w:t>jogosultságot szerez arra, hogy a szerződésben kikötött időtartam lejártával a lízingdíj teljes tőketörlesztő és kamattörlesztő részének, valamint a szerződésben kikötött maradványérték megfizetésével a dolgon ő vagy  az  általa megjelölt személy tulajdonjogot szerezzen. Ha a lízingbevevő nem él e jogával, a lízing tárgya visszakerül a lízingbeadó birtokába. A felek a szerződésben kötik ki a lízingdíj tőkerészét - amely a lízingbe adott vagyontárgy, vagyoni értékű jog szerződés szerinti árával azonos -, valamint kamatrészét és a törlesztésének</w:t>
      </w:r>
      <w:r>
        <w:rPr>
          <w:spacing w:val="12"/>
          <w:w w:val="125"/>
          <w:sz w:val="24"/>
        </w:rPr>
        <w:t> </w:t>
      </w:r>
      <w:r>
        <w:rPr>
          <w:w w:val="125"/>
          <w:sz w:val="24"/>
        </w:rPr>
        <w:t>ütemezését;</w:t>
      </w:r>
    </w:p>
    <w:p>
      <w:pPr>
        <w:pStyle w:val="BodyText"/>
        <w:spacing w:before="4"/>
        <w:ind w:left="0" w:firstLine="0"/>
        <w:rPr>
          <w:sz w:val="26"/>
        </w:rPr>
      </w:pPr>
      <w:r>
        <w:rPr/>
        <w:pict>
          <v:line style="position:absolute;mso-position-horizontal-relative:page;mso-position-vertical-relative:paragraph;z-index:-760;mso-wrap-distance-left:0;mso-wrap-distance-right:0" from="56.693001pt,17.379469pt" to="538.583001pt,17.379469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2017. évi CXLV. törvény 121. § (6). Hatályos: 2018. I.</w:t>
      </w:r>
      <w:r>
        <w:rPr>
          <w:i/>
          <w:spacing w:val="-15"/>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2</w:t>
        <w:tab/>
        <w:t>Megállapította:</w:t>
      </w:r>
      <w:r>
        <w:rPr>
          <w:i/>
          <w:spacing w:val="-11"/>
          <w:w w:val="125"/>
          <w:sz w:val="18"/>
        </w:rPr>
        <w:t> </w:t>
      </w:r>
      <w:r>
        <w:rPr>
          <w:i/>
          <w:w w:val="125"/>
          <w:sz w:val="18"/>
        </w:rPr>
        <w:t>2017.</w:t>
      </w:r>
      <w:r>
        <w:rPr>
          <w:i/>
          <w:spacing w:val="-11"/>
          <w:w w:val="125"/>
          <w:sz w:val="18"/>
        </w:rPr>
        <w:t> </w:t>
      </w:r>
      <w:r>
        <w:rPr>
          <w:i/>
          <w:w w:val="125"/>
          <w:sz w:val="18"/>
        </w:rPr>
        <w:t>évi</w:t>
      </w:r>
      <w:r>
        <w:rPr>
          <w:i/>
          <w:spacing w:val="-10"/>
          <w:w w:val="125"/>
          <w:sz w:val="18"/>
        </w:rPr>
        <w:t> </w:t>
      </w:r>
      <w:r>
        <w:rPr>
          <w:i/>
          <w:w w:val="125"/>
          <w:sz w:val="18"/>
        </w:rPr>
        <w:t>CXLV.</w:t>
      </w:r>
      <w:r>
        <w:rPr>
          <w:i/>
          <w:spacing w:val="-10"/>
          <w:w w:val="125"/>
          <w:sz w:val="18"/>
        </w:rPr>
        <w:t> </w:t>
      </w:r>
      <w:r>
        <w:rPr>
          <w:i/>
          <w:w w:val="125"/>
          <w:sz w:val="18"/>
        </w:rPr>
        <w:t>törvény</w:t>
      </w:r>
      <w:r>
        <w:rPr>
          <w:i/>
          <w:spacing w:val="-11"/>
          <w:w w:val="125"/>
          <w:sz w:val="18"/>
        </w:rPr>
        <w:t> </w:t>
      </w:r>
      <w:r>
        <w:rPr>
          <w:i/>
          <w:w w:val="125"/>
          <w:sz w:val="18"/>
        </w:rPr>
        <w:t>121.</w:t>
      </w:r>
      <w:r>
        <w:rPr>
          <w:i/>
          <w:spacing w:val="-11"/>
          <w:w w:val="125"/>
          <w:sz w:val="18"/>
        </w:rPr>
        <w:t> </w:t>
      </w:r>
      <w:r>
        <w:rPr>
          <w:i/>
          <w:w w:val="125"/>
          <w:sz w:val="18"/>
        </w:rPr>
        <w:t>§</w:t>
      </w:r>
      <w:r>
        <w:rPr>
          <w:i/>
          <w:spacing w:val="-9"/>
          <w:w w:val="125"/>
          <w:sz w:val="18"/>
        </w:rPr>
        <w:t> </w:t>
      </w:r>
      <w:r>
        <w:rPr>
          <w:i/>
          <w:w w:val="125"/>
          <w:sz w:val="18"/>
        </w:rPr>
        <w:t>(7).</w:t>
      </w:r>
      <w:r>
        <w:rPr>
          <w:i/>
          <w:spacing w:val="-10"/>
          <w:w w:val="125"/>
          <w:sz w:val="18"/>
        </w:rPr>
        <w:t> </w:t>
      </w:r>
      <w:r>
        <w:rPr>
          <w:i/>
          <w:w w:val="125"/>
          <w:sz w:val="18"/>
        </w:rPr>
        <w:t>Hatályos:</w:t>
      </w:r>
      <w:r>
        <w:rPr>
          <w:i/>
          <w:spacing w:val="-10"/>
          <w:w w:val="125"/>
          <w:sz w:val="18"/>
        </w:rPr>
        <w:t> </w:t>
      </w:r>
      <w:r>
        <w:rPr>
          <w:i/>
          <w:w w:val="125"/>
          <w:sz w:val="18"/>
        </w:rPr>
        <w:t>2018.</w:t>
      </w:r>
      <w:r>
        <w:rPr>
          <w:i/>
          <w:spacing w:val="-11"/>
          <w:w w:val="125"/>
          <w:sz w:val="18"/>
        </w:rPr>
        <w:t> </w:t>
      </w:r>
      <w:r>
        <w:rPr>
          <w:i/>
          <w:w w:val="125"/>
          <w:sz w:val="18"/>
        </w:rPr>
        <w:t>I.</w:t>
      </w:r>
      <w:r>
        <w:rPr>
          <w:i/>
          <w:spacing w:val="-10"/>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3</w:t>
        <w:tab/>
        <w:t>Megállapította:</w:t>
      </w:r>
      <w:r>
        <w:rPr>
          <w:i/>
          <w:spacing w:val="-11"/>
          <w:w w:val="125"/>
          <w:sz w:val="18"/>
        </w:rPr>
        <w:t> </w:t>
      </w:r>
      <w:r>
        <w:rPr>
          <w:i/>
          <w:w w:val="125"/>
          <w:sz w:val="18"/>
        </w:rPr>
        <w:t>2017.</w:t>
      </w:r>
      <w:r>
        <w:rPr>
          <w:i/>
          <w:spacing w:val="-11"/>
          <w:w w:val="125"/>
          <w:sz w:val="18"/>
        </w:rPr>
        <w:t> </w:t>
      </w:r>
      <w:r>
        <w:rPr>
          <w:i/>
          <w:w w:val="125"/>
          <w:sz w:val="18"/>
        </w:rPr>
        <w:t>évi</w:t>
      </w:r>
      <w:r>
        <w:rPr>
          <w:i/>
          <w:spacing w:val="-10"/>
          <w:w w:val="125"/>
          <w:sz w:val="18"/>
        </w:rPr>
        <w:t> </w:t>
      </w:r>
      <w:r>
        <w:rPr>
          <w:i/>
          <w:w w:val="125"/>
          <w:sz w:val="18"/>
        </w:rPr>
        <w:t>CXLV.</w:t>
      </w:r>
      <w:r>
        <w:rPr>
          <w:i/>
          <w:spacing w:val="-10"/>
          <w:w w:val="125"/>
          <w:sz w:val="18"/>
        </w:rPr>
        <w:t> </w:t>
      </w:r>
      <w:r>
        <w:rPr>
          <w:i/>
          <w:w w:val="125"/>
          <w:sz w:val="18"/>
        </w:rPr>
        <w:t>törvény</w:t>
      </w:r>
      <w:r>
        <w:rPr>
          <w:i/>
          <w:spacing w:val="-11"/>
          <w:w w:val="125"/>
          <w:sz w:val="18"/>
        </w:rPr>
        <w:t> </w:t>
      </w:r>
      <w:r>
        <w:rPr>
          <w:i/>
          <w:w w:val="125"/>
          <w:sz w:val="18"/>
        </w:rPr>
        <w:t>121.</w:t>
      </w:r>
      <w:r>
        <w:rPr>
          <w:i/>
          <w:spacing w:val="-11"/>
          <w:w w:val="125"/>
          <w:sz w:val="18"/>
        </w:rPr>
        <w:t> </w:t>
      </w:r>
      <w:r>
        <w:rPr>
          <w:i/>
          <w:w w:val="125"/>
          <w:sz w:val="18"/>
        </w:rPr>
        <w:t>§</w:t>
      </w:r>
      <w:r>
        <w:rPr>
          <w:i/>
          <w:spacing w:val="-9"/>
          <w:w w:val="125"/>
          <w:sz w:val="18"/>
        </w:rPr>
        <w:t> </w:t>
      </w:r>
      <w:r>
        <w:rPr>
          <w:i/>
          <w:w w:val="125"/>
          <w:sz w:val="18"/>
        </w:rPr>
        <w:t>(8).</w:t>
      </w:r>
      <w:r>
        <w:rPr>
          <w:i/>
          <w:spacing w:val="-10"/>
          <w:w w:val="125"/>
          <w:sz w:val="18"/>
        </w:rPr>
        <w:t> </w:t>
      </w:r>
      <w:r>
        <w:rPr>
          <w:i/>
          <w:w w:val="125"/>
          <w:sz w:val="18"/>
        </w:rPr>
        <w:t>Hatályos:</w:t>
      </w:r>
      <w:r>
        <w:rPr>
          <w:i/>
          <w:spacing w:val="-10"/>
          <w:w w:val="125"/>
          <w:sz w:val="18"/>
        </w:rPr>
        <w:t> </w:t>
      </w:r>
      <w:r>
        <w:rPr>
          <w:i/>
          <w:w w:val="125"/>
          <w:sz w:val="18"/>
        </w:rPr>
        <w:t>2018.</w:t>
      </w:r>
      <w:r>
        <w:rPr>
          <w:i/>
          <w:spacing w:val="-11"/>
          <w:w w:val="125"/>
          <w:sz w:val="18"/>
        </w:rPr>
        <w:t> </w:t>
      </w:r>
      <w:r>
        <w:rPr>
          <w:i/>
          <w:w w:val="125"/>
          <w:sz w:val="18"/>
        </w:rPr>
        <w:t>I.</w:t>
      </w:r>
      <w:r>
        <w:rPr>
          <w:i/>
          <w:spacing w:val="-10"/>
          <w:w w:val="125"/>
          <w:sz w:val="18"/>
        </w:rPr>
        <w:t> </w:t>
      </w:r>
      <w:r>
        <w:rPr>
          <w:i/>
          <w:w w:val="125"/>
          <w:sz w:val="18"/>
        </w:rPr>
        <w:t>13-tól.</w:t>
      </w:r>
    </w:p>
    <w:p>
      <w:pPr>
        <w:tabs>
          <w:tab w:pos="686" w:val="left" w:leader="none"/>
        </w:tabs>
        <w:spacing w:line="200" w:lineRule="exact" w:before="0"/>
        <w:ind w:left="342" w:right="0" w:firstLine="0"/>
        <w:jc w:val="left"/>
        <w:rPr>
          <w:i/>
          <w:sz w:val="18"/>
        </w:rPr>
      </w:pPr>
      <w:r>
        <w:rPr>
          <w:i/>
          <w:w w:val="125"/>
          <w:sz w:val="18"/>
        </w:rPr>
        <w:t>4</w:t>
        <w:tab/>
        <w:t>Beiktatta: 2017. évi CXLV. törvény 121. § (8). Hatályos: 2018. I.</w:t>
      </w:r>
      <w:r>
        <w:rPr>
          <w:i/>
          <w:spacing w:val="-15"/>
          <w:w w:val="125"/>
          <w:sz w:val="18"/>
        </w:rPr>
        <w:t> </w:t>
      </w:r>
      <w:r>
        <w:rPr>
          <w:i/>
          <w:w w:val="125"/>
          <w:sz w:val="18"/>
        </w:rPr>
        <w:t>13-tól.</w:t>
      </w:r>
    </w:p>
    <w:p>
      <w:pPr>
        <w:tabs>
          <w:tab w:pos="686" w:val="left" w:leader="none"/>
        </w:tabs>
        <w:spacing w:line="203" w:lineRule="exact" w:before="0"/>
        <w:ind w:left="342" w:right="0" w:firstLine="0"/>
        <w:jc w:val="left"/>
        <w:rPr>
          <w:i/>
          <w:sz w:val="18"/>
        </w:rPr>
      </w:pPr>
      <w:r>
        <w:rPr>
          <w:i/>
          <w:w w:val="125"/>
          <w:sz w:val="18"/>
        </w:rPr>
        <w:t>5</w:t>
        <w:tab/>
        <w:t>Módosította: 2014. évi LXXIV. törvény 328.</w:t>
      </w:r>
      <w:r>
        <w:rPr>
          <w:i/>
          <w:spacing w:val="-4"/>
          <w:w w:val="125"/>
          <w:sz w:val="18"/>
        </w:rPr>
        <w:t> </w:t>
      </w:r>
      <w:r>
        <w:rPr>
          <w:i/>
          <w:w w:val="125"/>
          <w:sz w:val="18"/>
        </w:rPr>
        <w:t>§.</w:t>
      </w:r>
    </w:p>
    <w:p>
      <w:pPr>
        <w:spacing w:after="0" w:line="203" w:lineRule="exact"/>
        <w:jc w:val="left"/>
        <w:rPr>
          <w:sz w:val="18"/>
        </w:rPr>
        <w:sectPr>
          <w:pgSz w:w="11900" w:h="16820"/>
          <w:pgMar w:header="1104" w:footer="0" w:top="1840" w:bottom="280" w:left="1020" w:right="1000"/>
        </w:sectPr>
      </w:pPr>
    </w:p>
    <w:p>
      <w:pPr>
        <w:pStyle w:val="ListParagraph"/>
        <w:numPr>
          <w:ilvl w:val="0"/>
          <w:numId w:val="41"/>
        </w:numPr>
        <w:tabs>
          <w:tab w:pos="776" w:val="left" w:leader="none"/>
        </w:tabs>
        <w:spacing w:line="268" w:lineRule="exact" w:before="159" w:after="0"/>
        <w:ind w:left="775" w:right="0" w:hanging="458"/>
        <w:jc w:val="left"/>
        <w:rPr>
          <w:i/>
          <w:sz w:val="24"/>
        </w:rPr>
      </w:pPr>
      <w:r>
        <w:rPr>
          <w:i/>
          <w:w w:val="130"/>
          <w:sz w:val="24"/>
        </w:rPr>
        <w:t>pénzügyi szolgáltatás</w:t>
      </w:r>
      <w:r>
        <w:rPr>
          <w:i/>
          <w:spacing w:val="-7"/>
          <w:w w:val="130"/>
          <w:sz w:val="24"/>
        </w:rPr>
        <w:t> </w:t>
      </w:r>
      <w:r>
        <w:rPr>
          <w:i/>
          <w:w w:val="130"/>
          <w:sz w:val="24"/>
        </w:rPr>
        <w:t>közvetítése:</w:t>
      </w:r>
    </w:p>
    <w:p>
      <w:pPr>
        <w:pStyle w:val="ListParagraph"/>
        <w:numPr>
          <w:ilvl w:val="0"/>
          <w:numId w:val="42"/>
        </w:numPr>
        <w:tabs>
          <w:tab w:pos="676" w:val="left" w:leader="none"/>
        </w:tabs>
        <w:spacing w:line="225" w:lineRule="auto" w:before="6" w:after="0"/>
        <w:ind w:left="113" w:right="127" w:firstLine="204"/>
        <w:jc w:val="both"/>
        <w:rPr>
          <w:sz w:val="24"/>
        </w:rPr>
      </w:pPr>
      <w:r>
        <w:rPr>
          <w:i/>
          <w:w w:val="130"/>
          <w:sz w:val="24"/>
        </w:rPr>
        <w:t>kiemelt közvetítői tevékenység: </w:t>
      </w:r>
      <w:r>
        <w:rPr>
          <w:w w:val="130"/>
          <w:sz w:val="24"/>
        </w:rPr>
        <w:t>pénzügyi intézménnyel kötött megbízási szerződés alapján, a pénzügyi intézmény nevében, javára és kockázatára, pénzügyi szolgáltatás, kiegészítő pénzügyi szolgáltatás nyújtásának, szolgáltatásra irányuló szerződés megkötésének elősegítésére irányuló tevékenység, ideértve a pénzügyi intézmény nevében, javára és kockázatára történő kötelezettségvállalást vagy a szerződés megkötését</w:t>
      </w:r>
      <w:r>
        <w:rPr>
          <w:spacing w:val="-41"/>
          <w:w w:val="130"/>
          <w:sz w:val="24"/>
        </w:rPr>
        <w:t> </w:t>
      </w:r>
      <w:r>
        <w:rPr>
          <w:w w:val="130"/>
          <w:sz w:val="24"/>
        </w:rPr>
        <w:t>is;</w:t>
      </w:r>
    </w:p>
    <w:p>
      <w:pPr>
        <w:pStyle w:val="ListParagraph"/>
        <w:numPr>
          <w:ilvl w:val="0"/>
          <w:numId w:val="42"/>
        </w:numPr>
        <w:tabs>
          <w:tab w:pos="675" w:val="left" w:leader="none"/>
        </w:tabs>
        <w:spacing w:line="225" w:lineRule="auto" w:before="3" w:after="0"/>
        <w:ind w:left="113" w:right="127" w:firstLine="204"/>
        <w:jc w:val="both"/>
        <w:rPr>
          <w:sz w:val="24"/>
        </w:rPr>
      </w:pPr>
      <w:r>
        <w:rPr>
          <w:i/>
          <w:w w:val="130"/>
          <w:sz w:val="24"/>
        </w:rPr>
        <w:t>ügynöki tevékenység: </w:t>
      </w:r>
      <w:r>
        <w:rPr>
          <w:w w:val="130"/>
          <w:sz w:val="24"/>
        </w:rPr>
        <w:t>pénzügyi intézménnyel kötött megbízási</w:t>
      </w:r>
      <w:r>
        <w:rPr>
          <w:spacing w:val="-35"/>
          <w:w w:val="130"/>
          <w:sz w:val="24"/>
        </w:rPr>
        <w:t> </w:t>
      </w:r>
      <w:r>
        <w:rPr>
          <w:w w:val="130"/>
          <w:sz w:val="24"/>
        </w:rPr>
        <w:t>szerződés alapján pénzügyi szolgáltatás, kiegészítő pénzügyi szolgáltatás nyújtásának, ilyen szolgáltatásra irányuló szerződés megkötésének elősegítésére irányuló tevékenység, amelynek során a pénzügyi intézmény kockázatára önállóan kötelezettséget nem vállalnak, szerződést nem</w:t>
      </w:r>
      <w:r>
        <w:rPr>
          <w:spacing w:val="-28"/>
          <w:w w:val="130"/>
          <w:sz w:val="24"/>
        </w:rPr>
        <w:t> </w:t>
      </w:r>
      <w:r>
        <w:rPr>
          <w:w w:val="130"/>
          <w:sz w:val="24"/>
        </w:rPr>
        <w:t>kötnek;</w:t>
      </w:r>
    </w:p>
    <w:p>
      <w:pPr>
        <w:pStyle w:val="ListParagraph"/>
        <w:numPr>
          <w:ilvl w:val="0"/>
          <w:numId w:val="42"/>
        </w:numPr>
        <w:tabs>
          <w:tab w:pos="716" w:val="left" w:leader="none"/>
        </w:tabs>
        <w:spacing w:line="225" w:lineRule="auto" w:before="3" w:after="0"/>
        <w:ind w:left="113" w:right="125" w:firstLine="204"/>
        <w:jc w:val="both"/>
        <w:rPr>
          <w:sz w:val="24"/>
        </w:rPr>
      </w:pPr>
      <w:r>
        <w:rPr>
          <w:i/>
          <w:w w:val="125"/>
          <w:sz w:val="24"/>
        </w:rPr>
        <w:t>pénzforgalmi közvetítői tevékenység: </w:t>
      </w:r>
      <w:r>
        <w:rPr>
          <w:w w:val="125"/>
          <w:sz w:val="24"/>
        </w:rPr>
        <w:t>az egyes fizetési  szolgáltatókról szóló törvényben meghatározott</w:t>
      </w:r>
      <w:r>
        <w:rPr>
          <w:spacing w:val="4"/>
          <w:w w:val="125"/>
          <w:sz w:val="24"/>
        </w:rPr>
        <w:t> </w:t>
      </w:r>
      <w:r>
        <w:rPr>
          <w:w w:val="125"/>
          <w:sz w:val="24"/>
        </w:rPr>
        <w:t>tevékenység;</w:t>
      </w:r>
    </w:p>
    <w:p>
      <w:pPr>
        <w:pStyle w:val="ListParagraph"/>
        <w:numPr>
          <w:ilvl w:val="0"/>
          <w:numId w:val="42"/>
        </w:numPr>
        <w:tabs>
          <w:tab w:pos="727" w:val="left" w:leader="none"/>
        </w:tabs>
        <w:spacing w:line="225" w:lineRule="auto" w:before="1" w:after="0"/>
        <w:ind w:left="113" w:right="126" w:firstLine="204"/>
        <w:jc w:val="both"/>
        <w:rPr>
          <w:sz w:val="24"/>
        </w:rPr>
      </w:pPr>
      <w:r>
        <w:rPr>
          <w:i/>
          <w:w w:val="125"/>
          <w:sz w:val="24"/>
        </w:rPr>
        <w:t>alkuszi tevékenység: </w:t>
      </w:r>
      <w:r>
        <w:rPr>
          <w:w w:val="125"/>
          <w:sz w:val="24"/>
        </w:rPr>
        <w:t>pénzügyi szolgáltatást igénybe venni szándékozó ügyféllel kötött megbízási szerződés alapján és nevében pénzügyi  intézménnyel történő pénzügyi szolgáltatási szerződés kiválasztására, megkötésének elősegítésére irányuló tevékenység, amely nem terjed ki az ügyfél nevében, javára történő</w:t>
      </w:r>
      <w:r>
        <w:rPr>
          <w:spacing w:val="8"/>
          <w:w w:val="125"/>
          <w:sz w:val="24"/>
        </w:rPr>
        <w:t> </w:t>
      </w:r>
      <w:r>
        <w:rPr>
          <w:w w:val="125"/>
          <w:sz w:val="24"/>
        </w:rPr>
        <w:t>kockázatvállalásra;</w:t>
      </w:r>
    </w:p>
    <w:p>
      <w:pPr>
        <w:pStyle w:val="ListParagraph"/>
        <w:numPr>
          <w:ilvl w:val="0"/>
          <w:numId w:val="42"/>
        </w:numPr>
        <w:tabs>
          <w:tab w:pos="555" w:val="left" w:leader="none"/>
        </w:tabs>
        <w:spacing w:line="251" w:lineRule="exact" w:before="0" w:after="0"/>
        <w:ind w:left="554" w:right="0" w:hanging="237"/>
        <w:jc w:val="left"/>
        <w:rPr>
          <w:sz w:val="24"/>
        </w:rPr>
      </w:pPr>
      <w:r>
        <w:rPr>
          <w:i/>
          <w:w w:val="125"/>
          <w:position w:val="3"/>
          <w:sz w:val="18"/>
        </w:rPr>
        <w:t>1 </w:t>
      </w:r>
      <w:r>
        <w:rPr>
          <w:i/>
          <w:w w:val="125"/>
          <w:sz w:val="24"/>
        </w:rPr>
        <w:t>jelzáloghitel közvetítői tevékenység</w:t>
      </w:r>
      <w:r>
        <w:rPr>
          <w:w w:val="125"/>
          <w:sz w:val="24"/>
        </w:rPr>
        <w:t>: az </w:t>
      </w:r>
      <w:r>
        <w:rPr>
          <w:i/>
          <w:w w:val="125"/>
          <w:sz w:val="24"/>
        </w:rPr>
        <w:t>a), b) </w:t>
      </w:r>
      <w:r>
        <w:rPr>
          <w:w w:val="125"/>
          <w:sz w:val="24"/>
        </w:rPr>
        <w:t>vagy </w:t>
      </w:r>
      <w:r>
        <w:rPr>
          <w:i/>
          <w:w w:val="125"/>
          <w:sz w:val="24"/>
        </w:rPr>
        <w:t>d) </w:t>
      </w:r>
      <w:r>
        <w:rPr>
          <w:w w:val="125"/>
          <w:sz w:val="24"/>
        </w:rPr>
        <w:t>pontban</w:t>
      </w:r>
      <w:r>
        <w:rPr>
          <w:spacing w:val="14"/>
          <w:w w:val="125"/>
          <w:sz w:val="24"/>
        </w:rPr>
        <w:t> </w:t>
      </w:r>
      <w:r>
        <w:rPr>
          <w:w w:val="125"/>
          <w:sz w:val="24"/>
        </w:rPr>
        <w:t>foglalt</w:t>
      </w:r>
    </w:p>
    <w:p>
      <w:pPr>
        <w:pStyle w:val="BodyText"/>
        <w:spacing w:line="225" w:lineRule="auto" w:before="12"/>
        <w:ind w:firstLine="0"/>
      </w:pPr>
      <w:r>
        <w:rPr>
          <w:w w:val="125"/>
        </w:rPr>
        <w:t>tevékenységnek a jelzáloghitelhez vagy a fogyasztónak nyújtott ingatlanra vonatkozó pénzügyi lízinghez kapcsolódó végzése;</w:t>
      </w:r>
    </w:p>
    <w:p>
      <w:pPr>
        <w:pStyle w:val="ListParagraph"/>
        <w:numPr>
          <w:ilvl w:val="0"/>
          <w:numId w:val="41"/>
        </w:numPr>
        <w:tabs>
          <w:tab w:pos="970" w:val="left" w:leader="none"/>
        </w:tabs>
        <w:spacing w:line="225" w:lineRule="auto" w:before="1" w:after="0"/>
        <w:ind w:left="113" w:right="124" w:firstLine="204"/>
        <w:jc w:val="both"/>
        <w:rPr>
          <w:sz w:val="24"/>
        </w:rPr>
      </w:pPr>
      <w:r>
        <w:rPr>
          <w:i/>
          <w:w w:val="125"/>
          <w:sz w:val="24"/>
        </w:rPr>
        <w:t>pénzügyi ügynöki tevékenység bankközi piacon: </w:t>
      </w:r>
      <w:r>
        <w:rPr>
          <w:w w:val="125"/>
          <w:sz w:val="24"/>
        </w:rPr>
        <w:t>bankközi piaci résztvevők közötti forint-, illetve devizahitel- és betétügylet, deviza-adásvétel közvetítése annak érdekében, hogy a hitelintézetek, továbbá más  bankközi piaci résztvevők az erre irányuló jogügyleteket egymással közvetlenül megkössék;</w:t>
      </w:r>
    </w:p>
    <w:p>
      <w:pPr>
        <w:pStyle w:val="ListParagraph"/>
        <w:numPr>
          <w:ilvl w:val="0"/>
          <w:numId w:val="41"/>
        </w:numPr>
        <w:tabs>
          <w:tab w:pos="811" w:val="left" w:leader="none"/>
        </w:tabs>
        <w:spacing w:line="225" w:lineRule="auto" w:before="3" w:after="0"/>
        <w:ind w:left="113" w:right="125" w:firstLine="204"/>
        <w:jc w:val="both"/>
        <w:rPr>
          <w:sz w:val="24"/>
        </w:rPr>
      </w:pPr>
      <w:r>
        <w:rPr>
          <w:i/>
          <w:w w:val="130"/>
          <w:sz w:val="24"/>
        </w:rPr>
        <w:t>pénzváltási</w:t>
      </w:r>
      <w:r>
        <w:rPr>
          <w:i/>
          <w:spacing w:val="-11"/>
          <w:w w:val="130"/>
          <w:sz w:val="24"/>
        </w:rPr>
        <w:t> </w:t>
      </w:r>
      <w:r>
        <w:rPr>
          <w:i/>
          <w:w w:val="130"/>
          <w:sz w:val="24"/>
        </w:rPr>
        <w:t>tevékenység:</w:t>
      </w:r>
      <w:r>
        <w:rPr>
          <w:i/>
          <w:spacing w:val="-10"/>
          <w:w w:val="130"/>
          <w:sz w:val="24"/>
        </w:rPr>
        <w:t> </w:t>
      </w:r>
      <w:r>
        <w:rPr>
          <w:w w:val="130"/>
          <w:sz w:val="24"/>
        </w:rPr>
        <w:t>külföldi</w:t>
      </w:r>
      <w:r>
        <w:rPr>
          <w:spacing w:val="-6"/>
          <w:w w:val="130"/>
          <w:sz w:val="24"/>
        </w:rPr>
        <w:t> </w:t>
      </w:r>
      <w:r>
        <w:rPr>
          <w:w w:val="130"/>
          <w:sz w:val="24"/>
        </w:rPr>
        <w:t>fizetőeszközök</w:t>
      </w:r>
      <w:r>
        <w:rPr>
          <w:spacing w:val="-16"/>
          <w:w w:val="130"/>
          <w:sz w:val="24"/>
        </w:rPr>
        <w:t> </w:t>
      </w:r>
      <w:r>
        <w:rPr>
          <w:w w:val="130"/>
          <w:sz w:val="24"/>
        </w:rPr>
        <w:t>adásvétele</w:t>
      </w:r>
      <w:r>
        <w:rPr>
          <w:spacing w:val="-11"/>
          <w:w w:val="130"/>
          <w:sz w:val="24"/>
        </w:rPr>
        <w:t> </w:t>
      </w:r>
      <w:r>
        <w:rPr>
          <w:w w:val="130"/>
          <w:sz w:val="24"/>
        </w:rPr>
        <w:t>a</w:t>
      </w:r>
      <w:r>
        <w:rPr>
          <w:spacing w:val="-11"/>
          <w:w w:val="130"/>
          <w:sz w:val="24"/>
        </w:rPr>
        <w:t> </w:t>
      </w:r>
      <w:r>
        <w:rPr>
          <w:w w:val="130"/>
          <w:sz w:val="24"/>
        </w:rPr>
        <w:t>törvényes fizetési eszköz ellenében, valamint külföldi fizetési eszközök adásvétele külföldi</w:t>
      </w:r>
      <w:r>
        <w:rPr>
          <w:spacing w:val="-34"/>
          <w:w w:val="130"/>
          <w:sz w:val="24"/>
        </w:rPr>
        <w:t> </w:t>
      </w:r>
      <w:r>
        <w:rPr>
          <w:w w:val="130"/>
          <w:sz w:val="24"/>
        </w:rPr>
        <w:t>fizetési</w:t>
      </w:r>
      <w:r>
        <w:rPr>
          <w:spacing w:val="-41"/>
          <w:w w:val="130"/>
          <w:sz w:val="24"/>
        </w:rPr>
        <w:t> </w:t>
      </w:r>
      <w:r>
        <w:rPr>
          <w:w w:val="130"/>
          <w:sz w:val="24"/>
        </w:rPr>
        <w:t>eszközök</w:t>
      </w:r>
      <w:r>
        <w:rPr>
          <w:spacing w:val="-38"/>
          <w:w w:val="130"/>
          <w:sz w:val="24"/>
        </w:rPr>
        <w:t> </w:t>
      </w:r>
      <w:r>
        <w:rPr>
          <w:w w:val="130"/>
          <w:sz w:val="24"/>
        </w:rPr>
        <w:t>ellenében.</w:t>
      </w:r>
      <w:r>
        <w:rPr>
          <w:spacing w:val="-36"/>
          <w:w w:val="130"/>
          <w:sz w:val="24"/>
        </w:rPr>
        <w:t> </w:t>
      </w:r>
      <w:r>
        <w:rPr>
          <w:w w:val="130"/>
          <w:sz w:val="24"/>
        </w:rPr>
        <w:t>Nem</w:t>
      </w:r>
      <w:r>
        <w:rPr>
          <w:spacing w:val="-39"/>
          <w:w w:val="130"/>
          <w:sz w:val="24"/>
        </w:rPr>
        <w:t> </w:t>
      </w:r>
      <w:r>
        <w:rPr>
          <w:w w:val="130"/>
          <w:sz w:val="24"/>
        </w:rPr>
        <w:t>minősül</w:t>
      </w:r>
      <w:r>
        <w:rPr>
          <w:spacing w:val="-37"/>
          <w:w w:val="130"/>
          <w:sz w:val="24"/>
        </w:rPr>
        <w:t> </w:t>
      </w:r>
      <w:r>
        <w:rPr>
          <w:w w:val="130"/>
          <w:sz w:val="24"/>
        </w:rPr>
        <w:t>pénzváltási</w:t>
      </w:r>
      <w:r>
        <w:rPr>
          <w:spacing w:val="-37"/>
          <w:w w:val="130"/>
          <w:sz w:val="24"/>
        </w:rPr>
        <w:t> </w:t>
      </w:r>
      <w:r>
        <w:rPr>
          <w:w w:val="130"/>
          <w:sz w:val="24"/>
        </w:rPr>
        <w:t>tevékenységnek a pénzforgalmi szolgáltatáshoz kapcsolódó pénznemek pénzforgalmi szolgáltató által történő átváltása, a külföldi pénznemre szóló, forgalomban lévő vagy forgalomban lévőre még átcserélhető pénzérmék és bankjegyek numizmatikai célú forgalmazása, valamint belkereskedelemben az áruval, vagy</w:t>
      </w:r>
      <w:r>
        <w:rPr>
          <w:spacing w:val="-22"/>
          <w:w w:val="130"/>
          <w:sz w:val="24"/>
        </w:rPr>
        <w:t> </w:t>
      </w:r>
      <w:r>
        <w:rPr>
          <w:w w:val="130"/>
          <w:sz w:val="24"/>
        </w:rPr>
        <w:t>szolgáltatással</w:t>
      </w:r>
      <w:r>
        <w:rPr>
          <w:spacing w:val="-12"/>
          <w:w w:val="130"/>
          <w:sz w:val="24"/>
        </w:rPr>
        <w:t> </w:t>
      </w:r>
      <w:r>
        <w:rPr>
          <w:w w:val="130"/>
          <w:sz w:val="24"/>
        </w:rPr>
        <w:t>kapcsolatos</w:t>
      </w:r>
      <w:r>
        <w:rPr>
          <w:spacing w:val="-31"/>
          <w:w w:val="130"/>
          <w:sz w:val="24"/>
        </w:rPr>
        <w:t> </w:t>
      </w:r>
      <w:r>
        <w:rPr>
          <w:w w:val="130"/>
          <w:sz w:val="24"/>
        </w:rPr>
        <w:t>ügyletekre</w:t>
      </w:r>
      <w:r>
        <w:rPr>
          <w:spacing w:val="-21"/>
          <w:w w:val="130"/>
          <w:sz w:val="24"/>
        </w:rPr>
        <w:t> </w:t>
      </w:r>
      <w:r>
        <w:rPr>
          <w:w w:val="130"/>
          <w:sz w:val="24"/>
        </w:rPr>
        <w:t>vonatkozó</w:t>
      </w:r>
      <w:r>
        <w:rPr>
          <w:spacing w:val="-22"/>
          <w:w w:val="130"/>
          <w:sz w:val="24"/>
        </w:rPr>
        <w:t> </w:t>
      </w:r>
      <w:r>
        <w:rPr>
          <w:w w:val="130"/>
          <w:sz w:val="24"/>
        </w:rPr>
        <w:t>fizetések</w:t>
      </w:r>
      <w:r>
        <w:rPr>
          <w:spacing w:val="-21"/>
          <w:w w:val="130"/>
          <w:sz w:val="24"/>
        </w:rPr>
        <w:t> </w:t>
      </w:r>
      <w:r>
        <w:rPr>
          <w:w w:val="130"/>
          <w:sz w:val="24"/>
        </w:rPr>
        <w:t>teljesítése;</w:t>
      </w:r>
    </w:p>
    <w:p>
      <w:pPr>
        <w:pStyle w:val="ListParagraph"/>
        <w:numPr>
          <w:ilvl w:val="0"/>
          <w:numId w:val="41"/>
        </w:numPr>
        <w:tabs>
          <w:tab w:pos="953" w:val="left" w:leader="none"/>
        </w:tabs>
        <w:spacing w:line="225" w:lineRule="auto" w:before="5" w:after="0"/>
        <w:ind w:left="113" w:right="126" w:firstLine="204"/>
        <w:jc w:val="both"/>
        <w:rPr>
          <w:sz w:val="24"/>
        </w:rPr>
      </w:pPr>
      <w:r>
        <w:rPr>
          <w:i/>
          <w:w w:val="125"/>
          <w:sz w:val="24"/>
        </w:rPr>
        <w:t>referencia-kamatláb: </w:t>
      </w:r>
      <w:r>
        <w:rPr>
          <w:w w:val="125"/>
          <w:sz w:val="24"/>
        </w:rPr>
        <w:t>bármilyen alkalmazandó kamat számításának alapjául szolgáló, a nyilvánosság számára hozzáférhető mindenkori kamatláb, amelynek mértékére a hitelezőnek nincs</w:t>
      </w:r>
      <w:r>
        <w:rPr>
          <w:spacing w:val="16"/>
          <w:w w:val="125"/>
          <w:sz w:val="24"/>
        </w:rPr>
        <w:t> </w:t>
      </w:r>
      <w:r>
        <w:rPr>
          <w:w w:val="125"/>
          <w:sz w:val="24"/>
        </w:rPr>
        <w:t>ráhatása;</w:t>
      </w:r>
    </w:p>
    <w:p>
      <w:pPr>
        <w:pStyle w:val="ListParagraph"/>
        <w:numPr>
          <w:ilvl w:val="0"/>
          <w:numId w:val="41"/>
        </w:numPr>
        <w:tabs>
          <w:tab w:pos="845" w:val="left" w:leader="none"/>
        </w:tabs>
        <w:spacing w:line="225" w:lineRule="auto" w:before="1" w:after="0"/>
        <w:ind w:left="113" w:right="128" w:firstLine="204"/>
        <w:jc w:val="both"/>
        <w:rPr>
          <w:sz w:val="24"/>
        </w:rPr>
      </w:pPr>
      <w:r>
        <w:rPr>
          <w:i/>
          <w:w w:val="125"/>
          <w:sz w:val="24"/>
        </w:rPr>
        <w:t>rendkívüli intézkedési terv: </w:t>
      </w:r>
      <w:r>
        <w:rPr>
          <w:w w:val="125"/>
          <w:sz w:val="24"/>
        </w:rPr>
        <w:t>a pénzügyi intézmény által kidolgozott, a jogszabályoknak megfelelő működés biztosítása érdekében szükséges - határidőkhöz és felelősökhöz kötött - lépéseket tartalmazó</w:t>
      </w:r>
      <w:r>
        <w:rPr>
          <w:spacing w:val="21"/>
          <w:w w:val="125"/>
          <w:sz w:val="24"/>
        </w:rPr>
        <w:t> </w:t>
      </w:r>
      <w:r>
        <w:rPr>
          <w:w w:val="125"/>
          <w:sz w:val="24"/>
        </w:rPr>
        <w:t>terv;</w:t>
      </w:r>
    </w:p>
    <w:p>
      <w:pPr>
        <w:pStyle w:val="ListParagraph"/>
        <w:numPr>
          <w:ilvl w:val="0"/>
          <w:numId w:val="41"/>
        </w:numPr>
        <w:tabs>
          <w:tab w:pos="888" w:val="left" w:leader="none"/>
        </w:tabs>
        <w:spacing w:line="225" w:lineRule="auto" w:before="2" w:after="0"/>
        <w:ind w:left="113" w:right="124" w:firstLine="204"/>
        <w:jc w:val="both"/>
        <w:rPr>
          <w:sz w:val="24"/>
        </w:rPr>
      </w:pPr>
      <w:r>
        <w:rPr>
          <w:i/>
          <w:w w:val="130"/>
          <w:sz w:val="24"/>
        </w:rPr>
        <w:t>rendszerkockázat: </w:t>
      </w:r>
      <w:r>
        <w:rPr>
          <w:w w:val="130"/>
          <w:sz w:val="24"/>
        </w:rPr>
        <w:t>a pénzügyi rendszer olyan zavarának kockázata, amely a pénzügyi rendszerre és a gazdaságra nézve súlyos negatív következményt</w:t>
      </w:r>
      <w:r>
        <w:rPr>
          <w:spacing w:val="12"/>
          <w:w w:val="130"/>
          <w:sz w:val="24"/>
        </w:rPr>
        <w:t> </w:t>
      </w:r>
      <w:r>
        <w:rPr>
          <w:w w:val="130"/>
          <w:sz w:val="24"/>
        </w:rPr>
        <w:t>jelenthet;</w:t>
      </w:r>
    </w:p>
    <w:p>
      <w:pPr>
        <w:pStyle w:val="ListParagraph"/>
        <w:numPr>
          <w:ilvl w:val="0"/>
          <w:numId w:val="41"/>
        </w:numPr>
        <w:tabs>
          <w:tab w:pos="808" w:val="left" w:leader="none"/>
        </w:tabs>
        <w:spacing w:line="225" w:lineRule="auto" w:before="2" w:after="0"/>
        <w:ind w:left="113" w:right="126" w:firstLine="204"/>
        <w:jc w:val="both"/>
        <w:rPr>
          <w:sz w:val="24"/>
        </w:rPr>
      </w:pPr>
      <w:r>
        <w:rPr>
          <w:i/>
          <w:w w:val="130"/>
          <w:sz w:val="24"/>
        </w:rPr>
        <w:t>rendszerkockázati tőkepuffer-követelmény: </w:t>
      </w:r>
      <w:r>
        <w:rPr>
          <w:w w:val="130"/>
          <w:sz w:val="24"/>
        </w:rPr>
        <w:t>a rendszerszintű kockázatok megelőzésére és mérséklésére irányuló</w:t>
      </w:r>
      <w:r>
        <w:rPr>
          <w:spacing w:val="-56"/>
          <w:w w:val="130"/>
          <w:sz w:val="24"/>
        </w:rPr>
        <w:t> </w:t>
      </w:r>
      <w:r>
        <w:rPr>
          <w:w w:val="130"/>
          <w:sz w:val="24"/>
        </w:rPr>
        <w:t>szavatolótőke-követelmény;</w:t>
      </w:r>
    </w:p>
    <w:p>
      <w:pPr>
        <w:pStyle w:val="ListParagraph"/>
        <w:numPr>
          <w:ilvl w:val="0"/>
          <w:numId w:val="41"/>
        </w:numPr>
        <w:tabs>
          <w:tab w:pos="776" w:val="left" w:leader="none"/>
        </w:tabs>
        <w:spacing w:line="256" w:lineRule="exact" w:before="0" w:after="0"/>
        <w:ind w:left="775" w:right="0" w:hanging="458"/>
        <w:jc w:val="left"/>
        <w:rPr>
          <w:i/>
          <w:sz w:val="24"/>
        </w:rPr>
      </w:pPr>
      <w:r>
        <w:rPr>
          <w:i/>
          <w:w w:val="130"/>
          <w:sz w:val="24"/>
        </w:rPr>
        <w:t>rendszerszinten jelentős</w:t>
      </w:r>
      <w:r>
        <w:rPr>
          <w:i/>
          <w:spacing w:val="-6"/>
          <w:w w:val="130"/>
          <w:sz w:val="24"/>
        </w:rPr>
        <w:t> </w:t>
      </w:r>
      <w:r>
        <w:rPr>
          <w:i/>
          <w:w w:val="130"/>
          <w:sz w:val="24"/>
        </w:rPr>
        <w:t>hitelintézet:</w:t>
      </w:r>
    </w:p>
    <w:p>
      <w:pPr>
        <w:pStyle w:val="ListParagraph"/>
        <w:numPr>
          <w:ilvl w:val="0"/>
          <w:numId w:val="43"/>
        </w:numPr>
        <w:tabs>
          <w:tab w:pos="631" w:val="left" w:leader="none"/>
        </w:tabs>
        <w:spacing w:line="260" w:lineRule="exact" w:before="0" w:after="0"/>
        <w:ind w:left="630" w:right="0" w:hanging="313"/>
        <w:jc w:val="left"/>
        <w:rPr>
          <w:sz w:val="24"/>
        </w:rPr>
      </w:pPr>
      <w:r>
        <w:rPr>
          <w:w w:val="130"/>
          <w:sz w:val="24"/>
        </w:rPr>
        <w:t>a hitelintézet, ideértve az EU-szintű hitelintézeti</w:t>
      </w:r>
      <w:r>
        <w:rPr>
          <w:spacing w:val="-47"/>
          <w:w w:val="130"/>
          <w:sz w:val="24"/>
        </w:rPr>
        <w:t> </w:t>
      </w:r>
      <w:r>
        <w:rPr>
          <w:w w:val="130"/>
          <w:sz w:val="24"/>
        </w:rPr>
        <w:t>anyavállalatot,</w:t>
      </w:r>
    </w:p>
    <w:p>
      <w:pPr>
        <w:pStyle w:val="ListParagraph"/>
        <w:numPr>
          <w:ilvl w:val="0"/>
          <w:numId w:val="43"/>
        </w:numPr>
        <w:tabs>
          <w:tab w:pos="653" w:val="left" w:leader="none"/>
        </w:tabs>
        <w:spacing w:line="260" w:lineRule="exact" w:before="0" w:after="0"/>
        <w:ind w:left="652" w:right="0" w:hanging="335"/>
        <w:jc w:val="left"/>
        <w:rPr>
          <w:sz w:val="24"/>
        </w:rPr>
      </w:pPr>
      <w:r>
        <w:rPr>
          <w:w w:val="125"/>
          <w:sz w:val="24"/>
        </w:rPr>
        <w:t>az EU-szintű pénzügyi holding társaság anyavállalat</w:t>
      </w:r>
      <w:r>
        <w:rPr>
          <w:spacing w:val="-7"/>
          <w:w w:val="125"/>
          <w:sz w:val="24"/>
        </w:rPr>
        <w:t> </w:t>
      </w:r>
      <w:r>
        <w:rPr>
          <w:w w:val="125"/>
          <w:sz w:val="24"/>
        </w:rPr>
        <w:t>vagy</w:t>
      </w:r>
    </w:p>
    <w:p>
      <w:pPr>
        <w:pStyle w:val="ListParagraph"/>
        <w:numPr>
          <w:ilvl w:val="0"/>
          <w:numId w:val="43"/>
        </w:numPr>
        <w:tabs>
          <w:tab w:pos="623" w:val="left" w:leader="none"/>
        </w:tabs>
        <w:spacing w:line="268" w:lineRule="exact" w:before="0" w:after="0"/>
        <w:ind w:left="622" w:right="0" w:hanging="305"/>
        <w:jc w:val="left"/>
        <w:rPr>
          <w:sz w:val="24"/>
        </w:rPr>
      </w:pPr>
      <w:r>
        <w:rPr>
          <w:w w:val="125"/>
          <w:sz w:val="24"/>
        </w:rPr>
        <w:t>az EU-szintű vegyes pénzügyi holding társaság</w:t>
      </w:r>
      <w:r>
        <w:rPr>
          <w:spacing w:val="5"/>
          <w:w w:val="125"/>
          <w:sz w:val="24"/>
        </w:rPr>
        <w:t> </w:t>
      </w:r>
      <w:r>
        <w:rPr>
          <w:w w:val="125"/>
          <w:sz w:val="24"/>
        </w:rPr>
        <w:t>anyavállalat,</w:t>
      </w:r>
    </w:p>
    <w:p>
      <w:pPr>
        <w:pStyle w:val="BodyText"/>
        <w:spacing w:before="5"/>
        <w:ind w:left="0" w:firstLine="0"/>
        <w:rPr>
          <w:sz w:val="27"/>
        </w:rPr>
      </w:pPr>
      <w:r>
        <w:rPr/>
        <w:pict>
          <v:line style="position:absolute;mso-position-horizontal-relative:page;mso-position-vertical-relative:paragraph;z-index:-736;mso-wrap-distance-left:0;mso-wrap-distance-right:0" from="56.693001pt,17.987461pt" to="538.583001pt,17.987461pt" stroked="true" strokeweight=".5pt" strokecolor="#000000">
            <v:stroke dashstyle="solid"/>
            <w10:wrap type="topAndBottom"/>
          </v:line>
        </w:pict>
      </w:r>
    </w:p>
    <w:p>
      <w:pPr>
        <w:pStyle w:val="ListParagraph"/>
        <w:numPr>
          <w:ilvl w:val="0"/>
          <w:numId w:val="44"/>
        </w:numPr>
        <w:tabs>
          <w:tab w:pos="686" w:val="left" w:leader="none"/>
          <w:tab w:pos="687" w:val="left" w:leader="none"/>
        </w:tabs>
        <w:spacing w:line="240" w:lineRule="auto" w:before="44" w:after="0"/>
        <w:ind w:left="686" w:right="0" w:hanging="344"/>
        <w:jc w:val="left"/>
        <w:rPr>
          <w:i/>
          <w:sz w:val="18"/>
        </w:rPr>
      </w:pPr>
      <w:r>
        <w:rPr>
          <w:i/>
          <w:w w:val="120"/>
          <w:sz w:val="18"/>
        </w:rPr>
        <w:t>Beiktatta: 2015. évi CCXV. törvény 113. § (6). Hatályos: 2016. III.</w:t>
      </w:r>
      <w:r>
        <w:rPr>
          <w:i/>
          <w:spacing w:val="53"/>
          <w:w w:val="120"/>
          <w:sz w:val="18"/>
        </w:rPr>
        <w:t> </w:t>
      </w:r>
      <w:r>
        <w:rPr>
          <w:i/>
          <w:w w:val="120"/>
          <w:sz w:val="18"/>
        </w:rPr>
        <w:t>21-től.</w:t>
      </w:r>
    </w:p>
    <w:p>
      <w:pPr>
        <w:spacing w:after="0" w:line="240" w:lineRule="auto"/>
        <w:jc w:val="left"/>
        <w:rPr>
          <w:sz w:val="18"/>
        </w:rPr>
        <w:sectPr>
          <w:pgSz w:w="11900" w:h="16820"/>
          <w:pgMar w:header="1104" w:footer="0" w:top="1840" w:bottom="280" w:left="1020" w:right="1000"/>
        </w:sectPr>
      </w:pPr>
    </w:p>
    <w:p>
      <w:pPr>
        <w:pStyle w:val="BodyText"/>
        <w:spacing w:line="225" w:lineRule="auto" w:before="173"/>
        <w:ind w:right="127" w:firstLine="0"/>
        <w:jc w:val="both"/>
      </w:pPr>
      <w:r>
        <w:rPr>
          <w:w w:val="130"/>
        </w:rPr>
        <w:t>amelynek fizetésképtelenné válása vagy nem prudens működése rendszerkockázathoz vezethet;</w:t>
      </w:r>
    </w:p>
    <w:p>
      <w:pPr>
        <w:pStyle w:val="ListParagraph"/>
        <w:numPr>
          <w:ilvl w:val="0"/>
          <w:numId w:val="41"/>
        </w:numPr>
        <w:tabs>
          <w:tab w:pos="805" w:val="left" w:leader="none"/>
        </w:tabs>
        <w:spacing w:line="225" w:lineRule="auto" w:before="1" w:after="0"/>
        <w:ind w:left="113" w:right="126" w:firstLine="204"/>
        <w:jc w:val="both"/>
        <w:rPr>
          <w:sz w:val="24"/>
        </w:rPr>
      </w:pPr>
      <w:r>
        <w:rPr>
          <w:i/>
          <w:w w:val="130"/>
          <w:sz w:val="24"/>
        </w:rPr>
        <w:t>rendszerszinten</w:t>
      </w:r>
      <w:r>
        <w:rPr>
          <w:i/>
          <w:spacing w:val="-13"/>
          <w:w w:val="130"/>
          <w:sz w:val="24"/>
        </w:rPr>
        <w:t> </w:t>
      </w:r>
      <w:r>
        <w:rPr>
          <w:i/>
          <w:w w:val="130"/>
          <w:sz w:val="24"/>
        </w:rPr>
        <w:t>jelentős</w:t>
      </w:r>
      <w:r>
        <w:rPr>
          <w:i/>
          <w:spacing w:val="-13"/>
          <w:w w:val="130"/>
          <w:sz w:val="24"/>
        </w:rPr>
        <w:t> </w:t>
      </w:r>
      <w:r>
        <w:rPr>
          <w:i/>
          <w:w w:val="130"/>
          <w:sz w:val="24"/>
        </w:rPr>
        <w:t>intézmény:</w:t>
      </w:r>
      <w:r>
        <w:rPr>
          <w:i/>
          <w:spacing w:val="-12"/>
          <w:w w:val="130"/>
          <w:sz w:val="24"/>
        </w:rPr>
        <w:t> </w:t>
      </w:r>
      <w:r>
        <w:rPr>
          <w:w w:val="130"/>
          <w:sz w:val="24"/>
        </w:rPr>
        <w:t>EU-szintű</w:t>
      </w:r>
      <w:r>
        <w:rPr>
          <w:spacing w:val="-13"/>
          <w:w w:val="130"/>
          <w:sz w:val="24"/>
        </w:rPr>
        <w:t> </w:t>
      </w:r>
      <w:r>
        <w:rPr>
          <w:w w:val="130"/>
          <w:sz w:val="24"/>
        </w:rPr>
        <w:t>hitelintézeti</w:t>
      </w:r>
      <w:r>
        <w:rPr>
          <w:spacing w:val="-13"/>
          <w:w w:val="130"/>
          <w:sz w:val="24"/>
        </w:rPr>
        <w:t> </w:t>
      </w:r>
      <w:r>
        <w:rPr>
          <w:w w:val="130"/>
          <w:sz w:val="24"/>
        </w:rPr>
        <w:t>anyavállalat, EU-szintű</w:t>
      </w:r>
      <w:r>
        <w:rPr>
          <w:spacing w:val="-24"/>
          <w:w w:val="130"/>
          <w:sz w:val="24"/>
        </w:rPr>
        <w:t> </w:t>
      </w:r>
      <w:r>
        <w:rPr>
          <w:w w:val="130"/>
          <w:sz w:val="24"/>
        </w:rPr>
        <w:t>pénzügyi</w:t>
      </w:r>
      <w:r>
        <w:rPr>
          <w:spacing w:val="-23"/>
          <w:w w:val="130"/>
          <w:sz w:val="24"/>
        </w:rPr>
        <w:t> </w:t>
      </w:r>
      <w:r>
        <w:rPr>
          <w:w w:val="130"/>
          <w:sz w:val="24"/>
        </w:rPr>
        <w:t>holding</w:t>
      </w:r>
      <w:r>
        <w:rPr>
          <w:spacing w:val="-24"/>
          <w:w w:val="130"/>
          <w:sz w:val="24"/>
        </w:rPr>
        <w:t> </w:t>
      </w:r>
      <w:r>
        <w:rPr>
          <w:w w:val="130"/>
          <w:sz w:val="24"/>
        </w:rPr>
        <w:t>társaság</w:t>
      </w:r>
      <w:r>
        <w:rPr>
          <w:spacing w:val="-23"/>
          <w:w w:val="130"/>
          <w:sz w:val="24"/>
        </w:rPr>
        <w:t> </w:t>
      </w:r>
      <w:r>
        <w:rPr>
          <w:w w:val="130"/>
          <w:sz w:val="24"/>
        </w:rPr>
        <w:t>anyavállalat,</w:t>
      </w:r>
      <w:r>
        <w:rPr>
          <w:spacing w:val="-23"/>
          <w:w w:val="130"/>
          <w:sz w:val="24"/>
        </w:rPr>
        <w:t> </w:t>
      </w:r>
      <w:r>
        <w:rPr>
          <w:w w:val="130"/>
          <w:sz w:val="24"/>
        </w:rPr>
        <w:t>EU-szintű</w:t>
      </w:r>
      <w:r>
        <w:rPr>
          <w:spacing w:val="-24"/>
          <w:w w:val="130"/>
          <w:sz w:val="24"/>
        </w:rPr>
        <w:t> </w:t>
      </w:r>
      <w:r>
        <w:rPr>
          <w:w w:val="130"/>
          <w:sz w:val="24"/>
        </w:rPr>
        <w:t>vegyes</w:t>
      </w:r>
      <w:r>
        <w:rPr>
          <w:spacing w:val="-23"/>
          <w:w w:val="130"/>
          <w:sz w:val="24"/>
        </w:rPr>
        <w:t> </w:t>
      </w:r>
      <w:r>
        <w:rPr>
          <w:w w:val="130"/>
          <w:sz w:val="24"/>
        </w:rPr>
        <w:t>pénzügyi holding társaság anyavállalat és azok a pénzügyi intézmények, amelyek fizetésképtelenné válása vagy szabálytalan működése rendszerkockázatot eredményez;</w:t>
      </w:r>
    </w:p>
    <w:p>
      <w:pPr>
        <w:pStyle w:val="ListParagraph"/>
        <w:numPr>
          <w:ilvl w:val="0"/>
          <w:numId w:val="41"/>
        </w:numPr>
        <w:tabs>
          <w:tab w:pos="784" w:val="left" w:leader="none"/>
        </w:tabs>
        <w:spacing w:line="257" w:lineRule="exact" w:before="0" w:after="0"/>
        <w:ind w:left="783" w:right="0" w:hanging="466"/>
        <w:jc w:val="left"/>
        <w:rPr>
          <w:sz w:val="24"/>
        </w:rPr>
      </w:pPr>
      <w:r>
        <w:rPr>
          <w:i/>
          <w:w w:val="125"/>
          <w:sz w:val="24"/>
        </w:rPr>
        <w:t>részesedési</w:t>
      </w:r>
      <w:r>
        <w:rPr>
          <w:i/>
          <w:spacing w:val="11"/>
          <w:w w:val="125"/>
          <w:sz w:val="24"/>
        </w:rPr>
        <w:t> </w:t>
      </w:r>
      <w:r>
        <w:rPr>
          <w:i/>
          <w:w w:val="125"/>
          <w:sz w:val="24"/>
        </w:rPr>
        <w:t>viszony:</w:t>
      </w:r>
      <w:r>
        <w:rPr>
          <w:i/>
          <w:spacing w:val="13"/>
          <w:w w:val="125"/>
          <w:sz w:val="24"/>
        </w:rPr>
        <w:t> </w:t>
      </w:r>
      <w:r>
        <w:rPr>
          <w:w w:val="125"/>
          <w:sz w:val="24"/>
        </w:rPr>
        <w:t>egy</w:t>
      </w:r>
      <w:r>
        <w:rPr>
          <w:spacing w:val="11"/>
          <w:w w:val="125"/>
          <w:sz w:val="24"/>
        </w:rPr>
        <w:t> </w:t>
      </w:r>
      <w:r>
        <w:rPr>
          <w:w w:val="125"/>
          <w:sz w:val="24"/>
        </w:rPr>
        <w:t>személy</w:t>
      </w:r>
      <w:r>
        <w:rPr>
          <w:spacing w:val="12"/>
          <w:w w:val="125"/>
          <w:sz w:val="24"/>
        </w:rPr>
        <w:t> </w:t>
      </w:r>
      <w:r>
        <w:rPr>
          <w:w w:val="125"/>
          <w:sz w:val="24"/>
        </w:rPr>
        <w:t>és</w:t>
      </w:r>
      <w:r>
        <w:rPr>
          <w:spacing w:val="11"/>
          <w:w w:val="125"/>
          <w:sz w:val="24"/>
        </w:rPr>
        <w:t> </w:t>
      </w:r>
      <w:r>
        <w:rPr>
          <w:w w:val="125"/>
          <w:sz w:val="24"/>
        </w:rPr>
        <w:t>egy</w:t>
      </w:r>
      <w:r>
        <w:rPr>
          <w:spacing w:val="12"/>
          <w:w w:val="125"/>
          <w:sz w:val="24"/>
        </w:rPr>
        <w:t> </w:t>
      </w:r>
      <w:r>
        <w:rPr>
          <w:w w:val="125"/>
          <w:sz w:val="24"/>
        </w:rPr>
        <w:t>vállalkozás</w:t>
      </w:r>
      <w:r>
        <w:rPr>
          <w:spacing w:val="11"/>
          <w:w w:val="125"/>
          <w:sz w:val="24"/>
        </w:rPr>
        <w:t> </w:t>
      </w:r>
      <w:r>
        <w:rPr>
          <w:w w:val="125"/>
          <w:sz w:val="24"/>
        </w:rPr>
        <w:t>között</w:t>
      </w:r>
      <w:r>
        <w:rPr>
          <w:spacing w:val="12"/>
          <w:w w:val="125"/>
          <w:sz w:val="24"/>
        </w:rPr>
        <w:t> </w:t>
      </w:r>
      <w:r>
        <w:rPr>
          <w:w w:val="125"/>
          <w:sz w:val="24"/>
        </w:rPr>
        <w:t>létrejött</w:t>
      </w:r>
      <w:r>
        <w:rPr>
          <w:spacing w:val="11"/>
          <w:w w:val="125"/>
          <w:sz w:val="24"/>
        </w:rPr>
        <w:t> </w:t>
      </w:r>
      <w:r>
        <w:rPr>
          <w:w w:val="125"/>
          <w:sz w:val="24"/>
        </w:rPr>
        <w:t>olyan</w:t>
      </w:r>
    </w:p>
    <w:p>
      <w:pPr>
        <w:pStyle w:val="ListParagraph"/>
        <w:numPr>
          <w:ilvl w:val="0"/>
          <w:numId w:val="6"/>
        </w:numPr>
        <w:tabs>
          <w:tab w:pos="282" w:val="left" w:leader="none"/>
        </w:tabs>
        <w:spacing w:line="260" w:lineRule="exact" w:before="0" w:after="0"/>
        <w:ind w:left="281" w:right="0" w:hanging="168"/>
        <w:jc w:val="left"/>
        <w:rPr>
          <w:sz w:val="24"/>
        </w:rPr>
      </w:pPr>
      <w:r>
        <w:rPr>
          <w:w w:val="125"/>
          <w:sz w:val="24"/>
        </w:rPr>
        <w:t>ellenőrző befolyásnak nem minősülő - kapcsolat, amelynek alapján a</w:t>
      </w:r>
      <w:r>
        <w:rPr>
          <w:spacing w:val="13"/>
          <w:w w:val="125"/>
          <w:sz w:val="24"/>
        </w:rPr>
        <w:t> </w:t>
      </w:r>
      <w:r>
        <w:rPr>
          <w:w w:val="125"/>
          <w:sz w:val="24"/>
        </w:rPr>
        <w:t>személy</w:t>
      </w:r>
    </w:p>
    <w:p>
      <w:pPr>
        <w:pStyle w:val="ListParagraph"/>
        <w:numPr>
          <w:ilvl w:val="0"/>
          <w:numId w:val="6"/>
        </w:numPr>
        <w:tabs>
          <w:tab w:pos="277" w:val="left" w:leader="none"/>
        </w:tabs>
        <w:spacing w:line="225" w:lineRule="auto" w:before="5" w:after="0"/>
        <w:ind w:left="113" w:right="124" w:firstLine="0"/>
        <w:jc w:val="both"/>
        <w:rPr>
          <w:sz w:val="24"/>
        </w:rPr>
      </w:pPr>
      <w:r>
        <w:rPr>
          <w:w w:val="125"/>
          <w:sz w:val="24"/>
        </w:rPr>
        <w:t>közvetlenül vagy közvetett módon - a szavazati jogok vagy a tulajdoni hányad legalább húsz százalékát birtokolja. A szavazati jogok figyelembevételénél az Szmt. vonatkozó előírásai szerint kell eljárni, függetlenül attól, hogy a személy az Szmt. hatálya alá</w:t>
      </w:r>
      <w:r>
        <w:rPr>
          <w:spacing w:val="3"/>
          <w:w w:val="125"/>
          <w:sz w:val="24"/>
        </w:rPr>
        <w:t> </w:t>
      </w:r>
      <w:r>
        <w:rPr>
          <w:w w:val="125"/>
          <w:sz w:val="24"/>
        </w:rPr>
        <w:t>tartozik-e;</w:t>
      </w:r>
    </w:p>
    <w:p>
      <w:pPr>
        <w:pStyle w:val="ListParagraph"/>
        <w:numPr>
          <w:ilvl w:val="0"/>
          <w:numId w:val="41"/>
        </w:numPr>
        <w:tabs>
          <w:tab w:pos="974" w:val="left" w:leader="none"/>
        </w:tabs>
        <w:spacing w:line="225" w:lineRule="auto" w:before="3" w:after="0"/>
        <w:ind w:left="113" w:right="125" w:firstLine="204"/>
        <w:jc w:val="both"/>
        <w:rPr>
          <w:sz w:val="24"/>
        </w:rPr>
      </w:pPr>
      <w:r>
        <w:rPr>
          <w:i/>
          <w:w w:val="130"/>
          <w:sz w:val="24"/>
        </w:rPr>
        <w:t>szabályozott piac: </w:t>
      </w:r>
      <w:r>
        <w:rPr>
          <w:w w:val="130"/>
          <w:sz w:val="24"/>
        </w:rPr>
        <w:t>az 575/2013/EU rendeletben ekként meghatározott fogalom;</w:t>
      </w:r>
    </w:p>
    <w:p>
      <w:pPr>
        <w:pStyle w:val="ListParagraph"/>
        <w:numPr>
          <w:ilvl w:val="0"/>
          <w:numId w:val="41"/>
        </w:numPr>
        <w:tabs>
          <w:tab w:pos="1024" w:val="left" w:leader="none"/>
        </w:tabs>
        <w:spacing w:line="225" w:lineRule="auto" w:before="1" w:after="0"/>
        <w:ind w:left="113" w:right="125" w:firstLine="204"/>
        <w:jc w:val="both"/>
        <w:rPr>
          <w:sz w:val="24"/>
        </w:rPr>
      </w:pPr>
      <w:r>
        <w:rPr>
          <w:i/>
          <w:w w:val="130"/>
          <w:sz w:val="24"/>
        </w:rPr>
        <w:t>szavatoló tőke: </w:t>
      </w:r>
      <w:r>
        <w:rPr>
          <w:w w:val="130"/>
          <w:sz w:val="24"/>
        </w:rPr>
        <w:t>az 575/2013/EU rendeletben ekként meghatározott fogalom;</w:t>
      </w:r>
    </w:p>
    <w:p>
      <w:pPr>
        <w:spacing w:line="249" w:lineRule="exact" w:before="0"/>
        <w:ind w:left="317" w:right="0" w:firstLine="0"/>
        <w:jc w:val="left"/>
        <w:rPr>
          <w:sz w:val="24"/>
        </w:rPr>
      </w:pPr>
      <w:r>
        <w:rPr>
          <w:w w:val="125"/>
          <w:sz w:val="24"/>
        </w:rPr>
        <w:t>101a.</w:t>
      </w:r>
      <w:r>
        <w:rPr>
          <w:i/>
          <w:w w:val="125"/>
          <w:position w:val="3"/>
          <w:sz w:val="18"/>
        </w:rPr>
        <w:t>1 </w:t>
      </w:r>
      <w:r>
        <w:rPr>
          <w:i/>
          <w:w w:val="125"/>
          <w:sz w:val="24"/>
        </w:rPr>
        <w:t>számlainformációs szolgáltatás: </w:t>
      </w:r>
      <w:r>
        <w:rPr>
          <w:w w:val="125"/>
          <w:sz w:val="24"/>
        </w:rPr>
        <w:t>olyan online szolgáltatás, amely</w:t>
      </w:r>
    </w:p>
    <w:p>
      <w:pPr>
        <w:pStyle w:val="BodyText"/>
        <w:spacing w:line="225" w:lineRule="auto" w:before="12"/>
        <w:ind w:right="125" w:firstLine="0"/>
        <w:jc w:val="both"/>
      </w:pPr>
      <w:r>
        <w:rPr>
          <w:w w:val="130"/>
        </w:rPr>
        <w:t>összesített információk nyújtására szolgál egy vagy több olyan fizetési számláról, amelyet a pénzforgalmi szolgáltatást igénybe vevő egy másik pénzforgalmi szolgáltatónál vagy több pénzforgalmi szolgáltatónál nyitott;</w:t>
      </w:r>
    </w:p>
    <w:p>
      <w:pPr>
        <w:pStyle w:val="ListParagraph"/>
        <w:numPr>
          <w:ilvl w:val="0"/>
          <w:numId w:val="41"/>
        </w:numPr>
        <w:tabs>
          <w:tab w:pos="1009" w:val="left" w:leader="none"/>
        </w:tabs>
        <w:spacing w:line="225" w:lineRule="auto" w:before="2" w:after="0"/>
        <w:ind w:left="113" w:right="118" w:firstLine="204"/>
        <w:jc w:val="both"/>
        <w:rPr>
          <w:sz w:val="24"/>
        </w:rPr>
      </w:pPr>
      <w:r>
        <w:rPr>
          <w:i/>
          <w:w w:val="125"/>
          <w:sz w:val="24"/>
        </w:rPr>
        <w:t>széfszolgáltatás: </w:t>
      </w:r>
      <w:r>
        <w:rPr>
          <w:w w:val="125"/>
          <w:sz w:val="24"/>
        </w:rPr>
        <w:t>az ügyféllel kötött megállapodás alapján, az ügyfél számára - állandóan őrzött - helyiségben széf rendelkezésre bocsátása, melybe értékeit az ügyfél maga helyezi el és veszi</w:t>
      </w:r>
      <w:r>
        <w:rPr>
          <w:spacing w:val="3"/>
          <w:w w:val="125"/>
          <w:sz w:val="24"/>
        </w:rPr>
        <w:t> </w:t>
      </w:r>
      <w:r>
        <w:rPr>
          <w:w w:val="125"/>
          <w:sz w:val="24"/>
        </w:rPr>
        <w:t>ki;</w:t>
      </w:r>
    </w:p>
    <w:p>
      <w:pPr>
        <w:pStyle w:val="ListParagraph"/>
        <w:numPr>
          <w:ilvl w:val="0"/>
          <w:numId w:val="41"/>
        </w:numPr>
        <w:tabs>
          <w:tab w:pos="1050" w:val="left" w:leader="none"/>
        </w:tabs>
        <w:spacing w:line="225" w:lineRule="auto" w:before="1" w:after="0"/>
        <w:ind w:left="113" w:right="130" w:firstLine="204"/>
        <w:jc w:val="both"/>
        <w:rPr>
          <w:sz w:val="24"/>
        </w:rPr>
      </w:pPr>
      <w:r>
        <w:rPr>
          <w:i/>
          <w:w w:val="125"/>
          <w:sz w:val="24"/>
        </w:rPr>
        <w:t>személy: </w:t>
      </w:r>
      <w:r>
        <w:rPr>
          <w:w w:val="125"/>
          <w:sz w:val="24"/>
        </w:rPr>
        <w:t>a természetes személy, a jogi személy, továbbá a jogi személyiséggel nem rendelkező gazdasági</w:t>
      </w:r>
      <w:r>
        <w:rPr>
          <w:spacing w:val="12"/>
          <w:w w:val="125"/>
          <w:sz w:val="24"/>
        </w:rPr>
        <w:t> </w:t>
      </w:r>
      <w:r>
        <w:rPr>
          <w:w w:val="125"/>
          <w:sz w:val="24"/>
        </w:rPr>
        <w:t>társaság;</w:t>
      </w:r>
    </w:p>
    <w:p>
      <w:pPr>
        <w:pStyle w:val="ListParagraph"/>
        <w:numPr>
          <w:ilvl w:val="0"/>
          <w:numId w:val="41"/>
        </w:numPr>
        <w:tabs>
          <w:tab w:pos="985" w:val="left" w:leader="none"/>
        </w:tabs>
        <w:spacing w:line="225" w:lineRule="auto" w:before="2" w:after="0"/>
        <w:ind w:left="113" w:right="125" w:firstLine="204"/>
        <w:jc w:val="both"/>
        <w:rPr>
          <w:sz w:val="24"/>
        </w:rPr>
      </w:pPr>
      <w:r>
        <w:rPr>
          <w:i/>
          <w:w w:val="130"/>
          <w:sz w:val="24"/>
        </w:rPr>
        <w:t>szoros kapcsolat: </w:t>
      </w:r>
      <w:r>
        <w:rPr>
          <w:w w:val="130"/>
          <w:sz w:val="24"/>
        </w:rPr>
        <w:t>az 575/2013/EU rendeletben ekként meghatározott fogalom;</w:t>
      </w:r>
    </w:p>
    <w:p>
      <w:pPr>
        <w:pStyle w:val="ListParagraph"/>
        <w:numPr>
          <w:ilvl w:val="0"/>
          <w:numId w:val="41"/>
        </w:numPr>
        <w:tabs>
          <w:tab w:pos="928" w:val="left" w:leader="none"/>
        </w:tabs>
        <w:spacing w:line="256" w:lineRule="exact" w:before="0" w:after="0"/>
        <w:ind w:left="927" w:right="0" w:hanging="610"/>
        <w:jc w:val="left"/>
        <w:rPr>
          <w:sz w:val="24"/>
        </w:rPr>
      </w:pPr>
      <w:r>
        <w:rPr>
          <w:i/>
          <w:w w:val="130"/>
          <w:sz w:val="24"/>
        </w:rPr>
        <w:t>szponzor:</w:t>
      </w:r>
      <w:r>
        <w:rPr>
          <w:i/>
          <w:spacing w:val="-24"/>
          <w:w w:val="130"/>
          <w:sz w:val="24"/>
        </w:rPr>
        <w:t> </w:t>
      </w:r>
      <w:r>
        <w:rPr>
          <w:w w:val="130"/>
          <w:sz w:val="24"/>
        </w:rPr>
        <w:t>az</w:t>
      </w:r>
      <w:r>
        <w:rPr>
          <w:spacing w:val="-24"/>
          <w:w w:val="130"/>
          <w:sz w:val="24"/>
        </w:rPr>
        <w:t> </w:t>
      </w:r>
      <w:r>
        <w:rPr>
          <w:w w:val="130"/>
          <w:sz w:val="24"/>
        </w:rPr>
        <w:t>575/2013/EU</w:t>
      </w:r>
      <w:r>
        <w:rPr>
          <w:spacing w:val="-21"/>
          <w:w w:val="130"/>
          <w:sz w:val="24"/>
        </w:rPr>
        <w:t> </w:t>
      </w:r>
      <w:r>
        <w:rPr>
          <w:w w:val="130"/>
          <w:sz w:val="24"/>
        </w:rPr>
        <w:t>rendeletben</w:t>
      </w:r>
      <w:r>
        <w:rPr>
          <w:spacing w:val="-26"/>
          <w:w w:val="130"/>
          <w:sz w:val="24"/>
        </w:rPr>
        <w:t> </w:t>
      </w:r>
      <w:r>
        <w:rPr>
          <w:w w:val="130"/>
          <w:sz w:val="24"/>
        </w:rPr>
        <w:t>ekként</w:t>
      </w:r>
      <w:r>
        <w:rPr>
          <w:spacing w:val="-24"/>
          <w:w w:val="130"/>
          <w:sz w:val="24"/>
        </w:rPr>
        <w:t> </w:t>
      </w:r>
      <w:r>
        <w:rPr>
          <w:w w:val="130"/>
          <w:sz w:val="24"/>
        </w:rPr>
        <w:t>meghatározott</w:t>
      </w:r>
      <w:r>
        <w:rPr>
          <w:spacing w:val="-24"/>
          <w:w w:val="130"/>
          <w:sz w:val="24"/>
        </w:rPr>
        <w:t> </w:t>
      </w:r>
      <w:r>
        <w:rPr>
          <w:w w:val="130"/>
          <w:sz w:val="24"/>
        </w:rPr>
        <w:t>fogalom;</w:t>
      </w:r>
    </w:p>
    <w:p>
      <w:pPr>
        <w:pStyle w:val="ListParagraph"/>
        <w:numPr>
          <w:ilvl w:val="0"/>
          <w:numId w:val="41"/>
        </w:numPr>
        <w:tabs>
          <w:tab w:pos="1205" w:val="left" w:leader="none"/>
        </w:tabs>
        <w:spacing w:line="225" w:lineRule="auto" w:before="5" w:after="0"/>
        <w:ind w:left="113" w:right="125" w:firstLine="204"/>
        <w:jc w:val="both"/>
        <w:rPr>
          <w:sz w:val="24"/>
        </w:rPr>
      </w:pPr>
      <w:r>
        <w:rPr>
          <w:i/>
          <w:w w:val="125"/>
          <w:sz w:val="24"/>
        </w:rPr>
        <w:t>szubkonszolidált alap: </w:t>
      </w:r>
      <w:r>
        <w:rPr>
          <w:w w:val="125"/>
          <w:sz w:val="24"/>
        </w:rPr>
        <w:t>az 575/2013/EU rendeletben ekként meghatározott fogalom;</w:t>
      </w:r>
    </w:p>
    <w:p>
      <w:pPr>
        <w:pStyle w:val="ListParagraph"/>
        <w:numPr>
          <w:ilvl w:val="0"/>
          <w:numId w:val="41"/>
        </w:numPr>
        <w:tabs>
          <w:tab w:pos="970" w:val="left" w:leader="none"/>
        </w:tabs>
        <w:spacing w:line="225" w:lineRule="auto" w:before="1" w:after="0"/>
        <w:ind w:left="113" w:right="125" w:firstLine="204"/>
        <w:jc w:val="both"/>
        <w:rPr>
          <w:sz w:val="24"/>
        </w:rPr>
      </w:pPr>
      <w:r>
        <w:rPr>
          <w:i/>
          <w:w w:val="125"/>
          <w:sz w:val="24"/>
        </w:rPr>
        <w:t>tagállami anyavállalat, tagállami pénzügyi holding társaság, tagállami vegyes pénzügyi holding társaság: </w:t>
      </w:r>
      <w:r>
        <w:rPr>
          <w:w w:val="125"/>
          <w:sz w:val="24"/>
        </w:rPr>
        <w:t>az 575/2013/EU rendeletben ekként meghatározott fogalom;</w:t>
      </w:r>
    </w:p>
    <w:p>
      <w:pPr>
        <w:pStyle w:val="ListParagraph"/>
        <w:numPr>
          <w:ilvl w:val="0"/>
          <w:numId w:val="41"/>
        </w:numPr>
        <w:tabs>
          <w:tab w:pos="991" w:val="left" w:leader="none"/>
        </w:tabs>
        <w:spacing w:line="225" w:lineRule="auto" w:before="2" w:after="0"/>
        <w:ind w:left="113" w:right="127" w:firstLine="204"/>
        <w:jc w:val="both"/>
        <w:rPr>
          <w:sz w:val="24"/>
        </w:rPr>
      </w:pPr>
      <w:r>
        <w:rPr>
          <w:i/>
          <w:w w:val="130"/>
          <w:sz w:val="24"/>
        </w:rPr>
        <w:t>tartós adathordozó: </w:t>
      </w:r>
      <w:r>
        <w:rPr>
          <w:w w:val="130"/>
          <w:sz w:val="24"/>
        </w:rPr>
        <w:t>olyan eszköz, amely az ügyfél számára lehetővé teszi a neki címzett adatoknak az adat céljának megfelelő ideig történő tartós tárolását és a tárolt adatok változatlan formában és tartalommal történő megjelenítését;</w:t>
      </w:r>
    </w:p>
    <w:p>
      <w:pPr>
        <w:spacing w:line="250" w:lineRule="exact" w:before="0"/>
        <w:ind w:left="317" w:right="0" w:firstLine="0"/>
        <w:jc w:val="left"/>
        <w:rPr>
          <w:sz w:val="24"/>
        </w:rPr>
      </w:pPr>
      <w:r>
        <w:rPr>
          <w:w w:val="125"/>
          <w:sz w:val="24"/>
        </w:rPr>
        <w:t>108a.</w:t>
      </w:r>
      <w:r>
        <w:rPr>
          <w:i/>
          <w:w w:val="125"/>
          <w:position w:val="3"/>
          <w:sz w:val="18"/>
        </w:rPr>
        <w:t>2 </w:t>
      </w:r>
      <w:r>
        <w:rPr>
          <w:i/>
          <w:w w:val="125"/>
          <w:sz w:val="24"/>
        </w:rPr>
        <w:t>teljes bizonyító erejű magánokirat:</w:t>
      </w:r>
      <w:r>
        <w:rPr>
          <w:i/>
          <w:spacing w:val="53"/>
          <w:w w:val="125"/>
          <w:sz w:val="24"/>
        </w:rPr>
        <w:t> </w:t>
      </w:r>
      <w:r>
        <w:rPr>
          <w:w w:val="125"/>
          <w:sz w:val="24"/>
        </w:rPr>
        <w:t>az e törvény hatálya alá tartozó</w:t>
      </w:r>
    </w:p>
    <w:p>
      <w:pPr>
        <w:pStyle w:val="BodyText"/>
        <w:spacing w:line="225" w:lineRule="auto" w:before="12"/>
        <w:ind w:right="126" w:firstLine="0"/>
        <w:jc w:val="both"/>
      </w:pPr>
      <w:r>
        <w:rPr>
          <w:w w:val="125"/>
        </w:rPr>
        <w:t>pénzügyi intézmény és az ügyfele között létrejött szerződés, és az e törvény hatálya alá tartozó magánokirati formában tett jognyilatkozat akkor is teljes bizonyító erejű magánokiratnak minősül, ha az megfelel a polgári perrendtartásról szóló 2016. évi CXXX. törvény 325. § (1) bekezdés </w:t>
      </w:r>
      <w:r>
        <w:rPr>
          <w:i/>
          <w:w w:val="125"/>
        </w:rPr>
        <w:t>b) </w:t>
      </w:r>
      <w:r>
        <w:rPr>
          <w:w w:val="125"/>
        </w:rPr>
        <w:t>pontjában foglaltaknak azzal az eltéréssel, hogy ha a tanú a pénzügyi  intézmény munkavállalója, akkor a lakóhelye vagy tartózkodási helye helyett együttesen a munkáltatója címét (székhelyét, telephelyét,  fióktelepét),  valamint a személyazonosításra alkalmas hatósági igazolvány típusát  és  számát is feltüntetheti a</w:t>
      </w:r>
      <w:r>
        <w:rPr>
          <w:spacing w:val="8"/>
          <w:w w:val="125"/>
        </w:rPr>
        <w:t> </w:t>
      </w:r>
      <w:r>
        <w:rPr>
          <w:w w:val="125"/>
        </w:rPr>
        <w:t>magánokiraton;</w:t>
      </w:r>
    </w:p>
    <w:p>
      <w:pPr>
        <w:pStyle w:val="ListParagraph"/>
        <w:numPr>
          <w:ilvl w:val="0"/>
          <w:numId w:val="41"/>
        </w:numPr>
        <w:tabs>
          <w:tab w:pos="951" w:val="left" w:leader="none"/>
        </w:tabs>
        <w:spacing w:line="225" w:lineRule="auto" w:before="5" w:after="0"/>
        <w:ind w:left="113" w:right="125" w:firstLine="204"/>
        <w:jc w:val="left"/>
        <w:rPr>
          <w:sz w:val="24"/>
        </w:rPr>
      </w:pPr>
      <w:r>
        <w:rPr>
          <w:i/>
          <w:w w:val="130"/>
          <w:sz w:val="24"/>
        </w:rPr>
        <w:t>teljes</w:t>
      </w:r>
      <w:r>
        <w:rPr>
          <w:i/>
          <w:spacing w:val="-14"/>
          <w:w w:val="130"/>
          <w:sz w:val="24"/>
        </w:rPr>
        <w:t> </w:t>
      </w:r>
      <w:r>
        <w:rPr>
          <w:i/>
          <w:w w:val="130"/>
          <w:sz w:val="24"/>
        </w:rPr>
        <w:t>hiteldíj</w:t>
      </w:r>
      <w:r>
        <w:rPr>
          <w:i/>
          <w:spacing w:val="-14"/>
          <w:w w:val="130"/>
          <w:sz w:val="24"/>
        </w:rPr>
        <w:t> </w:t>
      </w:r>
      <w:r>
        <w:rPr>
          <w:i/>
          <w:w w:val="130"/>
          <w:sz w:val="24"/>
        </w:rPr>
        <w:t>mutató:</w:t>
      </w:r>
      <w:r>
        <w:rPr>
          <w:i/>
          <w:spacing w:val="-12"/>
          <w:w w:val="130"/>
          <w:sz w:val="24"/>
        </w:rPr>
        <w:t> </w:t>
      </w:r>
      <w:r>
        <w:rPr>
          <w:w w:val="130"/>
          <w:sz w:val="24"/>
        </w:rPr>
        <w:t>a</w:t>
      </w:r>
      <w:r>
        <w:rPr>
          <w:spacing w:val="-14"/>
          <w:w w:val="130"/>
          <w:sz w:val="24"/>
        </w:rPr>
        <w:t> </w:t>
      </w:r>
      <w:r>
        <w:rPr>
          <w:w w:val="130"/>
          <w:sz w:val="24"/>
        </w:rPr>
        <w:t>fogyasztónak</w:t>
      </w:r>
      <w:r>
        <w:rPr>
          <w:spacing w:val="-13"/>
          <w:w w:val="130"/>
          <w:sz w:val="24"/>
        </w:rPr>
        <w:t> </w:t>
      </w:r>
      <w:r>
        <w:rPr>
          <w:w w:val="130"/>
          <w:sz w:val="24"/>
        </w:rPr>
        <w:t>nyújtott</w:t>
      </w:r>
      <w:r>
        <w:rPr>
          <w:spacing w:val="-14"/>
          <w:w w:val="130"/>
          <w:sz w:val="24"/>
        </w:rPr>
        <w:t> </w:t>
      </w:r>
      <w:r>
        <w:rPr>
          <w:w w:val="130"/>
          <w:sz w:val="24"/>
        </w:rPr>
        <w:t>hitelről</w:t>
      </w:r>
      <w:r>
        <w:rPr>
          <w:spacing w:val="-14"/>
          <w:w w:val="130"/>
          <w:sz w:val="24"/>
        </w:rPr>
        <w:t> </w:t>
      </w:r>
      <w:r>
        <w:rPr>
          <w:w w:val="130"/>
          <w:sz w:val="24"/>
        </w:rPr>
        <w:t>szóló</w:t>
      </w:r>
      <w:r>
        <w:rPr>
          <w:spacing w:val="-13"/>
          <w:w w:val="130"/>
          <w:sz w:val="24"/>
        </w:rPr>
        <w:t> </w:t>
      </w:r>
      <w:r>
        <w:rPr>
          <w:w w:val="130"/>
          <w:sz w:val="24"/>
        </w:rPr>
        <w:t>törvényben meghatározott</w:t>
      </w:r>
      <w:r>
        <w:rPr>
          <w:spacing w:val="-4"/>
          <w:w w:val="130"/>
          <w:sz w:val="24"/>
        </w:rPr>
        <w:t> </w:t>
      </w:r>
      <w:r>
        <w:rPr>
          <w:w w:val="130"/>
          <w:sz w:val="24"/>
        </w:rPr>
        <w:t>fogalom;</w:t>
      </w:r>
    </w:p>
    <w:p>
      <w:pPr>
        <w:pStyle w:val="BodyText"/>
        <w:spacing w:before="4"/>
        <w:ind w:left="0" w:firstLine="0"/>
        <w:rPr>
          <w:sz w:val="10"/>
        </w:rPr>
      </w:pPr>
      <w:r>
        <w:rPr/>
        <w:pict>
          <v:line style="position:absolute;mso-position-horizontal-relative:page;mso-position-vertical-relative:paragraph;z-index:-712;mso-wrap-distance-left:0;mso-wrap-distance-right:0" from="56.693001pt,8.185789pt" to="538.583001pt,8.185789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2017. évi CXLV. törvény 121. § (9). Hatályos: 2018. I.</w:t>
      </w:r>
      <w:r>
        <w:rPr>
          <w:i/>
          <w:spacing w:val="-15"/>
          <w:w w:val="125"/>
          <w:sz w:val="18"/>
        </w:rPr>
        <w:t> </w:t>
      </w:r>
      <w:r>
        <w:rPr>
          <w:i/>
          <w:w w:val="125"/>
          <w:sz w:val="18"/>
        </w:rPr>
        <w:t>13-tól.</w:t>
      </w:r>
    </w:p>
    <w:p>
      <w:pPr>
        <w:pStyle w:val="ListParagraph"/>
        <w:numPr>
          <w:ilvl w:val="0"/>
          <w:numId w:val="44"/>
        </w:numPr>
        <w:tabs>
          <w:tab w:pos="686" w:val="left" w:leader="none"/>
          <w:tab w:pos="687" w:val="left" w:leader="none"/>
        </w:tabs>
        <w:spacing w:line="203" w:lineRule="exact" w:before="0" w:after="0"/>
        <w:ind w:left="686" w:right="0" w:hanging="344"/>
        <w:jc w:val="left"/>
        <w:rPr>
          <w:i/>
          <w:sz w:val="18"/>
        </w:rPr>
      </w:pPr>
      <w:r>
        <w:rPr>
          <w:i/>
          <w:w w:val="125"/>
          <w:sz w:val="18"/>
        </w:rPr>
        <w:t>Beiktatta: 2018. évi CXXVI. törvény 98. §. Hatályos: 2018. XII.</w:t>
      </w:r>
      <w:r>
        <w:rPr>
          <w:i/>
          <w:spacing w:val="-17"/>
          <w:w w:val="125"/>
          <w:sz w:val="18"/>
        </w:rPr>
        <w:t> </w:t>
      </w:r>
      <w:r>
        <w:rPr>
          <w:i/>
          <w:w w:val="125"/>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41"/>
        </w:numPr>
        <w:tabs>
          <w:tab w:pos="1071" w:val="left" w:leader="none"/>
        </w:tabs>
        <w:spacing w:line="225" w:lineRule="auto" w:before="173" w:after="0"/>
        <w:ind w:left="113" w:right="109" w:firstLine="204"/>
        <w:jc w:val="both"/>
        <w:rPr>
          <w:sz w:val="24"/>
        </w:rPr>
      </w:pPr>
      <w:r>
        <w:rPr>
          <w:i/>
          <w:w w:val="125"/>
          <w:sz w:val="24"/>
        </w:rPr>
        <w:t>teljesítményjavadalmazás: </w:t>
      </w:r>
      <w:r>
        <w:rPr>
          <w:w w:val="125"/>
          <w:sz w:val="24"/>
        </w:rPr>
        <w:t>a javadalmazás azon része, amelyet a hitelintézet az alapjavadalmazáson felül biztosíthat a vezető állású személynek és a munkavállalónak, ha az a munkaszerződésben meghatározottakat meghaladó teljesítményt nyújt vagy abban nem rögzített feladatokat lát</w:t>
      </w:r>
      <w:r>
        <w:rPr>
          <w:spacing w:val="72"/>
          <w:w w:val="125"/>
          <w:sz w:val="24"/>
        </w:rPr>
        <w:t> </w:t>
      </w:r>
      <w:r>
        <w:rPr>
          <w:w w:val="125"/>
          <w:sz w:val="24"/>
        </w:rPr>
        <w:t>el;</w:t>
      </w:r>
    </w:p>
    <w:p>
      <w:pPr>
        <w:pStyle w:val="ListParagraph"/>
        <w:numPr>
          <w:ilvl w:val="0"/>
          <w:numId w:val="41"/>
        </w:numPr>
        <w:tabs>
          <w:tab w:pos="1105" w:val="left" w:leader="none"/>
        </w:tabs>
        <w:spacing w:line="225" w:lineRule="auto" w:before="2" w:after="0"/>
        <w:ind w:left="113" w:right="125" w:firstLine="204"/>
        <w:jc w:val="both"/>
        <w:rPr>
          <w:sz w:val="24"/>
        </w:rPr>
      </w:pPr>
      <w:r>
        <w:rPr>
          <w:i/>
          <w:w w:val="125"/>
          <w:sz w:val="24"/>
        </w:rPr>
        <w:t>teljes kockázati kitettség: </w:t>
      </w:r>
      <w:r>
        <w:rPr>
          <w:w w:val="125"/>
          <w:sz w:val="24"/>
        </w:rPr>
        <w:t>az 575/2013/EU rendeletben ekként alkalmazott</w:t>
      </w:r>
      <w:r>
        <w:rPr>
          <w:spacing w:val="-1"/>
          <w:w w:val="125"/>
          <w:sz w:val="24"/>
        </w:rPr>
        <w:t> </w:t>
      </w:r>
      <w:r>
        <w:rPr>
          <w:w w:val="125"/>
          <w:sz w:val="24"/>
        </w:rPr>
        <w:t>fogalom;</w:t>
      </w:r>
    </w:p>
    <w:p>
      <w:pPr>
        <w:pStyle w:val="ListParagraph"/>
        <w:numPr>
          <w:ilvl w:val="0"/>
          <w:numId w:val="41"/>
        </w:numPr>
        <w:tabs>
          <w:tab w:pos="1110" w:val="left" w:leader="none"/>
        </w:tabs>
        <w:spacing w:line="225" w:lineRule="auto" w:before="1" w:after="0"/>
        <w:ind w:left="113" w:right="125" w:firstLine="204"/>
        <w:jc w:val="both"/>
        <w:rPr>
          <w:sz w:val="24"/>
        </w:rPr>
      </w:pPr>
      <w:r>
        <w:rPr>
          <w:i/>
          <w:w w:val="130"/>
          <w:sz w:val="24"/>
        </w:rPr>
        <w:t>tőkeáttétel: </w:t>
      </w:r>
      <w:r>
        <w:rPr>
          <w:w w:val="130"/>
          <w:sz w:val="24"/>
        </w:rPr>
        <w:t>az 575/2013/EU rendeletben ekként meghatározott fogalom;</w:t>
      </w:r>
    </w:p>
    <w:p>
      <w:pPr>
        <w:pStyle w:val="ListParagraph"/>
        <w:numPr>
          <w:ilvl w:val="0"/>
          <w:numId w:val="41"/>
        </w:numPr>
        <w:tabs>
          <w:tab w:pos="1107" w:val="left" w:leader="none"/>
          <w:tab w:pos="2488" w:val="left" w:leader="none"/>
          <w:tab w:pos="4219" w:val="left" w:leader="none"/>
          <w:tab w:pos="6176" w:val="left" w:leader="none"/>
          <w:tab w:pos="8157" w:val="left" w:leader="none"/>
        </w:tabs>
        <w:spacing w:line="225" w:lineRule="auto" w:before="1" w:after="0"/>
        <w:ind w:left="113" w:right="125" w:firstLine="204"/>
        <w:jc w:val="both"/>
        <w:rPr>
          <w:sz w:val="24"/>
        </w:rPr>
      </w:pPr>
      <w:r>
        <w:rPr>
          <w:i/>
          <w:w w:val="125"/>
          <w:sz w:val="24"/>
        </w:rPr>
        <w:t>tőkefenntartási pufferkövetelmény: </w:t>
      </w:r>
      <w:r>
        <w:rPr>
          <w:w w:val="125"/>
          <w:sz w:val="24"/>
        </w:rPr>
        <w:t>a hitelintézet veszteségviselő képességének</w:t>
        <w:tab/>
        <w:t>növelése</w:t>
        <w:tab/>
        <w:t>érdekében</w:t>
        <w:tab/>
        <w:t>kötelezően</w:t>
        <w:tab/>
        <w:t>fenntartandó szavatolótőke-követelmény;</w:t>
      </w:r>
    </w:p>
    <w:p>
      <w:pPr>
        <w:pStyle w:val="ListParagraph"/>
        <w:numPr>
          <w:ilvl w:val="0"/>
          <w:numId w:val="41"/>
        </w:numPr>
        <w:tabs>
          <w:tab w:pos="1040" w:val="left" w:leader="none"/>
        </w:tabs>
        <w:spacing w:line="225" w:lineRule="auto" w:before="2" w:after="0"/>
        <w:ind w:left="113" w:right="125" w:firstLine="204"/>
        <w:jc w:val="both"/>
        <w:rPr>
          <w:sz w:val="24"/>
        </w:rPr>
      </w:pPr>
      <w:r>
        <w:rPr>
          <w:i/>
          <w:w w:val="130"/>
          <w:sz w:val="24"/>
        </w:rPr>
        <w:t>túlzott tőkeáttétel kockázata: </w:t>
      </w:r>
      <w:r>
        <w:rPr>
          <w:w w:val="130"/>
          <w:sz w:val="24"/>
        </w:rPr>
        <w:t>az 575/2013/EU rendeletben ekként meghatározott</w:t>
      </w:r>
      <w:r>
        <w:rPr>
          <w:spacing w:val="-4"/>
          <w:w w:val="130"/>
          <w:sz w:val="24"/>
        </w:rPr>
        <w:t> </w:t>
      </w:r>
      <w:r>
        <w:rPr>
          <w:w w:val="130"/>
          <w:sz w:val="24"/>
        </w:rPr>
        <w:t>fogalom;</w:t>
      </w:r>
    </w:p>
    <w:p>
      <w:pPr>
        <w:pStyle w:val="BodyText"/>
        <w:tabs>
          <w:tab w:pos="1198" w:val="left" w:leader="none"/>
          <w:tab w:pos="2747" w:val="left" w:leader="none"/>
          <w:tab w:pos="3114" w:val="left" w:leader="none"/>
          <w:tab w:pos="4676" w:val="left" w:leader="none"/>
          <w:tab w:pos="6044" w:val="left" w:leader="none"/>
          <w:tab w:pos="7387" w:val="left" w:leader="none"/>
          <w:tab w:pos="8960" w:val="left" w:leader="none"/>
        </w:tabs>
        <w:spacing w:line="249" w:lineRule="exact"/>
        <w:ind w:left="317" w:firstLine="0"/>
      </w:pPr>
      <w:r>
        <w:rPr>
          <w:w w:val="130"/>
        </w:rPr>
        <w:t>115.</w:t>
      </w:r>
      <w:r>
        <w:rPr>
          <w:i/>
          <w:w w:val="130"/>
          <w:position w:val="3"/>
          <w:sz w:val="18"/>
        </w:rPr>
        <w:t>1</w:t>
        <w:tab/>
      </w:r>
      <w:r>
        <w:rPr>
          <w:i/>
          <w:w w:val="130"/>
        </w:rPr>
        <w:t>ügyvezető:</w:t>
        <w:tab/>
      </w:r>
      <w:r>
        <w:rPr>
          <w:w w:val="130"/>
        </w:rPr>
        <w:t>a</w:t>
        <w:tab/>
        <w:t>vállalkozás</w:t>
        <w:tab/>
        <w:t>irányítási</w:t>
        <w:tab/>
        <w:t>jogkörrel</w:t>
        <w:tab/>
        <w:t>rendelkező</w:t>
        <w:tab/>
        <w:t>vezető</w:t>
      </w:r>
    </w:p>
    <w:p>
      <w:pPr>
        <w:pStyle w:val="BodyText"/>
        <w:spacing w:line="225" w:lineRule="auto" w:before="12"/>
        <w:ind w:right="134" w:firstLine="0"/>
        <w:jc w:val="both"/>
      </w:pPr>
      <w:r>
        <w:rPr>
          <w:w w:val="125"/>
        </w:rPr>
        <w:t>testülete által megválasztott, a vállalkozással munkaviszonyban álló elnöke, a vállalkozás vezetésére kinevezett, a vállalkozással munkaviszonyban álló első számú vezető, valamint e vezető valamennyi helyettese;</w:t>
      </w:r>
    </w:p>
    <w:p>
      <w:pPr>
        <w:pStyle w:val="BodyText"/>
        <w:spacing w:line="225" w:lineRule="auto" w:before="2"/>
        <w:ind w:right="127"/>
        <w:jc w:val="both"/>
      </w:pPr>
      <w:r>
        <w:rPr>
          <w:w w:val="125"/>
        </w:rPr>
        <w:t>116. </w:t>
      </w:r>
      <w:r>
        <w:rPr>
          <w:i/>
          <w:w w:val="125"/>
        </w:rPr>
        <w:t>üzletszerű tevékenység: </w:t>
      </w:r>
      <w:r>
        <w:rPr>
          <w:w w:val="125"/>
        </w:rPr>
        <w:t>az ellenérték fejében nyereség, illetve vagyonszerzés végett - előre egyedileg meg nem határozott ügyletek megkötésére irányuló - rendszeresen folytatott gazdasági tevékenység;</w:t>
      </w:r>
    </w:p>
    <w:p>
      <w:pPr>
        <w:pStyle w:val="BodyText"/>
        <w:spacing w:line="225" w:lineRule="auto" w:before="1"/>
        <w:ind w:right="128"/>
        <w:jc w:val="both"/>
      </w:pPr>
      <w:r>
        <w:rPr>
          <w:w w:val="130"/>
        </w:rPr>
        <w:t>117.</w:t>
      </w:r>
      <w:r>
        <w:rPr>
          <w:i/>
          <w:w w:val="130"/>
          <w:position w:val="3"/>
          <w:sz w:val="18"/>
        </w:rPr>
        <w:t>2</w:t>
      </w:r>
      <w:r>
        <w:rPr>
          <w:i/>
          <w:spacing w:val="-11"/>
          <w:w w:val="130"/>
          <w:position w:val="3"/>
          <w:sz w:val="18"/>
        </w:rPr>
        <w:t> </w:t>
      </w:r>
      <w:r>
        <w:rPr>
          <w:i/>
          <w:w w:val="130"/>
        </w:rPr>
        <w:t>vállalkozás:</w:t>
      </w:r>
      <w:r>
        <w:rPr>
          <w:i/>
          <w:spacing w:val="-28"/>
          <w:w w:val="130"/>
        </w:rPr>
        <w:t> </w:t>
      </w:r>
      <w:r>
        <w:rPr>
          <w:w w:val="130"/>
        </w:rPr>
        <w:t>a</w:t>
      </w:r>
      <w:r>
        <w:rPr>
          <w:spacing w:val="-30"/>
          <w:w w:val="130"/>
        </w:rPr>
        <w:t> </w:t>
      </w:r>
      <w:r>
        <w:rPr>
          <w:w w:val="130"/>
        </w:rPr>
        <w:t>gazdasági</w:t>
      </w:r>
      <w:r>
        <w:rPr>
          <w:spacing w:val="-28"/>
          <w:w w:val="130"/>
        </w:rPr>
        <w:t> </w:t>
      </w:r>
      <w:r>
        <w:rPr>
          <w:w w:val="130"/>
        </w:rPr>
        <w:t>tevékenységet</w:t>
      </w:r>
      <w:r>
        <w:rPr>
          <w:spacing w:val="-32"/>
          <w:w w:val="130"/>
        </w:rPr>
        <w:t> </w:t>
      </w:r>
      <w:r>
        <w:rPr>
          <w:w w:val="130"/>
        </w:rPr>
        <w:t>folytató</w:t>
      </w:r>
      <w:r>
        <w:rPr>
          <w:spacing w:val="-30"/>
          <w:w w:val="130"/>
        </w:rPr>
        <w:t> </w:t>
      </w:r>
      <w:r>
        <w:rPr>
          <w:w w:val="130"/>
        </w:rPr>
        <w:t>jogi</w:t>
      </w:r>
      <w:r>
        <w:rPr>
          <w:spacing w:val="-29"/>
          <w:w w:val="130"/>
        </w:rPr>
        <w:t> </w:t>
      </w:r>
      <w:r>
        <w:rPr>
          <w:w w:val="130"/>
        </w:rPr>
        <w:t>személy,</w:t>
      </w:r>
      <w:r>
        <w:rPr>
          <w:spacing w:val="-30"/>
          <w:w w:val="130"/>
        </w:rPr>
        <w:t> </w:t>
      </w:r>
      <w:r>
        <w:rPr>
          <w:w w:val="130"/>
        </w:rPr>
        <w:t>az</w:t>
      </w:r>
      <w:r>
        <w:rPr>
          <w:spacing w:val="-30"/>
          <w:w w:val="130"/>
        </w:rPr>
        <w:t> </w:t>
      </w:r>
      <w:r>
        <w:rPr>
          <w:w w:val="130"/>
        </w:rPr>
        <w:t>egyéni cég és az egyéni</w:t>
      </w:r>
      <w:r>
        <w:rPr>
          <w:spacing w:val="-17"/>
          <w:w w:val="130"/>
        </w:rPr>
        <w:t> </w:t>
      </w:r>
      <w:r>
        <w:rPr>
          <w:w w:val="130"/>
        </w:rPr>
        <w:t>vállalkozó;</w:t>
      </w:r>
    </w:p>
    <w:p>
      <w:pPr>
        <w:pStyle w:val="ListParagraph"/>
        <w:numPr>
          <w:ilvl w:val="0"/>
          <w:numId w:val="45"/>
        </w:numPr>
        <w:tabs>
          <w:tab w:pos="948" w:val="left" w:leader="none"/>
        </w:tabs>
        <w:spacing w:line="225" w:lineRule="auto" w:before="2" w:after="0"/>
        <w:ind w:left="113" w:right="125" w:firstLine="204"/>
        <w:jc w:val="both"/>
        <w:rPr>
          <w:sz w:val="24"/>
        </w:rPr>
      </w:pPr>
      <w:r>
        <w:rPr>
          <w:i/>
          <w:w w:val="130"/>
          <w:sz w:val="24"/>
        </w:rPr>
        <w:t>vegyes</w:t>
      </w:r>
      <w:r>
        <w:rPr>
          <w:i/>
          <w:spacing w:val="-14"/>
          <w:w w:val="130"/>
          <w:sz w:val="24"/>
        </w:rPr>
        <w:t> </w:t>
      </w:r>
      <w:r>
        <w:rPr>
          <w:i/>
          <w:w w:val="130"/>
          <w:sz w:val="24"/>
        </w:rPr>
        <w:t>pénzügyi</w:t>
      </w:r>
      <w:r>
        <w:rPr>
          <w:i/>
          <w:spacing w:val="-13"/>
          <w:w w:val="130"/>
          <w:sz w:val="24"/>
        </w:rPr>
        <w:t> </w:t>
      </w:r>
      <w:r>
        <w:rPr>
          <w:i/>
          <w:w w:val="130"/>
          <w:sz w:val="24"/>
        </w:rPr>
        <w:t>holding</w:t>
      </w:r>
      <w:r>
        <w:rPr>
          <w:i/>
          <w:spacing w:val="-13"/>
          <w:w w:val="130"/>
          <w:sz w:val="24"/>
        </w:rPr>
        <w:t> </w:t>
      </w:r>
      <w:r>
        <w:rPr>
          <w:i/>
          <w:w w:val="130"/>
          <w:sz w:val="24"/>
        </w:rPr>
        <w:t>társaság:</w:t>
      </w:r>
      <w:r>
        <w:rPr>
          <w:i/>
          <w:spacing w:val="-11"/>
          <w:w w:val="130"/>
          <w:sz w:val="24"/>
        </w:rPr>
        <w:t> </w:t>
      </w:r>
      <w:r>
        <w:rPr>
          <w:w w:val="130"/>
          <w:sz w:val="24"/>
        </w:rPr>
        <w:t>az</w:t>
      </w:r>
      <w:r>
        <w:rPr>
          <w:spacing w:val="-13"/>
          <w:w w:val="130"/>
          <w:sz w:val="24"/>
        </w:rPr>
        <w:t> </w:t>
      </w:r>
      <w:r>
        <w:rPr>
          <w:w w:val="130"/>
          <w:sz w:val="24"/>
        </w:rPr>
        <w:t>575/2013/EU</w:t>
      </w:r>
      <w:r>
        <w:rPr>
          <w:spacing w:val="-14"/>
          <w:w w:val="130"/>
          <w:sz w:val="24"/>
        </w:rPr>
        <w:t> </w:t>
      </w:r>
      <w:r>
        <w:rPr>
          <w:w w:val="130"/>
          <w:sz w:val="24"/>
        </w:rPr>
        <w:t>rendeletben</w:t>
      </w:r>
      <w:r>
        <w:rPr>
          <w:spacing w:val="-13"/>
          <w:w w:val="130"/>
          <w:sz w:val="24"/>
        </w:rPr>
        <w:t> </w:t>
      </w:r>
      <w:r>
        <w:rPr>
          <w:w w:val="130"/>
          <w:sz w:val="24"/>
        </w:rPr>
        <w:t>ekként meghatározott</w:t>
      </w:r>
      <w:r>
        <w:rPr>
          <w:spacing w:val="-4"/>
          <w:w w:val="130"/>
          <w:sz w:val="24"/>
        </w:rPr>
        <w:t> </w:t>
      </w:r>
      <w:r>
        <w:rPr>
          <w:w w:val="130"/>
          <w:sz w:val="24"/>
        </w:rPr>
        <w:t>fogalom;</w:t>
      </w:r>
    </w:p>
    <w:p>
      <w:pPr>
        <w:pStyle w:val="ListParagraph"/>
        <w:numPr>
          <w:ilvl w:val="0"/>
          <w:numId w:val="45"/>
        </w:numPr>
        <w:tabs>
          <w:tab w:pos="998" w:val="left" w:leader="none"/>
        </w:tabs>
        <w:spacing w:line="225" w:lineRule="auto" w:before="1" w:after="0"/>
        <w:ind w:left="113" w:right="120" w:firstLine="204"/>
        <w:jc w:val="both"/>
        <w:rPr>
          <w:sz w:val="24"/>
        </w:rPr>
      </w:pPr>
      <w:r>
        <w:rPr>
          <w:i/>
          <w:w w:val="130"/>
          <w:sz w:val="24"/>
        </w:rPr>
        <w:t>vegyes tevékenységű holding társaság: </w:t>
      </w:r>
      <w:r>
        <w:rPr>
          <w:w w:val="130"/>
          <w:sz w:val="24"/>
        </w:rPr>
        <w:t>az 575/2013/EU rendeletben ekként meghatározott</w:t>
      </w:r>
      <w:r>
        <w:rPr>
          <w:spacing w:val="-9"/>
          <w:w w:val="130"/>
          <w:sz w:val="24"/>
        </w:rPr>
        <w:t> </w:t>
      </w:r>
      <w:r>
        <w:rPr>
          <w:w w:val="130"/>
          <w:sz w:val="24"/>
        </w:rPr>
        <w:t>fogalom;</w:t>
      </w:r>
    </w:p>
    <w:p>
      <w:pPr>
        <w:pStyle w:val="ListParagraph"/>
        <w:numPr>
          <w:ilvl w:val="0"/>
          <w:numId w:val="45"/>
        </w:numPr>
        <w:tabs>
          <w:tab w:pos="928" w:val="left" w:leader="none"/>
        </w:tabs>
        <w:spacing w:line="256" w:lineRule="exact" w:before="0" w:after="0"/>
        <w:ind w:left="927" w:right="0" w:hanging="610"/>
        <w:jc w:val="left"/>
        <w:rPr>
          <w:i/>
          <w:sz w:val="24"/>
        </w:rPr>
      </w:pPr>
      <w:r>
        <w:rPr>
          <w:i/>
          <w:w w:val="125"/>
          <w:sz w:val="24"/>
        </w:rPr>
        <w:t>versengő szolgáltatások:</w:t>
      </w:r>
    </w:p>
    <w:p>
      <w:pPr>
        <w:pStyle w:val="ListParagraph"/>
        <w:numPr>
          <w:ilvl w:val="0"/>
          <w:numId w:val="46"/>
        </w:numPr>
        <w:tabs>
          <w:tab w:pos="653" w:val="left" w:leader="none"/>
        </w:tabs>
        <w:spacing w:line="225" w:lineRule="auto" w:before="5" w:after="0"/>
        <w:ind w:left="113" w:right="130" w:firstLine="204"/>
        <w:jc w:val="both"/>
        <w:rPr>
          <w:sz w:val="24"/>
        </w:rPr>
      </w:pPr>
      <w:r>
        <w:rPr>
          <w:w w:val="125"/>
          <w:sz w:val="24"/>
        </w:rPr>
        <w:t>ingatlanon alapított jelzálogjog (ideértve az önálló zálogjogot is) fedezete mellett öt évet elérő vagy azt meghaladó legrövidebb futamidőre kínált hitel és pénzkölcsön, valamint az ingatlan pénzügyi lízing,</w:t>
      </w:r>
    </w:p>
    <w:p>
      <w:pPr>
        <w:pStyle w:val="ListParagraph"/>
        <w:numPr>
          <w:ilvl w:val="0"/>
          <w:numId w:val="46"/>
        </w:numPr>
        <w:tabs>
          <w:tab w:pos="675" w:val="left" w:leader="none"/>
        </w:tabs>
        <w:spacing w:line="225" w:lineRule="auto" w:before="2" w:after="0"/>
        <w:ind w:left="113" w:right="126" w:firstLine="204"/>
        <w:jc w:val="both"/>
        <w:rPr>
          <w:sz w:val="24"/>
        </w:rPr>
      </w:pPr>
      <w:r>
        <w:rPr>
          <w:w w:val="125"/>
          <w:sz w:val="24"/>
        </w:rPr>
        <w:t>ingatlanon alapított jelzálogjog (ideértve az önálló zálogjogot is) fedezete mellett öt évet meg nem haladó leghosszabb futamidőre kínált hitel és pénzkölcsön, valamint pénzügyi lízing, továbbá valamennyi, ingatlanon alapított jelzálogjog fedezete nélkül kínált hitel és pénzkölcsön, ideértve a fizetési számlához (bankszámlához) kapcsolódó hitelkeretet és  a  hitelkártyát is,</w:t>
      </w:r>
      <w:r>
        <w:rPr>
          <w:spacing w:val="-1"/>
          <w:w w:val="125"/>
          <w:sz w:val="24"/>
        </w:rPr>
        <w:t> </w:t>
      </w:r>
      <w:r>
        <w:rPr>
          <w:w w:val="125"/>
          <w:sz w:val="24"/>
        </w:rPr>
        <w:t>vagy</w:t>
      </w:r>
    </w:p>
    <w:p>
      <w:pPr>
        <w:pStyle w:val="ListParagraph"/>
        <w:numPr>
          <w:ilvl w:val="0"/>
          <w:numId w:val="46"/>
        </w:numPr>
        <w:tabs>
          <w:tab w:pos="623" w:val="left" w:leader="none"/>
        </w:tabs>
        <w:spacing w:line="258" w:lineRule="exact" w:before="0" w:after="0"/>
        <w:ind w:left="622" w:right="0" w:hanging="305"/>
        <w:jc w:val="left"/>
        <w:rPr>
          <w:sz w:val="24"/>
        </w:rPr>
      </w:pPr>
      <w:r>
        <w:rPr>
          <w:w w:val="130"/>
          <w:sz w:val="24"/>
        </w:rPr>
        <w:t>betét és fizetési számla</w:t>
      </w:r>
      <w:r>
        <w:rPr>
          <w:spacing w:val="-16"/>
          <w:w w:val="130"/>
          <w:sz w:val="24"/>
        </w:rPr>
        <w:t> </w:t>
      </w:r>
      <w:r>
        <w:rPr>
          <w:w w:val="130"/>
          <w:sz w:val="24"/>
        </w:rPr>
        <w:t>(bankszámla)</w:t>
      </w:r>
    </w:p>
    <w:p>
      <w:pPr>
        <w:pStyle w:val="BodyText"/>
        <w:spacing w:line="225" w:lineRule="auto" w:before="5"/>
        <w:ind w:right="129" w:firstLine="0"/>
        <w:jc w:val="both"/>
      </w:pPr>
      <w:r>
        <w:rPr>
          <w:w w:val="130"/>
        </w:rPr>
        <w:t>azzal,</w:t>
      </w:r>
      <w:r>
        <w:rPr>
          <w:spacing w:val="-29"/>
          <w:w w:val="130"/>
        </w:rPr>
        <w:t> </w:t>
      </w:r>
      <w:r>
        <w:rPr>
          <w:w w:val="130"/>
        </w:rPr>
        <w:t>hogy</w:t>
      </w:r>
      <w:r>
        <w:rPr>
          <w:spacing w:val="-28"/>
          <w:w w:val="130"/>
        </w:rPr>
        <w:t> </w:t>
      </w:r>
      <w:r>
        <w:rPr>
          <w:w w:val="130"/>
        </w:rPr>
        <w:t>nem</w:t>
      </w:r>
      <w:r>
        <w:rPr>
          <w:spacing w:val="-28"/>
          <w:w w:val="130"/>
        </w:rPr>
        <w:t> </w:t>
      </w:r>
      <w:r>
        <w:rPr>
          <w:w w:val="130"/>
        </w:rPr>
        <w:t>minősül</w:t>
      </w:r>
      <w:r>
        <w:rPr>
          <w:spacing w:val="-29"/>
          <w:w w:val="130"/>
        </w:rPr>
        <w:t> </w:t>
      </w:r>
      <w:r>
        <w:rPr>
          <w:w w:val="130"/>
        </w:rPr>
        <w:t>versengő</w:t>
      </w:r>
      <w:r>
        <w:rPr>
          <w:spacing w:val="-25"/>
          <w:w w:val="130"/>
        </w:rPr>
        <w:t> </w:t>
      </w:r>
      <w:r>
        <w:rPr>
          <w:w w:val="130"/>
        </w:rPr>
        <w:t>szolgáltatásnak</w:t>
      </w:r>
      <w:r>
        <w:rPr>
          <w:spacing w:val="-31"/>
          <w:w w:val="130"/>
        </w:rPr>
        <w:t> </w:t>
      </w:r>
      <w:r>
        <w:rPr>
          <w:w w:val="130"/>
        </w:rPr>
        <w:t>a</w:t>
      </w:r>
      <w:r>
        <w:rPr>
          <w:spacing w:val="-28"/>
          <w:w w:val="130"/>
        </w:rPr>
        <w:t> </w:t>
      </w:r>
      <w:r>
        <w:rPr>
          <w:w w:val="130"/>
        </w:rPr>
        <w:t>kézizálog</w:t>
      </w:r>
      <w:r>
        <w:rPr>
          <w:spacing w:val="-29"/>
          <w:w w:val="130"/>
        </w:rPr>
        <w:t> </w:t>
      </w:r>
      <w:r>
        <w:rPr>
          <w:w w:val="130"/>
        </w:rPr>
        <w:t>fedezete</w:t>
      </w:r>
      <w:r>
        <w:rPr>
          <w:spacing w:val="-29"/>
          <w:w w:val="130"/>
        </w:rPr>
        <w:t> </w:t>
      </w:r>
      <w:r>
        <w:rPr>
          <w:w w:val="130"/>
        </w:rPr>
        <w:t>mellett nyújtott</w:t>
      </w:r>
      <w:r>
        <w:rPr>
          <w:spacing w:val="-4"/>
          <w:w w:val="130"/>
        </w:rPr>
        <w:t> </w:t>
      </w:r>
      <w:r>
        <w:rPr>
          <w:w w:val="130"/>
        </w:rPr>
        <w:t>pénzkölcsön;</w:t>
      </w:r>
    </w:p>
    <w:p>
      <w:pPr>
        <w:pStyle w:val="ListParagraph"/>
        <w:numPr>
          <w:ilvl w:val="0"/>
          <w:numId w:val="45"/>
        </w:numPr>
        <w:tabs>
          <w:tab w:pos="1017" w:val="left" w:leader="none"/>
        </w:tabs>
        <w:spacing w:line="225" w:lineRule="auto" w:before="1" w:after="0"/>
        <w:ind w:left="113" w:right="124" w:firstLine="204"/>
        <w:jc w:val="both"/>
        <w:rPr>
          <w:sz w:val="24"/>
        </w:rPr>
      </w:pPr>
      <w:r>
        <w:rPr>
          <w:i/>
          <w:w w:val="125"/>
          <w:sz w:val="24"/>
        </w:rPr>
        <w:t>veszteségmérséklő tevékenység: </w:t>
      </w:r>
      <w:r>
        <w:rPr>
          <w:w w:val="125"/>
          <w:sz w:val="24"/>
        </w:rPr>
        <w:t>a hitelintézet minden olyan - nem üzletszerű - tevékenysége, melynek célja a kockázatvállalással  kapcsolatos, már megállapított veszteség</w:t>
      </w:r>
      <w:r>
        <w:rPr>
          <w:spacing w:val="4"/>
          <w:w w:val="125"/>
          <w:sz w:val="24"/>
        </w:rPr>
        <w:t> </w:t>
      </w:r>
      <w:r>
        <w:rPr>
          <w:w w:val="125"/>
          <w:sz w:val="24"/>
        </w:rPr>
        <w:t>csökkentése;</w:t>
      </w:r>
    </w:p>
    <w:p>
      <w:pPr>
        <w:pStyle w:val="ListParagraph"/>
        <w:numPr>
          <w:ilvl w:val="0"/>
          <w:numId w:val="45"/>
        </w:numPr>
        <w:tabs>
          <w:tab w:pos="928" w:val="left" w:leader="none"/>
        </w:tabs>
        <w:spacing w:line="256" w:lineRule="exact" w:before="0" w:after="0"/>
        <w:ind w:left="927" w:right="0" w:hanging="610"/>
        <w:jc w:val="left"/>
        <w:rPr>
          <w:i/>
          <w:sz w:val="24"/>
        </w:rPr>
      </w:pPr>
      <w:r>
        <w:rPr>
          <w:i/>
          <w:w w:val="125"/>
          <w:sz w:val="24"/>
        </w:rPr>
        <w:t>vezető állású személy:</w:t>
      </w:r>
    </w:p>
    <w:p>
      <w:pPr>
        <w:pStyle w:val="ListParagraph"/>
        <w:numPr>
          <w:ilvl w:val="0"/>
          <w:numId w:val="47"/>
        </w:numPr>
        <w:tabs>
          <w:tab w:pos="743" w:val="left" w:leader="none"/>
        </w:tabs>
        <w:spacing w:line="225" w:lineRule="auto" w:before="6" w:after="0"/>
        <w:ind w:left="113" w:right="123" w:firstLine="204"/>
        <w:jc w:val="both"/>
        <w:rPr>
          <w:sz w:val="24"/>
        </w:rPr>
      </w:pPr>
      <w:r>
        <w:rPr>
          <w:w w:val="130"/>
          <w:sz w:val="24"/>
        </w:rPr>
        <w:t>részvénytársasági formában működő bank és szakosított hitelintézet esetén</w:t>
      </w:r>
      <w:r>
        <w:rPr>
          <w:spacing w:val="-15"/>
          <w:w w:val="130"/>
          <w:sz w:val="24"/>
        </w:rPr>
        <w:t> </w:t>
      </w:r>
      <w:r>
        <w:rPr>
          <w:w w:val="130"/>
          <w:sz w:val="24"/>
        </w:rPr>
        <w:t>az</w:t>
      </w:r>
      <w:r>
        <w:rPr>
          <w:spacing w:val="-14"/>
          <w:w w:val="130"/>
          <w:sz w:val="24"/>
        </w:rPr>
        <w:t> </w:t>
      </w:r>
      <w:r>
        <w:rPr>
          <w:w w:val="130"/>
          <w:sz w:val="24"/>
        </w:rPr>
        <w:t>igazgatóság,</w:t>
      </w:r>
      <w:r>
        <w:rPr>
          <w:spacing w:val="-14"/>
          <w:w w:val="130"/>
          <w:sz w:val="24"/>
        </w:rPr>
        <w:t> </w:t>
      </w:r>
      <w:r>
        <w:rPr>
          <w:w w:val="130"/>
          <w:sz w:val="24"/>
        </w:rPr>
        <w:t>a</w:t>
      </w:r>
      <w:r>
        <w:rPr>
          <w:spacing w:val="-15"/>
          <w:w w:val="130"/>
          <w:sz w:val="24"/>
        </w:rPr>
        <w:t> </w:t>
      </w:r>
      <w:r>
        <w:rPr>
          <w:w w:val="130"/>
          <w:sz w:val="24"/>
        </w:rPr>
        <w:t>felügyelő</w:t>
      </w:r>
      <w:r>
        <w:rPr>
          <w:spacing w:val="-13"/>
          <w:w w:val="130"/>
          <w:sz w:val="24"/>
        </w:rPr>
        <w:t> </w:t>
      </w:r>
      <w:r>
        <w:rPr>
          <w:w w:val="130"/>
          <w:sz w:val="24"/>
        </w:rPr>
        <w:t>bizottság</w:t>
      </w:r>
      <w:r>
        <w:rPr>
          <w:spacing w:val="-2"/>
          <w:w w:val="130"/>
          <w:sz w:val="24"/>
        </w:rPr>
        <w:t> </w:t>
      </w:r>
      <w:r>
        <w:rPr>
          <w:w w:val="130"/>
          <w:sz w:val="24"/>
        </w:rPr>
        <w:t>elnöke,</w:t>
      </w:r>
      <w:r>
        <w:rPr>
          <w:spacing w:val="-26"/>
          <w:w w:val="130"/>
          <w:sz w:val="24"/>
        </w:rPr>
        <w:t> </w:t>
      </w:r>
      <w:r>
        <w:rPr>
          <w:w w:val="130"/>
          <w:sz w:val="24"/>
        </w:rPr>
        <w:t>tagja</w:t>
      </w:r>
      <w:r>
        <w:rPr>
          <w:spacing w:val="-14"/>
          <w:w w:val="130"/>
          <w:sz w:val="24"/>
        </w:rPr>
        <w:t> </w:t>
      </w:r>
      <w:r>
        <w:rPr>
          <w:w w:val="130"/>
          <w:sz w:val="24"/>
        </w:rPr>
        <w:t>és</w:t>
      </w:r>
      <w:r>
        <w:rPr>
          <w:spacing w:val="-14"/>
          <w:w w:val="130"/>
          <w:sz w:val="24"/>
        </w:rPr>
        <w:t> </w:t>
      </w:r>
      <w:r>
        <w:rPr>
          <w:w w:val="130"/>
          <w:sz w:val="24"/>
        </w:rPr>
        <w:t>az</w:t>
      </w:r>
      <w:r>
        <w:rPr>
          <w:spacing w:val="-14"/>
          <w:w w:val="130"/>
          <w:sz w:val="24"/>
        </w:rPr>
        <w:t> </w:t>
      </w:r>
      <w:r>
        <w:rPr>
          <w:w w:val="130"/>
          <w:sz w:val="24"/>
        </w:rPr>
        <w:t>ügyvezető,</w:t>
      </w:r>
    </w:p>
    <w:p>
      <w:pPr>
        <w:pStyle w:val="ListParagraph"/>
        <w:numPr>
          <w:ilvl w:val="0"/>
          <w:numId w:val="47"/>
        </w:numPr>
        <w:tabs>
          <w:tab w:pos="795" w:val="left" w:leader="none"/>
        </w:tabs>
        <w:spacing w:line="225" w:lineRule="auto" w:before="1" w:after="0"/>
        <w:ind w:left="113" w:right="124" w:firstLine="204"/>
        <w:jc w:val="both"/>
        <w:rPr>
          <w:sz w:val="24"/>
        </w:rPr>
      </w:pPr>
      <w:r>
        <w:rPr>
          <w:w w:val="125"/>
          <w:sz w:val="24"/>
        </w:rPr>
        <w:t>szövetkezeti formában működő szövetkezeti hitelintézet esetén az igazgatóság elnöke, a felügyelő bizottság elnöke és az</w:t>
      </w:r>
      <w:r>
        <w:rPr>
          <w:spacing w:val="13"/>
          <w:w w:val="125"/>
          <w:sz w:val="24"/>
        </w:rPr>
        <w:t> </w:t>
      </w:r>
      <w:r>
        <w:rPr>
          <w:w w:val="125"/>
          <w:sz w:val="24"/>
        </w:rPr>
        <w:t>ügyvezető,</w:t>
      </w:r>
    </w:p>
    <w:p>
      <w:pPr>
        <w:pStyle w:val="ListParagraph"/>
        <w:numPr>
          <w:ilvl w:val="0"/>
          <w:numId w:val="47"/>
        </w:numPr>
        <w:tabs>
          <w:tab w:pos="833" w:val="left" w:leader="none"/>
        </w:tabs>
        <w:spacing w:line="225" w:lineRule="auto" w:before="1" w:after="0"/>
        <w:ind w:left="113" w:right="124" w:firstLine="204"/>
        <w:jc w:val="both"/>
        <w:rPr>
          <w:sz w:val="24"/>
        </w:rPr>
      </w:pPr>
      <w:r>
        <w:rPr>
          <w:w w:val="130"/>
          <w:sz w:val="24"/>
        </w:rPr>
        <w:t>részvénytársasági vagy szövetkezeti formában működő pénzügyi vállalkozás esetén az igazgatóság elnöke, a felügyelő bizottság elnöke és az ügyvezető,</w:t>
      </w:r>
    </w:p>
    <w:p>
      <w:pPr>
        <w:pStyle w:val="BodyText"/>
        <w:spacing w:before="5"/>
        <w:ind w:left="0" w:firstLine="0"/>
        <w:rPr>
          <w:sz w:val="10"/>
        </w:rPr>
      </w:pPr>
      <w:r>
        <w:rPr/>
        <w:pict>
          <v:line style="position:absolute;mso-position-horizontal-relative:page;mso-position-vertical-relative:paragraph;z-index:-688;mso-wrap-distance-left:0;mso-wrap-distance-right:0" from="56.693001pt,8.224235pt" to="538.583001pt,8.224235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Megállapította: 2014. évi XVI. törvény 294. § (1). Hatályos: 2014. II.</w:t>
      </w:r>
      <w:r>
        <w:rPr>
          <w:i/>
          <w:spacing w:val="-21"/>
          <w:w w:val="125"/>
          <w:sz w:val="18"/>
        </w:rPr>
        <w:t> </w:t>
      </w:r>
      <w:r>
        <w:rPr>
          <w:i/>
          <w:w w:val="125"/>
          <w:sz w:val="18"/>
        </w:rPr>
        <w:t>25-től.</w:t>
      </w:r>
    </w:p>
    <w:p>
      <w:pPr>
        <w:tabs>
          <w:tab w:pos="686" w:val="left" w:leader="none"/>
        </w:tabs>
        <w:spacing w:line="203" w:lineRule="exact" w:before="0"/>
        <w:ind w:left="342" w:right="0" w:firstLine="0"/>
        <w:jc w:val="left"/>
        <w:rPr>
          <w:i/>
          <w:sz w:val="18"/>
        </w:rPr>
      </w:pPr>
      <w:r>
        <w:rPr>
          <w:i/>
          <w:w w:val="125"/>
          <w:sz w:val="18"/>
        </w:rPr>
        <w:t>2</w:t>
        <w:tab/>
        <w:t>Módosította: ugyane törvény 306. § (8)</w:t>
      </w:r>
      <w:r>
        <w:rPr>
          <w:i/>
          <w:spacing w:val="-1"/>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0"/>
          <w:numId w:val="47"/>
        </w:numPr>
        <w:tabs>
          <w:tab w:pos="652" w:val="left" w:leader="none"/>
        </w:tabs>
        <w:spacing w:line="225" w:lineRule="auto" w:before="173" w:after="0"/>
        <w:ind w:left="113" w:right="133" w:firstLine="204"/>
        <w:jc w:val="left"/>
        <w:rPr>
          <w:sz w:val="24"/>
        </w:rPr>
      </w:pPr>
      <w:r>
        <w:rPr>
          <w:w w:val="125"/>
          <w:sz w:val="24"/>
        </w:rPr>
        <w:t>fióktelep esetén a fióktelep vezetésére a külföldi pénzügyi intézmény által kinevezett személy és annak közvetlen</w:t>
      </w:r>
      <w:r>
        <w:rPr>
          <w:spacing w:val="7"/>
          <w:w w:val="125"/>
          <w:sz w:val="24"/>
        </w:rPr>
        <w:t> </w:t>
      </w:r>
      <w:r>
        <w:rPr>
          <w:w w:val="125"/>
          <w:sz w:val="24"/>
        </w:rPr>
        <w:t>helyettese,</w:t>
      </w:r>
    </w:p>
    <w:p>
      <w:pPr>
        <w:pStyle w:val="ListParagraph"/>
        <w:numPr>
          <w:ilvl w:val="0"/>
          <w:numId w:val="47"/>
        </w:numPr>
        <w:tabs>
          <w:tab w:pos="555" w:val="left" w:leader="none"/>
          <w:tab w:pos="913" w:val="left" w:leader="none"/>
          <w:tab w:pos="1429" w:val="left" w:leader="none"/>
          <w:tab w:pos="3009" w:val="left" w:leader="none"/>
          <w:tab w:pos="4425" w:val="left" w:leader="none"/>
          <w:tab w:pos="5652" w:val="left" w:leader="none"/>
          <w:tab w:pos="6983" w:val="left" w:leader="none"/>
          <w:tab w:pos="8559" w:val="left" w:leader="none"/>
          <w:tab w:pos="9603" w:val="left" w:leader="none"/>
        </w:tabs>
        <w:spacing w:line="249" w:lineRule="exact" w:before="0" w:after="0"/>
        <w:ind w:left="554" w:right="0" w:hanging="237"/>
        <w:jc w:val="left"/>
        <w:rPr>
          <w:sz w:val="24"/>
        </w:rPr>
      </w:pPr>
      <w:r>
        <w:rPr>
          <w:i/>
          <w:w w:val="125"/>
          <w:position w:val="3"/>
          <w:sz w:val="18"/>
        </w:rPr>
        <w:t>1</w:t>
        <w:tab/>
      </w:r>
      <w:r>
        <w:rPr>
          <w:w w:val="125"/>
          <w:sz w:val="24"/>
        </w:rPr>
        <w:t>az</w:t>
        <w:tab/>
        <w:t>alapítványi</w:t>
        <w:tab/>
        <w:t>formában</w:t>
        <w:tab/>
        <w:t>működő</w:t>
        <w:tab/>
        <w:t>pénzügyi</w:t>
        <w:tab/>
        <w:t>vállalkozás</w:t>
        <w:tab/>
        <w:t>esetén</w:t>
        <w:tab/>
        <w:t>a</w:t>
      </w:r>
    </w:p>
    <w:p>
      <w:pPr>
        <w:pStyle w:val="BodyText"/>
        <w:tabs>
          <w:tab w:pos="1694" w:val="left" w:leader="none"/>
          <w:tab w:pos="2591" w:val="left" w:leader="none"/>
          <w:tab w:pos="2947" w:val="left" w:leader="none"/>
          <w:tab w:pos="4274" w:val="left" w:leader="none"/>
          <w:tab w:pos="5600" w:val="left" w:leader="none"/>
          <w:tab w:pos="6691" w:val="left" w:leader="none"/>
          <w:tab w:pos="7954" w:val="left" w:leader="none"/>
          <w:tab w:pos="8436" w:val="left" w:leader="none"/>
        </w:tabs>
        <w:spacing w:line="225" w:lineRule="auto" w:before="12"/>
        <w:ind w:right="133" w:firstLine="0"/>
      </w:pPr>
      <w:r>
        <w:rPr>
          <w:w w:val="130"/>
        </w:rPr>
        <w:t>kuratórium</w:t>
        <w:tab/>
        <w:t>tagja,</w:t>
        <w:tab/>
        <w:t>a</w:t>
        <w:tab/>
        <w:t>felügyelő</w:t>
        <w:tab/>
        <w:t>bizottság</w:t>
        <w:tab/>
        <w:t>elnöke,</w:t>
        <w:tab/>
        <w:t>valamint</w:t>
        <w:tab/>
        <w:t>az</w:t>
        <w:tab/>
      </w:r>
      <w:r>
        <w:rPr>
          <w:spacing w:val="-1"/>
          <w:w w:val="125"/>
        </w:rPr>
        <w:t>ügyvezető, </w:t>
      </w:r>
      <w:r>
        <w:rPr>
          <w:w w:val="130"/>
        </w:rPr>
        <w:t>valamint</w:t>
      </w:r>
    </w:p>
    <w:p>
      <w:pPr>
        <w:pStyle w:val="ListParagraph"/>
        <w:numPr>
          <w:ilvl w:val="0"/>
          <w:numId w:val="47"/>
        </w:numPr>
        <w:tabs>
          <w:tab w:pos="756" w:val="left" w:leader="none"/>
        </w:tabs>
        <w:spacing w:line="225" w:lineRule="auto" w:before="1" w:after="0"/>
        <w:ind w:left="113" w:right="120" w:firstLine="204"/>
        <w:jc w:val="both"/>
        <w:rPr>
          <w:sz w:val="24"/>
        </w:rPr>
      </w:pPr>
      <w:r>
        <w:rPr>
          <w:w w:val="125"/>
          <w:sz w:val="24"/>
        </w:rPr>
        <w:t>független közvetítő esetén a pénzügyi szolgáltatás közvetítésének irányítását végző személy, valamint valamennyi</w:t>
      </w:r>
      <w:r>
        <w:rPr>
          <w:spacing w:val="5"/>
          <w:w w:val="125"/>
          <w:sz w:val="24"/>
        </w:rPr>
        <w:t> </w:t>
      </w:r>
      <w:r>
        <w:rPr>
          <w:w w:val="125"/>
          <w:sz w:val="24"/>
        </w:rPr>
        <w:t>helyettese,</w:t>
      </w:r>
    </w:p>
    <w:p>
      <w:pPr>
        <w:pStyle w:val="ListParagraph"/>
        <w:numPr>
          <w:ilvl w:val="0"/>
          <w:numId w:val="47"/>
        </w:numPr>
        <w:tabs>
          <w:tab w:pos="567" w:val="left" w:leader="none"/>
        </w:tabs>
        <w:spacing w:line="225" w:lineRule="auto" w:before="1" w:after="0"/>
        <w:ind w:left="113" w:right="129" w:firstLine="204"/>
        <w:jc w:val="both"/>
        <w:rPr>
          <w:sz w:val="24"/>
        </w:rPr>
      </w:pPr>
      <w:r>
        <w:rPr>
          <w:i/>
          <w:w w:val="125"/>
          <w:position w:val="3"/>
          <w:sz w:val="18"/>
        </w:rPr>
        <w:t>2 </w:t>
      </w:r>
      <w:r>
        <w:rPr>
          <w:w w:val="125"/>
          <w:sz w:val="24"/>
        </w:rPr>
        <w:t>jelzáloghitel közvetítői tevékenységet végző közvetítő esetén az irányítási jogkörrel rendelkező vezető testület tagja, a pénzügyi szolgáltatás közvetítésének irányítását végző személy és valamennyi</w:t>
      </w:r>
      <w:r>
        <w:rPr>
          <w:spacing w:val="17"/>
          <w:w w:val="125"/>
          <w:sz w:val="24"/>
        </w:rPr>
        <w:t> </w:t>
      </w:r>
      <w:r>
        <w:rPr>
          <w:w w:val="125"/>
          <w:sz w:val="24"/>
        </w:rPr>
        <w:t>helyettese,</w:t>
      </w:r>
    </w:p>
    <w:p>
      <w:pPr>
        <w:pStyle w:val="ListParagraph"/>
        <w:numPr>
          <w:ilvl w:val="0"/>
          <w:numId w:val="47"/>
        </w:numPr>
        <w:tabs>
          <w:tab w:pos="568" w:val="left" w:leader="none"/>
        </w:tabs>
        <w:spacing w:line="250" w:lineRule="exact" w:before="0" w:after="0"/>
        <w:ind w:left="567" w:right="0" w:hanging="250"/>
        <w:jc w:val="left"/>
        <w:rPr>
          <w:sz w:val="24"/>
        </w:rPr>
      </w:pPr>
      <w:r>
        <w:rPr>
          <w:i/>
          <w:w w:val="130"/>
          <w:position w:val="3"/>
          <w:sz w:val="18"/>
        </w:rPr>
        <w:t>3</w:t>
      </w:r>
      <w:r>
        <w:rPr>
          <w:i/>
          <w:spacing w:val="45"/>
          <w:w w:val="130"/>
          <w:position w:val="3"/>
          <w:sz w:val="18"/>
        </w:rPr>
        <w:t> </w:t>
      </w:r>
      <w:r>
        <w:rPr>
          <w:w w:val="130"/>
          <w:sz w:val="24"/>
        </w:rPr>
        <w:t>függő</w:t>
      </w:r>
      <w:r>
        <w:rPr>
          <w:spacing w:val="26"/>
          <w:w w:val="130"/>
          <w:sz w:val="24"/>
        </w:rPr>
        <w:t> </w:t>
      </w:r>
      <w:r>
        <w:rPr>
          <w:w w:val="130"/>
          <w:sz w:val="24"/>
        </w:rPr>
        <w:t>ügynök</w:t>
      </w:r>
      <w:r>
        <w:rPr>
          <w:spacing w:val="27"/>
          <w:w w:val="130"/>
          <w:sz w:val="24"/>
        </w:rPr>
        <w:t> </w:t>
      </w:r>
      <w:r>
        <w:rPr>
          <w:w w:val="130"/>
          <w:sz w:val="24"/>
        </w:rPr>
        <w:t>esetén</w:t>
      </w:r>
      <w:r>
        <w:rPr>
          <w:spacing w:val="25"/>
          <w:w w:val="130"/>
          <w:sz w:val="24"/>
        </w:rPr>
        <w:t> </w:t>
      </w:r>
      <w:r>
        <w:rPr>
          <w:w w:val="130"/>
          <w:sz w:val="24"/>
        </w:rPr>
        <w:t>az</w:t>
      </w:r>
      <w:r>
        <w:rPr>
          <w:spacing w:val="26"/>
          <w:w w:val="130"/>
          <w:sz w:val="24"/>
        </w:rPr>
        <w:t> </w:t>
      </w:r>
      <w:r>
        <w:rPr>
          <w:w w:val="130"/>
          <w:sz w:val="24"/>
        </w:rPr>
        <w:t>irányítási</w:t>
      </w:r>
      <w:r>
        <w:rPr>
          <w:spacing w:val="25"/>
          <w:w w:val="130"/>
          <w:sz w:val="24"/>
        </w:rPr>
        <w:t> </w:t>
      </w:r>
      <w:r>
        <w:rPr>
          <w:w w:val="130"/>
          <w:sz w:val="24"/>
        </w:rPr>
        <w:t>jogkörrel</w:t>
      </w:r>
      <w:r>
        <w:rPr>
          <w:spacing w:val="27"/>
          <w:w w:val="130"/>
          <w:sz w:val="24"/>
        </w:rPr>
        <w:t> </w:t>
      </w:r>
      <w:r>
        <w:rPr>
          <w:w w:val="130"/>
          <w:sz w:val="24"/>
        </w:rPr>
        <w:t>rendelkező</w:t>
      </w:r>
      <w:r>
        <w:rPr>
          <w:spacing w:val="26"/>
          <w:w w:val="130"/>
          <w:sz w:val="24"/>
        </w:rPr>
        <w:t> </w:t>
      </w:r>
      <w:r>
        <w:rPr>
          <w:w w:val="130"/>
          <w:sz w:val="24"/>
        </w:rPr>
        <w:t>vezető</w:t>
      </w:r>
      <w:r>
        <w:rPr>
          <w:spacing w:val="26"/>
          <w:w w:val="130"/>
          <w:sz w:val="24"/>
        </w:rPr>
        <w:t> </w:t>
      </w:r>
      <w:r>
        <w:rPr>
          <w:w w:val="130"/>
          <w:sz w:val="24"/>
        </w:rPr>
        <w:t>testület</w:t>
      </w:r>
    </w:p>
    <w:p>
      <w:pPr>
        <w:pStyle w:val="BodyText"/>
        <w:spacing w:line="225" w:lineRule="auto" w:before="12"/>
        <w:ind w:firstLine="0"/>
      </w:pPr>
      <w:r>
        <w:rPr>
          <w:w w:val="130"/>
        </w:rPr>
        <w:t>tagja, a pénzügyi szolgáltatás közvetítésének irányítását végző személy és</w:t>
      </w:r>
      <w:r>
        <w:rPr>
          <w:spacing w:val="78"/>
          <w:w w:val="130"/>
        </w:rPr>
        <w:t> </w:t>
      </w:r>
      <w:r>
        <w:rPr>
          <w:w w:val="130"/>
        </w:rPr>
        <w:t>valamennyi helyettese;</w:t>
      </w:r>
    </w:p>
    <w:p>
      <w:pPr>
        <w:pStyle w:val="ListParagraph"/>
        <w:numPr>
          <w:ilvl w:val="0"/>
          <w:numId w:val="45"/>
        </w:numPr>
        <w:tabs>
          <w:tab w:pos="1057" w:val="left" w:leader="none"/>
        </w:tabs>
        <w:spacing w:line="225" w:lineRule="auto" w:before="1" w:after="0"/>
        <w:ind w:left="113" w:right="131" w:firstLine="204"/>
        <w:jc w:val="both"/>
        <w:rPr>
          <w:sz w:val="24"/>
        </w:rPr>
      </w:pPr>
      <w:r>
        <w:rPr>
          <w:i/>
          <w:w w:val="130"/>
          <w:sz w:val="24"/>
        </w:rPr>
        <w:t>vezető testület: </w:t>
      </w:r>
      <w:r>
        <w:rPr>
          <w:w w:val="130"/>
          <w:sz w:val="24"/>
        </w:rPr>
        <w:t>a pénzügyi intézmény igazgatósága és felügyelő bizottsága, valamint annak vezetői és tagjai, ideértve a fióktelep formájában működő pénzügyi intézmény vezető állású személyeit</w:t>
      </w:r>
      <w:r>
        <w:rPr>
          <w:spacing w:val="-45"/>
          <w:w w:val="130"/>
          <w:sz w:val="24"/>
        </w:rPr>
        <w:t> </w:t>
      </w:r>
      <w:r>
        <w:rPr>
          <w:w w:val="130"/>
          <w:sz w:val="24"/>
        </w:rPr>
        <w:t>is.</w:t>
      </w:r>
    </w:p>
    <w:p>
      <w:pPr>
        <w:pStyle w:val="ListParagraph"/>
        <w:numPr>
          <w:ilvl w:val="0"/>
          <w:numId w:val="23"/>
        </w:numPr>
        <w:tabs>
          <w:tab w:pos="659" w:val="left" w:leader="none"/>
        </w:tabs>
        <w:spacing w:line="256" w:lineRule="exact" w:before="0" w:after="0"/>
        <w:ind w:left="658" w:right="0" w:hanging="341"/>
        <w:jc w:val="left"/>
        <w:rPr>
          <w:sz w:val="24"/>
        </w:rPr>
      </w:pPr>
      <w:r>
        <w:rPr>
          <w:i/>
          <w:w w:val="120"/>
          <w:position w:val="3"/>
          <w:sz w:val="18"/>
        </w:rPr>
        <w:t>4 </w:t>
      </w:r>
      <w:r>
        <w:rPr>
          <w:w w:val="120"/>
          <w:sz w:val="24"/>
        </w:rPr>
        <w:t>A X. Fejezet</w:t>
      </w:r>
      <w:r>
        <w:rPr>
          <w:spacing w:val="-17"/>
          <w:w w:val="120"/>
          <w:sz w:val="24"/>
        </w:rPr>
        <w:t> </w:t>
      </w:r>
      <w:r>
        <w:rPr>
          <w:w w:val="120"/>
          <w:sz w:val="24"/>
        </w:rPr>
        <w:t>alkalmazásában</w:t>
      </w:r>
    </w:p>
    <w:p>
      <w:pPr>
        <w:pStyle w:val="ListParagraph"/>
        <w:numPr>
          <w:ilvl w:val="0"/>
          <w:numId w:val="48"/>
        </w:numPr>
        <w:tabs>
          <w:tab w:pos="646" w:val="left" w:leader="none"/>
        </w:tabs>
        <w:spacing w:line="225" w:lineRule="auto" w:before="5" w:after="0"/>
        <w:ind w:left="113" w:right="128" w:firstLine="204"/>
        <w:jc w:val="both"/>
        <w:rPr>
          <w:sz w:val="24"/>
        </w:rPr>
      </w:pPr>
      <w:r>
        <w:rPr>
          <w:i/>
          <w:w w:val="125"/>
          <w:sz w:val="24"/>
        </w:rPr>
        <w:t>betétes: </w:t>
      </w:r>
      <w:r>
        <w:rPr>
          <w:w w:val="125"/>
          <w:sz w:val="24"/>
        </w:rPr>
        <w:t>akinek a betét a nevére szól, vagy - kizárólag a nem névre szóló betétek esetében - aki a betétokiratot felmutatja, továbbá közös betét esetén a betét minden egyes</w:t>
      </w:r>
      <w:r>
        <w:rPr>
          <w:spacing w:val="3"/>
          <w:w w:val="125"/>
          <w:sz w:val="24"/>
        </w:rPr>
        <w:t> </w:t>
      </w:r>
      <w:r>
        <w:rPr>
          <w:w w:val="125"/>
          <w:sz w:val="24"/>
        </w:rPr>
        <w:t>tulajdonosa;</w:t>
      </w:r>
    </w:p>
    <w:p>
      <w:pPr>
        <w:pStyle w:val="ListParagraph"/>
        <w:numPr>
          <w:ilvl w:val="0"/>
          <w:numId w:val="48"/>
        </w:numPr>
        <w:tabs>
          <w:tab w:pos="656" w:val="left" w:leader="none"/>
        </w:tabs>
        <w:spacing w:line="225" w:lineRule="auto" w:before="2" w:after="0"/>
        <w:ind w:left="113" w:right="122" w:firstLine="204"/>
        <w:jc w:val="both"/>
        <w:rPr>
          <w:sz w:val="24"/>
        </w:rPr>
      </w:pPr>
      <w:r>
        <w:rPr>
          <w:i/>
          <w:w w:val="125"/>
          <w:sz w:val="24"/>
        </w:rPr>
        <w:t>helyi önkormányzat: </w:t>
      </w:r>
      <w:r>
        <w:rPr>
          <w:w w:val="125"/>
          <w:sz w:val="24"/>
        </w:rPr>
        <w:t>a helyi önkormányzat, a nemzetiségi önkormányzat, az önkormányzati társulás és a térségi fejlesztési</w:t>
      </w:r>
      <w:r>
        <w:rPr>
          <w:spacing w:val="25"/>
          <w:w w:val="125"/>
          <w:sz w:val="24"/>
        </w:rPr>
        <w:t> </w:t>
      </w:r>
      <w:r>
        <w:rPr>
          <w:w w:val="125"/>
          <w:sz w:val="24"/>
        </w:rPr>
        <w:t>tanács;</w:t>
      </w:r>
    </w:p>
    <w:p>
      <w:pPr>
        <w:pStyle w:val="ListParagraph"/>
        <w:numPr>
          <w:ilvl w:val="0"/>
          <w:numId w:val="48"/>
        </w:numPr>
        <w:tabs>
          <w:tab w:pos="623" w:val="left" w:leader="none"/>
        </w:tabs>
        <w:spacing w:line="256" w:lineRule="exact" w:before="0" w:after="0"/>
        <w:ind w:left="622" w:right="0" w:hanging="305"/>
        <w:jc w:val="left"/>
        <w:rPr>
          <w:sz w:val="24"/>
        </w:rPr>
      </w:pPr>
      <w:r>
        <w:rPr>
          <w:i/>
          <w:w w:val="125"/>
          <w:sz w:val="24"/>
        </w:rPr>
        <w:t>kártalanításra jogosult személy: </w:t>
      </w:r>
      <w:r>
        <w:rPr>
          <w:w w:val="125"/>
          <w:sz w:val="24"/>
        </w:rPr>
        <w:t>a betétes, ide nem</w:t>
      </w:r>
      <w:r>
        <w:rPr>
          <w:spacing w:val="21"/>
          <w:w w:val="125"/>
          <w:sz w:val="24"/>
        </w:rPr>
        <w:t> </w:t>
      </w:r>
      <w:r>
        <w:rPr>
          <w:w w:val="125"/>
          <w:sz w:val="24"/>
        </w:rPr>
        <w:t>értve</w:t>
      </w:r>
    </w:p>
    <w:p>
      <w:pPr>
        <w:pStyle w:val="ListParagraph"/>
        <w:numPr>
          <w:ilvl w:val="0"/>
          <w:numId w:val="49"/>
        </w:numPr>
        <w:tabs>
          <w:tab w:pos="785" w:val="left" w:leader="none"/>
        </w:tabs>
        <w:spacing w:line="225" w:lineRule="auto" w:before="6" w:after="0"/>
        <w:ind w:left="113" w:right="124" w:firstLine="204"/>
        <w:jc w:val="both"/>
        <w:rPr>
          <w:sz w:val="24"/>
        </w:rPr>
      </w:pPr>
      <w:r>
        <w:rPr>
          <w:i/>
          <w:w w:val="130"/>
          <w:sz w:val="24"/>
        </w:rPr>
        <w:t>azt </w:t>
      </w:r>
      <w:r>
        <w:rPr>
          <w:w w:val="130"/>
          <w:sz w:val="24"/>
        </w:rPr>
        <w:t>a betétest, akinél a betét szerződéses feltételei ettől eltérő megállapodást</w:t>
      </w:r>
      <w:r>
        <w:rPr>
          <w:spacing w:val="-4"/>
          <w:w w:val="130"/>
          <w:sz w:val="24"/>
        </w:rPr>
        <w:t> </w:t>
      </w:r>
      <w:r>
        <w:rPr>
          <w:w w:val="130"/>
          <w:sz w:val="24"/>
        </w:rPr>
        <w:t>tartalmaznak,</w:t>
      </w:r>
    </w:p>
    <w:p>
      <w:pPr>
        <w:pStyle w:val="ListParagraph"/>
        <w:numPr>
          <w:ilvl w:val="0"/>
          <w:numId w:val="49"/>
        </w:numPr>
        <w:tabs>
          <w:tab w:pos="668" w:val="left" w:leader="none"/>
        </w:tabs>
        <w:spacing w:line="225" w:lineRule="auto" w:before="1" w:after="0"/>
        <w:ind w:left="113" w:right="121" w:firstLine="204"/>
        <w:jc w:val="both"/>
        <w:rPr>
          <w:sz w:val="24"/>
        </w:rPr>
      </w:pPr>
      <w:r>
        <w:rPr>
          <w:w w:val="130"/>
          <w:sz w:val="24"/>
        </w:rPr>
        <w:t>a rendelkezési jogosultságának keletkezési időpontjától függetlenül azt a személyt, aki a betétes rendelkezése alapján rendelkezik a betét fölött a kártalanításnak a 217. § (1) bekezdésében meghatározott kezdő időpontját megelőző napon, de egyébként nem</w:t>
      </w:r>
      <w:r>
        <w:rPr>
          <w:spacing w:val="-16"/>
          <w:w w:val="130"/>
          <w:sz w:val="24"/>
        </w:rPr>
        <w:t> </w:t>
      </w:r>
      <w:r>
        <w:rPr>
          <w:w w:val="130"/>
          <w:sz w:val="24"/>
        </w:rPr>
        <w:t>betétes;</w:t>
      </w:r>
    </w:p>
    <w:p>
      <w:pPr>
        <w:pStyle w:val="ListParagraph"/>
        <w:numPr>
          <w:ilvl w:val="0"/>
          <w:numId w:val="48"/>
        </w:numPr>
        <w:tabs>
          <w:tab w:pos="808" w:val="left" w:leader="none"/>
        </w:tabs>
        <w:spacing w:line="225" w:lineRule="auto" w:before="2" w:after="0"/>
        <w:ind w:left="113" w:right="124" w:firstLine="204"/>
        <w:jc w:val="both"/>
        <w:rPr>
          <w:sz w:val="24"/>
        </w:rPr>
      </w:pPr>
      <w:r>
        <w:rPr>
          <w:i/>
          <w:w w:val="125"/>
          <w:sz w:val="24"/>
        </w:rPr>
        <w:t>költségvetési mérlegfőösszeg: </w:t>
      </w:r>
      <w:r>
        <w:rPr>
          <w:w w:val="125"/>
          <w:sz w:val="24"/>
        </w:rPr>
        <w:t>a helyi önkormányzat pénzforgalmi teljesítési adatairól adott éves beszámolójában szereplő költségvetési kiadások és költségvetési bevételek összege közül a kisebb összeg; azzal, hogy a helyi önkormányzatra az általa irányított költségvetési szervekkel összevontan számítandó a költségvetési</w:t>
      </w:r>
      <w:r>
        <w:rPr>
          <w:spacing w:val="3"/>
          <w:w w:val="125"/>
          <w:sz w:val="24"/>
        </w:rPr>
        <w:t> </w:t>
      </w:r>
      <w:r>
        <w:rPr>
          <w:w w:val="125"/>
          <w:sz w:val="24"/>
        </w:rPr>
        <w:t>mérlegfőösszeg;</w:t>
      </w:r>
    </w:p>
    <w:p>
      <w:pPr>
        <w:pStyle w:val="ListParagraph"/>
        <w:numPr>
          <w:ilvl w:val="0"/>
          <w:numId w:val="48"/>
        </w:numPr>
        <w:tabs>
          <w:tab w:pos="647" w:val="left" w:leader="none"/>
        </w:tabs>
        <w:spacing w:line="225" w:lineRule="auto" w:before="3" w:after="0"/>
        <w:ind w:left="113" w:right="112" w:firstLine="204"/>
        <w:jc w:val="both"/>
        <w:rPr>
          <w:sz w:val="24"/>
        </w:rPr>
      </w:pPr>
      <w:r>
        <w:rPr>
          <w:i/>
          <w:w w:val="125"/>
          <w:sz w:val="24"/>
        </w:rPr>
        <w:t>közös betét: </w:t>
      </w:r>
      <w:r>
        <w:rPr>
          <w:w w:val="125"/>
          <w:sz w:val="24"/>
        </w:rPr>
        <w:t>olyan betét, amelynél több betétes van (több személy nevére szól);</w:t>
      </w:r>
    </w:p>
    <w:p>
      <w:pPr>
        <w:pStyle w:val="ListParagraph"/>
        <w:numPr>
          <w:ilvl w:val="0"/>
          <w:numId w:val="48"/>
        </w:numPr>
        <w:tabs>
          <w:tab w:pos="693" w:val="left" w:leader="none"/>
        </w:tabs>
        <w:spacing w:line="225" w:lineRule="auto" w:before="1" w:after="0"/>
        <w:ind w:left="113" w:right="123" w:firstLine="204"/>
        <w:jc w:val="both"/>
        <w:rPr>
          <w:sz w:val="24"/>
        </w:rPr>
      </w:pPr>
      <w:r>
        <w:rPr>
          <w:i/>
          <w:w w:val="130"/>
          <w:sz w:val="24"/>
        </w:rPr>
        <w:t>névre szóló betét: </w:t>
      </w:r>
      <w:r>
        <w:rPr>
          <w:w w:val="130"/>
          <w:sz w:val="24"/>
        </w:rPr>
        <w:t>az a betét, amelynél a betétes a betétszerződés, a takarékbetét-szerződés vagy a bankszámlaszerződésben feltüntetett</w:t>
      </w:r>
      <w:r>
        <w:rPr>
          <w:spacing w:val="-62"/>
          <w:w w:val="130"/>
          <w:sz w:val="24"/>
        </w:rPr>
        <w:t> </w:t>
      </w:r>
      <w:r>
        <w:rPr>
          <w:w w:val="130"/>
          <w:sz w:val="24"/>
        </w:rPr>
        <w:t>azonosító adatok alapján egyértelműen</w:t>
      </w:r>
      <w:r>
        <w:rPr>
          <w:spacing w:val="-14"/>
          <w:w w:val="130"/>
          <w:sz w:val="24"/>
        </w:rPr>
        <w:t> </w:t>
      </w:r>
      <w:r>
        <w:rPr>
          <w:w w:val="130"/>
          <w:sz w:val="24"/>
        </w:rPr>
        <w:t>azonosítható;</w:t>
      </w:r>
    </w:p>
    <w:p>
      <w:pPr>
        <w:pStyle w:val="ListParagraph"/>
        <w:numPr>
          <w:ilvl w:val="0"/>
          <w:numId w:val="48"/>
        </w:numPr>
        <w:tabs>
          <w:tab w:pos="656" w:val="left" w:leader="none"/>
        </w:tabs>
        <w:spacing w:line="225" w:lineRule="auto" w:before="2" w:after="0"/>
        <w:ind w:left="113" w:right="124" w:firstLine="204"/>
        <w:jc w:val="both"/>
        <w:rPr>
          <w:sz w:val="24"/>
        </w:rPr>
      </w:pPr>
      <w:r>
        <w:rPr>
          <w:i/>
          <w:w w:val="130"/>
          <w:sz w:val="24"/>
        </w:rPr>
        <w:t>rendelkezésre jogosult személy: </w:t>
      </w:r>
      <w:r>
        <w:rPr>
          <w:w w:val="130"/>
          <w:sz w:val="24"/>
        </w:rPr>
        <w:t>a betétes és az a személy, aki a betétes rendelkezése</w:t>
      </w:r>
      <w:r>
        <w:rPr>
          <w:spacing w:val="-15"/>
          <w:w w:val="130"/>
          <w:sz w:val="24"/>
        </w:rPr>
        <w:t> </w:t>
      </w:r>
      <w:r>
        <w:rPr>
          <w:w w:val="130"/>
          <w:sz w:val="24"/>
        </w:rPr>
        <w:t>alapján</w:t>
      </w:r>
      <w:r>
        <w:rPr>
          <w:spacing w:val="-15"/>
          <w:w w:val="130"/>
          <w:sz w:val="24"/>
        </w:rPr>
        <w:t> </w:t>
      </w:r>
      <w:r>
        <w:rPr>
          <w:w w:val="130"/>
          <w:sz w:val="24"/>
        </w:rPr>
        <w:t>korlátozással</w:t>
      </w:r>
      <w:r>
        <w:rPr>
          <w:spacing w:val="-16"/>
          <w:w w:val="130"/>
          <w:sz w:val="24"/>
        </w:rPr>
        <w:t> </w:t>
      </w:r>
      <w:r>
        <w:rPr>
          <w:w w:val="130"/>
          <w:sz w:val="24"/>
        </w:rPr>
        <w:t>vagy</w:t>
      </w:r>
      <w:r>
        <w:rPr>
          <w:spacing w:val="-15"/>
          <w:w w:val="130"/>
          <w:sz w:val="24"/>
        </w:rPr>
        <w:t> </w:t>
      </w:r>
      <w:r>
        <w:rPr>
          <w:w w:val="130"/>
          <w:sz w:val="24"/>
        </w:rPr>
        <w:t>anélkül</w:t>
      </w:r>
      <w:r>
        <w:rPr>
          <w:spacing w:val="-15"/>
          <w:w w:val="130"/>
          <w:sz w:val="24"/>
        </w:rPr>
        <w:t> </w:t>
      </w:r>
      <w:r>
        <w:rPr>
          <w:w w:val="130"/>
          <w:sz w:val="24"/>
        </w:rPr>
        <w:t>rendelkezhet</w:t>
      </w:r>
      <w:r>
        <w:rPr>
          <w:spacing w:val="-15"/>
          <w:w w:val="130"/>
          <w:sz w:val="24"/>
        </w:rPr>
        <w:t> </w:t>
      </w:r>
      <w:r>
        <w:rPr>
          <w:w w:val="130"/>
          <w:sz w:val="24"/>
        </w:rPr>
        <w:t>a</w:t>
      </w:r>
      <w:r>
        <w:rPr>
          <w:spacing w:val="-15"/>
          <w:w w:val="130"/>
          <w:sz w:val="24"/>
        </w:rPr>
        <w:t> </w:t>
      </w:r>
      <w:r>
        <w:rPr>
          <w:w w:val="130"/>
          <w:sz w:val="24"/>
        </w:rPr>
        <w:t>betét</w:t>
      </w:r>
      <w:r>
        <w:rPr>
          <w:spacing w:val="-14"/>
          <w:w w:val="130"/>
          <w:sz w:val="24"/>
        </w:rPr>
        <w:t> </w:t>
      </w:r>
      <w:r>
        <w:rPr>
          <w:w w:val="130"/>
          <w:sz w:val="24"/>
        </w:rPr>
        <w:t>fölött.</w:t>
      </w:r>
    </w:p>
    <w:p>
      <w:pPr>
        <w:pStyle w:val="ListParagraph"/>
        <w:numPr>
          <w:ilvl w:val="0"/>
          <w:numId w:val="23"/>
        </w:numPr>
        <w:tabs>
          <w:tab w:pos="916" w:val="left" w:leader="none"/>
        </w:tabs>
        <w:spacing w:line="225" w:lineRule="auto" w:before="1" w:after="0"/>
        <w:ind w:left="113" w:right="130" w:firstLine="204"/>
        <w:jc w:val="both"/>
        <w:rPr>
          <w:sz w:val="24"/>
        </w:rPr>
      </w:pPr>
      <w:r>
        <w:rPr>
          <w:w w:val="125"/>
          <w:sz w:val="24"/>
        </w:rPr>
        <w:t>Nem minősül visszafizetendő pénzeszköz nyilvánosságtól történő gyűjtésének</w:t>
      </w:r>
    </w:p>
    <w:p>
      <w:pPr>
        <w:pStyle w:val="ListParagraph"/>
        <w:numPr>
          <w:ilvl w:val="0"/>
          <w:numId w:val="50"/>
        </w:numPr>
        <w:tabs>
          <w:tab w:pos="759" w:val="left" w:leader="none"/>
        </w:tabs>
        <w:spacing w:line="225" w:lineRule="auto" w:before="1" w:after="0"/>
        <w:ind w:left="113" w:right="129" w:firstLine="204"/>
        <w:jc w:val="both"/>
        <w:rPr>
          <w:sz w:val="24"/>
        </w:rPr>
      </w:pPr>
      <w:r>
        <w:rPr>
          <w:w w:val="130"/>
          <w:sz w:val="24"/>
        </w:rPr>
        <w:t>a jogszabályban meghatározott feltételekkel és korlátokkal történő, hitelviszonyt megtestesítő</w:t>
      </w:r>
      <w:r>
        <w:rPr>
          <w:spacing w:val="-11"/>
          <w:w w:val="130"/>
          <w:sz w:val="24"/>
        </w:rPr>
        <w:t> </w:t>
      </w:r>
      <w:r>
        <w:rPr>
          <w:w w:val="130"/>
          <w:sz w:val="24"/>
        </w:rPr>
        <w:t>értékpapír-kibocsátás,</w:t>
      </w:r>
    </w:p>
    <w:p>
      <w:pPr>
        <w:pStyle w:val="ListParagraph"/>
        <w:numPr>
          <w:ilvl w:val="0"/>
          <w:numId w:val="50"/>
        </w:numPr>
        <w:tabs>
          <w:tab w:pos="718" w:val="left" w:leader="none"/>
        </w:tabs>
        <w:spacing w:line="225" w:lineRule="auto" w:before="1" w:after="0"/>
        <w:ind w:left="113" w:right="136" w:firstLine="204"/>
        <w:jc w:val="both"/>
        <w:rPr>
          <w:sz w:val="24"/>
        </w:rPr>
      </w:pPr>
      <w:r>
        <w:rPr>
          <w:w w:val="130"/>
          <w:sz w:val="24"/>
        </w:rPr>
        <w:t>a pénzforgalmi intézmény és az elektronikuspénz-kibocsátó intézmény által átvett pénzeszköz fizetési számlán történő nyilvántartása</w:t>
      </w:r>
      <w:r>
        <w:rPr>
          <w:spacing w:val="-51"/>
          <w:w w:val="130"/>
          <w:sz w:val="24"/>
        </w:rPr>
        <w:t> </w:t>
      </w:r>
      <w:r>
        <w:rPr>
          <w:w w:val="130"/>
          <w:sz w:val="24"/>
        </w:rPr>
        <w:t>és</w:t>
      </w:r>
    </w:p>
    <w:p>
      <w:pPr>
        <w:pStyle w:val="BodyText"/>
        <w:ind w:left="0" w:firstLine="0"/>
        <w:rPr>
          <w:sz w:val="20"/>
        </w:rPr>
      </w:pPr>
    </w:p>
    <w:p>
      <w:pPr>
        <w:pStyle w:val="BodyText"/>
        <w:spacing w:before="5"/>
        <w:ind w:left="0" w:firstLine="0"/>
        <w:rPr>
          <w:sz w:val="23"/>
        </w:rPr>
      </w:pPr>
      <w:r>
        <w:rPr/>
        <w:pict>
          <v:line style="position:absolute;mso-position-horizontal-relative:page;mso-position-vertical-relative:paragraph;z-index:-664;mso-wrap-distance-left:0;mso-wrap-distance-right:0" from="56.693001pt,15.706125pt" to="538.583001pt,15.706125pt" stroked="true" strokeweight=".5pt" strokecolor="#000000">
            <v:stroke dashstyle="solid"/>
            <w10:wrap type="topAndBottom"/>
          </v:line>
        </w:pict>
      </w:r>
    </w:p>
    <w:p>
      <w:pPr>
        <w:pStyle w:val="ListParagraph"/>
        <w:numPr>
          <w:ilvl w:val="0"/>
          <w:numId w:val="51"/>
        </w:numPr>
        <w:tabs>
          <w:tab w:pos="686" w:val="left" w:leader="none"/>
          <w:tab w:pos="687" w:val="left" w:leader="none"/>
        </w:tabs>
        <w:spacing w:line="203" w:lineRule="exact" w:before="44" w:after="0"/>
        <w:ind w:left="686" w:right="0" w:hanging="344"/>
        <w:jc w:val="left"/>
        <w:rPr>
          <w:i/>
          <w:sz w:val="18"/>
        </w:rPr>
      </w:pPr>
      <w:r>
        <w:rPr>
          <w:i/>
          <w:w w:val="125"/>
          <w:sz w:val="18"/>
        </w:rPr>
        <w:t>Módosította: ugyane törvény 306. § (8)</w:t>
      </w:r>
      <w:r>
        <w:rPr>
          <w:i/>
          <w:spacing w:val="-1"/>
          <w:w w:val="125"/>
          <w:sz w:val="18"/>
        </w:rPr>
        <w:t> </w:t>
      </w:r>
      <w:r>
        <w:rPr>
          <w:i/>
          <w:w w:val="125"/>
          <w:sz w:val="18"/>
        </w:rPr>
        <w:t>b).</w:t>
      </w:r>
    </w:p>
    <w:p>
      <w:pPr>
        <w:pStyle w:val="ListParagraph"/>
        <w:numPr>
          <w:ilvl w:val="0"/>
          <w:numId w:val="51"/>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113. § (7). Hatályos: 2016. III.</w:t>
      </w:r>
      <w:r>
        <w:rPr>
          <w:i/>
          <w:spacing w:val="53"/>
          <w:w w:val="120"/>
          <w:sz w:val="18"/>
        </w:rPr>
        <w:t> </w:t>
      </w:r>
      <w:r>
        <w:rPr>
          <w:i/>
          <w:w w:val="120"/>
          <w:sz w:val="18"/>
        </w:rPr>
        <w:t>21-től.</w:t>
      </w:r>
    </w:p>
    <w:p>
      <w:pPr>
        <w:pStyle w:val="ListParagraph"/>
        <w:numPr>
          <w:ilvl w:val="0"/>
          <w:numId w:val="51"/>
        </w:numPr>
        <w:tabs>
          <w:tab w:pos="686" w:val="left" w:leader="none"/>
          <w:tab w:pos="687" w:val="left" w:leader="none"/>
        </w:tabs>
        <w:spacing w:line="200" w:lineRule="exact" w:before="0" w:after="0"/>
        <w:ind w:left="686" w:right="0" w:hanging="344"/>
        <w:jc w:val="left"/>
        <w:rPr>
          <w:i/>
          <w:sz w:val="18"/>
        </w:rPr>
      </w:pPr>
      <w:r>
        <w:rPr>
          <w:i/>
          <w:w w:val="120"/>
          <w:sz w:val="18"/>
        </w:rPr>
        <w:t>Beiktatta: 2017. évi LXIX. törvény 161. § (2). Hatályos: 2017. VII.</w:t>
      </w:r>
      <w:r>
        <w:rPr>
          <w:i/>
          <w:spacing w:val="52"/>
          <w:w w:val="120"/>
          <w:sz w:val="18"/>
        </w:rPr>
        <w:t> </w:t>
      </w:r>
      <w:r>
        <w:rPr>
          <w:i/>
          <w:w w:val="120"/>
          <w:sz w:val="18"/>
        </w:rPr>
        <w:t>1-től.</w:t>
      </w:r>
    </w:p>
    <w:p>
      <w:pPr>
        <w:pStyle w:val="ListParagraph"/>
        <w:numPr>
          <w:ilvl w:val="0"/>
          <w:numId w:val="51"/>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58. § (1). Hatályos: 2015. VII.</w:t>
      </w:r>
      <w:r>
        <w:rPr>
          <w:i/>
          <w:spacing w:val="-22"/>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0"/>
        </w:numPr>
        <w:tabs>
          <w:tab w:pos="754" w:val="left" w:leader="none"/>
        </w:tabs>
        <w:spacing w:line="225" w:lineRule="auto" w:before="173" w:after="0"/>
        <w:ind w:left="113" w:right="137" w:firstLine="204"/>
        <w:jc w:val="both"/>
        <w:rPr>
          <w:sz w:val="24"/>
        </w:rPr>
      </w:pPr>
      <w:r>
        <w:rPr>
          <w:w w:val="125"/>
          <w:sz w:val="24"/>
        </w:rPr>
        <w:t>az elektronikuspénz-kibocsátó intézmény által az elektronikus pénz kibocsátása ellenében átvett</w:t>
      </w:r>
      <w:r>
        <w:rPr>
          <w:spacing w:val="14"/>
          <w:w w:val="125"/>
          <w:sz w:val="24"/>
        </w:rPr>
        <w:t> </w:t>
      </w:r>
      <w:r>
        <w:rPr>
          <w:w w:val="125"/>
          <w:sz w:val="24"/>
        </w:rPr>
        <w:t>pénzeszköz.</w:t>
      </w:r>
    </w:p>
    <w:p>
      <w:pPr>
        <w:pStyle w:val="ListParagraph"/>
        <w:numPr>
          <w:ilvl w:val="0"/>
          <w:numId w:val="23"/>
        </w:numPr>
        <w:tabs>
          <w:tab w:pos="659" w:val="left" w:leader="none"/>
        </w:tabs>
        <w:spacing w:line="256" w:lineRule="exact" w:before="0" w:after="0"/>
        <w:ind w:left="658" w:right="0" w:hanging="341"/>
        <w:jc w:val="left"/>
        <w:rPr>
          <w:sz w:val="24"/>
        </w:rPr>
      </w:pPr>
      <w:r>
        <w:rPr>
          <w:i/>
          <w:w w:val="125"/>
          <w:position w:val="3"/>
          <w:sz w:val="18"/>
        </w:rPr>
        <w:t>1 </w:t>
      </w:r>
      <w:r>
        <w:rPr>
          <w:w w:val="125"/>
          <w:sz w:val="24"/>
        </w:rPr>
        <w:t>Nem minősül pénzforgalmi</w:t>
      </w:r>
      <w:r>
        <w:rPr>
          <w:spacing w:val="-34"/>
          <w:w w:val="125"/>
          <w:sz w:val="24"/>
        </w:rPr>
        <w:t> </w:t>
      </w:r>
      <w:r>
        <w:rPr>
          <w:w w:val="125"/>
          <w:sz w:val="24"/>
        </w:rPr>
        <w:t>szolgáltatásnak</w:t>
      </w:r>
    </w:p>
    <w:p>
      <w:pPr>
        <w:pStyle w:val="ListParagraph"/>
        <w:numPr>
          <w:ilvl w:val="0"/>
          <w:numId w:val="52"/>
        </w:numPr>
        <w:tabs>
          <w:tab w:pos="812" w:val="left" w:leader="none"/>
        </w:tabs>
        <w:spacing w:line="225" w:lineRule="auto" w:before="5" w:after="0"/>
        <w:ind w:left="113" w:right="135" w:firstLine="204"/>
        <w:jc w:val="both"/>
        <w:rPr>
          <w:sz w:val="24"/>
        </w:rPr>
      </w:pPr>
      <w:r>
        <w:rPr>
          <w:w w:val="125"/>
          <w:sz w:val="24"/>
        </w:rPr>
        <w:t>a fizető fél és a kedvezményezett közötti közvetlen, közvetítői közreműködés nélküli bankjeggyel és érmével (a továbbiakban együtt: készpénz) történő fizetési</w:t>
      </w:r>
      <w:r>
        <w:rPr>
          <w:spacing w:val="2"/>
          <w:w w:val="125"/>
          <w:sz w:val="24"/>
        </w:rPr>
        <w:t> </w:t>
      </w:r>
      <w:r>
        <w:rPr>
          <w:w w:val="125"/>
          <w:sz w:val="24"/>
        </w:rPr>
        <w:t>művelet,</w:t>
      </w:r>
    </w:p>
    <w:p>
      <w:pPr>
        <w:pStyle w:val="ListParagraph"/>
        <w:numPr>
          <w:ilvl w:val="0"/>
          <w:numId w:val="52"/>
        </w:numPr>
        <w:tabs>
          <w:tab w:pos="659" w:val="left" w:leader="none"/>
        </w:tabs>
        <w:spacing w:line="225" w:lineRule="auto" w:before="2" w:after="0"/>
        <w:ind w:left="113" w:right="117" w:firstLine="204"/>
        <w:jc w:val="both"/>
        <w:rPr>
          <w:sz w:val="24"/>
        </w:rPr>
      </w:pPr>
      <w:r>
        <w:rPr>
          <w:w w:val="125"/>
          <w:sz w:val="24"/>
        </w:rPr>
        <w:t>a fizető fél vagy a kedvezményezett megbízásából eljáró megbízott önálló kereskedelmi ügynök által megbízási szerződés keretében - ha a kereskedelmi ügynök a szerződés megkötésére is jogosult - történő fizetési</w:t>
      </w:r>
      <w:r>
        <w:rPr>
          <w:spacing w:val="32"/>
          <w:w w:val="125"/>
          <w:sz w:val="24"/>
        </w:rPr>
        <w:t> </w:t>
      </w:r>
      <w:r>
        <w:rPr>
          <w:w w:val="125"/>
          <w:sz w:val="24"/>
        </w:rPr>
        <w:t>művelet,</w:t>
      </w:r>
    </w:p>
    <w:p>
      <w:pPr>
        <w:pStyle w:val="ListParagraph"/>
        <w:numPr>
          <w:ilvl w:val="0"/>
          <w:numId w:val="52"/>
        </w:numPr>
        <w:tabs>
          <w:tab w:pos="625" w:val="left" w:leader="none"/>
        </w:tabs>
        <w:spacing w:line="225" w:lineRule="auto" w:before="2" w:after="0"/>
        <w:ind w:left="113" w:right="123" w:firstLine="204"/>
        <w:jc w:val="both"/>
        <w:rPr>
          <w:sz w:val="24"/>
        </w:rPr>
      </w:pPr>
      <w:r>
        <w:rPr>
          <w:w w:val="130"/>
          <w:sz w:val="24"/>
        </w:rPr>
        <w:t>a</w:t>
      </w:r>
      <w:r>
        <w:rPr>
          <w:spacing w:val="-23"/>
          <w:w w:val="130"/>
          <w:sz w:val="24"/>
        </w:rPr>
        <w:t> </w:t>
      </w:r>
      <w:r>
        <w:rPr>
          <w:w w:val="130"/>
          <w:sz w:val="24"/>
        </w:rPr>
        <w:t>készpénz</w:t>
      </w:r>
      <w:r>
        <w:rPr>
          <w:spacing w:val="-23"/>
          <w:w w:val="130"/>
          <w:sz w:val="24"/>
        </w:rPr>
        <w:t> </w:t>
      </w:r>
      <w:r>
        <w:rPr>
          <w:w w:val="130"/>
          <w:sz w:val="24"/>
        </w:rPr>
        <w:t>üzletszerűen</w:t>
      </w:r>
      <w:r>
        <w:rPr>
          <w:spacing w:val="-23"/>
          <w:w w:val="130"/>
          <w:sz w:val="24"/>
        </w:rPr>
        <w:t> </w:t>
      </w:r>
      <w:r>
        <w:rPr>
          <w:w w:val="130"/>
          <w:sz w:val="24"/>
        </w:rPr>
        <w:t>folytatott</w:t>
      </w:r>
      <w:r>
        <w:rPr>
          <w:spacing w:val="-23"/>
          <w:w w:val="130"/>
          <w:sz w:val="24"/>
        </w:rPr>
        <w:t> </w:t>
      </w:r>
      <w:r>
        <w:rPr>
          <w:w w:val="130"/>
          <w:sz w:val="24"/>
        </w:rPr>
        <w:t>fizikai</w:t>
      </w:r>
      <w:r>
        <w:rPr>
          <w:spacing w:val="-23"/>
          <w:w w:val="130"/>
          <w:sz w:val="24"/>
        </w:rPr>
        <w:t> </w:t>
      </w:r>
      <w:r>
        <w:rPr>
          <w:w w:val="130"/>
          <w:sz w:val="24"/>
        </w:rPr>
        <w:t>szállítása,</w:t>
      </w:r>
      <w:r>
        <w:rPr>
          <w:spacing w:val="-21"/>
          <w:w w:val="130"/>
          <w:sz w:val="24"/>
        </w:rPr>
        <w:t> </w:t>
      </w:r>
      <w:r>
        <w:rPr>
          <w:w w:val="130"/>
          <w:sz w:val="24"/>
        </w:rPr>
        <w:t>beleértve</w:t>
      </w:r>
      <w:r>
        <w:rPr>
          <w:spacing w:val="-24"/>
          <w:w w:val="130"/>
          <w:sz w:val="24"/>
        </w:rPr>
        <w:t> </w:t>
      </w:r>
      <w:r>
        <w:rPr>
          <w:w w:val="130"/>
          <w:sz w:val="24"/>
        </w:rPr>
        <w:t>a</w:t>
      </w:r>
      <w:r>
        <w:rPr>
          <w:spacing w:val="-22"/>
          <w:w w:val="130"/>
          <w:sz w:val="24"/>
        </w:rPr>
        <w:t> </w:t>
      </w:r>
      <w:r>
        <w:rPr>
          <w:w w:val="130"/>
          <w:sz w:val="24"/>
        </w:rPr>
        <w:t>begyűjtést, a feldolgozást és a célba juttatást</w:t>
      </w:r>
      <w:r>
        <w:rPr>
          <w:spacing w:val="-19"/>
          <w:w w:val="130"/>
          <w:sz w:val="24"/>
        </w:rPr>
        <w:t> </w:t>
      </w:r>
      <w:r>
        <w:rPr>
          <w:w w:val="130"/>
          <w:sz w:val="24"/>
        </w:rPr>
        <w:t>is,</w:t>
      </w:r>
    </w:p>
    <w:p>
      <w:pPr>
        <w:pStyle w:val="ListParagraph"/>
        <w:numPr>
          <w:ilvl w:val="0"/>
          <w:numId w:val="52"/>
        </w:numPr>
        <w:tabs>
          <w:tab w:pos="695" w:val="left" w:leader="none"/>
        </w:tabs>
        <w:spacing w:line="225" w:lineRule="auto" w:before="1" w:after="0"/>
        <w:ind w:left="113" w:right="133" w:firstLine="204"/>
        <w:jc w:val="both"/>
        <w:rPr>
          <w:sz w:val="24"/>
        </w:rPr>
      </w:pPr>
      <w:r>
        <w:rPr>
          <w:w w:val="130"/>
          <w:sz w:val="24"/>
        </w:rPr>
        <w:t>jótékonysági céllal vagy nonprofit tevékenység keretében készpénz nem üzletszerűen végzett gyűjtése és annak célba</w:t>
      </w:r>
      <w:r>
        <w:rPr>
          <w:spacing w:val="-22"/>
          <w:w w:val="130"/>
          <w:sz w:val="24"/>
        </w:rPr>
        <w:t> </w:t>
      </w:r>
      <w:r>
        <w:rPr>
          <w:w w:val="130"/>
          <w:sz w:val="24"/>
        </w:rPr>
        <w:t>juttatása,</w:t>
      </w:r>
    </w:p>
    <w:p>
      <w:pPr>
        <w:pStyle w:val="ListParagraph"/>
        <w:numPr>
          <w:ilvl w:val="0"/>
          <w:numId w:val="52"/>
        </w:numPr>
        <w:tabs>
          <w:tab w:pos="729" w:val="left" w:leader="none"/>
        </w:tabs>
        <w:spacing w:line="225" w:lineRule="auto" w:before="1" w:after="0"/>
        <w:ind w:left="113" w:right="127" w:firstLine="204"/>
        <w:jc w:val="both"/>
        <w:rPr>
          <w:sz w:val="24"/>
        </w:rPr>
      </w:pPr>
      <w:r>
        <w:rPr>
          <w:w w:val="130"/>
          <w:sz w:val="24"/>
        </w:rPr>
        <w:t>a fizetési művelet részeként a kedvezményezett által a fizető félnek történő készpénz közvetlen átadása, ha az átadást a fizető fél áruk vagy  szolgáltatások ellenértékének kiegyenlítéséhez kapcsolódó fizetési művelet teljesítését</w:t>
      </w:r>
      <w:r>
        <w:rPr>
          <w:spacing w:val="-37"/>
          <w:w w:val="130"/>
          <w:sz w:val="24"/>
        </w:rPr>
        <w:t> </w:t>
      </w:r>
      <w:r>
        <w:rPr>
          <w:w w:val="130"/>
          <w:sz w:val="24"/>
        </w:rPr>
        <w:t>közvetlenül</w:t>
      </w:r>
      <w:r>
        <w:rPr>
          <w:spacing w:val="-37"/>
          <w:w w:val="130"/>
          <w:sz w:val="24"/>
        </w:rPr>
        <w:t> </w:t>
      </w:r>
      <w:r>
        <w:rPr>
          <w:w w:val="130"/>
          <w:sz w:val="24"/>
        </w:rPr>
        <w:t>megelőzően</w:t>
      </w:r>
      <w:r>
        <w:rPr>
          <w:spacing w:val="-37"/>
          <w:w w:val="130"/>
          <w:sz w:val="24"/>
        </w:rPr>
        <w:t> </w:t>
      </w:r>
      <w:r>
        <w:rPr>
          <w:w w:val="130"/>
          <w:sz w:val="24"/>
        </w:rPr>
        <w:t>kifejezetten</w:t>
      </w:r>
      <w:r>
        <w:rPr>
          <w:spacing w:val="-36"/>
          <w:w w:val="130"/>
          <w:sz w:val="24"/>
        </w:rPr>
        <w:t> </w:t>
      </w:r>
      <w:r>
        <w:rPr>
          <w:w w:val="130"/>
          <w:sz w:val="24"/>
        </w:rPr>
        <w:t>kérte</w:t>
      </w:r>
      <w:r>
        <w:rPr>
          <w:spacing w:val="-38"/>
          <w:w w:val="130"/>
          <w:sz w:val="24"/>
        </w:rPr>
        <w:t> </w:t>
      </w:r>
      <w:r>
        <w:rPr>
          <w:w w:val="130"/>
          <w:sz w:val="24"/>
        </w:rPr>
        <w:t>(cash-back</w:t>
      </w:r>
      <w:r>
        <w:rPr>
          <w:spacing w:val="-37"/>
          <w:w w:val="130"/>
          <w:sz w:val="24"/>
        </w:rPr>
        <w:t> </w:t>
      </w:r>
      <w:r>
        <w:rPr>
          <w:w w:val="130"/>
          <w:sz w:val="24"/>
        </w:rPr>
        <w:t>szolgáltatás),</w:t>
      </w:r>
    </w:p>
    <w:p>
      <w:pPr>
        <w:pStyle w:val="ListParagraph"/>
        <w:numPr>
          <w:ilvl w:val="0"/>
          <w:numId w:val="52"/>
        </w:numPr>
        <w:tabs>
          <w:tab w:pos="604" w:val="left" w:leader="none"/>
        </w:tabs>
        <w:spacing w:line="225" w:lineRule="auto" w:before="2" w:after="0"/>
        <w:ind w:left="113" w:right="133" w:firstLine="204"/>
        <w:jc w:val="both"/>
        <w:rPr>
          <w:sz w:val="24"/>
        </w:rPr>
      </w:pPr>
      <w:r>
        <w:rPr>
          <w:w w:val="130"/>
          <w:sz w:val="24"/>
        </w:rPr>
        <w:t>a készpénzről készpénzre történő olyan pénzváltás, amelynél a pénz nem jelenik meg fizetési</w:t>
      </w:r>
      <w:r>
        <w:rPr>
          <w:spacing w:val="-12"/>
          <w:w w:val="130"/>
          <w:sz w:val="24"/>
        </w:rPr>
        <w:t> </w:t>
      </w:r>
      <w:r>
        <w:rPr>
          <w:w w:val="130"/>
          <w:sz w:val="24"/>
        </w:rPr>
        <w:t>számlán,</w:t>
      </w:r>
    </w:p>
    <w:p>
      <w:pPr>
        <w:pStyle w:val="ListParagraph"/>
        <w:numPr>
          <w:ilvl w:val="0"/>
          <w:numId w:val="52"/>
        </w:numPr>
        <w:tabs>
          <w:tab w:pos="817" w:val="left" w:leader="none"/>
        </w:tabs>
        <w:spacing w:line="225" w:lineRule="auto" w:before="1" w:after="0"/>
        <w:ind w:left="113" w:right="120" w:firstLine="204"/>
        <w:jc w:val="both"/>
        <w:rPr>
          <w:sz w:val="24"/>
        </w:rPr>
      </w:pPr>
      <w:r>
        <w:rPr>
          <w:w w:val="125"/>
          <w:sz w:val="24"/>
        </w:rPr>
        <w:t>a pénzforgalmi szolgáltatóra címzett csekken, váltón, papíralapú utalványon, papíralapú utazási csekken vagy az Egyetemes Postaegyesület (UPU) által meghatározott papíralapú postautalványon alapuló olyan fizetési művelet, amelynél az irat kiállítása abból a célból történik, hogy pénzeszközt bocsássanak a kedvezményezett</w:t>
      </w:r>
      <w:r>
        <w:rPr>
          <w:spacing w:val="24"/>
          <w:w w:val="125"/>
          <w:sz w:val="24"/>
        </w:rPr>
        <w:t> </w:t>
      </w:r>
      <w:r>
        <w:rPr>
          <w:w w:val="125"/>
          <w:sz w:val="24"/>
        </w:rPr>
        <w:t>rendelkezésére,</w:t>
      </w:r>
    </w:p>
    <w:p>
      <w:pPr>
        <w:pStyle w:val="ListParagraph"/>
        <w:numPr>
          <w:ilvl w:val="0"/>
          <w:numId w:val="52"/>
        </w:numPr>
        <w:tabs>
          <w:tab w:pos="766" w:val="left" w:leader="none"/>
        </w:tabs>
        <w:spacing w:line="225" w:lineRule="auto" w:before="3" w:after="0"/>
        <w:ind w:left="113" w:right="126" w:firstLine="204"/>
        <w:jc w:val="both"/>
        <w:rPr>
          <w:sz w:val="24"/>
        </w:rPr>
      </w:pPr>
      <w:r>
        <w:rPr>
          <w:w w:val="130"/>
          <w:sz w:val="24"/>
        </w:rPr>
        <w:t>a fizetési vagy értékpapír-kiegyenlítési rendszeren belül egyrészt a teljesítő fél, a központi szerződő fél, az elszámolóház, a központi bank,  valamint a rendszer más résztvevői, másrészt a pénzforgalmi szolgáltató között végrehajtott fizetési</w:t>
      </w:r>
      <w:r>
        <w:rPr>
          <w:spacing w:val="-13"/>
          <w:w w:val="130"/>
          <w:sz w:val="24"/>
        </w:rPr>
        <w:t> </w:t>
      </w:r>
      <w:r>
        <w:rPr>
          <w:w w:val="130"/>
          <w:sz w:val="24"/>
        </w:rPr>
        <w:t>művelet,</w:t>
      </w:r>
    </w:p>
    <w:p>
      <w:pPr>
        <w:pStyle w:val="ListParagraph"/>
        <w:numPr>
          <w:ilvl w:val="0"/>
          <w:numId w:val="52"/>
        </w:numPr>
        <w:tabs>
          <w:tab w:pos="628" w:val="left" w:leader="none"/>
        </w:tabs>
        <w:spacing w:line="225" w:lineRule="auto" w:before="3" w:after="0"/>
        <w:ind w:left="113" w:right="124" w:firstLine="204"/>
        <w:jc w:val="both"/>
        <w:rPr>
          <w:sz w:val="24"/>
        </w:rPr>
      </w:pPr>
      <w:r>
        <w:rPr>
          <w:w w:val="130"/>
          <w:sz w:val="24"/>
        </w:rPr>
        <w:t>a </w:t>
      </w:r>
      <w:r>
        <w:rPr>
          <w:i/>
          <w:w w:val="130"/>
          <w:sz w:val="24"/>
        </w:rPr>
        <w:t>h) </w:t>
      </w:r>
      <w:r>
        <w:rPr>
          <w:w w:val="130"/>
          <w:sz w:val="24"/>
        </w:rPr>
        <w:t>pontban meghatározott személy, a befektetési szolgáltatást nyújtó</w:t>
      </w:r>
      <w:r>
        <w:rPr>
          <w:spacing w:val="78"/>
          <w:w w:val="130"/>
          <w:sz w:val="24"/>
        </w:rPr>
        <w:t> </w:t>
      </w:r>
      <w:r>
        <w:rPr>
          <w:w w:val="130"/>
          <w:sz w:val="24"/>
        </w:rPr>
        <w:t>befektetési vállalkozás, hitelintézet, kollektív befektetési forma és kezelője, valamint pénzügyi eszközök letéti őrzésére feljogosító egyéb szervezet által végzett értékpapír letétkezelésével - ideértve az osztalékot, kamatot, egyéb kifizetések kezelését, a beváltást és az értékesítést is - összefüggő fizetési művelet,</w:t>
      </w:r>
    </w:p>
    <w:p>
      <w:pPr>
        <w:pStyle w:val="ListParagraph"/>
        <w:numPr>
          <w:ilvl w:val="0"/>
          <w:numId w:val="52"/>
        </w:numPr>
        <w:tabs>
          <w:tab w:pos="612" w:val="left" w:leader="none"/>
        </w:tabs>
        <w:spacing w:line="225" w:lineRule="auto" w:before="3" w:after="0"/>
        <w:ind w:left="113" w:right="110" w:firstLine="204"/>
        <w:jc w:val="both"/>
        <w:rPr>
          <w:sz w:val="24"/>
        </w:rPr>
      </w:pPr>
      <w:r>
        <w:rPr>
          <w:w w:val="125"/>
          <w:sz w:val="24"/>
        </w:rPr>
        <w:t>a pénzforgalmi szolgáltatást támogató (járulékos)  technikai  szolgáltatás, ha ennek szolgáltatója nem rendelkezhet a fizetési művelet tárgyát képező pénzzel, valamint nem válhat a fizetési művelet tárgyát képező pénz birtokosává, ideértve az adatfeldolgozást, az adatok tárolását, hitelesítését, a bizalmi és a magánélet védelmével kapcsolatos szolgáltatásokat, az adatok és személyek hitelesítését, az információtechnológiai eszközök biztosítását, valamint - a fizetéskezdeményezési szolgáltatás és a számlainformációk összesítése kivételével - a pénzforgalmi szolgáltatáshoz használt terminálok és eszközök biztosítását és karbantartását</w:t>
      </w:r>
      <w:r>
        <w:rPr>
          <w:spacing w:val="9"/>
          <w:w w:val="125"/>
          <w:sz w:val="24"/>
        </w:rPr>
        <w:t> </w:t>
      </w:r>
      <w:r>
        <w:rPr>
          <w:w w:val="125"/>
          <w:sz w:val="24"/>
        </w:rPr>
        <w:t>is,</w:t>
      </w:r>
    </w:p>
    <w:p>
      <w:pPr>
        <w:pStyle w:val="ListParagraph"/>
        <w:numPr>
          <w:ilvl w:val="0"/>
          <w:numId w:val="52"/>
        </w:numPr>
        <w:tabs>
          <w:tab w:pos="740" w:val="left" w:leader="none"/>
        </w:tabs>
        <w:spacing w:line="225" w:lineRule="auto" w:before="5" w:after="0"/>
        <w:ind w:left="113" w:right="128" w:firstLine="204"/>
        <w:jc w:val="both"/>
        <w:rPr>
          <w:sz w:val="24"/>
        </w:rPr>
      </w:pPr>
      <w:r>
        <w:rPr>
          <w:w w:val="125"/>
          <w:sz w:val="24"/>
        </w:rPr>
        <w:t>az olyan specifikus készpénz-helyettesítő fizetési eszközökön alapuló szolgáltatások, amelyek csak korlátozott módon használhatók és amelyekre teljesül az alábbi feltételek</w:t>
      </w:r>
      <w:r>
        <w:rPr>
          <w:spacing w:val="3"/>
          <w:w w:val="125"/>
          <w:sz w:val="24"/>
        </w:rPr>
        <w:t> </w:t>
      </w:r>
      <w:r>
        <w:rPr>
          <w:w w:val="125"/>
          <w:sz w:val="24"/>
        </w:rPr>
        <w:t>egyike:</w:t>
      </w:r>
    </w:p>
    <w:p>
      <w:pPr>
        <w:pStyle w:val="BodyText"/>
        <w:spacing w:line="225" w:lineRule="auto" w:before="2"/>
        <w:ind w:right="130"/>
        <w:jc w:val="both"/>
      </w:pPr>
      <w:r>
        <w:rPr>
          <w:i/>
          <w:w w:val="130"/>
        </w:rPr>
        <w:t>ka)</w:t>
      </w:r>
      <w:r>
        <w:rPr>
          <w:i/>
          <w:spacing w:val="-12"/>
          <w:w w:val="130"/>
        </w:rPr>
        <w:t> </w:t>
      </w:r>
      <w:r>
        <w:rPr>
          <w:w w:val="130"/>
        </w:rPr>
        <w:t>a</w:t>
      </w:r>
      <w:r>
        <w:rPr>
          <w:spacing w:val="-11"/>
          <w:w w:val="130"/>
        </w:rPr>
        <w:t> </w:t>
      </w:r>
      <w:r>
        <w:rPr>
          <w:w w:val="130"/>
        </w:rPr>
        <w:t>fizetési</w:t>
      </w:r>
      <w:r>
        <w:rPr>
          <w:spacing w:val="-12"/>
          <w:w w:val="130"/>
        </w:rPr>
        <w:t> </w:t>
      </w:r>
      <w:r>
        <w:rPr>
          <w:w w:val="130"/>
        </w:rPr>
        <w:t>eszköz</w:t>
      </w:r>
      <w:r>
        <w:rPr>
          <w:spacing w:val="-12"/>
          <w:w w:val="130"/>
        </w:rPr>
        <w:t> </w:t>
      </w:r>
      <w:r>
        <w:rPr>
          <w:w w:val="130"/>
        </w:rPr>
        <w:t>kizárólag</w:t>
      </w:r>
      <w:r>
        <w:rPr>
          <w:spacing w:val="-12"/>
          <w:w w:val="130"/>
        </w:rPr>
        <w:t> </w:t>
      </w:r>
      <w:r>
        <w:rPr>
          <w:w w:val="130"/>
        </w:rPr>
        <w:t>a</w:t>
      </w:r>
      <w:r>
        <w:rPr>
          <w:spacing w:val="-12"/>
          <w:w w:val="130"/>
        </w:rPr>
        <w:t> </w:t>
      </w:r>
      <w:r>
        <w:rPr>
          <w:w w:val="130"/>
        </w:rPr>
        <w:t>kibocsátó</w:t>
      </w:r>
      <w:r>
        <w:rPr>
          <w:spacing w:val="-12"/>
          <w:w w:val="130"/>
        </w:rPr>
        <w:t> </w:t>
      </w:r>
      <w:r>
        <w:rPr>
          <w:w w:val="130"/>
        </w:rPr>
        <w:t>által</w:t>
      </w:r>
      <w:r>
        <w:rPr>
          <w:spacing w:val="-11"/>
          <w:w w:val="130"/>
        </w:rPr>
        <w:t> </w:t>
      </w:r>
      <w:r>
        <w:rPr>
          <w:w w:val="130"/>
        </w:rPr>
        <w:t>használt</w:t>
      </w:r>
      <w:r>
        <w:rPr>
          <w:spacing w:val="-12"/>
          <w:w w:val="130"/>
        </w:rPr>
        <w:t> </w:t>
      </w:r>
      <w:r>
        <w:rPr>
          <w:w w:val="130"/>
        </w:rPr>
        <w:t>helyiségekben</w:t>
      </w:r>
      <w:r>
        <w:rPr>
          <w:spacing w:val="-11"/>
          <w:w w:val="130"/>
        </w:rPr>
        <w:t> </w:t>
      </w:r>
      <w:r>
        <w:rPr>
          <w:w w:val="130"/>
        </w:rPr>
        <w:t>vagy a</w:t>
      </w:r>
      <w:r>
        <w:rPr>
          <w:spacing w:val="-23"/>
          <w:w w:val="130"/>
        </w:rPr>
        <w:t> </w:t>
      </w:r>
      <w:r>
        <w:rPr>
          <w:w w:val="130"/>
        </w:rPr>
        <w:t>kibocsátóval</w:t>
      </w:r>
      <w:r>
        <w:rPr>
          <w:spacing w:val="-38"/>
          <w:w w:val="130"/>
        </w:rPr>
        <w:t> </w:t>
      </w:r>
      <w:r>
        <w:rPr>
          <w:w w:val="130"/>
        </w:rPr>
        <w:t>közvetlen</w:t>
      </w:r>
      <w:r>
        <w:rPr>
          <w:spacing w:val="-30"/>
          <w:w w:val="130"/>
        </w:rPr>
        <w:t> </w:t>
      </w:r>
      <w:r>
        <w:rPr>
          <w:w w:val="130"/>
        </w:rPr>
        <w:t>kereskedelmi</w:t>
      </w:r>
      <w:r>
        <w:rPr>
          <w:spacing w:val="-31"/>
          <w:w w:val="130"/>
        </w:rPr>
        <w:t> </w:t>
      </w:r>
      <w:r>
        <w:rPr>
          <w:w w:val="130"/>
        </w:rPr>
        <w:t>szerződésben</w:t>
      </w:r>
      <w:r>
        <w:rPr>
          <w:spacing w:val="-30"/>
          <w:w w:val="130"/>
        </w:rPr>
        <w:t> </w:t>
      </w:r>
      <w:r>
        <w:rPr>
          <w:w w:val="130"/>
        </w:rPr>
        <w:t>álló</w:t>
      </w:r>
      <w:r>
        <w:rPr>
          <w:spacing w:val="-30"/>
          <w:w w:val="130"/>
        </w:rPr>
        <w:t> </w:t>
      </w:r>
      <w:r>
        <w:rPr>
          <w:w w:val="130"/>
        </w:rPr>
        <w:t>szolgáltatók</w:t>
      </w:r>
      <w:r>
        <w:rPr>
          <w:spacing w:val="-30"/>
          <w:w w:val="130"/>
        </w:rPr>
        <w:t> </w:t>
      </w:r>
      <w:r>
        <w:rPr>
          <w:w w:val="130"/>
        </w:rPr>
        <w:t>zártkörű hálózatán belül teszi lehetővé az eszköz birtokosa számára áruk vagy szolgáltatások</w:t>
      </w:r>
      <w:r>
        <w:rPr>
          <w:spacing w:val="-3"/>
          <w:w w:val="130"/>
        </w:rPr>
        <w:t> </w:t>
      </w:r>
      <w:r>
        <w:rPr>
          <w:w w:val="130"/>
        </w:rPr>
        <w:t>beszerzését,</w:t>
      </w:r>
    </w:p>
    <w:p>
      <w:pPr>
        <w:pStyle w:val="BodyText"/>
        <w:spacing w:before="10"/>
        <w:ind w:left="0" w:firstLine="0"/>
        <w:rPr>
          <w:sz w:val="27"/>
        </w:rPr>
      </w:pPr>
      <w:r>
        <w:rPr/>
        <w:pict>
          <v:line style="position:absolute;mso-position-horizontal-relative:page;mso-position-vertical-relative:paragraph;z-index:-640;mso-wrap-distance-left:0;mso-wrap-distance-right:0" from="56.693001pt,18.244547pt" to="538.583001pt,18.24454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2017. évi CXLV. törvény 121. § (10). Hatályos: 2018. I.</w:t>
      </w:r>
      <w:r>
        <w:rPr>
          <w:i/>
          <w:spacing w:val="-24"/>
          <w:w w:val="125"/>
          <w:sz w:val="18"/>
        </w:rPr>
        <w:t> </w:t>
      </w:r>
      <w:r>
        <w:rPr>
          <w:i/>
          <w:w w:val="125"/>
          <w:sz w:val="18"/>
        </w:rPr>
        <w:t>13-tól.</w:t>
      </w:r>
    </w:p>
    <w:p>
      <w:pPr>
        <w:spacing w:after="0"/>
        <w:jc w:val="left"/>
        <w:rPr>
          <w:sz w:val="18"/>
        </w:rPr>
        <w:sectPr>
          <w:pgSz w:w="11900" w:h="16820"/>
          <w:pgMar w:header="1104" w:footer="0" w:top="1840" w:bottom="280" w:left="1020" w:right="1000"/>
        </w:sectPr>
      </w:pPr>
    </w:p>
    <w:p>
      <w:pPr>
        <w:pStyle w:val="BodyText"/>
        <w:spacing w:line="225" w:lineRule="auto" w:before="173"/>
        <w:ind w:right="120"/>
        <w:jc w:val="both"/>
      </w:pPr>
      <w:r>
        <w:rPr>
          <w:i/>
          <w:w w:val="130"/>
        </w:rPr>
        <w:t>kb) </w:t>
      </w:r>
      <w:r>
        <w:rPr>
          <w:w w:val="130"/>
        </w:rPr>
        <w:t>a fizetési eszköz áruk vagy szolgáltatások igen szűk körű beszerzését teszi lehetővé,</w:t>
      </w:r>
    </w:p>
    <w:p>
      <w:pPr>
        <w:pStyle w:val="ListParagraph"/>
        <w:numPr>
          <w:ilvl w:val="0"/>
          <w:numId w:val="52"/>
        </w:numPr>
        <w:tabs>
          <w:tab w:pos="703" w:val="left" w:leader="none"/>
        </w:tabs>
        <w:spacing w:line="225" w:lineRule="auto" w:before="1" w:after="0"/>
        <w:ind w:left="113" w:right="122" w:firstLine="204"/>
        <w:jc w:val="both"/>
        <w:rPr>
          <w:sz w:val="24"/>
        </w:rPr>
      </w:pPr>
      <w:r>
        <w:rPr>
          <w:w w:val="130"/>
          <w:sz w:val="24"/>
        </w:rPr>
        <w:t>az elektronikus hírközlő hálózat üzemeltetője vagy az elektronikus hírközlési szolgáltatás nyújtója általi fizetési művelet, amelyet az az elektronikus hírközlési szolgáltatáson túl nyújt a hálózat vagy a szolgáltatás előfizetője számára</w:t>
      </w:r>
      <w:r>
        <w:rPr>
          <w:spacing w:val="-6"/>
          <w:w w:val="130"/>
          <w:sz w:val="24"/>
        </w:rPr>
        <w:t> </w:t>
      </w:r>
      <w:r>
        <w:rPr>
          <w:w w:val="130"/>
          <w:sz w:val="24"/>
        </w:rPr>
        <w:t>és</w:t>
      </w:r>
    </w:p>
    <w:p>
      <w:pPr>
        <w:pStyle w:val="BodyText"/>
        <w:spacing w:line="225" w:lineRule="auto" w:before="2"/>
        <w:ind w:right="128"/>
        <w:jc w:val="both"/>
      </w:pPr>
      <w:r>
        <w:rPr>
          <w:i/>
          <w:w w:val="130"/>
        </w:rPr>
        <w:t>la) </w:t>
      </w:r>
      <w:r>
        <w:rPr>
          <w:w w:val="130"/>
        </w:rPr>
        <w:t>amelynek célja digitális tartalom és hangalapú szolgáltatások vásárlása, függetlenül a digitális tartalom megvásárlásához vagy felhasználásához használt eszköztől és amelyet a kapcsolódó szolgáltatói számlára terhelnek vagy</w:t>
      </w:r>
    </w:p>
    <w:p>
      <w:pPr>
        <w:pStyle w:val="BodyText"/>
        <w:spacing w:line="225" w:lineRule="auto" w:before="2"/>
        <w:ind w:right="124"/>
        <w:jc w:val="both"/>
        <w:rPr>
          <w:i/>
          <w:sz w:val="18"/>
        </w:rPr>
      </w:pPr>
      <w:r>
        <w:rPr>
          <w:i/>
          <w:w w:val="125"/>
        </w:rPr>
        <w:t>lb) </w:t>
      </w:r>
      <w:r>
        <w:rPr>
          <w:w w:val="125"/>
        </w:rPr>
        <w:t>amelyet elektronikus eszközről vagy annak segítségével hajtanak végre    és a kapcsolódó szolgáltatói számlára terhelik jótékonysági tevékenység keretében vagy jegyvásárlás céljából, feltéve, hogy az egyszeri fizetési művelet összege nem haladja meg a tizenötezer forintot és a fizetési műveletek  kumulált összege egy előfizetőre nézve - ideértve az előre feltöltött  egyenleggel rendelkező előfizetőket is - naptári hónaponként nem haladja meg a kilencvenezer forintot,</w:t>
      </w:r>
      <w:r>
        <w:rPr>
          <w:i/>
          <w:w w:val="125"/>
          <w:position w:val="3"/>
          <w:sz w:val="18"/>
        </w:rPr>
        <w:t>1</w:t>
      </w:r>
    </w:p>
    <w:p>
      <w:pPr>
        <w:pStyle w:val="ListParagraph"/>
        <w:numPr>
          <w:ilvl w:val="0"/>
          <w:numId w:val="52"/>
        </w:numPr>
        <w:tabs>
          <w:tab w:pos="843" w:val="left" w:leader="none"/>
        </w:tabs>
        <w:spacing w:line="225" w:lineRule="auto" w:before="5" w:after="0"/>
        <w:ind w:left="113" w:right="129" w:firstLine="204"/>
        <w:jc w:val="both"/>
        <w:rPr>
          <w:sz w:val="24"/>
        </w:rPr>
      </w:pPr>
      <w:r>
        <w:rPr>
          <w:w w:val="125"/>
          <w:sz w:val="24"/>
        </w:rPr>
        <w:t>a pénzforgalmi szolgáltatók és közvetítői vagy fióktelepeik közötti sajátszámlás fizetési</w:t>
      </w:r>
      <w:r>
        <w:rPr>
          <w:spacing w:val="2"/>
          <w:w w:val="125"/>
          <w:sz w:val="24"/>
        </w:rPr>
        <w:t> </w:t>
      </w:r>
      <w:r>
        <w:rPr>
          <w:w w:val="125"/>
          <w:sz w:val="24"/>
        </w:rPr>
        <w:t>művelet,</w:t>
      </w:r>
    </w:p>
    <w:p>
      <w:pPr>
        <w:pStyle w:val="ListParagraph"/>
        <w:numPr>
          <w:ilvl w:val="0"/>
          <w:numId w:val="52"/>
        </w:numPr>
        <w:tabs>
          <w:tab w:pos="737" w:val="left" w:leader="none"/>
        </w:tabs>
        <w:spacing w:line="225" w:lineRule="auto" w:before="1" w:after="0"/>
        <w:ind w:left="113" w:right="125" w:firstLine="204"/>
        <w:jc w:val="both"/>
        <w:rPr>
          <w:sz w:val="24"/>
        </w:rPr>
      </w:pPr>
      <w:r>
        <w:rPr>
          <w:w w:val="125"/>
          <w:sz w:val="24"/>
        </w:rPr>
        <w:t>az anyavállalat és leányvállalata, vagy az anyavállalat leányvállalatai közötti fizetési művelet és kapcsolódó szolgáltatás, ha a csoporthoz tartozó pénzforgalmi szolgáltatón kívül harmadik fél a fizetési műveletben nem vesz részt,</w:t>
      </w:r>
      <w:r>
        <w:rPr>
          <w:spacing w:val="1"/>
          <w:w w:val="125"/>
          <w:sz w:val="24"/>
        </w:rPr>
        <w:t> </w:t>
      </w:r>
      <w:r>
        <w:rPr>
          <w:w w:val="125"/>
          <w:sz w:val="24"/>
        </w:rPr>
        <w:t>valamint</w:t>
      </w:r>
    </w:p>
    <w:p>
      <w:pPr>
        <w:pStyle w:val="ListParagraph"/>
        <w:numPr>
          <w:ilvl w:val="0"/>
          <w:numId w:val="52"/>
        </w:numPr>
        <w:tabs>
          <w:tab w:pos="916" w:val="left" w:leader="none"/>
        </w:tabs>
        <w:spacing w:line="225" w:lineRule="auto" w:before="2" w:after="0"/>
        <w:ind w:left="113" w:right="123" w:firstLine="204"/>
        <w:jc w:val="both"/>
        <w:rPr>
          <w:sz w:val="24"/>
        </w:rPr>
      </w:pPr>
      <w:r>
        <w:rPr>
          <w:w w:val="130"/>
          <w:sz w:val="24"/>
        </w:rPr>
        <w:t>az automata bankjegykiadó gép üzemeltetője által nyújtott készpénzfelvételt lehetővé tevő szolgáltatás, ha az üzemeltető nem végez egyéb pénzforgalmi szolgáltatást és nem szerződő fele a fizetési számláról készpénzfelvételt lehetővé tevő ügyféllel kötött</w:t>
      </w:r>
      <w:r>
        <w:rPr>
          <w:spacing w:val="-48"/>
          <w:w w:val="130"/>
          <w:sz w:val="24"/>
        </w:rPr>
        <w:t> </w:t>
      </w:r>
      <w:r>
        <w:rPr>
          <w:w w:val="130"/>
          <w:sz w:val="24"/>
        </w:rPr>
        <w:t>keretszerződésnek.</w:t>
      </w:r>
    </w:p>
    <w:p>
      <w:pPr>
        <w:pStyle w:val="ListParagraph"/>
        <w:numPr>
          <w:ilvl w:val="0"/>
          <w:numId w:val="23"/>
        </w:numPr>
        <w:tabs>
          <w:tab w:pos="734" w:val="left" w:leader="none"/>
        </w:tabs>
        <w:spacing w:line="257" w:lineRule="exact" w:before="0" w:after="0"/>
        <w:ind w:left="733" w:right="0" w:hanging="416"/>
        <w:jc w:val="left"/>
        <w:rPr>
          <w:sz w:val="24"/>
        </w:rPr>
      </w:pPr>
      <w:r>
        <w:rPr>
          <w:w w:val="125"/>
          <w:sz w:val="24"/>
        </w:rPr>
        <w:t>Nem minősül pénzkölcsön</w:t>
      </w:r>
      <w:r>
        <w:rPr>
          <w:spacing w:val="1"/>
          <w:w w:val="125"/>
          <w:sz w:val="24"/>
        </w:rPr>
        <w:t> </w:t>
      </w:r>
      <w:r>
        <w:rPr>
          <w:w w:val="125"/>
          <w:sz w:val="24"/>
        </w:rPr>
        <w:t>nyújtásának</w:t>
      </w:r>
    </w:p>
    <w:p>
      <w:pPr>
        <w:pStyle w:val="ListParagraph"/>
        <w:numPr>
          <w:ilvl w:val="0"/>
          <w:numId w:val="53"/>
        </w:numPr>
        <w:tabs>
          <w:tab w:pos="643" w:val="left" w:leader="none"/>
        </w:tabs>
        <w:spacing w:line="225" w:lineRule="auto" w:before="5" w:after="0"/>
        <w:ind w:left="113" w:right="126" w:firstLine="204"/>
        <w:jc w:val="both"/>
        <w:rPr>
          <w:sz w:val="24"/>
        </w:rPr>
      </w:pPr>
      <w:r>
        <w:rPr>
          <w:w w:val="125"/>
          <w:sz w:val="24"/>
        </w:rPr>
        <w:t>a munkáltató által a munkavállaló részére szociális céllal - esetileg - adott kölcsön,</w:t>
      </w:r>
    </w:p>
    <w:p>
      <w:pPr>
        <w:pStyle w:val="ListParagraph"/>
        <w:numPr>
          <w:ilvl w:val="0"/>
          <w:numId w:val="53"/>
        </w:numPr>
        <w:tabs>
          <w:tab w:pos="845" w:val="left" w:leader="none"/>
        </w:tabs>
        <w:spacing w:line="225" w:lineRule="auto" w:before="2" w:after="0"/>
        <w:ind w:left="113" w:right="128" w:firstLine="204"/>
        <w:jc w:val="both"/>
        <w:rPr>
          <w:sz w:val="24"/>
        </w:rPr>
      </w:pPr>
      <w:r>
        <w:rPr>
          <w:w w:val="125"/>
          <w:sz w:val="24"/>
        </w:rPr>
        <w:t>az egymással áruszállítási vagy szolgáltatási jogviszonyban álló vállalkozások vagy természetes személyek által e jogviszonyra tekintettel adott halasztott fizetés vagy előleg (kereskedelmi kölcsön), ide nem  értve  a pénzügyi intézmény által kötött ilyen</w:t>
      </w:r>
      <w:r>
        <w:rPr>
          <w:spacing w:val="3"/>
          <w:w w:val="125"/>
          <w:sz w:val="24"/>
        </w:rPr>
        <w:t> </w:t>
      </w:r>
      <w:r>
        <w:rPr>
          <w:w w:val="125"/>
          <w:sz w:val="24"/>
        </w:rPr>
        <w:t>ügyleteket,</w:t>
      </w:r>
    </w:p>
    <w:p>
      <w:pPr>
        <w:pStyle w:val="ListParagraph"/>
        <w:numPr>
          <w:ilvl w:val="0"/>
          <w:numId w:val="53"/>
        </w:numPr>
        <w:tabs>
          <w:tab w:pos="768" w:val="left" w:leader="none"/>
        </w:tabs>
        <w:spacing w:line="225" w:lineRule="auto" w:before="2" w:after="0"/>
        <w:ind w:left="113" w:right="135" w:firstLine="204"/>
        <w:jc w:val="both"/>
        <w:rPr>
          <w:sz w:val="24"/>
        </w:rPr>
      </w:pPr>
      <w:r>
        <w:rPr>
          <w:w w:val="125"/>
          <w:sz w:val="24"/>
        </w:rPr>
        <w:t>a biztosító által az életbiztosítási kötvény tulajdonosának nyújtott kötvénykölcsön,</w:t>
      </w:r>
    </w:p>
    <w:p>
      <w:pPr>
        <w:pStyle w:val="ListParagraph"/>
        <w:numPr>
          <w:ilvl w:val="0"/>
          <w:numId w:val="53"/>
        </w:numPr>
        <w:tabs>
          <w:tab w:pos="755" w:val="left" w:leader="none"/>
        </w:tabs>
        <w:spacing w:line="225" w:lineRule="auto" w:before="1" w:after="0"/>
        <w:ind w:left="113" w:right="129" w:firstLine="204"/>
        <w:jc w:val="both"/>
        <w:rPr>
          <w:sz w:val="24"/>
        </w:rPr>
      </w:pPr>
      <w:r>
        <w:rPr>
          <w:w w:val="125"/>
          <w:sz w:val="24"/>
        </w:rPr>
        <w:t>az önkéntes kölcsönös biztosító pénztár által nyújtott tagi kölcsön, valamint</w:t>
      </w:r>
    </w:p>
    <w:p>
      <w:pPr>
        <w:pStyle w:val="ListParagraph"/>
        <w:numPr>
          <w:ilvl w:val="0"/>
          <w:numId w:val="53"/>
        </w:numPr>
        <w:tabs>
          <w:tab w:pos="629" w:val="left" w:leader="none"/>
        </w:tabs>
        <w:spacing w:line="256" w:lineRule="exact" w:before="0" w:after="0"/>
        <w:ind w:left="628" w:right="0" w:hanging="311"/>
        <w:jc w:val="left"/>
        <w:rPr>
          <w:sz w:val="24"/>
        </w:rPr>
      </w:pPr>
      <w:r>
        <w:rPr>
          <w:w w:val="125"/>
          <w:sz w:val="24"/>
        </w:rPr>
        <w:t>az önkormányzat által adott lakáscélú vagy szociális</w:t>
      </w:r>
      <w:r>
        <w:rPr>
          <w:spacing w:val="5"/>
          <w:w w:val="125"/>
          <w:sz w:val="24"/>
        </w:rPr>
        <w:t> </w:t>
      </w:r>
      <w:r>
        <w:rPr>
          <w:w w:val="125"/>
          <w:sz w:val="24"/>
        </w:rPr>
        <w:t>kölcsön.</w:t>
      </w:r>
    </w:p>
    <w:p>
      <w:pPr>
        <w:pStyle w:val="ListParagraph"/>
        <w:numPr>
          <w:ilvl w:val="0"/>
          <w:numId w:val="23"/>
        </w:numPr>
        <w:tabs>
          <w:tab w:pos="828" w:val="left" w:leader="none"/>
        </w:tabs>
        <w:spacing w:line="225" w:lineRule="auto" w:before="6" w:after="0"/>
        <w:ind w:left="113" w:right="129" w:firstLine="204"/>
        <w:jc w:val="both"/>
        <w:rPr>
          <w:sz w:val="24"/>
        </w:rPr>
      </w:pPr>
      <w:r>
        <w:rPr>
          <w:w w:val="125"/>
          <w:sz w:val="24"/>
        </w:rPr>
        <w:t>Nem minősül pénzügyi lízingnek az anyavállalat és a leányvállalata közötti lízing, ide nem értve a pénzügyi intézmény által kötött ilyen</w:t>
      </w:r>
      <w:r>
        <w:rPr>
          <w:spacing w:val="31"/>
          <w:w w:val="125"/>
          <w:sz w:val="24"/>
        </w:rPr>
        <w:t> </w:t>
      </w:r>
      <w:r>
        <w:rPr>
          <w:w w:val="125"/>
          <w:sz w:val="24"/>
        </w:rPr>
        <w:t>ügyletet.</w:t>
      </w:r>
    </w:p>
    <w:p>
      <w:pPr>
        <w:pStyle w:val="BodyText"/>
        <w:spacing w:before="227"/>
        <w:ind w:left="3442" w:firstLine="0"/>
      </w:pPr>
      <w:r>
        <w:rPr>
          <w:w w:val="120"/>
        </w:rPr>
        <w:t>4. A pénzügyi intézmény</w:t>
      </w:r>
    </w:p>
    <w:p>
      <w:pPr>
        <w:pStyle w:val="ListParagraph"/>
        <w:numPr>
          <w:ilvl w:val="0"/>
          <w:numId w:val="54"/>
        </w:numPr>
        <w:tabs>
          <w:tab w:pos="652" w:val="left" w:leader="none"/>
        </w:tabs>
        <w:spacing w:line="269" w:lineRule="exact" w:before="223" w:after="0"/>
        <w:ind w:left="651" w:right="0" w:hanging="334"/>
        <w:jc w:val="left"/>
        <w:rPr>
          <w:sz w:val="24"/>
        </w:rPr>
      </w:pPr>
      <w:r>
        <w:rPr>
          <w:rFonts w:ascii="Arial" w:hAnsi="Arial"/>
          <w:b/>
          <w:w w:val="125"/>
          <w:sz w:val="24"/>
        </w:rPr>
        <w:t>§ </w:t>
      </w:r>
      <w:r>
        <w:rPr>
          <w:w w:val="125"/>
          <w:sz w:val="24"/>
        </w:rPr>
        <w:t>(1) Pénzügyi intézmény a hitelintézet és a pénzügyi</w:t>
      </w:r>
      <w:r>
        <w:rPr>
          <w:spacing w:val="-12"/>
          <w:w w:val="125"/>
          <w:sz w:val="24"/>
        </w:rPr>
        <w:t> </w:t>
      </w:r>
      <w:r>
        <w:rPr>
          <w:w w:val="125"/>
          <w:sz w:val="24"/>
        </w:rPr>
        <w:t>vállalkozás.</w:t>
      </w:r>
    </w:p>
    <w:p>
      <w:pPr>
        <w:pStyle w:val="ListParagraph"/>
        <w:numPr>
          <w:ilvl w:val="0"/>
          <w:numId w:val="55"/>
        </w:numPr>
        <w:tabs>
          <w:tab w:pos="830" w:val="left" w:leader="none"/>
        </w:tabs>
        <w:spacing w:line="225" w:lineRule="auto" w:before="6" w:after="0"/>
        <w:ind w:left="113" w:right="125" w:firstLine="204"/>
        <w:jc w:val="both"/>
        <w:rPr>
          <w:sz w:val="24"/>
        </w:rPr>
      </w:pPr>
      <w:r>
        <w:rPr>
          <w:w w:val="125"/>
          <w:sz w:val="24"/>
        </w:rPr>
        <w:t>A 3. § (1) bekezdésében meghatározott pénzügyi szolgáltatást - ha törvény eltérően nem rendelkezik - kizárólag pénzügyi intézmény</w:t>
      </w:r>
      <w:r>
        <w:rPr>
          <w:spacing w:val="29"/>
          <w:w w:val="125"/>
          <w:sz w:val="24"/>
        </w:rPr>
        <w:t> </w:t>
      </w:r>
      <w:r>
        <w:rPr>
          <w:w w:val="125"/>
          <w:sz w:val="24"/>
        </w:rPr>
        <w:t>végezhet.</w:t>
      </w:r>
    </w:p>
    <w:p>
      <w:pPr>
        <w:pStyle w:val="ListParagraph"/>
        <w:numPr>
          <w:ilvl w:val="0"/>
          <w:numId w:val="55"/>
        </w:numPr>
        <w:tabs>
          <w:tab w:pos="783" w:val="left" w:leader="none"/>
        </w:tabs>
        <w:spacing w:line="225" w:lineRule="auto" w:before="1" w:after="0"/>
        <w:ind w:left="113" w:right="127" w:firstLine="204"/>
        <w:jc w:val="both"/>
        <w:rPr>
          <w:sz w:val="24"/>
        </w:rPr>
      </w:pPr>
      <w:r>
        <w:rPr>
          <w:w w:val="125"/>
          <w:sz w:val="24"/>
        </w:rPr>
        <w:t>A pénzügyi intézmény, ha törvény másként nem rendelkezik, pénzügyi szolgáltatáson kívül üzletszerűen</w:t>
      </w:r>
      <w:r>
        <w:rPr>
          <w:spacing w:val="4"/>
          <w:w w:val="125"/>
          <w:sz w:val="24"/>
        </w:rPr>
        <w:t> </w:t>
      </w:r>
      <w:r>
        <w:rPr>
          <w:w w:val="125"/>
          <w:sz w:val="24"/>
        </w:rPr>
        <w:t>kizárólag:</w:t>
      </w:r>
    </w:p>
    <w:p>
      <w:pPr>
        <w:pStyle w:val="BodyText"/>
        <w:ind w:left="0" w:firstLine="0"/>
        <w:rPr>
          <w:sz w:val="20"/>
        </w:rPr>
      </w:pPr>
    </w:p>
    <w:p>
      <w:pPr>
        <w:pStyle w:val="BodyText"/>
        <w:ind w:left="0" w:firstLine="0"/>
        <w:rPr>
          <w:sz w:val="20"/>
        </w:rPr>
      </w:pPr>
    </w:p>
    <w:p>
      <w:pPr>
        <w:pStyle w:val="BodyText"/>
        <w:spacing w:before="10"/>
        <w:ind w:left="0" w:firstLine="0"/>
        <w:rPr>
          <w:sz w:val="13"/>
        </w:rPr>
      </w:pPr>
      <w:r>
        <w:rPr/>
        <w:pict>
          <v:line style="position:absolute;mso-position-horizontal-relative:page;mso-position-vertical-relative:paragraph;z-index:-616;mso-wrap-distance-left:0;mso-wrap-distance-right:0" from="56.693001pt,10.177297pt" to="538.583001pt,10.17729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2018. évi CXXVI. törvény 120. §</w:t>
      </w:r>
      <w:r>
        <w:rPr>
          <w:i/>
          <w:spacing w:val="-5"/>
          <w:w w:val="125"/>
          <w:sz w:val="18"/>
        </w:rPr>
        <w:t> </w:t>
      </w:r>
      <w:r>
        <w:rPr>
          <w:i/>
          <w:w w:val="125"/>
          <w:sz w:val="18"/>
        </w:rPr>
        <w:t>1.</w:t>
      </w:r>
    </w:p>
    <w:p>
      <w:pPr>
        <w:spacing w:after="0"/>
        <w:jc w:val="left"/>
        <w:rPr>
          <w:sz w:val="18"/>
        </w:rPr>
        <w:sectPr>
          <w:pgSz w:w="11900" w:h="16820"/>
          <w:pgMar w:header="1104" w:footer="0" w:top="1840" w:bottom="280" w:left="1020" w:right="1000"/>
        </w:sectPr>
      </w:pPr>
    </w:p>
    <w:p>
      <w:pPr>
        <w:pStyle w:val="ListParagraph"/>
        <w:numPr>
          <w:ilvl w:val="0"/>
          <w:numId w:val="56"/>
        </w:numPr>
        <w:tabs>
          <w:tab w:pos="556" w:val="left" w:leader="none"/>
        </w:tabs>
        <w:spacing w:line="261" w:lineRule="exact" w:before="159" w:after="0"/>
        <w:ind w:left="555" w:right="0" w:hanging="238"/>
        <w:jc w:val="left"/>
        <w:rPr>
          <w:sz w:val="24"/>
        </w:rPr>
      </w:pPr>
      <w:r>
        <w:rPr>
          <w:i/>
          <w:w w:val="125"/>
          <w:position w:val="3"/>
          <w:sz w:val="18"/>
        </w:rPr>
        <w:t>1</w:t>
      </w:r>
      <w:r>
        <w:rPr>
          <w:i/>
          <w:spacing w:val="11"/>
          <w:w w:val="125"/>
          <w:position w:val="3"/>
          <w:sz w:val="18"/>
        </w:rPr>
        <w:t> </w:t>
      </w:r>
      <w:r>
        <w:rPr>
          <w:w w:val="125"/>
          <w:sz w:val="24"/>
        </w:rPr>
        <w:t>a</w:t>
      </w:r>
      <w:r>
        <w:rPr>
          <w:spacing w:val="20"/>
          <w:w w:val="125"/>
          <w:sz w:val="24"/>
        </w:rPr>
        <w:t> </w:t>
      </w:r>
      <w:r>
        <w:rPr>
          <w:w w:val="125"/>
          <w:sz w:val="24"/>
        </w:rPr>
        <w:t>3.</w:t>
      </w:r>
      <w:r>
        <w:rPr>
          <w:spacing w:val="26"/>
          <w:w w:val="125"/>
          <w:sz w:val="24"/>
        </w:rPr>
        <w:t> </w:t>
      </w:r>
      <w:r>
        <w:rPr>
          <w:w w:val="125"/>
          <w:sz w:val="24"/>
        </w:rPr>
        <w:t>§</w:t>
      </w:r>
      <w:r>
        <w:rPr>
          <w:spacing w:val="25"/>
          <w:w w:val="125"/>
          <w:sz w:val="24"/>
        </w:rPr>
        <w:t> </w:t>
      </w:r>
      <w:r>
        <w:rPr>
          <w:w w:val="125"/>
          <w:sz w:val="24"/>
        </w:rPr>
        <w:t>(2)</w:t>
      </w:r>
      <w:r>
        <w:rPr>
          <w:spacing w:val="26"/>
          <w:w w:val="125"/>
          <w:sz w:val="24"/>
        </w:rPr>
        <w:t> </w:t>
      </w:r>
      <w:r>
        <w:rPr>
          <w:w w:val="125"/>
          <w:sz w:val="24"/>
        </w:rPr>
        <w:t>bekezdés</w:t>
      </w:r>
      <w:r>
        <w:rPr>
          <w:spacing w:val="24"/>
          <w:w w:val="125"/>
          <w:sz w:val="24"/>
        </w:rPr>
        <w:t> </w:t>
      </w:r>
      <w:r>
        <w:rPr>
          <w:i/>
          <w:w w:val="125"/>
          <w:sz w:val="24"/>
        </w:rPr>
        <w:t>a)-d)</w:t>
      </w:r>
      <w:r>
        <w:rPr>
          <w:i/>
          <w:spacing w:val="25"/>
          <w:w w:val="125"/>
          <w:sz w:val="24"/>
        </w:rPr>
        <w:t> </w:t>
      </w:r>
      <w:r>
        <w:rPr>
          <w:w w:val="125"/>
          <w:sz w:val="24"/>
        </w:rPr>
        <w:t>és</w:t>
      </w:r>
      <w:r>
        <w:rPr>
          <w:spacing w:val="26"/>
          <w:w w:val="125"/>
          <w:sz w:val="24"/>
        </w:rPr>
        <w:t> </w:t>
      </w:r>
      <w:r>
        <w:rPr>
          <w:i/>
          <w:w w:val="125"/>
          <w:sz w:val="24"/>
        </w:rPr>
        <w:t>f)</w:t>
      </w:r>
      <w:r>
        <w:rPr>
          <w:i/>
          <w:spacing w:val="25"/>
          <w:w w:val="125"/>
          <w:sz w:val="24"/>
        </w:rPr>
        <w:t> </w:t>
      </w:r>
      <w:r>
        <w:rPr>
          <w:w w:val="125"/>
          <w:sz w:val="24"/>
        </w:rPr>
        <w:t>pontjában</w:t>
      </w:r>
      <w:r>
        <w:rPr>
          <w:spacing w:val="25"/>
          <w:w w:val="125"/>
          <w:sz w:val="24"/>
        </w:rPr>
        <w:t> </w:t>
      </w:r>
      <w:r>
        <w:rPr>
          <w:w w:val="125"/>
          <w:sz w:val="24"/>
        </w:rPr>
        <w:t>meghatározott</w:t>
      </w:r>
      <w:r>
        <w:rPr>
          <w:spacing w:val="26"/>
          <w:w w:val="125"/>
          <w:sz w:val="24"/>
        </w:rPr>
        <w:t> </w:t>
      </w:r>
      <w:r>
        <w:rPr>
          <w:w w:val="125"/>
          <w:sz w:val="24"/>
        </w:rPr>
        <w:t>kiegészítő</w:t>
      </w:r>
    </w:p>
    <w:p>
      <w:pPr>
        <w:pStyle w:val="BodyText"/>
        <w:spacing w:line="260" w:lineRule="exact"/>
        <w:ind w:firstLine="0"/>
      </w:pPr>
      <w:r>
        <w:rPr>
          <w:w w:val="125"/>
        </w:rPr>
        <w:t>pénzügyi szolgáltatási tevékenységet,</w:t>
      </w:r>
    </w:p>
    <w:p>
      <w:pPr>
        <w:pStyle w:val="ListParagraph"/>
        <w:numPr>
          <w:ilvl w:val="0"/>
          <w:numId w:val="56"/>
        </w:numPr>
        <w:tabs>
          <w:tab w:pos="567" w:val="left" w:leader="none"/>
        </w:tabs>
        <w:spacing w:line="260" w:lineRule="exact" w:before="0" w:after="0"/>
        <w:ind w:left="566" w:right="0" w:hanging="249"/>
        <w:jc w:val="left"/>
        <w:rPr>
          <w:sz w:val="24"/>
        </w:rPr>
      </w:pPr>
      <w:r>
        <w:rPr>
          <w:i/>
          <w:w w:val="120"/>
          <w:position w:val="3"/>
          <w:sz w:val="18"/>
        </w:rPr>
        <w:t>2</w:t>
      </w:r>
      <w:r>
        <w:rPr>
          <w:i/>
          <w:spacing w:val="25"/>
          <w:w w:val="120"/>
          <w:position w:val="3"/>
          <w:sz w:val="18"/>
        </w:rPr>
        <w:t> </w:t>
      </w:r>
      <w:r>
        <w:rPr>
          <w:i/>
          <w:w w:val="120"/>
          <w:sz w:val="24"/>
        </w:rPr>
        <w:t>-</w:t>
      </w:r>
      <w:r>
        <w:rPr>
          <w:i/>
          <w:spacing w:val="43"/>
          <w:w w:val="120"/>
          <w:sz w:val="24"/>
        </w:rPr>
        <w:t> </w:t>
      </w:r>
      <w:r>
        <w:rPr>
          <w:w w:val="120"/>
          <w:sz w:val="24"/>
        </w:rPr>
        <w:t>a</w:t>
      </w:r>
      <w:r>
        <w:rPr>
          <w:spacing w:val="43"/>
          <w:w w:val="120"/>
          <w:sz w:val="24"/>
        </w:rPr>
        <w:t> </w:t>
      </w:r>
      <w:r>
        <w:rPr>
          <w:w w:val="120"/>
          <w:sz w:val="24"/>
        </w:rPr>
        <w:t>biztosítási</w:t>
      </w:r>
      <w:r>
        <w:rPr>
          <w:spacing w:val="43"/>
          <w:w w:val="120"/>
          <w:sz w:val="24"/>
        </w:rPr>
        <w:t> </w:t>
      </w:r>
      <w:r>
        <w:rPr>
          <w:w w:val="120"/>
          <w:sz w:val="24"/>
        </w:rPr>
        <w:t>tevékenységről</w:t>
      </w:r>
      <w:r>
        <w:rPr>
          <w:spacing w:val="42"/>
          <w:w w:val="120"/>
          <w:sz w:val="24"/>
        </w:rPr>
        <w:t> </w:t>
      </w:r>
      <w:r>
        <w:rPr>
          <w:w w:val="120"/>
          <w:sz w:val="24"/>
        </w:rPr>
        <w:t>szóló</w:t>
      </w:r>
      <w:r>
        <w:rPr>
          <w:spacing w:val="44"/>
          <w:w w:val="120"/>
          <w:sz w:val="24"/>
        </w:rPr>
        <w:t> </w:t>
      </w:r>
      <w:r>
        <w:rPr>
          <w:w w:val="120"/>
          <w:sz w:val="24"/>
        </w:rPr>
        <w:t>törvényben</w:t>
      </w:r>
      <w:r>
        <w:rPr>
          <w:spacing w:val="42"/>
          <w:w w:val="120"/>
          <w:sz w:val="24"/>
        </w:rPr>
        <w:t> </w:t>
      </w:r>
      <w:r>
        <w:rPr>
          <w:w w:val="120"/>
          <w:sz w:val="24"/>
        </w:rPr>
        <w:t>foglalt</w:t>
      </w:r>
      <w:r>
        <w:rPr>
          <w:spacing w:val="43"/>
          <w:w w:val="120"/>
          <w:sz w:val="24"/>
        </w:rPr>
        <w:t> </w:t>
      </w:r>
      <w:r>
        <w:rPr>
          <w:w w:val="120"/>
          <w:sz w:val="24"/>
        </w:rPr>
        <w:t>feltételekkel</w:t>
      </w:r>
      <w:r>
        <w:rPr>
          <w:spacing w:val="43"/>
          <w:w w:val="120"/>
          <w:sz w:val="24"/>
        </w:rPr>
        <w:t> </w:t>
      </w:r>
      <w:r>
        <w:rPr>
          <w:w w:val="120"/>
          <w:sz w:val="24"/>
        </w:rPr>
        <w:t>-</w:t>
      </w:r>
    </w:p>
    <w:p>
      <w:pPr>
        <w:pStyle w:val="BodyText"/>
        <w:spacing w:line="225" w:lineRule="auto" w:before="12"/>
        <w:ind w:right="133" w:firstLine="0"/>
      </w:pPr>
      <w:r>
        <w:rPr>
          <w:w w:val="125"/>
        </w:rPr>
        <w:t>hitelintézet esetén biztosításközvetítői tevékenységet, pénzügyi vállalkozás esetén biztosításközvetítői vagy kiegészítő biztosításközvetítői tevékenységet,</w:t>
      </w:r>
    </w:p>
    <w:p>
      <w:pPr>
        <w:pStyle w:val="ListParagraph"/>
        <w:numPr>
          <w:ilvl w:val="0"/>
          <w:numId w:val="56"/>
        </w:numPr>
        <w:tabs>
          <w:tab w:pos="673" w:val="left" w:leader="none"/>
        </w:tabs>
        <w:spacing w:line="225" w:lineRule="auto" w:before="1" w:after="0"/>
        <w:ind w:left="113" w:right="118" w:firstLine="204"/>
        <w:jc w:val="both"/>
        <w:rPr>
          <w:sz w:val="24"/>
        </w:rPr>
      </w:pPr>
      <w:r>
        <w:rPr>
          <w:w w:val="130"/>
          <w:sz w:val="24"/>
        </w:rPr>
        <w:t>Tpt.-ben meghatározott feltételekkel értékpapír-kölcsönzést, részvényesi meghatalmazotti (nominee) tevékenységet, Bszt.-ben meghatározott feltételekkel befektetési szolgáltatási tevékenységet, befektetési szolgáltatási tevékenységet kiegészítő szolgáltatást, valamint a Bszt. 111-116. §-a szerinti közvetítői tevékenységet és árutőzsdei szolgáltató által végezhető tevékenységet,</w:t>
      </w:r>
    </w:p>
    <w:p>
      <w:pPr>
        <w:pStyle w:val="ListParagraph"/>
        <w:numPr>
          <w:ilvl w:val="0"/>
          <w:numId w:val="56"/>
        </w:numPr>
        <w:tabs>
          <w:tab w:pos="653" w:val="left" w:leader="none"/>
        </w:tabs>
        <w:spacing w:line="258" w:lineRule="exact" w:before="0" w:after="0"/>
        <w:ind w:left="652" w:right="0" w:hanging="335"/>
        <w:jc w:val="left"/>
        <w:rPr>
          <w:sz w:val="24"/>
        </w:rPr>
      </w:pPr>
      <w:r>
        <w:rPr>
          <w:w w:val="130"/>
          <w:sz w:val="24"/>
        </w:rPr>
        <w:t>aranykereskedelmi</w:t>
      </w:r>
      <w:r>
        <w:rPr>
          <w:spacing w:val="-14"/>
          <w:w w:val="130"/>
          <w:sz w:val="24"/>
        </w:rPr>
        <w:t> </w:t>
      </w:r>
      <w:r>
        <w:rPr>
          <w:w w:val="130"/>
          <w:sz w:val="24"/>
        </w:rPr>
        <w:t>ügyletet,</w:t>
      </w:r>
    </w:p>
    <w:p>
      <w:pPr>
        <w:pStyle w:val="ListParagraph"/>
        <w:numPr>
          <w:ilvl w:val="0"/>
          <w:numId w:val="56"/>
        </w:numPr>
        <w:tabs>
          <w:tab w:pos="629" w:val="left" w:leader="none"/>
        </w:tabs>
        <w:spacing w:line="260" w:lineRule="exact" w:before="0" w:after="0"/>
        <w:ind w:left="628" w:right="0" w:hanging="311"/>
        <w:jc w:val="left"/>
        <w:rPr>
          <w:sz w:val="24"/>
        </w:rPr>
      </w:pPr>
      <w:r>
        <w:rPr>
          <w:w w:val="125"/>
          <w:sz w:val="24"/>
        </w:rPr>
        <w:t>részvénykönyvvezetést,</w:t>
      </w:r>
    </w:p>
    <w:p>
      <w:pPr>
        <w:pStyle w:val="ListParagraph"/>
        <w:numPr>
          <w:ilvl w:val="0"/>
          <w:numId w:val="56"/>
        </w:numPr>
        <w:tabs>
          <w:tab w:pos="504" w:val="left" w:leader="none"/>
        </w:tabs>
        <w:spacing w:line="260" w:lineRule="exact" w:before="0" w:after="0"/>
        <w:ind w:left="503" w:right="0" w:hanging="186"/>
        <w:jc w:val="left"/>
        <w:rPr>
          <w:sz w:val="24"/>
        </w:rPr>
      </w:pPr>
      <w:r>
        <w:rPr>
          <w:i/>
          <w:w w:val="125"/>
          <w:position w:val="3"/>
          <w:sz w:val="18"/>
        </w:rPr>
        <w:t>3 </w:t>
      </w:r>
      <w:r>
        <w:rPr>
          <w:w w:val="125"/>
          <w:sz w:val="24"/>
        </w:rPr>
        <w:t>bizalmi</w:t>
      </w:r>
      <w:r>
        <w:rPr>
          <w:spacing w:val="17"/>
          <w:w w:val="125"/>
          <w:sz w:val="24"/>
        </w:rPr>
        <w:t> </w:t>
      </w:r>
      <w:r>
        <w:rPr>
          <w:w w:val="125"/>
          <w:sz w:val="24"/>
        </w:rPr>
        <w:t>szolgáltatást,</w:t>
      </w:r>
    </w:p>
    <w:p>
      <w:pPr>
        <w:pStyle w:val="ListParagraph"/>
        <w:numPr>
          <w:ilvl w:val="0"/>
          <w:numId w:val="56"/>
        </w:numPr>
        <w:tabs>
          <w:tab w:pos="748" w:val="left" w:leader="none"/>
        </w:tabs>
        <w:spacing w:line="225" w:lineRule="auto" w:before="5" w:after="0"/>
        <w:ind w:left="113" w:right="130" w:firstLine="204"/>
        <w:jc w:val="both"/>
        <w:rPr>
          <w:sz w:val="24"/>
        </w:rPr>
      </w:pPr>
      <w:r>
        <w:rPr>
          <w:w w:val="130"/>
          <w:sz w:val="24"/>
        </w:rPr>
        <w:t>a hallgatói hitelrendszerről szóló kormányrendeletben meghatározott Diákhitel szervezet hitelezési tevékenységének elősegítése érdekében</w:t>
      </w:r>
      <w:r>
        <w:rPr>
          <w:spacing w:val="-51"/>
          <w:w w:val="130"/>
          <w:sz w:val="24"/>
        </w:rPr>
        <w:t> </w:t>
      </w:r>
      <w:r>
        <w:rPr>
          <w:w w:val="130"/>
          <w:sz w:val="24"/>
        </w:rPr>
        <w:t>végzett tevékenységet,</w:t>
      </w:r>
    </w:p>
    <w:p>
      <w:pPr>
        <w:pStyle w:val="ListParagraph"/>
        <w:numPr>
          <w:ilvl w:val="0"/>
          <w:numId w:val="56"/>
        </w:numPr>
        <w:tabs>
          <w:tab w:pos="568" w:val="left" w:leader="none"/>
        </w:tabs>
        <w:spacing w:line="250" w:lineRule="exact" w:before="0" w:after="0"/>
        <w:ind w:left="567" w:right="0" w:hanging="250"/>
        <w:jc w:val="left"/>
        <w:rPr>
          <w:sz w:val="24"/>
        </w:rPr>
      </w:pPr>
      <w:r>
        <w:rPr>
          <w:i/>
          <w:w w:val="125"/>
          <w:position w:val="3"/>
          <w:sz w:val="18"/>
        </w:rPr>
        <w:t>4 </w:t>
      </w:r>
      <w:r>
        <w:rPr>
          <w:w w:val="125"/>
          <w:sz w:val="24"/>
        </w:rPr>
        <w:t>az Önkéntes Kölcsönös Biztosító Pénztárakról szóló 1993. évi</w:t>
      </w:r>
      <w:r>
        <w:rPr>
          <w:spacing w:val="-3"/>
          <w:w w:val="125"/>
          <w:sz w:val="24"/>
        </w:rPr>
        <w:t> </w:t>
      </w:r>
      <w:r>
        <w:rPr>
          <w:w w:val="125"/>
          <w:sz w:val="24"/>
        </w:rPr>
        <w:t>XCVI.</w:t>
      </w:r>
    </w:p>
    <w:p>
      <w:pPr>
        <w:pStyle w:val="BodyText"/>
        <w:spacing w:line="225" w:lineRule="auto" w:before="12"/>
        <w:ind w:firstLine="0"/>
      </w:pPr>
      <w:r>
        <w:rPr>
          <w:w w:val="125"/>
        </w:rPr>
        <w:t>törvény (a továbbiakban: Öpt.) 11/A. §-ában foglalt feltételekkel tagszervezési tevékenységet,</w:t>
      </w:r>
    </w:p>
    <w:p>
      <w:pPr>
        <w:pStyle w:val="ListParagraph"/>
        <w:numPr>
          <w:ilvl w:val="0"/>
          <w:numId w:val="56"/>
        </w:numPr>
        <w:tabs>
          <w:tab w:pos="728" w:val="left" w:leader="none"/>
        </w:tabs>
        <w:spacing w:line="225" w:lineRule="auto" w:before="1" w:after="0"/>
        <w:ind w:left="113" w:right="128" w:firstLine="204"/>
        <w:jc w:val="both"/>
        <w:rPr>
          <w:sz w:val="24"/>
        </w:rPr>
      </w:pPr>
      <w:r>
        <w:rPr>
          <w:w w:val="130"/>
          <w:sz w:val="24"/>
        </w:rPr>
        <w:t>a pénzügyi szolgáltatásból származó veszteség mérséklése, illetve elhárítása érdekében fedezet, illetve biztosíték hasznosítására vagy az értékesítésben való közreműködésre irányuló</w:t>
      </w:r>
      <w:r>
        <w:rPr>
          <w:spacing w:val="-31"/>
          <w:w w:val="130"/>
          <w:sz w:val="24"/>
        </w:rPr>
        <w:t> </w:t>
      </w:r>
      <w:r>
        <w:rPr>
          <w:w w:val="130"/>
          <w:sz w:val="24"/>
        </w:rPr>
        <w:t>tevékenységet,</w:t>
      </w:r>
    </w:p>
    <w:p>
      <w:pPr>
        <w:pStyle w:val="ListParagraph"/>
        <w:numPr>
          <w:ilvl w:val="0"/>
          <w:numId w:val="56"/>
        </w:numPr>
        <w:tabs>
          <w:tab w:pos="644" w:val="left" w:leader="none"/>
        </w:tabs>
        <w:spacing w:line="225" w:lineRule="auto" w:before="2" w:after="0"/>
        <w:ind w:left="113" w:right="136" w:firstLine="204"/>
        <w:jc w:val="both"/>
        <w:rPr>
          <w:sz w:val="24"/>
        </w:rPr>
      </w:pPr>
      <w:r>
        <w:rPr>
          <w:w w:val="130"/>
          <w:sz w:val="24"/>
        </w:rPr>
        <w:t>követelések megbízás alapján történő kezelésére, behajtására irányuló</w:t>
      </w:r>
      <w:r>
        <w:rPr>
          <w:spacing w:val="78"/>
          <w:w w:val="130"/>
          <w:sz w:val="24"/>
        </w:rPr>
        <w:t> </w:t>
      </w:r>
      <w:r>
        <w:rPr>
          <w:w w:val="130"/>
          <w:sz w:val="24"/>
        </w:rPr>
        <w:t>tevékenységet,</w:t>
      </w:r>
    </w:p>
    <w:p>
      <w:pPr>
        <w:pStyle w:val="ListParagraph"/>
        <w:numPr>
          <w:ilvl w:val="0"/>
          <w:numId w:val="56"/>
        </w:numPr>
        <w:tabs>
          <w:tab w:pos="633" w:val="left" w:leader="none"/>
        </w:tabs>
        <w:spacing w:line="249" w:lineRule="exact" w:before="0" w:after="0"/>
        <w:ind w:left="632" w:right="0" w:hanging="315"/>
        <w:jc w:val="left"/>
        <w:rPr>
          <w:sz w:val="24"/>
        </w:rPr>
      </w:pPr>
      <w:r>
        <w:rPr>
          <w:w w:val="125"/>
          <w:sz w:val="24"/>
        </w:rPr>
        <w:t>pénzügyi eszközre vonatkozó adat-,</w:t>
      </w:r>
      <w:r>
        <w:rPr>
          <w:spacing w:val="7"/>
          <w:w w:val="125"/>
          <w:sz w:val="24"/>
        </w:rPr>
        <w:t> </w:t>
      </w:r>
      <w:r>
        <w:rPr>
          <w:w w:val="125"/>
          <w:sz w:val="24"/>
        </w:rPr>
        <w:t>információértékesítést,</w:t>
      </w:r>
    </w:p>
    <w:p>
      <w:pPr>
        <w:pStyle w:val="ListParagraph"/>
        <w:numPr>
          <w:ilvl w:val="0"/>
          <w:numId w:val="56"/>
        </w:numPr>
        <w:tabs>
          <w:tab w:pos="490" w:val="left" w:leader="none"/>
        </w:tabs>
        <w:spacing w:line="260" w:lineRule="exact" w:before="0" w:after="0"/>
        <w:ind w:left="489" w:right="0" w:hanging="172"/>
        <w:jc w:val="left"/>
        <w:rPr>
          <w:sz w:val="24"/>
        </w:rPr>
      </w:pPr>
      <w:r>
        <w:rPr>
          <w:i/>
          <w:w w:val="125"/>
          <w:position w:val="3"/>
          <w:sz w:val="18"/>
        </w:rPr>
        <w:t>5</w:t>
      </w:r>
      <w:r>
        <w:rPr>
          <w:i/>
          <w:spacing w:val="11"/>
          <w:w w:val="125"/>
          <w:position w:val="3"/>
          <w:sz w:val="18"/>
        </w:rPr>
        <w:t> </w:t>
      </w:r>
      <w:r>
        <w:rPr>
          <w:w w:val="125"/>
          <w:sz w:val="24"/>
        </w:rPr>
        <w:t>jogszabályban</w:t>
      </w:r>
      <w:r>
        <w:rPr>
          <w:spacing w:val="30"/>
          <w:w w:val="125"/>
          <w:sz w:val="24"/>
        </w:rPr>
        <w:t> </w:t>
      </w:r>
      <w:r>
        <w:rPr>
          <w:w w:val="125"/>
          <w:sz w:val="24"/>
        </w:rPr>
        <w:t>meghatározott</w:t>
      </w:r>
      <w:r>
        <w:rPr>
          <w:spacing w:val="30"/>
          <w:w w:val="125"/>
          <w:sz w:val="24"/>
        </w:rPr>
        <w:t> </w:t>
      </w:r>
      <w:r>
        <w:rPr>
          <w:w w:val="125"/>
          <w:sz w:val="24"/>
        </w:rPr>
        <w:t>közösségi,</w:t>
      </w:r>
      <w:r>
        <w:rPr>
          <w:spacing w:val="30"/>
          <w:w w:val="125"/>
          <w:sz w:val="24"/>
        </w:rPr>
        <w:t> </w:t>
      </w:r>
      <w:r>
        <w:rPr>
          <w:w w:val="125"/>
          <w:sz w:val="24"/>
        </w:rPr>
        <w:t>valamint</w:t>
      </w:r>
      <w:r>
        <w:rPr>
          <w:spacing w:val="30"/>
          <w:w w:val="125"/>
          <w:sz w:val="24"/>
        </w:rPr>
        <w:t> </w:t>
      </w:r>
      <w:r>
        <w:rPr>
          <w:w w:val="125"/>
          <w:sz w:val="24"/>
        </w:rPr>
        <w:t>állami</w:t>
      </w:r>
      <w:r>
        <w:rPr>
          <w:spacing w:val="30"/>
          <w:w w:val="125"/>
          <w:sz w:val="24"/>
        </w:rPr>
        <w:t> </w:t>
      </w:r>
      <w:r>
        <w:rPr>
          <w:w w:val="125"/>
          <w:sz w:val="24"/>
        </w:rPr>
        <w:t>támogatások</w:t>
      </w:r>
    </w:p>
    <w:p>
      <w:pPr>
        <w:pStyle w:val="BodyText"/>
        <w:spacing w:line="267" w:lineRule="exact"/>
        <w:ind w:firstLine="0"/>
      </w:pPr>
      <w:r>
        <w:rPr>
          <w:w w:val="130"/>
        </w:rPr>
        <w:t>közvetítését,</w:t>
      </w:r>
    </w:p>
    <w:p>
      <w:pPr>
        <w:pStyle w:val="ListParagraph"/>
        <w:numPr>
          <w:ilvl w:val="0"/>
          <w:numId w:val="56"/>
        </w:numPr>
        <w:tabs>
          <w:tab w:pos="744" w:val="left" w:leader="none"/>
        </w:tabs>
        <w:spacing w:line="225" w:lineRule="auto" w:before="5" w:after="0"/>
        <w:ind w:left="113" w:right="123" w:firstLine="204"/>
        <w:jc w:val="both"/>
        <w:rPr>
          <w:sz w:val="24"/>
        </w:rPr>
      </w:pPr>
      <w:r>
        <w:rPr>
          <w:w w:val="125"/>
          <w:sz w:val="24"/>
        </w:rPr>
        <w:t>az autópályák, autóutak és főutak használatáért fizetendő, megtett úttal arányos díjról szóló 2013. évi LXVII. törvényben meghatározott úthasználati jogosultság megszerzésével összefüggő tevékenységet,</w:t>
      </w:r>
      <w:r>
        <w:rPr>
          <w:spacing w:val="11"/>
          <w:w w:val="125"/>
          <w:sz w:val="24"/>
        </w:rPr>
        <w:t> </w:t>
      </w:r>
      <w:r>
        <w:rPr>
          <w:w w:val="125"/>
          <w:sz w:val="24"/>
        </w:rPr>
        <w:t>valamint</w:t>
      </w:r>
    </w:p>
    <w:p>
      <w:pPr>
        <w:pStyle w:val="ListParagraph"/>
        <w:numPr>
          <w:ilvl w:val="0"/>
          <w:numId w:val="56"/>
        </w:numPr>
        <w:tabs>
          <w:tab w:pos="718" w:val="left" w:leader="none"/>
        </w:tabs>
        <w:spacing w:line="225" w:lineRule="auto" w:before="2" w:after="0"/>
        <w:ind w:left="113" w:right="131" w:firstLine="204"/>
        <w:jc w:val="both"/>
        <w:rPr>
          <w:sz w:val="24"/>
        </w:rPr>
      </w:pPr>
      <w:r>
        <w:rPr>
          <w:w w:val="125"/>
          <w:sz w:val="24"/>
        </w:rPr>
        <w:t>a 3. § (1) bekezdés </w:t>
      </w:r>
      <w:r>
        <w:rPr>
          <w:i/>
          <w:w w:val="125"/>
          <w:sz w:val="24"/>
        </w:rPr>
        <w:t>j) </w:t>
      </w:r>
      <w:r>
        <w:rPr>
          <w:w w:val="125"/>
          <w:sz w:val="24"/>
        </w:rPr>
        <w:t>pontján kívüli pénzletét kezeléshez kapcsolódó szolgáltatást,</w:t>
      </w:r>
    </w:p>
    <w:p>
      <w:pPr>
        <w:pStyle w:val="ListParagraph"/>
        <w:numPr>
          <w:ilvl w:val="0"/>
          <w:numId w:val="56"/>
        </w:numPr>
        <w:tabs>
          <w:tab w:pos="558" w:val="left" w:leader="none"/>
        </w:tabs>
        <w:spacing w:line="256" w:lineRule="exact" w:before="0" w:after="0"/>
        <w:ind w:left="557" w:right="0" w:hanging="240"/>
        <w:jc w:val="left"/>
        <w:rPr>
          <w:sz w:val="24"/>
        </w:rPr>
      </w:pPr>
      <w:r>
        <w:rPr>
          <w:i/>
          <w:w w:val="130"/>
          <w:position w:val="3"/>
          <w:sz w:val="18"/>
        </w:rPr>
        <w:t>6 </w:t>
      </w:r>
      <w:r>
        <w:rPr>
          <w:w w:val="130"/>
          <w:sz w:val="24"/>
        </w:rPr>
        <w:t>elektronikuspénz-értékesítői</w:t>
      </w:r>
      <w:r>
        <w:rPr>
          <w:spacing w:val="9"/>
          <w:w w:val="130"/>
          <w:sz w:val="24"/>
        </w:rPr>
        <w:t> </w:t>
      </w:r>
      <w:r>
        <w:rPr>
          <w:w w:val="130"/>
          <w:sz w:val="24"/>
        </w:rPr>
        <w:t>tevékenységet,</w:t>
      </w:r>
    </w:p>
    <w:p>
      <w:pPr>
        <w:pStyle w:val="ListParagraph"/>
        <w:numPr>
          <w:ilvl w:val="0"/>
          <w:numId w:val="56"/>
        </w:numPr>
        <w:tabs>
          <w:tab w:pos="567" w:val="left" w:leader="none"/>
        </w:tabs>
        <w:spacing w:line="225" w:lineRule="auto" w:before="5" w:after="0"/>
        <w:ind w:left="113" w:right="135" w:firstLine="204"/>
        <w:jc w:val="both"/>
        <w:rPr>
          <w:sz w:val="24"/>
        </w:rPr>
      </w:pPr>
      <w:r>
        <w:rPr>
          <w:i/>
          <w:w w:val="130"/>
          <w:position w:val="3"/>
          <w:sz w:val="18"/>
        </w:rPr>
        <w:t>7</w:t>
      </w:r>
      <w:r>
        <w:rPr>
          <w:i/>
          <w:spacing w:val="5"/>
          <w:w w:val="130"/>
          <w:position w:val="3"/>
          <w:sz w:val="18"/>
        </w:rPr>
        <w:t> </w:t>
      </w:r>
      <w:r>
        <w:rPr>
          <w:w w:val="130"/>
          <w:sz w:val="24"/>
        </w:rPr>
        <w:t>hitelintézet</w:t>
      </w:r>
      <w:r>
        <w:rPr>
          <w:spacing w:val="-14"/>
          <w:w w:val="130"/>
          <w:sz w:val="24"/>
        </w:rPr>
        <w:t> </w:t>
      </w:r>
      <w:r>
        <w:rPr>
          <w:w w:val="130"/>
          <w:sz w:val="24"/>
        </w:rPr>
        <w:t>esetén</w:t>
      </w:r>
      <w:r>
        <w:rPr>
          <w:spacing w:val="-15"/>
          <w:w w:val="130"/>
          <w:sz w:val="24"/>
        </w:rPr>
        <w:t> </w:t>
      </w:r>
      <w:r>
        <w:rPr>
          <w:w w:val="130"/>
          <w:sz w:val="24"/>
        </w:rPr>
        <w:t>a</w:t>
      </w:r>
      <w:r>
        <w:rPr>
          <w:spacing w:val="-14"/>
          <w:w w:val="130"/>
          <w:sz w:val="24"/>
        </w:rPr>
        <w:t> </w:t>
      </w:r>
      <w:r>
        <w:rPr>
          <w:w w:val="130"/>
          <w:sz w:val="24"/>
        </w:rPr>
        <w:t>vele</w:t>
      </w:r>
      <w:r>
        <w:rPr>
          <w:spacing w:val="-15"/>
          <w:w w:val="130"/>
          <w:sz w:val="24"/>
        </w:rPr>
        <w:t> </w:t>
      </w:r>
      <w:r>
        <w:rPr>
          <w:w w:val="130"/>
          <w:sz w:val="24"/>
        </w:rPr>
        <w:t>szoros</w:t>
      </w:r>
      <w:r>
        <w:rPr>
          <w:spacing w:val="-15"/>
          <w:w w:val="130"/>
          <w:sz w:val="24"/>
        </w:rPr>
        <w:t> </w:t>
      </w:r>
      <w:r>
        <w:rPr>
          <w:w w:val="130"/>
          <w:sz w:val="24"/>
        </w:rPr>
        <w:t>kapcsolatban</w:t>
      </w:r>
      <w:r>
        <w:rPr>
          <w:spacing w:val="-15"/>
          <w:w w:val="130"/>
          <w:sz w:val="24"/>
        </w:rPr>
        <w:t> </w:t>
      </w:r>
      <w:r>
        <w:rPr>
          <w:w w:val="130"/>
          <w:sz w:val="24"/>
        </w:rPr>
        <w:t>álló</w:t>
      </w:r>
      <w:r>
        <w:rPr>
          <w:spacing w:val="-7"/>
          <w:w w:val="130"/>
          <w:sz w:val="24"/>
        </w:rPr>
        <w:t> </w:t>
      </w:r>
      <w:r>
        <w:rPr>
          <w:w w:val="130"/>
          <w:sz w:val="24"/>
        </w:rPr>
        <w:t>vállalkozások</w:t>
      </w:r>
      <w:r>
        <w:rPr>
          <w:spacing w:val="-21"/>
          <w:w w:val="130"/>
          <w:sz w:val="24"/>
        </w:rPr>
        <w:t> </w:t>
      </w:r>
      <w:r>
        <w:rPr>
          <w:w w:val="130"/>
          <w:sz w:val="24"/>
        </w:rPr>
        <w:t>számára szolgáltatások</w:t>
      </w:r>
      <w:r>
        <w:rPr>
          <w:spacing w:val="-3"/>
          <w:w w:val="130"/>
          <w:sz w:val="24"/>
        </w:rPr>
        <w:t> </w:t>
      </w:r>
      <w:r>
        <w:rPr>
          <w:w w:val="130"/>
          <w:sz w:val="24"/>
        </w:rPr>
        <w:t>nyújtását</w:t>
      </w:r>
    </w:p>
    <w:p>
      <w:pPr>
        <w:pStyle w:val="BodyText"/>
        <w:spacing w:line="256" w:lineRule="exact"/>
        <w:ind w:firstLine="0"/>
      </w:pPr>
      <w:r>
        <w:rPr>
          <w:w w:val="130"/>
        </w:rPr>
        <w:t>végezhet.</w:t>
      </w:r>
    </w:p>
    <w:p>
      <w:pPr>
        <w:pStyle w:val="ListParagraph"/>
        <w:numPr>
          <w:ilvl w:val="0"/>
          <w:numId w:val="55"/>
        </w:numPr>
        <w:tabs>
          <w:tab w:pos="806" w:val="left" w:leader="none"/>
        </w:tabs>
        <w:spacing w:line="225" w:lineRule="auto" w:before="6" w:after="0"/>
        <w:ind w:left="113" w:right="127" w:firstLine="204"/>
        <w:jc w:val="both"/>
        <w:rPr>
          <w:sz w:val="24"/>
        </w:rPr>
      </w:pPr>
      <w:r>
        <w:rPr>
          <w:w w:val="125"/>
          <w:sz w:val="24"/>
        </w:rPr>
        <w:t>Fizetési rendszert működtető pénzügyi vállalkozás a (3) bekezdésben foglaltakon kívül egyéb pénzügyi szolgáltatásnak nem minősülő üzletszerű tevékenységet is folytathat, ha ezen  tevékenysége  a  főtevékenységként végzett fizetési rendszer működtetését nem befolyásolja</w:t>
      </w:r>
      <w:r>
        <w:rPr>
          <w:spacing w:val="43"/>
          <w:w w:val="125"/>
          <w:sz w:val="24"/>
        </w:rPr>
        <w:t> </w:t>
      </w:r>
      <w:r>
        <w:rPr>
          <w:w w:val="125"/>
          <w:sz w:val="24"/>
        </w:rPr>
        <w:t>hátrányosan.</w:t>
      </w:r>
    </w:p>
    <w:p>
      <w:pPr>
        <w:pStyle w:val="BodyText"/>
        <w:spacing w:before="229"/>
        <w:ind w:left="2709" w:firstLine="0"/>
      </w:pPr>
      <w:r>
        <w:rPr>
          <w:w w:val="125"/>
        </w:rPr>
        <w:t>5. A hitelintézet és szervezeti formái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592;mso-wrap-distance-left:0;mso-wrap-distance-right:0" from="56.693001pt,15.484067pt" to="538.583001pt,15.484067pt" stroked="true" strokeweight=".5pt" strokecolor="#000000">
            <v:stroke dashstyle="solid"/>
            <w10:wrap type="topAndBottom"/>
          </v:line>
        </w:pict>
      </w:r>
    </w:p>
    <w:p>
      <w:pPr>
        <w:pStyle w:val="ListParagraph"/>
        <w:numPr>
          <w:ilvl w:val="0"/>
          <w:numId w:val="57"/>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CCXV. törvény 114. §. Hatályos: 2016. III.</w:t>
      </w:r>
      <w:r>
        <w:rPr>
          <w:i/>
          <w:spacing w:val="-21"/>
          <w:w w:val="125"/>
          <w:sz w:val="18"/>
        </w:rPr>
        <w:t> </w:t>
      </w:r>
      <w:r>
        <w:rPr>
          <w:i/>
          <w:w w:val="125"/>
          <w:sz w:val="18"/>
        </w:rPr>
        <w:t>21-től.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99. § (1). Hatályos: 2018. XII.</w:t>
      </w:r>
      <w:r>
        <w:rPr>
          <w:i/>
          <w:spacing w:val="-31"/>
          <w:w w:val="125"/>
          <w:sz w:val="18"/>
        </w:rPr>
        <w:t> </w:t>
      </w:r>
      <w:r>
        <w:rPr>
          <w:i/>
          <w:w w:val="125"/>
          <w:sz w:val="18"/>
        </w:rPr>
        <w:t>29-től.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CXXI. törvény 86. §. Hatályos: 2016. XI.</w:t>
      </w:r>
      <w:r>
        <w:rPr>
          <w:i/>
          <w:spacing w:val="-21"/>
          <w:w w:val="125"/>
          <w:sz w:val="18"/>
        </w:rPr>
        <w:t> </w:t>
      </w:r>
      <w:r>
        <w:rPr>
          <w:i/>
          <w:w w:val="125"/>
          <w:sz w:val="18"/>
        </w:rPr>
        <w:t>26-tól.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Módosította: 2015. évi CCXV. törvény 152. §</w:t>
      </w:r>
      <w:r>
        <w:rPr>
          <w:i/>
          <w:spacing w:val="-5"/>
          <w:w w:val="125"/>
          <w:sz w:val="18"/>
        </w:rPr>
        <w:t> </w:t>
      </w:r>
      <w:r>
        <w:rPr>
          <w:i/>
          <w:w w:val="125"/>
          <w:sz w:val="18"/>
        </w:rPr>
        <w:t>a).</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LIII. törvény 118. §. Hatályos: 2016. VII.</w:t>
      </w:r>
      <w:r>
        <w:rPr>
          <w:i/>
          <w:spacing w:val="-17"/>
          <w:w w:val="125"/>
          <w:sz w:val="18"/>
        </w:rPr>
        <w:t> </w:t>
      </w:r>
      <w:r>
        <w:rPr>
          <w:i/>
          <w:w w:val="125"/>
          <w:sz w:val="18"/>
        </w:rPr>
        <w:t>1-től.</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Beiktatta: 2017. évi CXLV. törvény 122. §. Hatályos: 2018. I.</w:t>
      </w:r>
      <w:r>
        <w:rPr>
          <w:i/>
          <w:spacing w:val="-11"/>
          <w:w w:val="125"/>
          <w:sz w:val="18"/>
        </w:rPr>
        <w:t> </w:t>
      </w:r>
      <w:r>
        <w:rPr>
          <w:i/>
          <w:w w:val="125"/>
          <w:sz w:val="18"/>
        </w:rPr>
        <w:t>13-tól.</w:t>
      </w:r>
    </w:p>
    <w:p>
      <w:pPr>
        <w:pStyle w:val="ListParagraph"/>
        <w:numPr>
          <w:ilvl w:val="0"/>
          <w:numId w:val="57"/>
        </w:numPr>
        <w:tabs>
          <w:tab w:pos="686" w:val="left" w:leader="none"/>
          <w:tab w:pos="687" w:val="left" w:leader="none"/>
        </w:tabs>
        <w:spacing w:line="203" w:lineRule="exact" w:before="0" w:after="0"/>
        <w:ind w:left="686" w:right="0" w:hanging="344"/>
        <w:jc w:val="left"/>
        <w:rPr>
          <w:i/>
          <w:sz w:val="18"/>
        </w:rPr>
      </w:pPr>
      <w:r>
        <w:rPr>
          <w:i/>
          <w:w w:val="120"/>
          <w:sz w:val="18"/>
        </w:rPr>
        <w:t>Beiktatta: 2018. évi CXXVI. törvény 99. § (2). Hatályos: 2018. XII.</w:t>
      </w:r>
      <w:r>
        <w:rPr>
          <w:i/>
          <w:spacing w:val="50"/>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54"/>
        </w:numPr>
        <w:tabs>
          <w:tab w:pos="819" w:val="left" w:leader="none"/>
        </w:tabs>
        <w:spacing w:line="225" w:lineRule="auto" w:before="172" w:after="0"/>
        <w:ind w:left="113" w:right="126" w:firstLine="204"/>
        <w:jc w:val="both"/>
        <w:rPr>
          <w:sz w:val="24"/>
        </w:rPr>
      </w:pPr>
      <w:r>
        <w:rPr>
          <w:rFonts w:ascii="Arial" w:hAnsi="Arial"/>
          <w:b/>
          <w:w w:val="125"/>
          <w:sz w:val="24"/>
        </w:rPr>
        <w:t>§ </w:t>
      </w:r>
      <w:r>
        <w:rPr>
          <w:w w:val="125"/>
          <w:sz w:val="24"/>
        </w:rPr>
        <w:t>(1) Hitelintézet az a pénzügyi intézmény, amely a 3. §-ban meghatározott pénzügyi szolgáltatások közül legalább betétet gyűjt, vagy más visszafizetendő pénzeszközt fogad el a nyilvánosságtól - ide nem értve a jogszabályban meghatározott nyilvános kötvénykibocsátást -, valamint hitelt és pénzkölcsönt nyújt.</w:t>
      </w:r>
    </w:p>
    <w:p>
      <w:pPr>
        <w:pStyle w:val="ListParagraph"/>
        <w:numPr>
          <w:ilvl w:val="0"/>
          <w:numId w:val="58"/>
        </w:numPr>
        <w:tabs>
          <w:tab w:pos="734" w:val="left" w:leader="none"/>
        </w:tabs>
        <w:spacing w:line="257" w:lineRule="exact" w:before="0" w:after="0"/>
        <w:ind w:left="733" w:right="0" w:hanging="416"/>
        <w:jc w:val="left"/>
        <w:rPr>
          <w:sz w:val="24"/>
        </w:rPr>
      </w:pPr>
      <w:r>
        <w:rPr>
          <w:w w:val="125"/>
          <w:sz w:val="24"/>
        </w:rPr>
        <w:t>Kizárólag hitelintézet</w:t>
      </w:r>
      <w:r>
        <w:rPr>
          <w:spacing w:val="1"/>
          <w:w w:val="125"/>
          <w:sz w:val="24"/>
        </w:rPr>
        <w:t> </w:t>
      </w:r>
      <w:r>
        <w:rPr>
          <w:w w:val="125"/>
          <w:sz w:val="24"/>
        </w:rPr>
        <w:t>jogosult</w:t>
      </w:r>
    </w:p>
    <w:p>
      <w:pPr>
        <w:pStyle w:val="ListParagraph"/>
        <w:numPr>
          <w:ilvl w:val="0"/>
          <w:numId w:val="59"/>
        </w:numPr>
        <w:tabs>
          <w:tab w:pos="806" w:val="left" w:leader="none"/>
        </w:tabs>
        <w:spacing w:line="225" w:lineRule="auto" w:before="5" w:after="0"/>
        <w:ind w:left="113" w:right="129" w:firstLine="204"/>
        <w:jc w:val="both"/>
        <w:rPr>
          <w:sz w:val="24"/>
        </w:rPr>
      </w:pPr>
      <w:r>
        <w:rPr>
          <w:w w:val="125"/>
          <w:sz w:val="24"/>
        </w:rPr>
        <w:t>betét gyűjtésére, valamint saját tőkéjét meghaladó mértékben -  hitelintézet vagy állam által a visszafizetésre vállalt kezesség vagy garancia nélkül - más visszafizetendő pénzeszköz nyilvánosságtól való</w:t>
      </w:r>
      <w:r>
        <w:rPr>
          <w:spacing w:val="-9"/>
          <w:w w:val="125"/>
          <w:sz w:val="24"/>
        </w:rPr>
        <w:t> </w:t>
      </w:r>
      <w:r>
        <w:rPr>
          <w:w w:val="125"/>
          <w:sz w:val="24"/>
        </w:rPr>
        <w:t>elfogadására,</w:t>
      </w:r>
    </w:p>
    <w:p>
      <w:pPr>
        <w:pStyle w:val="ListParagraph"/>
        <w:numPr>
          <w:ilvl w:val="0"/>
          <w:numId w:val="59"/>
        </w:numPr>
        <w:tabs>
          <w:tab w:pos="653" w:val="left" w:leader="none"/>
        </w:tabs>
        <w:spacing w:line="250" w:lineRule="exact" w:before="0" w:after="0"/>
        <w:ind w:left="652" w:right="0" w:hanging="335"/>
        <w:jc w:val="left"/>
        <w:rPr>
          <w:sz w:val="24"/>
        </w:rPr>
      </w:pPr>
      <w:r>
        <w:rPr>
          <w:w w:val="130"/>
          <w:sz w:val="24"/>
        </w:rPr>
        <w:t>pénzváltási tevékenység</w:t>
      </w:r>
      <w:r>
        <w:rPr>
          <w:spacing w:val="-19"/>
          <w:w w:val="130"/>
          <w:sz w:val="24"/>
        </w:rPr>
        <w:t> </w:t>
      </w:r>
      <w:r>
        <w:rPr>
          <w:w w:val="130"/>
          <w:sz w:val="24"/>
        </w:rPr>
        <w:t>végzésére.</w:t>
      </w:r>
    </w:p>
    <w:p>
      <w:pPr>
        <w:pStyle w:val="ListParagraph"/>
        <w:numPr>
          <w:ilvl w:val="0"/>
          <w:numId w:val="58"/>
        </w:numPr>
        <w:tabs>
          <w:tab w:pos="659" w:val="left" w:leader="none"/>
        </w:tabs>
        <w:spacing w:line="260" w:lineRule="exact" w:before="0" w:after="0"/>
        <w:ind w:left="658" w:right="0" w:hanging="341"/>
        <w:jc w:val="left"/>
        <w:rPr>
          <w:sz w:val="24"/>
        </w:rPr>
      </w:pPr>
      <w:r>
        <w:rPr>
          <w:i/>
          <w:w w:val="125"/>
          <w:position w:val="3"/>
          <w:sz w:val="18"/>
        </w:rPr>
        <w:t>1 </w:t>
      </w:r>
      <w:r>
        <w:rPr>
          <w:w w:val="125"/>
          <w:sz w:val="24"/>
        </w:rPr>
        <w:t>A hitelintézet bank, szakosított hitelintézet vagy -</w:t>
      </w:r>
      <w:r>
        <w:rPr>
          <w:spacing w:val="15"/>
          <w:w w:val="125"/>
          <w:sz w:val="24"/>
        </w:rPr>
        <w:t> </w:t>
      </w:r>
      <w:r>
        <w:rPr>
          <w:w w:val="125"/>
          <w:sz w:val="24"/>
        </w:rPr>
        <w:t>részvénytársasági</w:t>
      </w:r>
    </w:p>
    <w:p>
      <w:pPr>
        <w:pStyle w:val="BodyText"/>
        <w:spacing w:line="225" w:lineRule="auto" w:before="12"/>
        <w:ind w:right="125" w:firstLine="0"/>
        <w:jc w:val="both"/>
      </w:pPr>
      <w:r>
        <w:rPr>
          <w:w w:val="125"/>
        </w:rPr>
        <w:t>vagy szövetkezeti formában működő - szövetkezeti hitelintézet lehet. A szövetkezeti hitelintézet lehet bank, szakosított hitelintézet és takarék- vagy hitelszövetkezet.</w:t>
      </w:r>
    </w:p>
    <w:p>
      <w:pPr>
        <w:pStyle w:val="ListParagraph"/>
        <w:numPr>
          <w:ilvl w:val="0"/>
          <w:numId w:val="58"/>
        </w:numPr>
        <w:tabs>
          <w:tab w:pos="751" w:val="left" w:leader="none"/>
        </w:tabs>
        <w:spacing w:line="225" w:lineRule="auto" w:before="2" w:after="0"/>
        <w:ind w:left="113" w:right="126" w:firstLine="204"/>
        <w:jc w:val="both"/>
        <w:rPr>
          <w:sz w:val="24"/>
        </w:rPr>
      </w:pPr>
      <w:r>
        <w:rPr>
          <w:w w:val="125"/>
          <w:sz w:val="24"/>
        </w:rPr>
        <w:t>A bank az a hitelintézet, amely a 3. § (1) bekezdés </w:t>
      </w:r>
      <w:r>
        <w:rPr>
          <w:i/>
          <w:w w:val="125"/>
          <w:sz w:val="24"/>
        </w:rPr>
        <w:t>a)</w:t>
      </w:r>
      <w:r>
        <w:rPr>
          <w:w w:val="125"/>
          <w:sz w:val="24"/>
        </w:rPr>
        <w:t>, </w:t>
      </w:r>
      <w:r>
        <w:rPr>
          <w:i/>
          <w:w w:val="125"/>
          <w:sz w:val="24"/>
        </w:rPr>
        <w:t>b) </w:t>
      </w:r>
      <w:r>
        <w:rPr>
          <w:w w:val="125"/>
          <w:sz w:val="24"/>
        </w:rPr>
        <w:t>és </w:t>
      </w:r>
      <w:r>
        <w:rPr>
          <w:i/>
          <w:w w:val="125"/>
          <w:sz w:val="24"/>
        </w:rPr>
        <w:t>d) </w:t>
      </w:r>
      <w:r>
        <w:rPr>
          <w:w w:val="125"/>
          <w:sz w:val="24"/>
        </w:rPr>
        <w:t>pontjában meghatározott tevékenységet üzletszerűen végzi. Kizárólag bank kaphat engedélyt a 3. § (1) bekezdésében foglalt tevékenységek teljes körének végzésére.</w:t>
      </w:r>
    </w:p>
    <w:p>
      <w:pPr>
        <w:pStyle w:val="ListParagraph"/>
        <w:numPr>
          <w:ilvl w:val="0"/>
          <w:numId w:val="58"/>
        </w:numPr>
        <w:tabs>
          <w:tab w:pos="773" w:val="left" w:leader="none"/>
        </w:tabs>
        <w:spacing w:line="225" w:lineRule="auto" w:before="2" w:after="0"/>
        <w:ind w:left="113" w:right="130" w:firstLine="204"/>
        <w:jc w:val="both"/>
        <w:rPr>
          <w:sz w:val="24"/>
        </w:rPr>
      </w:pPr>
      <w:r>
        <w:rPr>
          <w:w w:val="130"/>
          <w:sz w:val="24"/>
        </w:rPr>
        <w:t>A szakosított hitelintézet a rá vonatkozó külön törvényi szabályozásnak megfelelően jogosult tevékenységének végzésére, azzal, hogy nem kaphat</w:t>
      </w:r>
      <w:r>
        <w:rPr>
          <w:spacing w:val="78"/>
          <w:w w:val="130"/>
          <w:sz w:val="24"/>
        </w:rPr>
        <w:t> </w:t>
      </w:r>
      <w:r>
        <w:rPr>
          <w:w w:val="130"/>
          <w:sz w:val="24"/>
        </w:rPr>
        <w:t>engedélyt a 3. § (1) bekezdésében foglalt tevékenységek teljes körének végzésére.</w:t>
      </w:r>
    </w:p>
    <w:p>
      <w:pPr>
        <w:pStyle w:val="ListParagraph"/>
        <w:numPr>
          <w:ilvl w:val="0"/>
          <w:numId w:val="58"/>
        </w:numPr>
        <w:tabs>
          <w:tab w:pos="659" w:val="left" w:leader="none"/>
        </w:tabs>
        <w:spacing w:line="250" w:lineRule="exact" w:before="0" w:after="0"/>
        <w:ind w:left="658" w:right="0" w:hanging="341"/>
        <w:jc w:val="left"/>
        <w:rPr>
          <w:sz w:val="24"/>
        </w:rPr>
      </w:pPr>
      <w:r>
        <w:rPr>
          <w:i/>
          <w:w w:val="125"/>
          <w:position w:val="3"/>
          <w:sz w:val="18"/>
        </w:rPr>
        <w:t>2 </w:t>
      </w:r>
      <w:r>
        <w:rPr>
          <w:i/>
          <w:spacing w:val="6"/>
          <w:w w:val="125"/>
          <w:position w:val="3"/>
          <w:sz w:val="18"/>
        </w:rPr>
        <w:t> </w:t>
      </w:r>
      <w:r>
        <w:rPr>
          <w:w w:val="125"/>
          <w:sz w:val="24"/>
        </w:rPr>
        <w:t>A</w:t>
      </w:r>
      <w:r>
        <w:rPr>
          <w:spacing w:val="20"/>
          <w:w w:val="125"/>
          <w:sz w:val="24"/>
        </w:rPr>
        <w:t> </w:t>
      </w:r>
      <w:r>
        <w:rPr>
          <w:w w:val="125"/>
          <w:sz w:val="24"/>
        </w:rPr>
        <w:t>szövetkezeti</w:t>
      </w:r>
      <w:r>
        <w:rPr>
          <w:spacing w:val="33"/>
          <w:w w:val="125"/>
          <w:sz w:val="24"/>
        </w:rPr>
        <w:t> </w:t>
      </w:r>
      <w:r>
        <w:rPr>
          <w:w w:val="125"/>
          <w:sz w:val="24"/>
        </w:rPr>
        <w:t>formában</w:t>
      </w:r>
      <w:r>
        <w:rPr>
          <w:spacing w:val="32"/>
          <w:w w:val="125"/>
          <w:sz w:val="24"/>
        </w:rPr>
        <w:t> </w:t>
      </w:r>
      <w:r>
        <w:rPr>
          <w:w w:val="125"/>
          <w:sz w:val="24"/>
        </w:rPr>
        <w:t>működő</w:t>
      </w:r>
      <w:r>
        <w:rPr>
          <w:spacing w:val="33"/>
          <w:w w:val="125"/>
          <w:sz w:val="24"/>
        </w:rPr>
        <w:t> </w:t>
      </w:r>
      <w:r>
        <w:rPr>
          <w:w w:val="125"/>
          <w:sz w:val="24"/>
        </w:rPr>
        <w:t>szövetkezeti</w:t>
      </w:r>
      <w:r>
        <w:rPr>
          <w:spacing w:val="32"/>
          <w:w w:val="125"/>
          <w:sz w:val="24"/>
        </w:rPr>
        <w:t> </w:t>
      </w:r>
      <w:r>
        <w:rPr>
          <w:w w:val="125"/>
          <w:sz w:val="24"/>
        </w:rPr>
        <w:t>hitelintézet</w:t>
      </w:r>
      <w:r>
        <w:rPr>
          <w:spacing w:val="32"/>
          <w:w w:val="125"/>
          <w:sz w:val="24"/>
        </w:rPr>
        <w:t> </w:t>
      </w:r>
      <w:r>
        <w:rPr>
          <w:w w:val="125"/>
          <w:sz w:val="24"/>
        </w:rPr>
        <w:t>a</w:t>
      </w:r>
      <w:r>
        <w:rPr>
          <w:spacing w:val="33"/>
          <w:w w:val="125"/>
          <w:sz w:val="24"/>
        </w:rPr>
        <w:t> </w:t>
      </w:r>
      <w:r>
        <w:rPr>
          <w:w w:val="125"/>
          <w:sz w:val="24"/>
        </w:rPr>
        <w:t>3.</w:t>
      </w:r>
      <w:r>
        <w:rPr>
          <w:spacing w:val="32"/>
          <w:w w:val="125"/>
          <w:sz w:val="24"/>
        </w:rPr>
        <w:t> </w:t>
      </w:r>
      <w:r>
        <w:rPr>
          <w:w w:val="125"/>
          <w:sz w:val="24"/>
        </w:rPr>
        <w:t>§</w:t>
      </w:r>
      <w:r>
        <w:rPr>
          <w:spacing w:val="33"/>
          <w:w w:val="125"/>
          <w:sz w:val="24"/>
        </w:rPr>
        <w:t> </w:t>
      </w:r>
      <w:r>
        <w:rPr>
          <w:w w:val="125"/>
          <w:sz w:val="24"/>
        </w:rPr>
        <w:t>(1)</w:t>
      </w:r>
      <w:r>
        <w:rPr>
          <w:spacing w:val="32"/>
          <w:w w:val="125"/>
          <w:sz w:val="24"/>
        </w:rPr>
        <w:t> </w:t>
      </w:r>
      <w:r>
        <w:rPr>
          <w:w w:val="125"/>
          <w:sz w:val="24"/>
        </w:rPr>
        <w:t>és</w:t>
      </w:r>
    </w:p>
    <w:p>
      <w:pPr>
        <w:pStyle w:val="ListParagraph"/>
        <w:numPr>
          <w:ilvl w:val="0"/>
          <w:numId w:val="60"/>
        </w:numPr>
        <w:tabs>
          <w:tab w:pos="559" w:val="left" w:leader="none"/>
        </w:tabs>
        <w:spacing w:line="225" w:lineRule="auto" w:before="12" w:after="0"/>
        <w:ind w:left="113" w:right="127" w:firstLine="0"/>
        <w:jc w:val="left"/>
        <w:rPr>
          <w:sz w:val="24"/>
        </w:rPr>
      </w:pPr>
      <w:r>
        <w:rPr>
          <w:w w:val="125"/>
          <w:sz w:val="24"/>
        </w:rPr>
        <w:t>bekezdésében, valamint a 7. § (3) bekezdésében megjelölt tevékenységet, illetve kiegészítő tevékenységet</w:t>
      </w:r>
      <w:r>
        <w:rPr>
          <w:spacing w:val="17"/>
          <w:w w:val="125"/>
          <w:sz w:val="24"/>
        </w:rPr>
        <w:t> </w:t>
      </w:r>
      <w:r>
        <w:rPr>
          <w:w w:val="125"/>
          <w:sz w:val="24"/>
        </w:rPr>
        <w:t>végezhet.</w:t>
      </w:r>
    </w:p>
    <w:p>
      <w:pPr>
        <w:pStyle w:val="ListParagraph"/>
        <w:numPr>
          <w:ilvl w:val="1"/>
          <w:numId w:val="60"/>
        </w:numPr>
        <w:tabs>
          <w:tab w:pos="659" w:val="left" w:leader="none"/>
        </w:tabs>
        <w:spacing w:line="249" w:lineRule="exact" w:before="0" w:after="0"/>
        <w:ind w:left="658" w:right="0" w:hanging="341"/>
        <w:jc w:val="left"/>
        <w:rPr>
          <w:sz w:val="24"/>
        </w:rPr>
      </w:pPr>
      <w:r>
        <w:rPr>
          <w:i/>
          <w:w w:val="125"/>
          <w:position w:val="3"/>
          <w:sz w:val="18"/>
        </w:rPr>
        <w:t>3</w:t>
      </w:r>
      <w:r>
        <w:rPr>
          <w:i/>
          <w:spacing w:val="8"/>
          <w:w w:val="125"/>
          <w:position w:val="3"/>
          <w:sz w:val="18"/>
        </w:rPr>
        <w:t> </w:t>
      </w:r>
      <w:r>
        <w:rPr>
          <w:w w:val="125"/>
          <w:sz w:val="24"/>
        </w:rPr>
        <w:t>A</w:t>
      </w:r>
      <w:r>
        <w:rPr>
          <w:spacing w:val="46"/>
          <w:w w:val="125"/>
          <w:sz w:val="24"/>
        </w:rPr>
        <w:t> </w:t>
      </w:r>
      <w:r>
        <w:rPr>
          <w:w w:val="125"/>
          <w:sz w:val="24"/>
        </w:rPr>
        <w:t>szövetkezeti</w:t>
      </w:r>
      <w:r>
        <w:rPr>
          <w:spacing w:val="46"/>
          <w:w w:val="125"/>
          <w:sz w:val="24"/>
        </w:rPr>
        <w:t> </w:t>
      </w:r>
      <w:r>
        <w:rPr>
          <w:w w:val="125"/>
          <w:sz w:val="24"/>
        </w:rPr>
        <w:t>hitelintézetek</w:t>
      </w:r>
      <w:r>
        <w:rPr>
          <w:spacing w:val="46"/>
          <w:w w:val="125"/>
          <w:sz w:val="24"/>
        </w:rPr>
        <w:t> </w:t>
      </w:r>
      <w:r>
        <w:rPr>
          <w:w w:val="125"/>
          <w:sz w:val="24"/>
        </w:rPr>
        <w:t>integrációjáról</w:t>
      </w:r>
      <w:r>
        <w:rPr>
          <w:spacing w:val="44"/>
          <w:w w:val="125"/>
          <w:sz w:val="24"/>
        </w:rPr>
        <w:t> </w:t>
      </w:r>
      <w:r>
        <w:rPr>
          <w:w w:val="125"/>
          <w:sz w:val="24"/>
        </w:rPr>
        <w:t>és</w:t>
      </w:r>
      <w:r>
        <w:rPr>
          <w:spacing w:val="45"/>
          <w:w w:val="125"/>
          <w:sz w:val="24"/>
        </w:rPr>
        <w:t> </w:t>
      </w:r>
      <w:r>
        <w:rPr>
          <w:w w:val="125"/>
          <w:sz w:val="24"/>
        </w:rPr>
        <w:t>egyes</w:t>
      </w:r>
      <w:r>
        <w:rPr>
          <w:spacing w:val="45"/>
          <w:w w:val="125"/>
          <w:sz w:val="24"/>
        </w:rPr>
        <w:t> </w:t>
      </w:r>
      <w:r>
        <w:rPr>
          <w:w w:val="125"/>
          <w:sz w:val="24"/>
        </w:rPr>
        <w:t>gazdasági</w:t>
      </w:r>
      <w:r>
        <w:rPr>
          <w:spacing w:val="46"/>
          <w:w w:val="125"/>
          <w:sz w:val="24"/>
        </w:rPr>
        <w:t> </w:t>
      </w:r>
      <w:r>
        <w:rPr>
          <w:w w:val="125"/>
          <w:sz w:val="24"/>
        </w:rPr>
        <w:t>tárgyú</w:t>
      </w:r>
    </w:p>
    <w:p>
      <w:pPr>
        <w:pStyle w:val="BodyText"/>
        <w:spacing w:line="225" w:lineRule="auto" w:before="12"/>
        <w:ind w:right="126" w:firstLine="0"/>
        <w:jc w:val="both"/>
      </w:pPr>
      <w:r>
        <w:rPr>
          <w:w w:val="125"/>
        </w:rPr>
        <w:t>jogszabályok módosításáról szóló 2013. évi CXXXV. törvényben (a továbbiakban: Szhitv.) meghatározott Integrációs Szervezethez csatlakozott hitelintézetekre vonatkozó további, e törvénytől eltérő, illetve az e törvényt kiegészítő szabályokat a Szhitv. állapítja meg.</w:t>
      </w:r>
    </w:p>
    <w:p>
      <w:pPr>
        <w:pStyle w:val="ListParagraph"/>
        <w:numPr>
          <w:ilvl w:val="1"/>
          <w:numId w:val="60"/>
        </w:numPr>
        <w:tabs>
          <w:tab w:pos="753" w:val="left" w:leader="none"/>
        </w:tabs>
        <w:spacing w:line="225" w:lineRule="auto" w:before="2" w:after="0"/>
        <w:ind w:left="113" w:right="127" w:firstLine="204"/>
        <w:jc w:val="left"/>
        <w:rPr>
          <w:sz w:val="24"/>
        </w:rPr>
      </w:pPr>
      <w:r>
        <w:rPr>
          <w:w w:val="125"/>
          <w:sz w:val="24"/>
        </w:rPr>
        <w:t>A hitelszövetkezet a (6) bekezdésben meghatározott tevékenységeket - a pénzváltás kivételével - csak saját tagjai körében</w:t>
      </w:r>
      <w:r>
        <w:rPr>
          <w:spacing w:val="16"/>
          <w:w w:val="125"/>
          <w:sz w:val="24"/>
        </w:rPr>
        <w:t> </w:t>
      </w:r>
      <w:r>
        <w:rPr>
          <w:w w:val="125"/>
          <w:sz w:val="24"/>
        </w:rPr>
        <w:t>végezheti.</w:t>
      </w:r>
    </w:p>
    <w:p>
      <w:pPr>
        <w:pStyle w:val="ListParagraph"/>
        <w:numPr>
          <w:ilvl w:val="1"/>
          <w:numId w:val="60"/>
        </w:numPr>
        <w:tabs>
          <w:tab w:pos="659" w:val="left" w:leader="none"/>
          <w:tab w:pos="1046" w:val="left" w:leader="none"/>
          <w:tab w:pos="2534" w:val="left" w:leader="none"/>
          <w:tab w:pos="4064" w:val="left" w:leader="none"/>
          <w:tab w:pos="5719" w:val="left" w:leader="none"/>
          <w:tab w:pos="7202" w:val="left" w:leader="none"/>
          <w:tab w:pos="8099" w:val="left" w:leader="none"/>
          <w:tab w:pos="8517" w:val="left" w:leader="none"/>
          <w:tab w:pos="9021" w:val="left" w:leader="none"/>
          <w:tab w:pos="9415" w:val="left" w:leader="none"/>
        </w:tabs>
        <w:spacing w:line="249" w:lineRule="exact" w:before="0" w:after="0"/>
        <w:ind w:left="658" w:right="0" w:hanging="341"/>
        <w:jc w:val="left"/>
        <w:rPr>
          <w:sz w:val="24"/>
        </w:rPr>
      </w:pPr>
      <w:r>
        <w:rPr>
          <w:i/>
          <w:w w:val="125"/>
          <w:position w:val="3"/>
          <w:sz w:val="18"/>
        </w:rPr>
        <w:t>4</w:t>
        <w:tab/>
      </w:r>
      <w:r>
        <w:rPr>
          <w:w w:val="125"/>
          <w:sz w:val="24"/>
        </w:rPr>
        <w:t>Harmadik</w:t>
        <w:tab/>
        <w:t>országbeli</w:t>
        <w:tab/>
        <w:t>hitelintézet</w:t>
        <w:tab/>
        <w:t>fióktelepe</w:t>
        <w:tab/>
        <w:t>útján</w:t>
        <w:tab/>
        <w:t>a</w:t>
        <w:tab/>
        <w:t>3.</w:t>
        <w:tab/>
        <w:t>§</w:t>
        <w:tab/>
        <w:t>(1)</w:t>
      </w:r>
    </w:p>
    <w:p>
      <w:pPr>
        <w:pStyle w:val="BodyText"/>
        <w:spacing w:line="225" w:lineRule="auto" w:before="12"/>
        <w:ind w:right="126" w:firstLine="0"/>
        <w:jc w:val="both"/>
      </w:pPr>
      <w:r>
        <w:rPr>
          <w:w w:val="130"/>
        </w:rPr>
        <w:t>bekezdésében, illetve a 3. § (2) bekezdés </w:t>
      </w:r>
      <w:r>
        <w:rPr>
          <w:i/>
          <w:w w:val="130"/>
        </w:rPr>
        <w:t>a)-d) </w:t>
      </w:r>
      <w:r>
        <w:rPr>
          <w:w w:val="130"/>
        </w:rPr>
        <w:t>és </w:t>
      </w:r>
      <w:r>
        <w:rPr>
          <w:i/>
          <w:w w:val="130"/>
        </w:rPr>
        <w:t>f) </w:t>
      </w:r>
      <w:r>
        <w:rPr>
          <w:w w:val="130"/>
        </w:rPr>
        <w:t>pontjában meghatározott tevékenységet végezhet, ha ezek végzésére a székhelye szerinti illetékes felügyeleti hatóságtól engedéllyel rendelkezik.</w:t>
      </w:r>
    </w:p>
    <w:p>
      <w:pPr>
        <w:pStyle w:val="ListParagraph"/>
        <w:numPr>
          <w:ilvl w:val="1"/>
          <w:numId w:val="60"/>
        </w:numPr>
        <w:tabs>
          <w:tab w:pos="918" w:val="left" w:leader="none"/>
        </w:tabs>
        <w:spacing w:line="225" w:lineRule="auto" w:before="2" w:after="0"/>
        <w:ind w:left="113" w:right="127" w:firstLine="204"/>
        <w:jc w:val="left"/>
        <w:rPr>
          <w:sz w:val="24"/>
        </w:rPr>
      </w:pPr>
      <w:r>
        <w:rPr>
          <w:w w:val="125"/>
          <w:sz w:val="24"/>
        </w:rPr>
        <w:t>Hitelintézet nyilvános forrásgyűjtés céljából - betét elfogadásán kívül - kizárólag kötvényt és letéti jegyet bocsáthat</w:t>
      </w:r>
      <w:r>
        <w:rPr>
          <w:spacing w:val="9"/>
          <w:w w:val="125"/>
          <w:sz w:val="24"/>
        </w:rPr>
        <w:t> </w:t>
      </w:r>
      <w:r>
        <w:rPr>
          <w:w w:val="125"/>
          <w:sz w:val="24"/>
        </w:rPr>
        <w:t>ki.</w:t>
      </w:r>
    </w:p>
    <w:p>
      <w:pPr>
        <w:pStyle w:val="BodyText"/>
        <w:spacing w:before="227"/>
        <w:ind w:left="3402" w:firstLine="0"/>
      </w:pPr>
      <w:r>
        <w:rPr>
          <w:w w:val="120"/>
        </w:rPr>
        <w:t>6. A pénzügyi vállalkozás</w:t>
      </w:r>
    </w:p>
    <w:p>
      <w:pPr>
        <w:pStyle w:val="ListParagraph"/>
        <w:numPr>
          <w:ilvl w:val="0"/>
          <w:numId w:val="54"/>
        </w:numPr>
        <w:tabs>
          <w:tab w:pos="652" w:val="left" w:leader="none"/>
        </w:tabs>
        <w:spacing w:line="269" w:lineRule="exact" w:before="223" w:after="0"/>
        <w:ind w:left="651" w:right="0" w:hanging="334"/>
        <w:jc w:val="left"/>
        <w:rPr>
          <w:sz w:val="24"/>
        </w:rPr>
      </w:pPr>
      <w:r>
        <w:rPr>
          <w:rFonts w:ascii="Arial" w:hAnsi="Arial"/>
          <w:b/>
          <w:w w:val="115"/>
          <w:sz w:val="24"/>
        </w:rPr>
        <w:t>§ </w:t>
      </w:r>
      <w:r>
        <w:rPr>
          <w:w w:val="115"/>
          <w:sz w:val="24"/>
        </w:rPr>
        <w:t>(1) Pénzügyi</w:t>
      </w:r>
      <w:r>
        <w:rPr>
          <w:spacing w:val="24"/>
          <w:w w:val="115"/>
          <w:sz w:val="24"/>
        </w:rPr>
        <w:t> </w:t>
      </w:r>
      <w:r>
        <w:rPr>
          <w:w w:val="115"/>
          <w:sz w:val="24"/>
        </w:rPr>
        <w:t>vállalkozás</w:t>
      </w:r>
    </w:p>
    <w:p>
      <w:pPr>
        <w:pStyle w:val="ListParagraph"/>
        <w:numPr>
          <w:ilvl w:val="0"/>
          <w:numId w:val="61"/>
        </w:numPr>
        <w:tabs>
          <w:tab w:pos="659" w:val="left" w:leader="none"/>
        </w:tabs>
        <w:spacing w:line="225" w:lineRule="auto" w:before="6" w:after="0"/>
        <w:ind w:left="113" w:right="110" w:firstLine="204"/>
        <w:jc w:val="both"/>
        <w:rPr>
          <w:sz w:val="24"/>
        </w:rPr>
      </w:pPr>
      <w:r>
        <w:rPr>
          <w:w w:val="125"/>
          <w:sz w:val="24"/>
        </w:rPr>
        <w:t>az a pénzügyi intézmény, amely - a 3. § (1) bekezdés </w:t>
      </w:r>
      <w:r>
        <w:rPr>
          <w:i/>
          <w:w w:val="125"/>
          <w:sz w:val="24"/>
        </w:rPr>
        <w:t>d) </w:t>
      </w:r>
      <w:r>
        <w:rPr>
          <w:w w:val="125"/>
          <w:sz w:val="24"/>
        </w:rPr>
        <w:t>és </w:t>
      </w:r>
      <w:r>
        <w:rPr>
          <w:i/>
          <w:w w:val="125"/>
          <w:sz w:val="24"/>
        </w:rPr>
        <w:t>e) </w:t>
      </w:r>
      <w:r>
        <w:rPr>
          <w:w w:val="125"/>
          <w:sz w:val="24"/>
        </w:rPr>
        <w:t>pontjában, valamint a 8. § (2) bekezdésében meghatározott tevékenység kivételével -, egy vagy több  pénzügyi szolgáltatást, vagy fizetési rendszer működtetését  végzi,  és</w:t>
      </w:r>
    </w:p>
    <w:p>
      <w:pPr>
        <w:pStyle w:val="ListParagraph"/>
        <w:numPr>
          <w:ilvl w:val="0"/>
          <w:numId w:val="61"/>
        </w:numPr>
        <w:tabs>
          <w:tab w:pos="653" w:val="left" w:leader="none"/>
        </w:tabs>
        <w:spacing w:line="265" w:lineRule="exact" w:before="0" w:after="0"/>
        <w:ind w:left="652" w:right="0" w:hanging="335"/>
        <w:jc w:val="left"/>
        <w:rPr>
          <w:sz w:val="24"/>
        </w:rPr>
      </w:pPr>
      <w:r>
        <w:rPr>
          <w:w w:val="130"/>
          <w:sz w:val="24"/>
        </w:rPr>
        <w:t>a pénzügyi holding</w:t>
      </w:r>
      <w:r>
        <w:rPr>
          <w:spacing w:val="-21"/>
          <w:w w:val="130"/>
          <w:sz w:val="24"/>
        </w:rPr>
        <w:t> </w:t>
      </w:r>
      <w:r>
        <w:rPr>
          <w:w w:val="130"/>
          <w:sz w:val="24"/>
        </w:rPr>
        <w:t>társaság.</w:t>
      </w:r>
    </w:p>
    <w:p>
      <w:pPr>
        <w:pStyle w:val="BodyText"/>
        <w:ind w:left="0" w:firstLine="0"/>
        <w:rPr>
          <w:sz w:val="20"/>
        </w:rPr>
      </w:pPr>
    </w:p>
    <w:p>
      <w:pPr>
        <w:pStyle w:val="BodyText"/>
        <w:spacing w:before="6"/>
        <w:ind w:left="0" w:firstLine="0"/>
        <w:rPr>
          <w:sz w:val="26"/>
        </w:rPr>
      </w:pPr>
      <w:r>
        <w:rPr/>
        <w:pict>
          <v:line style="position:absolute;mso-position-horizontal-relative:page;mso-position-vertical-relative:paragraph;z-index:-568;mso-wrap-distance-left:0;mso-wrap-distance-right:0" from="56.693001pt,17.484539pt" to="538.583001pt,17.484539pt" stroked="true" strokeweight=".5pt" strokecolor="#000000">
            <v:stroke dashstyle="solid"/>
            <w10:wrap type="topAndBottom"/>
          </v:line>
        </w:pict>
      </w:r>
    </w:p>
    <w:p>
      <w:pPr>
        <w:pStyle w:val="ListParagraph"/>
        <w:numPr>
          <w:ilvl w:val="0"/>
          <w:numId w:val="62"/>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2014.</w:t>
      </w:r>
      <w:r>
        <w:rPr>
          <w:i/>
          <w:spacing w:val="-12"/>
          <w:w w:val="125"/>
          <w:sz w:val="18"/>
        </w:rPr>
        <w:t> </w:t>
      </w:r>
      <w:r>
        <w:rPr>
          <w:i/>
          <w:w w:val="125"/>
          <w:sz w:val="18"/>
        </w:rPr>
        <w:t>évi</w:t>
      </w:r>
      <w:r>
        <w:rPr>
          <w:i/>
          <w:spacing w:val="-12"/>
          <w:w w:val="125"/>
          <w:sz w:val="18"/>
        </w:rPr>
        <w:t> </w:t>
      </w:r>
      <w:r>
        <w:rPr>
          <w:i/>
          <w:w w:val="125"/>
          <w:sz w:val="18"/>
        </w:rPr>
        <w:t>XXXIX.</w:t>
      </w:r>
      <w:r>
        <w:rPr>
          <w:i/>
          <w:spacing w:val="-12"/>
          <w:w w:val="125"/>
          <w:sz w:val="18"/>
        </w:rPr>
        <w:t> </w:t>
      </w:r>
      <w:r>
        <w:rPr>
          <w:i/>
          <w:w w:val="125"/>
          <w:sz w:val="18"/>
        </w:rPr>
        <w:t>törvény</w:t>
      </w:r>
      <w:r>
        <w:rPr>
          <w:i/>
          <w:spacing w:val="-12"/>
          <w:w w:val="125"/>
          <w:sz w:val="18"/>
        </w:rPr>
        <w:t> </w:t>
      </w:r>
      <w:r>
        <w:rPr>
          <w:i/>
          <w:w w:val="125"/>
          <w:sz w:val="18"/>
        </w:rPr>
        <w:t>106.</w:t>
      </w:r>
      <w:r>
        <w:rPr>
          <w:i/>
          <w:spacing w:val="-13"/>
          <w:w w:val="125"/>
          <w:sz w:val="18"/>
        </w:rPr>
        <w:t> </w:t>
      </w:r>
      <w:r>
        <w:rPr>
          <w:i/>
          <w:w w:val="125"/>
          <w:sz w:val="18"/>
        </w:rPr>
        <w:t>§</w:t>
      </w:r>
      <w:r>
        <w:rPr>
          <w:i/>
          <w:spacing w:val="-11"/>
          <w:w w:val="125"/>
          <w:sz w:val="18"/>
        </w:rPr>
        <w:t> </w:t>
      </w:r>
      <w:r>
        <w:rPr>
          <w:i/>
          <w:w w:val="125"/>
          <w:sz w:val="18"/>
        </w:rPr>
        <w:t>(1).</w:t>
      </w:r>
      <w:r>
        <w:rPr>
          <w:i/>
          <w:spacing w:val="-11"/>
          <w:w w:val="125"/>
          <w:sz w:val="18"/>
        </w:rPr>
        <w:t> </w:t>
      </w:r>
      <w:r>
        <w:rPr>
          <w:i/>
          <w:w w:val="125"/>
          <w:sz w:val="18"/>
        </w:rPr>
        <w:t>Hatályos:</w:t>
      </w:r>
      <w:r>
        <w:rPr>
          <w:i/>
          <w:spacing w:val="-12"/>
          <w:w w:val="125"/>
          <w:sz w:val="18"/>
        </w:rPr>
        <w:t> </w:t>
      </w:r>
      <w:r>
        <w:rPr>
          <w:i/>
          <w:w w:val="125"/>
          <w:sz w:val="18"/>
        </w:rPr>
        <w:t>2014.</w:t>
      </w:r>
      <w:r>
        <w:rPr>
          <w:i/>
          <w:spacing w:val="-12"/>
          <w:w w:val="125"/>
          <w:sz w:val="18"/>
        </w:rPr>
        <w:t> </w:t>
      </w:r>
      <w:r>
        <w:rPr>
          <w:i/>
          <w:w w:val="125"/>
          <w:sz w:val="18"/>
        </w:rPr>
        <w:t>IX.</w:t>
      </w:r>
      <w:r>
        <w:rPr>
          <w:i/>
          <w:spacing w:val="-11"/>
          <w:w w:val="125"/>
          <w:sz w:val="18"/>
        </w:rPr>
        <w:t> </w:t>
      </w:r>
      <w:r>
        <w:rPr>
          <w:i/>
          <w:w w:val="125"/>
          <w:sz w:val="18"/>
        </w:rPr>
        <w:t>30-tól.</w:t>
      </w:r>
    </w:p>
    <w:p>
      <w:pPr>
        <w:pStyle w:val="ListParagraph"/>
        <w:numPr>
          <w:ilvl w:val="0"/>
          <w:numId w:val="6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2014.</w:t>
      </w:r>
      <w:r>
        <w:rPr>
          <w:i/>
          <w:spacing w:val="-12"/>
          <w:w w:val="125"/>
          <w:sz w:val="18"/>
        </w:rPr>
        <w:t> </w:t>
      </w:r>
      <w:r>
        <w:rPr>
          <w:i/>
          <w:w w:val="125"/>
          <w:sz w:val="18"/>
        </w:rPr>
        <w:t>évi</w:t>
      </w:r>
      <w:r>
        <w:rPr>
          <w:i/>
          <w:spacing w:val="-12"/>
          <w:w w:val="125"/>
          <w:sz w:val="18"/>
        </w:rPr>
        <w:t> </w:t>
      </w:r>
      <w:r>
        <w:rPr>
          <w:i/>
          <w:w w:val="125"/>
          <w:sz w:val="18"/>
        </w:rPr>
        <w:t>XXXIX.</w:t>
      </w:r>
      <w:r>
        <w:rPr>
          <w:i/>
          <w:spacing w:val="-12"/>
          <w:w w:val="125"/>
          <w:sz w:val="18"/>
        </w:rPr>
        <w:t> </w:t>
      </w:r>
      <w:r>
        <w:rPr>
          <w:i/>
          <w:w w:val="125"/>
          <w:sz w:val="18"/>
        </w:rPr>
        <w:t>törvény</w:t>
      </w:r>
      <w:r>
        <w:rPr>
          <w:i/>
          <w:spacing w:val="-12"/>
          <w:w w:val="125"/>
          <w:sz w:val="18"/>
        </w:rPr>
        <w:t> </w:t>
      </w:r>
      <w:r>
        <w:rPr>
          <w:i/>
          <w:w w:val="125"/>
          <w:sz w:val="18"/>
        </w:rPr>
        <w:t>106.</w:t>
      </w:r>
      <w:r>
        <w:rPr>
          <w:i/>
          <w:spacing w:val="-13"/>
          <w:w w:val="125"/>
          <w:sz w:val="18"/>
        </w:rPr>
        <w:t> </w:t>
      </w:r>
      <w:r>
        <w:rPr>
          <w:i/>
          <w:w w:val="125"/>
          <w:sz w:val="18"/>
        </w:rPr>
        <w:t>§</w:t>
      </w:r>
      <w:r>
        <w:rPr>
          <w:i/>
          <w:spacing w:val="-11"/>
          <w:w w:val="125"/>
          <w:sz w:val="18"/>
        </w:rPr>
        <w:t> </w:t>
      </w:r>
      <w:r>
        <w:rPr>
          <w:i/>
          <w:w w:val="125"/>
          <w:sz w:val="18"/>
        </w:rPr>
        <w:t>(2).</w:t>
      </w:r>
      <w:r>
        <w:rPr>
          <w:i/>
          <w:spacing w:val="-11"/>
          <w:w w:val="125"/>
          <w:sz w:val="18"/>
        </w:rPr>
        <w:t> </w:t>
      </w:r>
      <w:r>
        <w:rPr>
          <w:i/>
          <w:w w:val="125"/>
          <w:sz w:val="18"/>
        </w:rPr>
        <w:t>Hatályos:</w:t>
      </w:r>
      <w:r>
        <w:rPr>
          <w:i/>
          <w:spacing w:val="-12"/>
          <w:w w:val="125"/>
          <w:sz w:val="18"/>
        </w:rPr>
        <w:t> </w:t>
      </w:r>
      <w:r>
        <w:rPr>
          <w:i/>
          <w:w w:val="125"/>
          <w:sz w:val="18"/>
        </w:rPr>
        <w:t>2014.</w:t>
      </w:r>
      <w:r>
        <w:rPr>
          <w:i/>
          <w:spacing w:val="-12"/>
          <w:w w:val="125"/>
          <w:sz w:val="18"/>
        </w:rPr>
        <w:t> </w:t>
      </w:r>
      <w:r>
        <w:rPr>
          <w:i/>
          <w:w w:val="125"/>
          <w:sz w:val="18"/>
        </w:rPr>
        <w:t>IX.</w:t>
      </w:r>
      <w:r>
        <w:rPr>
          <w:i/>
          <w:spacing w:val="-11"/>
          <w:w w:val="125"/>
          <w:sz w:val="18"/>
        </w:rPr>
        <w:t> </w:t>
      </w:r>
      <w:r>
        <w:rPr>
          <w:i/>
          <w:w w:val="125"/>
          <w:sz w:val="18"/>
        </w:rPr>
        <w:t>30-tól.</w:t>
      </w:r>
    </w:p>
    <w:p>
      <w:pPr>
        <w:pStyle w:val="ListParagraph"/>
        <w:numPr>
          <w:ilvl w:val="0"/>
          <w:numId w:val="62"/>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59. §. Hatályos: 2015. I.</w:t>
      </w:r>
      <w:r>
        <w:rPr>
          <w:i/>
          <w:spacing w:val="-14"/>
          <w:w w:val="125"/>
          <w:sz w:val="18"/>
        </w:rPr>
        <w:t> </w:t>
      </w:r>
      <w:r>
        <w:rPr>
          <w:i/>
          <w:w w:val="125"/>
          <w:sz w:val="18"/>
        </w:rPr>
        <w:t>1-től.</w:t>
      </w:r>
    </w:p>
    <w:p>
      <w:pPr>
        <w:pStyle w:val="ListParagraph"/>
        <w:numPr>
          <w:ilvl w:val="0"/>
          <w:numId w:val="62"/>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115. §. Hatályos: 2016. III.</w:t>
      </w:r>
      <w:r>
        <w:rPr>
          <w:i/>
          <w:spacing w:val="-21"/>
          <w:w w:val="125"/>
          <w:sz w:val="18"/>
        </w:rPr>
        <w:t> </w:t>
      </w:r>
      <w:r>
        <w:rPr>
          <w:i/>
          <w:w w:val="125"/>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63"/>
        </w:numPr>
        <w:tabs>
          <w:tab w:pos="759" w:val="left" w:leader="none"/>
        </w:tabs>
        <w:spacing w:line="225" w:lineRule="auto" w:before="173" w:after="0"/>
        <w:ind w:left="113" w:right="131" w:firstLine="204"/>
        <w:jc w:val="both"/>
        <w:rPr>
          <w:sz w:val="24"/>
        </w:rPr>
      </w:pPr>
      <w:r>
        <w:rPr>
          <w:w w:val="125"/>
          <w:sz w:val="24"/>
        </w:rPr>
        <w:t>Pénzügyi ügynöki tevékenységet a bankközi piacon pénzügyi vállalkozás csak kizárólagos tevékenységként</w:t>
      </w:r>
      <w:r>
        <w:rPr>
          <w:spacing w:val="3"/>
          <w:w w:val="125"/>
          <w:sz w:val="24"/>
        </w:rPr>
        <w:t> </w:t>
      </w:r>
      <w:r>
        <w:rPr>
          <w:w w:val="125"/>
          <w:sz w:val="24"/>
        </w:rPr>
        <w:t>végezheti.</w:t>
      </w:r>
    </w:p>
    <w:p>
      <w:pPr>
        <w:pStyle w:val="ListParagraph"/>
        <w:numPr>
          <w:ilvl w:val="0"/>
          <w:numId w:val="63"/>
        </w:numPr>
        <w:tabs>
          <w:tab w:pos="659" w:val="left" w:leader="none"/>
        </w:tabs>
        <w:spacing w:line="225" w:lineRule="auto" w:before="1" w:after="0"/>
        <w:ind w:left="113" w:right="118" w:firstLine="204"/>
        <w:jc w:val="both"/>
        <w:rPr>
          <w:sz w:val="24"/>
        </w:rPr>
      </w:pPr>
      <w:r>
        <w:rPr>
          <w:i/>
          <w:w w:val="125"/>
          <w:position w:val="3"/>
          <w:sz w:val="18"/>
        </w:rPr>
        <w:t>1 </w:t>
      </w:r>
      <w:r>
        <w:rPr>
          <w:w w:val="125"/>
          <w:sz w:val="24"/>
        </w:rPr>
        <w:t>Külföldi pénzügyi vállalkozás fióktelepe útján a 3. § (1) bekezdés </w:t>
      </w:r>
      <w:r>
        <w:rPr>
          <w:i/>
          <w:w w:val="125"/>
          <w:sz w:val="24"/>
        </w:rPr>
        <w:t>b) </w:t>
      </w:r>
      <w:r>
        <w:rPr>
          <w:w w:val="125"/>
          <w:sz w:val="24"/>
        </w:rPr>
        <w:t>és </w:t>
      </w:r>
      <w:r>
        <w:rPr>
          <w:i/>
          <w:w w:val="125"/>
          <w:sz w:val="24"/>
        </w:rPr>
        <w:t>c), </w:t>
      </w:r>
      <w:r>
        <w:rPr>
          <w:w w:val="125"/>
          <w:sz w:val="24"/>
        </w:rPr>
        <w:t>valamint </w:t>
      </w:r>
      <w:r>
        <w:rPr>
          <w:i/>
          <w:w w:val="125"/>
          <w:sz w:val="24"/>
        </w:rPr>
        <w:t>g)-l) </w:t>
      </w:r>
      <w:r>
        <w:rPr>
          <w:w w:val="125"/>
          <w:sz w:val="24"/>
        </w:rPr>
        <w:t>pontjában, illetve a 3. § (2) bekezdés </w:t>
      </w:r>
      <w:r>
        <w:rPr>
          <w:i/>
          <w:w w:val="125"/>
          <w:sz w:val="24"/>
        </w:rPr>
        <w:t>a)-d) </w:t>
      </w:r>
      <w:r>
        <w:rPr>
          <w:w w:val="125"/>
          <w:sz w:val="24"/>
        </w:rPr>
        <w:t>és </w:t>
      </w:r>
      <w:r>
        <w:rPr>
          <w:i/>
          <w:w w:val="125"/>
          <w:sz w:val="24"/>
        </w:rPr>
        <w:t>f) </w:t>
      </w:r>
      <w:r>
        <w:rPr>
          <w:w w:val="125"/>
          <w:sz w:val="24"/>
        </w:rPr>
        <w:t>pontjában meghatározott tevékenységet végezhet, ha ezek végzésére a székhelye szerinti illetékes felügyeleti hatóságtól engedéllyel</w:t>
      </w:r>
      <w:r>
        <w:rPr>
          <w:spacing w:val="7"/>
          <w:w w:val="125"/>
          <w:sz w:val="24"/>
        </w:rPr>
        <w:t> </w:t>
      </w:r>
      <w:r>
        <w:rPr>
          <w:w w:val="125"/>
          <w:sz w:val="24"/>
        </w:rPr>
        <w:t>rendelkezik.</w:t>
      </w:r>
    </w:p>
    <w:p>
      <w:pPr>
        <w:pStyle w:val="ListParagraph"/>
        <w:numPr>
          <w:ilvl w:val="0"/>
          <w:numId w:val="63"/>
        </w:numPr>
        <w:tabs>
          <w:tab w:pos="898" w:val="left" w:leader="none"/>
        </w:tabs>
        <w:spacing w:line="225" w:lineRule="auto" w:before="2" w:after="0"/>
        <w:ind w:left="113" w:right="129" w:firstLine="204"/>
        <w:jc w:val="both"/>
        <w:rPr>
          <w:sz w:val="24"/>
        </w:rPr>
      </w:pPr>
      <w:r>
        <w:rPr>
          <w:w w:val="125"/>
          <w:sz w:val="24"/>
        </w:rPr>
        <w:t>Az alapítványi formában működő pénzügyi vállalkozás gazdasági tevékenysége keretében kizárólag a 3. § (1)</w:t>
      </w:r>
      <w:r>
        <w:rPr>
          <w:spacing w:val="13"/>
          <w:w w:val="125"/>
          <w:sz w:val="24"/>
        </w:rPr>
        <w:t> </w:t>
      </w:r>
      <w:r>
        <w:rPr>
          <w:w w:val="125"/>
          <w:sz w:val="24"/>
        </w:rPr>
        <w:t>bekezdés</w:t>
      </w:r>
    </w:p>
    <w:p>
      <w:pPr>
        <w:pStyle w:val="ListParagraph"/>
        <w:numPr>
          <w:ilvl w:val="0"/>
          <w:numId w:val="64"/>
        </w:numPr>
        <w:tabs>
          <w:tab w:pos="631" w:val="left" w:leader="none"/>
        </w:tabs>
        <w:spacing w:line="256" w:lineRule="exact" w:before="0" w:after="0"/>
        <w:ind w:left="630" w:right="0" w:hanging="313"/>
        <w:jc w:val="left"/>
        <w:rPr>
          <w:sz w:val="24"/>
        </w:rPr>
      </w:pPr>
      <w:r>
        <w:rPr>
          <w:i/>
          <w:w w:val="130"/>
          <w:sz w:val="24"/>
        </w:rPr>
        <w:t>g)</w:t>
      </w:r>
      <w:r>
        <w:rPr>
          <w:i/>
          <w:spacing w:val="-11"/>
          <w:w w:val="130"/>
          <w:sz w:val="24"/>
        </w:rPr>
        <w:t> </w:t>
      </w:r>
      <w:r>
        <w:rPr>
          <w:w w:val="130"/>
          <w:sz w:val="24"/>
        </w:rPr>
        <w:t>pontjában</w:t>
      </w:r>
      <w:r>
        <w:rPr>
          <w:spacing w:val="-11"/>
          <w:w w:val="130"/>
          <w:sz w:val="24"/>
        </w:rPr>
        <w:t> </w:t>
      </w:r>
      <w:r>
        <w:rPr>
          <w:w w:val="130"/>
          <w:sz w:val="24"/>
        </w:rPr>
        <w:t>meghatározott</w:t>
      </w:r>
      <w:r>
        <w:rPr>
          <w:spacing w:val="-12"/>
          <w:w w:val="130"/>
          <w:sz w:val="24"/>
        </w:rPr>
        <w:t> </w:t>
      </w:r>
      <w:r>
        <w:rPr>
          <w:w w:val="130"/>
          <w:sz w:val="24"/>
        </w:rPr>
        <w:t>pénzügyi</w:t>
      </w:r>
      <w:r>
        <w:rPr>
          <w:spacing w:val="-11"/>
          <w:w w:val="130"/>
          <w:sz w:val="24"/>
        </w:rPr>
        <w:t> </w:t>
      </w:r>
      <w:r>
        <w:rPr>
          <w:w w:val="130"/>
          <w:sz w:val="24"/>
        </w:rPr>
        <w:t>szolgáltatási</w:t>
      </w:r>
      <w:r>
        <w:rPr>
          <w:spacing w:val="-11"/>
          <w:w w:val="130"/>
          <w:sz w:val="24"/>
        </w:rPr>
        <w:t> </w:t>
      </w:r>
      <w:r>
        <w:rPr>
          <w:w w:val="130"/>
          <w:sz w:val="24"/>
        </w:rPr>
        <w:t>tevékenységet,</w:t>
      </w:r>
      <w:r>
        <w:rPr>
          <w:spacing w:val="-12"/>
          <w:w w:val="130"/>
          <w:sz w:val="24"/>
        </w:rPr>
        <w:t> </w:t>
      </w:r>
      <w:r>
        <w:rPr>
          <w:w w:val="130"/>
          <w:sz w:val="24"/>
        </w:rPr>
        <w:t>és</w:t>
      </w:r>
    </w:p>
    <w:p>
      <w:pPr>
        <w:pStyle w:val="ListParagraph"/>
        <w:numPr>
          <w:ilvl w:val="0"/>
          <w:numId w:val="64"/>
        </w:numPr>
        <w:tabs>
          <w:tab w:pos="864" w:val="left" w:leader="none"/>
        </w:tabs>
        <w:spacing w:line="225" w:lineRule="auto" w:before="6" w:after="0"/>
        <w:ind w:left="113" w:right="129" w:firstLine="204"/>
        <w:jc w:val="both"/>
        <w:rPr>
          <w:sz w:val="24"/>
        </w:rPr>
      </w:pPr>
      <w:r>
        <w:rPr>
          <w:i/>
          <w:w w:val="125"/>
          <w:sz w:val="24"/>
        </w:rPr>
        <w:t>i) </w:t>
      </w:r>
      <w:r>
        <w:rPr>
          <w:w w:val="125"/>
          <w:sz w:val="24"/>
        </w:rPr>
        <w:t>pontja szerinti pénzügyi szolgáltatás közvetítéséből ügynöki tevékenységet</w:t>
      </w:r>
    </w:p>
    <w:p>
      <w:pPr>
        <w:pStyle w:val="BodyText"/>
        <w:spacing w:line="264" w:lineRule="exact"/>
        <w:ind w:firstLine="0"/>
      </w:pPr>
      <w:r>
        <w:rPr>
          <w:w w:val="130"/>
        </w:rPr>
        <w:t>végezhet.</w:t>
      </w:r>
    </w:p>
    <w:p>
      <w:pPr>
        <w:pStyle w:val="BodyText"/>
        <w:spacing w:before="10"/>
        <w:ind w:left="0" w:firstLine="0"/>
        <w:rPr>
          <w:sz w:val="10"/>
        </w:rPr>
      </w:pPr>
    </w:p>
    <w:p>
      <w:pPr>
        <w:pStyle w:val="BodyText"/>
        <w:spacing w:before="99"/>
        <w:ind w:left="4210" w:firstLine="0"/>
      </w:pPr>
      <w:r>
        <w:rPr>
          <w:w w:val="125"/>
        </w:rPr>
        <w:t>7. Közvetítő</w:t>
      </w:r>
    </w:p>
    <w:p>
      <w:pPr>
        <w:pStyle w:val="ListParagraph"/>
        <w:numPr>
          <w:ilvl w:val="0"/>
          <w:numId w:val="54"/>
        </w:numPr>
        <w:tabs>
          <w:tab w:pos="818" w:val="left" w:leader="none"/>
        </w:tabs>
        <w:spacing w:line="269" w:lineRule="exact" w:before="223" w:after="0"/>
        <w:ind w:left="817" w:right="0" w:hanging="500"/>
        <w:jc w:val="left"/>
        <w:rPr>
          <w:sz w:val="24"/>
        </w:rPr>
      </w:pPr>
      <w:r>
        <w:rPr>
          <w:rFonts w:ascii="Arial" w:hAnsi="Arial"/>
          <w:b/>
          <w:w w:val="125"/>
          <w:sz w:val="24"/>
        </w:rPr>
        <w:t>§ </w:t>
      </w:r>
      <w:r>
        <w:rPr>
          <w:w w:val="125"/>
          <w:sz w:val="24"/>
        </w:rPr>
        <w:t>(1) Közvetítő az, aki az e törvényben foglaltaknak</w:t>
      </w:r>
      <w:r>
        <w:rPr>
          <w:spacing w:val="-19"/>
          <w:w w:val="125"/>
          <w:sz w:val="24"/>
        </w:rPr>
        <w:t> </w:t>
      </w:r>
      <w:r>
        <w:rPr>
          <w:w w:val="125"/>
          <w:sz w:val="24"/>
        </w:rPr>
        <w:t>megfelelően</w:t>
      </w:r>
    </w:p>
    <w:p>
      <w:pPr>
        <w:pStyle w:val="ListParagraph"/>
        <w:numPr>
          <w:ilvl w:val="0"/>
          <w:numId w:val="65"/>
        </w:numPr>
        <w:tabs>
          <w:tab w:pos="631" w:val="left" w:leader="none"/>
        </w:tabs>
        <w:spacing w:line="260" w:lineRule="exact" w:before="0" w:after="0"/>
        <w:ind w:left="630" w:right="0" w:hanging="313"/>
        <w:jc w:val="left"/>
        <w:rPr>
          <w:sz w:val="24"/>
        </w:rPr>
      </w:pPr>
      <w:r>
        <w:rPr>
          <w:w w:val="130"/>
          <w:sz w:val="24"/>
        </w:rPr>
        <w:t>a pénzügyi szolgáltatás</w:t>
      </w:r>
      <w:r>
        <w:rPr>
          <w:spacing w:val="-12"/>
          <w:w w:val="130"/>
          <w:sz w:val="24"/>
        </w:rPr>
        <w:t> </w:t>
      </w:r>
      <w:r>
        <w:rPr>
          <w:w w:val="130"/>
          <w:sz w:val="24"/>
        </w:rPr>
        <w:t>közvetítését</w:t>
      </w:r>
    </w:p>
    <w:p>
      <w:pPr>
        <w:pStyle w:val="BodyText"/>
        <w:spacing w:line="225" w:lineRule="auto" w:before="5"/>
        <w:ind w:right="134"/>
        <w:jc w:val="both"/>
      </w:pPr>
      <w:r>
        <w:rPr>
          <w:i/>
          <w:w w:val="130"/>
        </w:rPr>
        <w:t>aa)</w:t>
      </w:r>
      <w:r>
        <w:rPr>
          <w:i/>
          <w:spacing w:val="-14"/>
          <w:w w:val="130"/>
        </w:rPr>
        <w:t> </w:t>
      </w:r>
      <w:r>
        <w:rPr>
          <w:w w:val="130"/>
        </w:rPr>
        <w:t>kiemelt</w:t>
      </w:r>
      <w:r>
        <w:rPr>
          <w:spacing w:val="-13"/>
          <w:w w:val="130"/>
        </w:rPr>
        <w:t> </w:t>
      </w:r>
      <w:r>
        <w:rPr>
          <w:w w:val="130"/>
        </w:rPr>
        <w:t>közvetítői</w:t>
      </w:r>
      <w:r>
        <w:rPr>
          <w:spacing w:val="-14"/>
          <w:w w:val="130"/>
        </w:rPr>
        <w:t> </w:t>
      </w:r>
      <w:r>
        <w:rPr>
          <w:w w:val="130"/>
        </w:rPr>
        <w:t>tevékenységként</w:t>
      </w:r>
      <w:r>
        <w:rPr>
          <w:spacing w:val="-14"/>
          <w:w w:val="130"/>
        </w:rPr>
        <w:t> </w:t>
      </w:r>
      <w:r>
        <w:rPr>
          <w:w w:val="130"/>
        </w:rPr>
        <w:t>egy</w:t>
      </w:r>
      <w:r>
        <w:rPr>
          <w:spacing w:val="-14"/>
          <w:w w:val="130"/>
        </w:rPr>
        <w:t> </w:t>
      </w:r>
      <w:r>
        <w:rPr>
          <w:w w:val="130"/>
        </w:rPr>
        <w:t>pénzügyi</w:t>
      </w:r>
      <w:r>
        <w:rPr>
          <w:spacing w:val="-13"/>
          <w:w w:val="130"/>
        </w:rPr>
        <w:t> </w:t>
      </w:r>
      <w:r>
        <w:rPr>
          <w:w w:val="130"/>
        </w:rPr>
        <w:t>intézmény</w:t>
      </w:r>
      <w:r>
        <w:rPr>
          <w:spacing w:val="-14"/>
          <w:w w:val="130"/>
        </w:rPr>
        <w:t> </w:t>
      </w:r>
      <w:r>
        <w:rPr>
          <w:w w:val="130"/>
        </w:rPr>
        <w:t>-</w:t>
      </w:r>
      <w:r>
        <w:rPr>
          <w:spacing w:val="-14"/>
          <w:w w:val="130"/>
        </w:rPr>
        <w:t> </w:t>
      </w:r>
      <w:r>
        <w:rPr>
          <w:w w:val="130"/>
        </w:rPr>
        <w:t>ideértve</w:t>
      </w:r>
      <w:r>
        <w:rPr>
          <w:spacing w:val="-14"/>
          <w:w w:val="130"/>
        </w:rPr>
        <w:t> </w:t>
      </w:r>
      <w:r>
        <w:rPr>
          <w:w w:val="130"/>
        </w:rPr>
        <w:t>a pénzügyi intézmény csoportját is - vagy több pénzügyi intézmény egymással nem versengő pénzügyi szolgáltatása vonatkozásában (a továbbiakban: kiemelt közvetítő),</w:t>
      </w:r>
      <w:r>
        <w:rPr>
          <w:spacing w:val="-10"/>
          <w:w w:val="130"/>
        </w:rPr>
        <w:t> </w:t>
      </w:r>
      <w:r>
        <w:rPr>
          <w:w w:val="130"/>
        </w:rPr>
        <w:t>vagy</w:t>
      </w:r>
    </w:p>
    <w:p>
      <w:pPr>
        <w:pStyle w:val="BodyText"/>
        <w:spacing w:line="225" w:lineRule="auto" w:before="2"/>
        <w:ind w:right="133"/>
        <w:jc w:val="both"/>
      </w:pPr>
      <w:r>
        <w:rPr>
          <w:i/>
          <w:w w:val="130"/>
        </w:rPr>
        <w:t>ab)</w:t>
      </w:r>
      <w:r>
        <w:rPr>
          <w:i/>
          <w:spacing w:val="-12"/>
          <w:w w:val="130"/>
        </w:rPr>
        <w:t> </w:t>
      </w:r>
      <w:r>
        <w:rPr>
          <w:w w:val="130"/>
        </w:rPr>
        <w:t>ügynöki</w:t>
      </w:r>
      <w:r>
        <w:rPr>
          <w:spacing w:val="-12"/>
          <w:w w:val="130"/>
        </w:rPr>
        <w:t> </w:t>
      </w:r>
      <w:r>
        <w:rPr>
          <w:w w:val="130"/>
        </w:rPr>
        <w:t>tevékenységként</w:t>
      </w:r>
      <w:r>
        <w:rPr>
          <w:spacing w:val="-11"/>
          <w:w w:val="130"/>
        </w:rPr>
        <w:t> </w:t>
      </w:r>
      <w:r>
        <w:rPr>
          <w:w w:val="130"/>
        </w:rPr>
        <w:t>egy</w:t>
      </w:r>
      <w:r>
        <w:rPr>
          <w:spacing w:val="-12"/>
          <w:w w:val="130"/>
        </w:rPr>
        <w:t> </w:t>
      </w:r>
      <w:r>
        <w:rPr>
          <w:w w:val="130"/>
        </w:rPr>
        <w:t>pénzügyi</w:t>
      </w:r>
      <w:r>
        <w:rPr>
          <w:spacing w:val="-12"/>
          <w:w w:val="130"/>
        </w:rPr>
        <w:t> </w:t>
      </w:r>
      <w:r>
        <w:rPr>
          <w:w w:val="130"/>
        </w:rPr>
        <w:t>intézmény</w:t>
      </w:r>
      <w:r>
        <w:rPr>
          <w:spacing w:val="-8"/>
          <w:w w:val="130"/>
        </w:rPr>
        <w:t> </w:t>
      </w:r>
      <w:r>
        <w:rPr>
          <w:w w:val="130"/>
        </w:rPr>
        <w:t>-</w:t>
      </w:r>
      <w:r>
        <w:rPr>
          <w:spacing w:val="-16"/>
          <w:w w:val="130"/>
        </w:rPr>
        <w:t> </w:t>
      </w:r>
      <w:r>
        <w:rPr>
          <w:w w:val="130"/>
        </w:rPr>
        <w:t>ideértve</w:t>
      </w:r>
      <w:r>
        <w:rPr>
          <w:spacing w:val="-12"/>
          <w:w w:val="130"/>
        </w:rPr>
        <w:t> </w:t>
      </w:r>
      <w:r>
        <w:rPr>
          <w:w w:val="130"/>
        </w:rPr>
        <w:t>a</w:t>
      </w:r>
      <w:r>
        <w:rPr>
          <w:spacing w:val="-12"/>
          <w:w w:val="130"/>
        </w:rPr>
        <w:t> </w:t>
      </w:r>
      <w:r>
        <w:rPr>
          <w:w w:val="130"/>
        </w:rPr>
        <w:t>pénzügyi intézmény csoportját is - vagy több pénzügyi intézmény egymással nem versengő pénzügyi szolgáltatása vonatkozásában (a továbbiakban: függő ügynök),</w:t>
      </w:r>
      <w:r>
        <w:rPr>
          <w:spacing w:val="-4"/>
          <w:w w:val="130"/>
        </w:rPr>
        <w:t> </w:t>
      </w:r>
      <w:r>
        <w:rPr>
          <w:w w:val="130"/>
        </w:rPr>
        <w:t>vagy</w:t>
      </w:r>
    </w:p>
    <w:p>
      <w:pPr>
        <w:pStyle w:val="BodyText"/>
        <w:spacing w:line="225" w:lineRule="auto" w:before="3"/>
        <w:ind w:right="3343"/>
      </w:pPr>
      <w:r>
        <w:rPr>
          <w:i/>
          <w:w w:val="125"/>
        </w:rPr>
        <w:t>ac) </w:t>
      </w:r>
      <w:r>
        <w:rPr>
          <w:w w:val="125"/>
        </w:rPr>
        <w:t>pénzforgalmi közvetítői  tevékenységként végez (a továbbiakban együtt: függő közvetítő),</w:t>
      </w:r>
      <w:r>
        <w:rPr>
          <w:spacing w:val="-14"/>
          <w:w w:val="125"/>
        </w:rPr>
        <w:t> </w:t>
      </w:r>
      <w:r>
        <w:rPr>
          <w:w w:val="125"/>
        </w:rPr>
        <w:t>vagy</w:t>
      </w:r>
    </w:p>
    <w:p>
      <w:pPr>
        <w:pStyle w:val="ListParagraph"/>
        <w:numPr>
          <w:ilvl w:val="0"/>
          <w:numId w:val="65"/>
        </w:numPr>
        <w:tabs>
          <w:tab w:pos="653" w:val="left" w:leader="none"/>
        </w:tabs>
        <w:spacing w:line="256" w:lineRule="exact" w:before="0" w:after="0"/>
        <w:ind w:left="652" w:right="0" w:hanging="335"/>
        <w:jc w:val="left"/>
        <w:rPr>
          <w:sz w:val="24"/>
        </w:rPr>
      </w:pPr>
      <w:r>
        <w:rPr>
          <w:w w:val="130"/>
          <w:sz w:val="24"/>
        </w:rPr>
        <w:t>a pénzügyi szolgáltatás</w:t>
      </w:r>
      <w:r>
        <w:rPr>
          <w:spacing w:val="-23"/>
          <w:w w:val="130"/>
          <w:sz w:val="24"/>
        </w:rPr>
        <w:t> </w:t>
      </w:r>
      <w:r>
        <w:rPr>
          <w:w w:val="130"/>
          <w:sz w:val="24"/>
        </w:rPr>
        <w:t>közvetítését</w:t>
      </w:r>
    </w:p>
    <w:p>
      <w:pPr>
        <w:pStyle w:val="BodyText"/>
        <w:spacing w:line="225" w:lineRule="auto" w:before="5"/>
        <w:ind w:right="138"/>
        <w:jc w:val="both"/>
      </w:pPr>
      <w:r>
        <w:rPr>
          <w:i/>
          <w:w w:val="125"/>
        </w:rPr>
        <w:t>ba) </w:t>
      </w:r>
      <w:r>
        <w:rPr>
          <w:w w:val="125"/>
        </w:rPr>
        <w:t>kiemelt közvetítői tevékenységként több pénzügyi intézmény egymással versengő pénzügyi szolgáltatása vonatkozásában (a továbbiakban: többes kiemelt közvetítő), vagy</w:t>
      </w:r>
    </w:p>
    <w:p>
      <w:pPr>
        <w:pStyle w:val="BodyText"/>
        <w:spacing w:line="225" w:lineRule="auto" w:before="2"/>
        <w:ind w:right="136"/>
        <w:jc w:val="both"/>
      </w:pPr>
      <w:r>
        <w:rPr>
          <w:i/>
          <w:w w:val="125"/>
        </w:rPr>
        <w:t>bb) </w:t>
      </w:r>
      <w:r>
        <w:rPr>
          <w:w w:val="125"/>
        </w:rPr>
        <w:t>ügynöki tevékenységként több pénzügyi intézmény egymással versengő pénzügyi szolgáltatása vonatkozásában (a továbbiakban: többes ügynök), vagy</w:t>
      </w:r>
    </w:p>
    <w:p>
      <w:pPr>
        <w:pStyle w:val="BodyText"/>
        <w:spacing w:line="225" w:lineRule="auto" w:before="1"/>
        <w:ind w:right="136"/>
        <w:jc w:val="both"/>
      </w:pPr>
      <w:r>
        <w:rPr>
          <w:i/>
          <w:w w:val="125"/>
        </w:rPr>
        <w:t>bc) </w:t>
      </w:r>
      <w:r>
        <w:rPr>
          <w:w w:val="125"/>
        </w:rPr>
        <w:t>alkuszi tevékenységként (a továbbiakban: alkusz) végez (a továbbiakban együtt: független közvetítő).</w:t>
      </w:r>
    </w:p>
    <w:p>
      <w:pPr>
        <w:pStyle w:val="BodyText"/>
        <w:tabs>
          <w:tab w:pos="1151" w:val="left" w:leader="none"/>
          <w:tab w:pos="1687" w:val="left" w:leader="none"/>
          <w:tab w:pos="2263" w:val="left" w:leader="none"/>
          <w:tab w:pos="3945" w:val="left" w:leader="none"/>
          <w:tab w:pos="5191" w:val="left" w:leader="none"/>
          <w:tab w:pos="6123" w:val="left" w:leader="none"/>
          <w:tab w:pos="7904" w:val="left" w:leader="none"/>
          <w:tab w:pos="9097" w:val="left" w:leader="none"/>
          <w:tab w:pos="9603" w:val="left" w:leader="none"/>
        </w:tabs>
        <w:spacing w:line="249" w:lineRule="exact"/>
        <w:ind w:left="317" w:firstLine="0"/>
      </w:pPr>
      <w:r>
        <w:rPr>
          <w:w w:val="125"/>
        </w:rPr>
        <w:t>(1a)</w:t>
      </w:r>
      <w:r>
        <w:rPr>
          <w:i/>
          <w:w w:val="125"/>
          <w:position w:val="3"/>
          <w:sz w:val="18"/>
        </w:rPr>
        <w:t>2</w:t>
        <w:tab/>
      </w:r>
      <w:r>
        <w:rPr>
          <w:w w:val="125"/>
        </w:rPr>
        <w:t>Az</w:t>
        <w:tab/>
        <w:t>(1)</w:t>
        <w:tab/>
        <w:t>bekezdéstől</w:t>
        <w:tab/>
        <w:t>eltérően</w:t>
        <w:tab/>
        <w:t>függő</w:t>
        <w:tab/>
        <w:t>közvetítőnek</w:t>
        <w:tab/>
        <w:t>minősül</w:t>
        <w:tab/>
        <w:t>az</w:t>
        <w:tab/>
        <w:t>a</w:t>
      </w:r>
    </w:p>
    <w:p>
      <w:pPr>
        <w:pStyle w:val="BodyText"/>
        <w:spacing w:line="225" w:lineRule="auto" w:before="12"/>
        <w:ind w:right="129" w:firstLine="0"/>
        <w:jc w:val="both"/>
      </w:pPr>
      <w:r>
        <w:rPr>
          <w:w w:val="125"/>
        </w:rPr>
        <w:t>jelzáloghitel közvetítői tevékenységet végző közvetítő is, aki több pénzügyi intézmény - ideértve a pénzügyi intézmények csoportját is - megbízásából közvetít jelzáloghitelt vagy fogyasztónak nyújtott ingatlanra vonatkozó pénzügyi lízinget, ha a megbízó pénzügyi intézmények a jelzáloghitel vagy a fogyasztónak nyújtott ingatlanra vonatkozó pénzügyi lízing nyújtása tekintetében a rendelkezésre álló állományi adatok szerint együttesen nem teszik ki a magyarországi piac</w:t>
      </w:r>
      <w:r>
        <w:rPr>
          <w:spacing w:val="6"/>
          <w:w w:val="125"/>
        </w:rPr>
        <w:t> </w:t>
      </w:r>
      <w:r>
        <w:rPr>
          <w:w w:val="125"/>
        </w:rPr>
        <w:t>többségét.</w:t>
      </w:r>
    </w:p>
    <w:p>
      <w:pPr>
        <w:pStyle w:val="ListParagraph"/>
        <w:numPr>
          <w:ilvl w:val="0"/>
          <w:numId w:val="66"/>
        </w:numPr>
        <w:tabs>
          <w:tab w:pos="822" w:val="left" w:leader="none"/>
        </w:tabs>
        <w:spacing w:line="225" w:lineRule="auto" w:before="4" w:after="0"/>
        <w:ind w:left="113" w:right="135" w:firstLine="204"/>
        <w:jc w:val="left"/>
        <w:rPr>
          <w:sz w:val="24"/>
        </w:rPr>
      </w:pPr>
      <w:r>
        <w:rPr>
          <w:w w:val="125"/>
          <w:sz w:val="24"/>
        </w:rPr>
        <w:t>Pénzforgalmi közvetítői tevékenység az egyes fizetési szolgáltatókról szóló törvény alapján</w:t>
      </w:r>
      <w:r>
        <w:rPr>
          <w:spacing w:val="1"/>
          <w:w w:val="125"/>
          <w:sz w:val="24"/>
        </w:rPr>
        <w:t> </w:t>
      </w:r>
      <w:r>
        <w:rPr>
          <w:w w:val="125"/>
          <w:sz w:val="24"/>
        </w:rPr>
        <w:t>végezhető.</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0"/>
        <w:ind w:left="0" w:firstLine="0"/>
        <w:rPr>
          <w:sz w:val="26"/>
        </w:rPr>
      </w:pPr>
      <w:r>
        <w:rPr/>
        <w:pict>
          <v:line style="position:absolute;mso-position-horizontal-relative:page;mso-position-vertical-relative:paragraph;z-index:-544;mso-wrap-distance-left:0;mso-wrap-distance-right:0" from="56.693001pt,17.682468pt" to="538.583001pt,17.682468pt" stroked="true" strokeweight=".5pt" strokecolor="#000000">
            <v:stroke dashstyle="solid"/>
            <w10:wrap type="topAndBottom"/>
          </v:line>
        </w:pict>
      </w:r>
    </w:p>
    <w:p>
      <w:pPr>
        <w:tabs>
          <w:tab w:pos="686" w:val="left" w:leader="none"/>
        </w:tabs>
        <w:spacing w:line="232" w:lineRule="auto" w:before="49"/>
        <w:ind w:left="342" w:right="2380" w:firstLine="0"/>
        <w:jc w:val="left"/>
        <w:rPr>
          <w:i/>
          <w:sz w:val="18"/>
        </w:rPr>
      </w:pPr>
      <w:r>
        <w:rPr>
          <w:i/>
          <w:w w:val="125"/>
          <w:sz w:val="18"/>
        </w:rPr>
        <w:t>1</w:t>
        <w:tab/>
        <w:t>Megállapította:</w:t>
      </w:r>
      <w:r>
        <w:rPr>
          <w:i/>
          <w:spacing w:val="-12"/>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116.</w:t>
      </w:r>
      <w:r>
        <w:rPr>
          <w:i/>
          <w:spacing w:val="-11"/>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III.</w:t>
      </w:r>
      <w:r>
        <w:rPr>
          <w:i/>
          <w:spacing w:val="-10"/>
          <w:w w:val="125"/>
          <w:sz w:val="18"/>
        </w:rPr>
        <w:t> </w:t>
      </w:r>
      <w:r>
        <w:rPr>
          <w:i/>
          <w:w w:val="125"/>
          <w:sz w:val="18"/>
        </w:rPr>
        <w:t>21-től. 2</w:t>
        <w:tab/>
        <w:t>Beiktatta:</w:t>
      </w:r>
      <w:r>
        <w:rPr>
          <w:i/>
          <w:spacing w:val="-7"/>
          <w:w w:val="125"/>
          <w:sz w:val="18"/>
        </w:rPr>
        <w:t> </w:t>
      </w:r>
      <w:r>
        <w:rPr>
          <w:i/>
          <w:w w:val="125"/>
          <w:sz w:val="18"/>
        </w:rPr>
        <w:t>2015.</w:t>
      </w:r>
      <w:r>
        <w:rPr>
          <w:i/>
          <w:spacing w:val="-7"/>
          <w:w w:val="125"/>
          <w:sz w:val="18"/>
        </w:rPr>
        <w:t> </w:t>
      </w:r>
      <w:r>
        <w:rPr>
          <w:i/>
          <w:w w:val="125"/>
          <w:sz w:val="18"/>
        </w:rPr>
        <w:t>évi</w:t>
      </w:r>
      <w:r>
        <w:rPr>
          <w:i/>
          <w:spacing w:val="-7"/>
          <w:w w:val="125"/>
          <w:sz w:val="18"/>
        </w:rPr>
        <w:t> </w:t>
      </w:r>
      <w:r>
        <w:rPr>
          <w:i/>
          <w:w w:val="125"/>
          <w:sz w:val="18"/>
        </w:rPr>
        <w:t>CCXV.</w:t>
      </w:r>
      <w:r>
        <w:rPr>
          <w:i/>
          <w:spacing w:val="-7"/>
          <w:w w:val="125"/>
          <w:sz w:val="18"/>
        </w:rPr>
        <w:t> </w:t>
      </w:r>
      <w:r>
        <w:rPr>
          <w:i/>
          <w:w w:val="125"/>
          <w:sz w:val="18"/>
        </w:rPr>
        <w:t>törvény</w:t>
      </w:r>
      <w:r>
        <w:rPr>
          <w:i/>
          <w:spacing w:val="-7"/>
          <w:w w:val="125"/>
          <w:sz w:val="18"/>
        </w:rPr>
        <w:t> </w:t>
      </w:r>
      <w:r>
        <w:rPr>
          <w:i/>
          <w:w w:val="125"/>
          <w:sz w:val="18"/>
        </w:rPr>
        <w:t>117.</w:t>
      </w:r>
      <w:r>
        <w:rPr>
          <w:i/>
          <w:spacing w:val="-7"/>
          <w:w w:val="125"/>
          <w:sz w:val="18"/>
        </w:rPr>
        <w:t> </w:t>
      </w:r>
      <w:r>
        <w:rPr>
          <w:i/>
          <w:w w:val="125"/>
          <w:sz w:val="18"/>
        </w:rPr>
        <w:t>§</w:t>
      </w:r>
      <w:r>
        <w:rPr>
          <w:i/>
          <w:spacing w:val="-6"/>
          <w:w w:val="125"/>
          <w:sz w:val="18"/>
        </w:rPr>
        <w:t> </w:t>
      </w:r>
      <w:r>
        <w:rPr>
          <w:i/>
          <w:w w:val="125"/>
          <w:sz w:val="18"/>
        </w:rPr>
        <w:t>(1).</w:t>
      </w:r>
      <w:r>
        <w:rPr>
          <w:i/>
          <w:spacing w:val="-6"/>
          <w:w w:val="125"/>
          <w:sz w:val="18"/>
        </w:rPr>
        <w:t> </w:t>
      </w:r>
      <w:r>
        <w:rPr>
          <w:i/>
          <w:w w:val="125"/>
          <w:sz w:val="18"/>
        </w:rPr>
        <w:t>Hatályos:</w:t>
      </w:r>
      <w:r>
        <w:rPr>
          <w:i/>
          <w:spacing w:val="-6"/>
          <w:w w:val="125"/>
          <w:sz w:val="18"/>
        </w:rPr>
        <w:t> </w:t>
      </w:r>
      <w:r>
        <w:rPr>
          <w:i/>
          <w:w w:val="125"/>
          <w:sz w:val="18"/>
        </w:rPr>
        <w:t>2016.</w:t>
      </w:r>
      <w:r>
        <w:rPr>
          <w:i/>
          <w:spacing w:val="-7"/>
          <w:w w:val="125"/>
          <w:sz w:val="18"/>
        </w:rPr>
        <w:t> </w:t>
      </w:r>
      <w:r>
        <w:rPr>
          <w:i/>
          <w:w w:val="125"/>
          <w:sz w:val="18"/>
        </w:rPr>
        <w:t>III.</w:t>
      </w:r>
      <w:r>
        <w:rPr>
          <w:i/>
          <w:spacing w:val="-6"/>
          <w:w w:val="125"/>
          <w:sz w:val="18"/>
        </w:rPr>
        <w:t> </w:t>
      </w:r>
      <w:r>
        <w:rPr>
          <w:i/>
          <w:w w:val="125"/>
          <w:sz w:val="18"/>
        </w:rPr>
        <w:t>21-től.</w:t>
      </w:r>
    </w:p>
    <w:p>
      <w:pPr>
        <w:spacing w:after="0" w:line="232" w:lineRule="auto"/>
        <w:jc w:val="left"/>
        <w:rPr>
          <w:sz w:val="18"/>
        </w:rPr>
        <w:sectPr>
          <w:pgSz w:w="11900" w:h="16820"/>
          <w:pgMar w:header="1104" w:footer="0" w:top="1840" w:bottom="280" w:left="1020" w:right="1000"/>
        </w:sectPr>
      </w:pPr>
    </w:p>
    <w:p>
      <w:pPr>
        <w:pStyle w:val="ListParagraph"/>
        <w:numPr>
          <w:ilvl w:val="0"/>
          <w:numId w:val="66"/>
        </w:numPr>
        <w:tabs>
          <w:tab w:pos="659" w:val="left" w:leader="none"/>
        </w:tabs>
        <w:spacing w:line="261" w:lineRule="exact" w:before="159" w:after="0"/>
        <w:ind w:left="658" w:right="0" w:hanging="341"/>
        <w:jc w:val="left"/>
        <w:rPr>
          <w:sz w:val="24"/>
        </w:rPr>
      </w:pPr>
      <w:r>
        <w:rPr>
          <w:i/>
          <w:w w:val="125"/>
          <w:position w:val="3"/>
          <w:sz w:val="18"/>
        </w:rPr>
        <w:t>1</w:t>
      </w:r>
      <w:r>
        <w:rPr>
          <w:i/>
          <w:spacing w:val="7"/>
          <w:w w:val="125"/>
          <w:position w:val="3"/>
          <w:sz w:val="18"/>
        </w:rPr>
        <w:t> </w:t>
      </w:r>
      <w:r>
        <w:rPr>
          <w:w w:val="125"/>
          <w:sz w:val="24"/>
        </w:rPr>
        <w:t>A</w:t>
      </w:r>
      <w:r>
        <w:rPr>
          <w:spacing w:val="27"/>
          <w:w w:val="125"/>
          <w:sz w:val="24"/>
        </w:rPr>
        <w:t> </w:t>
      </w:r>
      <w:r>
        <w:rPr>
          <w:w w:val="125"/>
          <w:sz w:val="24"/>
        </w:rPr>
        <w:t>közvetítő</w:t>
      </w:r>
      <w:r>
        <w:rPr>
          <w:spacing w:val="29"/>
          <w:w w:val="125"/>
          <w:sz w:val="24"/>
        </w:rPr>
        <w:t> </w:t>
      </w:r>
      <w:r>
        <w:rPr>
          <w:w w:val="125"/>
          <w:sz w:val="24"/>
        </w:rPr>
        <w:t>-</w:t>
      </w:r>
      <w:r>
        <w:rPr>
          <w:spacing w:val="25"/>
          <w:w w:val="125"/>
          <w:sz w:val="24"/>
        </w:rPr>
        <w:t> </w:t>
      </w:r>
      <w:r>
        <w:rPr>
          <w:w w:val="125"/>
          <w:sz w:val="24"/>
        </w:rPr>
        <w:t>ide</w:t>
      </w:r>
      <w:r>
        <w:rPr>
          <w:spacing w:val="26"/>
          <w:w w:val="125"/>
          <w:sz w:val="24"/>
        </w:rPr>
        <w:t> </w:t>
      </w:r>
      <w:r>
        <w:rPr>
          <w:w w:val="125"/>
          <w:sz w:val="24"/>
        </w:rPr>
        <w:t>nem</w:t>
      </w:r>
      <w:r>
        <w:rPr>
          <w:spacing w:val="28"/>
          <w:w w:val="125"/>
          <w:sz w:val="24"/>
        </w:rPr>
        <w:t> </w:t>
      </w:r>
      <w:r>
        <w:rPr>
          <w:w w:val="125"/>
          <w:sz w:val="24"/>
        </w:rPr>
        <w:t>értve</w:t>
      </w:r>
      <w:r>
        <w:rPr>
          <w:spacing w:val="27"/>
          <w:w w:val="125"/>
          <w:sz w:val="24"/>
        </w:rPr>
        <w:t> </w:t>
      </w:r>
      <w:r>
        <w:rPr>
          <w:w w:val="125"/>
          <w:sz w:val="24"/>
        </w:rPr>
        <w:t>a</w:t>
      </w:r>
      <w:r>
        <w:rPr>
          <w:spacing w:val="26"/>
          <w:w w:val="125"/>
          <w:sz w:val="24"/>
        </w:rPr>
        <w:t> </w:t>
      </w:r>
      <w:r>
        <w:rPr>
          <w:w w:val="125"/>
          <w:sz w:val="24"/>
        </w:rPr>
        <w:t>pénzügyi</w:t>
      </w:r>
      <w:r>
        <w:rPr>
          <w:spacing w:val="27"/>
          <w:w w:val="125"/>
          <w:sz w:val="24"/>
        </w:rPr>
        <w:t> </w:t>
      </w:r>
      <w:r>
        <w:rPr>
          <w:w w:val="125"/>
          <w:sz w:val="24"/>
        </w:rPr>
        <w:t>intézményt,</w:t>
      </w:r>
      <w:r>
        <w:rPr>
          <w:spacing w:val="27"/>
          <w:w w:val="125"/>
          <w:sz w:val="24"/>
        </w:rPr>
        <w:t> </w:t>
      </w:r>
      <w:r>
        <w:rPr>
          <w:w w:val="125"/>
          <w:sz w:val="24"/>
        </w:rPr>
        <w:t>a</w:t>
      </w:r>
      <w:r>
        <w:rPr>
          <w:spacing w:val="26"/>
          <w:w w:val="125"/>
          <w:sz w:val="24"/>
        </w:rPr>
        <w:t> </w:t>
      </w:r>
      <w:r>
        <w:rPr>
          <w:w w:val="125"/>
          <w:sz w:val="24"/>
        </w:rPr>
        <w:t>befektetési</w:t>
      </w:r>
    </w:p>
    <w:p>
      <w:pPr>
        <w:pStyle w:val="BodyText"/>
        <w:spacing w:line="225" w:lineRule="auto" w:before="12"/>
        <w:ind w:right="125" w:firstLine="0"/>
        <w:jc w:val="both"/>
      </w:pPr>
      <w:r>
        <w:rPr>
          <w:w w:val="125"/>
        </w:rPr>
        <w:t>vállalkozást és a biztosítót - közvetítői alvállalkozója a pénzügyi szolgáltatás közvetítése teljesítéséhez további megbízási szerződést nem köthet. Közvetítővel jogviszonyban álló közvetítői alvállalkozó pénzügyi szolgáltatási tevékenység végzésére irányuló további jogviszonyt pénzügyi intézménnyel vagy más közvetítővel nem létesíthet.</w:t>
      </w:r>
    </w:p>
    <w:p>
      <w:pPr>
        <w:pStyle w:val="ListParagraph"/>
        <w:numPr>
          <w:ilvl w:val="0"/>
          <w:numId w:val="66"/>
        </w:numPr>
        <w:tabs>
          <w:tab w:pos="659" w:val="left" w:leader="none"/>
        </w:tabs>
        <w:spacing w:line="251" w:lineRule="exact" w:before="0" w:after="0"/>
        <w:ind w:left="658" w:right="0" w:hanging="341"/>
        <w:jc w:val="left"/>
        <w:rPr>
          <w:sz w:val="24"/>
        </w:rPr>
      </w:pPr>
      <w:r>
        <w:rPr>
          <w:i/>
          <w:w w:val="125"/>
          <w:position w:val="3"/>
          <w:sz w:val="18"/>
        </w:rPr>
        <w:t>2 </w:t>
      </w:r>
      <w:r>
        <w:rPr>
          <w:w w:val="125"/>
          <w:sz w:val="24"/>
        </w:rPr>
        <w:t>A független közvetítő, valamint a jelzáloghitel</w:t>
      </w:r>
      <w:r>
        <w:rPr>
          <w:spacing w:val="-38"/>
          <w:w w:val="125"/>
          <w:sz w:val="24"/>
        </w:rPr>
        <w:t> </w:t>
      </w:r>
      <w:r>
        <w:rPr>
          <w:w w:val="125"/>
          <w:sz w:val="24"/>
        </w:rPr>
        <w:t>közvetítői tevékenységet</w:t>
      </w:r>
    </w:p>
    <w:p>
      <w:pPr>
        <w:pStyle w:val="BodyText"/>
        <w:tabs>
          <w:tab w:pos="1028" w:val="left" w:leader="none"/>
          <w:tab w:pos="1940" w:val="left" w:leader="none"/>
          <w:tab w:pos="3269" w:val="left" w:leader="none"/>
          <w:tab w:pos="3614" w:val="left" w:leader="none"/>
          <w:tab w:pos="4926" w:val="left" w:leader="none"/>
          <w:tab w:pos="6586" w:val="left" w:leader="none"/>
          <w:tab w:pos="8263" w:val="left" w:leader="none"/>
          <w:tab w:pos="9598" w:val="left" w:leader="none"/>
        </w:tabs>
        <w:spacing w:line="225" w:lineRule="auto" w:before="12"/>
        <w:ind w:right="136" w:firstLine="0"/>
      </w:pPr>
      <w:r>
        <w:rPr>
          <w:w w:val="130"/>
        </w:rPr>
        <w:t>végző</w:t>
        <w:tab/>
        <w:t>függő</w:t>
        <w:tab/>
        <w:t>közvetítő</w:t>
        <w:tab/>
        <w:t>a</w:t>
        <w:tab/>
        <w:t>pénzügyi</w:t>
        <w:tab/>
        <w:t>szolgáltatás</w:t>
        <w:tab/>
        <w:t>közvetítését</w:t>
        <w:tab/>
        <w:t>kizárólag</w:t>
        <w:tab/>
      </w:r>
      <w:r>
        <w:rPr>
          <w:spacing w:val="-18"/>
          <w:w w:val="130"/>
        </w:rPr>
        <w:t>a </w:t>
      </w:r>
      <w:r>
        <w:rPr>
          <w:w w:val="130"/>
        </w:rPr>
        <w:t>Felügyelet e törvényben meghatározott engedélyével</w:t>
      </w:r>
      <w:r>
        <w:rPr>
          <w:spacing w:val="-46"/>
          <w:w w:val="130"/>
        </w:rPr>
        <w:t> </w:t>
      </w:r>
      <w:r>
        <w:rPr>
          <w:w w:val="130"/>
        </w:rPr>
        <w:t>végezheti.</w:t>
      </w:r>
    </w:p>
    <w:p>
      <w:pPr>
        <w:pStyle w:val="Heading2"/>
        <w:numPr>
          <w:ilvl w:val="0"/>
          <w:numId w:val="1"/>
        </w:numPr>
        <w:tabs>
          <w:tab w:pos="4647" w:val="left" w:leader="none"/>
        </w:tabs>
        <w:spacing w:line="650" w:lineRule="auto" w:before="232" w:after="0"/>
        <w:ind w:left="2728" w:right="2735" w:firstLine="1528"/>
        <w:jc w:val="left"/>
      </w:pPr>
      <w:r>
        <w:rPr>
          <w:w w:val="105"/>
        </w:rPr>
        <w:t>Fejezet Engedélyezés általános</w:t>
      </w:r>
      <w:r>
        <w:rPr>
          <w:spacing w:val="-16"/>
          <w:w w:val="105"/>
        </w:rPr>
        <w:t> </w:t>
      </w:r>
      <w:r>
        <w:rPr>
          <w:w w:val="105"/>
        </w:rPr>
        <w:t>szabályai</w:t>
      </w:r>
    </w:p>
    <w:p>
      <w:pPr>
        <w:spacing w:after="0" w:line="650" w:lineRule="auto"/>
        <w:jc w:val="left"/>
        <w:sectPr>
          <w:pgSz w:w="11900" w:h="16820"/>
          <w:pgMar w:header="1104" w:footer="0" w:top="1840" w:bottom="280" w:left="1020" w:right="1000"/>
        </w:sectPr>
      </w:pPr>
    </w:p>
    <w:p>
      <w:pPr>
        <w:pStyle w:val="BodyText"/>
        <w:ind w:left="0" w:firstLine="0"/>
        <w:rPr>
          <w:rFonts w:ascii="Georgia-BoldItalic"/>
          <w:b/>
          <w:i/>
          <w:sz w:val="28"/>
        </w:rPr>
      </w:pPr>
    </w:p>
    <w:p>
      <w:pPr>
        <w:tabs>
          <w:tab w:pos="944" w:val="left" w:leader="none"/>
          <w:tab w:pos="1296" w:val="left" w:leader="none"/>
        </w:tabs>
        <w:spacing w:line="262" w:lineRule="exact" w:before="178"/>
        <w:ind w:left="317" w:right="0" w:firstLine="0"/>
        <w:jc w:val="left"/>
        <w:rPr>
          <w:i/>
          <w:sz w:val="18"/>
        </w:rPr>
      </w:pPr>
      <w:r>
        <w:rPr>
          <w:rFonts w:ascii="Arial" w:hAnsi="Arial"/>
          <w:b/>
          <w:w w:val="115"/>
          <w:sz w:val="24"/>
        </w:rPr>
        <w:t>11.</w:t>
        <w:tab/>
        <w:t>§</w:t>
        <w:tab/>
      </w:r>
      <w:r>
        <w:rPr>
          <w:spacing w:val="-7"/>
          <w:w w:val="115"/>
          <w:sz w:val="24"/>
        </w:rPr>
        <w:t>(1)</w:t>
      </w:r>
      <w:r>
        <w:rPr>
          <w:i/>
          <w:spacing w:val="-7"/>
          <w:w w:val="115"/>
          <w:position w:val="3"/>
          <w:sz w:val="18"/>
        </w:rPr>
        <w:t>3</w:t>
      </w:r>
    </w:p>
    <w:p>
      <w:pPr>
        <w:pStyle w:val="ListParagraph"/>
        <w:numPr>
          <w:ilvl w:val="1"/>
          <w:numId w:val="54"/>
        </w:numPr>
        <w:tabs>
          <w:tab w:pos="2030" w:val="left" w:leader="none"/>
        </w:tabs>
        <w:spacing w:line="274" w:lineRule="exact" w:before="0" w:after="0"/>
        <w:ind w:left="2029" w:right="0" w:hanging="305"/>
        <w:jc w:val="left"/>
        <w:rPr>
          <w:sz w:val="24"/>
        </w:rPr>
      </w:pPr>
      <w:r>
        <w:rPr>
          <w:spacing w:val="-1"/>
          <w:w w:val="126"/>
          <w:sz w:val="24"/>
        </w:rPr>
        <w:br w:type="column"/>
      </w:r>
      <w:r>
        <w:rPr>
          <w:w w:val="125"/>
          <w:sz w:val="24"/>
        </w:rPr>
        <w:t>Szervezeti</w:t>
      </w:r>
      <w:r>
        <w:rPr>
          <w:spacing w:val="4"/>
          <w:w w:val="125"/>
          <w:sz w:val="24"/>
        </w:rPr>
        <w:t> </w:t>
      </w:r>
      <w:r>
        <w:rPr>
          <w:w w:val="125"/>
          <w:sz w:val="24"/>
        </w:rPr>
        <w:t>szabályok</w:t>
      </w:r>
    </w:p>
    <w:p>
      <w:pPr>
        <w:pStyle w:val="BodyText"/>
        <w:tabs>
          <w:tab w:pos="983" w:val="left" w:leader="none"/>
          <w:tab w:pos="2956" w:val="left" w:leader="none"/>
          <w:tab w:pos="4540" w:val="left" w:leader="none"/>
          <w:tab w:pos="7396" w:val="left" w:leader="none"/>
        </w:tabs>
        <w:spacing w:line="261" w:lineRule="exact" w:before="224"/>
        <w:ind w:left="149" w:firstLine="0"/>
      </w:pPr>
      <w:r>
        <w:rPr>
          <w:w w:val="130"/>
        </w:rPr>
        <w:t>Bank</w:t>
        <w:tab/>
        <w:t>és </w:t>
      </w:r>
      <w:r>
        <w:rPr>
          <w:spacing w:val="20"/>
          <w:w w:val="130"/>
        </w:rPr>
        <w:t> </w:t>
      </w:r>
      <w:r>
        <w:rPr>
          <w:w w:val="130"/>
        </w:rPr>
        <w:t>szakosított</w:t>
        <w:tab/>
        <w:t>hitelintézet</w:t>
        <w:tab/>
        <w:t>részvénytársaságként</w:t>
        <w:tab/>
        <w:t>vagy</w:t>
      </w:r>
    </w:p>
    <w:p>
      <w:pPr>
        <w:spacing w:after="0" w:line="261" w:lineRule="exact"/>
        <w:sectPr>
          <w:type w:val="continuous"/>
          <w:pgSz w:w="11900" w:h="16820"/>
          <w:pgMar w:top="1840" w:bottom="280" w:left="1020" w:right="1000"/>
          <w:cols w:num="2" w:equalWidth="0">
            <w:col w:w="1750" w:space="40"/>
            <w:col w:w="8090"/>
          </w:cols>
        </w:sectPr>
      </w:pPr>
    </w:p>
    <w:p>
      <w:pPr>
        <w:pStyle w:val="BodyText"/>
        <w:spacing w:line="225" w:lineRule="auto" w:before="12"/>
        <w:ind w:right="122" w:firstLine="0"/>
        <w:jc w:val="both"/>
      </w:pPr>
      <w:r>
        <w:rPr>
          <w:w w:val="125"/>
        </w:rPr>
        <w:t>fióktelepként, szövetkezeti hitelintézet szövetkezetként, illetőleg - banknak vagy szakosított hitelintézetnek minősülő - részvénytársaságként, pénzügyi vállalkozás részvénytársaságként, szövetkezetként, alapítványként vagy fióktelepként</w:t>
      </w:r>
      <w:r>
        <w:rPr>
          <w:spacing w:val="1"/>
          <w:w w:val="125"/>
        </w:rPr>
        <w:t> </w:t>
      </w:r>
      <w:r>
        <w:rPr>
          <w:w w:val="125"/>
        </w:rPr>
        <w:t>működhet.</w:t>
      </w:r>
    </w:p>
    <w:p>
      <w:pPr>
        <w:pStyle w:val="ListParagraph"/>
        <w:numPr>
          <w:ilvl w:val="0"/>
          <w:numId w:val="67"/>
        </w:numPr>
        <w:tabs>
          <w:tab w:pos="659" w:val="left" w:leader="none"/>
          <w:tab w:pos="1069" w:val="left" w:leader="none"/>
          <w:tab w:pos="1539" w:val="left" w:leader="none"/>
          <w:tab w:pos="2933" w:val="left" w:leader="none"/>
          <w:tab w:pos="4756" w:val="left" w:leader="none"/>
          <w:tab w:pos="5179" w:val="left" w:leader="none"/>
          <w:tab w:pos="5955" w:val="left" w:leader="none"/>
          <w:tab w:pos="6701" w:val="left" w:leader="none"/>
          <w:tab w:pos="8515" w:val="left" w:leader="none"/>
        </w:tabs>
        <w:spacing w:line="250" w:lineRule="exact" w:before="0" w:after="0"/>
        <w:ind w:left="658" w:right="0" w:hanging="341"/>
        <w:jc w:val="left"/>
        <w:rPr>
          <w:sz w:val="24"/>
        </w:rPr>
      </w:pPr>
      <w:r>
        <w:rPr>
          <w:i/>
          <w:w w:val="125"/>
          <w:position w:val="3"/>
          <w:sz w:val="18"/>
        </w:rPr>
        <w:t>4</w:t>
        <w:tab/>
      </w:r>
      <w:r>
        <w:rPr>
          <w:w w:val="125"/>
          <w:sz w:val="24"/>
        </w:rPr>
        <w:t>A</w:t>
        <w:tab/>
        <w:t>pénzügyi</w:t>
        <w:tab/>
        <w:t>intézményre</w:t>
        <w:tab/>
        <w:t>a</w:t>
        <w:tab/>
        <w:t>Ptk.</w:t>
        <w:tab/>
        <w:t>jogi</w:t>
        <w:tab/>
        <w:t>személyekre</w:t>
        <w:tab/>
        <w:t>vonatkozó</w:t>
      </w:r>
    </w:p>
    <w:p>
      <w:pPr>
        <w:pStyle w:val="BodyText"/>
        <w:spacing w:line="225" w:lineRule="auto" w:before="12"/>
        <w:ind w:right="113" w:firstLine="0"/>
      </w:pPr>
      <w:r>
        <w:rPr>
          <w:w w:val="130"/>
        </w:rPr>
        <w:t>rendelkezéseit, a fióktelep formájában működő pénzügyi intézményre az Fkt. rendelkezéseit az e törvényben foglalt eltérésekkel szükséges alkalmazni.</w:t>
      </w:r>
    </w:p>
    <w:p>
      <w:pPr>
        <w:pStyle w:val="ListParagraph"/>
        <w:numPr>
          <w:ilvl w:val="0"/>
          <w:numId w:val="67"/>
        </w:numPr>
        <w:tabs>
          <w:tab w:pos="659" w:val="left" w:leader="none"/>
        </w:tabs>
        <w:spacing w:line="249" w:lineRule="exact" w:before="0" w:after="0"/>
        <w:ind w:left="658" w:right="0" w:hanging="341"/>
        <w:jc w:val="left"/>
        <w:rPr>
          <w:sz w:val="24"/>
        </w:rPr>
      </w:pPr>
      <w:r>
        <w:rPr>
          <w:i/>
          <w:w w:val="125"/>
          <w:position w:val="3"/>
          <w:sz w:val="18"/>
        </w:rPr>
        <w:t>5</w:t>
      </w:r>
      <w:r>
        <w:rPr>
          <w:i/>
          <w:spacing w:val="16"/>
          <w:w w:val="125"/>
          <w:position w:val="3"/>
          <w:sz w:val="18"/>
        </w:rPr>
        <w:t> </w:t>
      </w:r>
      <w:r>
        <w:rPr>
          <w:w w:val="125"/>
          <w:sz w:val="24"/>
        </w:rPr>
        <w:t>A</w:t>
      </w:r>
      <w:r>
        <w:rPr>
          <w:spacing w:val="54"/>
          <w:w w:val="125"/>
          <w:sz w:val="24"/>
        </w:rPr>
        <w:t> </w:t>
      </w:r>
      <w:r>
        <w:rPr>
          <w:w w:val="125"/>
          <w:sz w:val="24"/>
        </w:rPr>
        <w:t>pénzügyi</w:t>
      </w:r>
      <w:r>
        <w:rPr>
          <w:spacing w:val="54"/>
          <w:w w:val="125"/>
          <w:sz w:val="24"/>
        </w:rPr>
        <w:t> </w:t>
      </w:r>
      <w:r>
        <w:rPr>
          <w:w w:val="125"/>
          <w:sz w:val="24"/>
        </w:rPr>
        <w:t>intézmény,</w:t>
      </w:r>
      <w:r>
        <w:rPr>
          <w:spacing w:val="54"/>
          <w:w w:val="125"/>
          <w:sz w:val="24"/>
        </w:rPr>
        <w:t> </w:t>
      </w:r>
      <w:r>
        <w:rPr>
          <w:w w:val="125"/>
          <w:sz w:val="24"/>
        </w:rPr>
        <w:t>illetve</w:t>
      </w:r>
      <w:r>
        <w:rPr>
          <w:spacing w:val="54"/>
          <w:w w:val="125"/>
          <w:sz w:val="24"/>
        </w:rPr>
        <w:t> </w:t>
      </w:r>
      <w:r>
        <w:rPr>
          <w:w w:val="125"/>
          <w:sz w:val="24"/>
        </w:rPr>
        <w:t>a</w:t>
      </w:r>
      <w:r>
        <w:rPr>
          <w:spacing w:val="54"/>
          <w:w w:val="125"/>
          <w:sz w:val="24"/>
        </w:rPr>
        <w:t> </w:t>
      </w:r>
      <w:r>
        <w:rPr>
          <w:w w:val="125"/>
          <w:sz w:val="24"/>
        </w:rPr>
        <w:t>jelzáloghitel</w:t>
      </w:r>
      <w:r>
        <w:rPr>
          <w:spacing w:val="54"/>
          <w:w w:val="125"/>
          <w:sz w:val="24"/>
        </w:rPr>
        <w:t> </w:t>
      </w:r>
      <w:r>
        <w:rPr>
          <w:w w:val="125"/>
          <w:sz w:val="24"/>
        </w:rPr>
        <w:t>közvetítői</w:t>
      </w:r>
      <w:r>
        <w:rPr>
          <w:spacing w:val="54"/>
          <w:w w:val="125"/>
          <w:sz w:val="24"/>
        </w:rPr>
        <w:t> </w:t>
      </w:r>
      <w:r>
        <w:rPr>
          <w:w w:val="125"/>
          <w:sz w:val="24"/>
        </w:rPr>
        <w:t>tevékenységet</w:t>
      </w:r>
    </w:p>
    <w:p>
      <w:pPr>
        <w:pStyle w:val="BodyText"/>
        <w:spacing w:line="225" w:lineRule="auto" w:before="12"/>
        <w:ind w:firstLine="0"/>
      </w:pPr>
      <w:r>
        <w:rPr>
          <w:w w:val="125"/>
        </w:rPr>
        <w:t>végző közvetítő, amelynek székhelye Magyarország területén található, a főirodáját is Magyarország területén létesíti.</w:t>
      </w:r>
    </w:p>
    <w:p>
      <w:pPr>
        <w:pStyle w:val="ListParagraph"/>
        <w:numPr>
          <w:ilvl w:val="0"/>
          <w:numId w:val="67"/>
        </w:numPr>
        <w:tabs>
          <w:tab w:pos="659" w:val="left" w:leader="none"/>
        </w:tabs>
        <w:spacing w:line="225" w:lineRule="auto" w:before="1" w:after="0"/>
        <w:ind w:left="113" w:right="128" w:firstLine="204"/>
        <w:jc w:val="left"/>
        <w:rPr>
          <w:sz w:val="24"/>
        </w:rPr>
      </w:pPr>
      <w:r>
        <w:rPr>
          <w:i/>
          <w:w w:val="125"/>
          <w:position w:val="3"/>
          <w:sz w:val="18"/>
        </w:rPr>
        <w:t>6 </w:t>
      </w:r>
      <w:r>
        <w:rPr>
          <w:w w:val="125"/>
          <w:sz w:val="24"/>
        </w:rPr>
        <w:t>A pénzügyi szolgáltatás közvetítését - az (5) bekezdésben meghatározott kivétellel - bármely jogi személy és egyéni vállalkozó is</w:t>
      </w:r>
      <w:r>
        <w:rPr>
          <w:spacing w:val="-22"/>
          <w:w w:val="125"/>
          <w:sz w:val="24"/>
        </w:rPr>
        <w:t> </w:t>
      </w:r>
      <w:r>
        <w:rPr>
          <w:w w:val="125"/>
          <w:sz w:val="24"/>
        </w:rPr>
        <w:t>végezheti.</w:t>
      </w:r>
    </w:p>
    <w:p>
      <w:pPr>
        <w:pStyle w:val="ListParagraph"/>
        <w:numPr>
          <w:ilvl w:val="0"/>
          <w:numId w:val="67"/>
        </w:numPr>
        <w:tabs>
          <w:tab w:pos="796" w:val="left" w:leader="none"/>
        </w:tabs>
        <w:spacing w:line="225" w:lineRule="auto" w:before="1" w:after="0"/>
        <w:ind w:left="113" w:right="133" w:firstLine="204"/>
        <w:jc w:val="left"/>
        <w:rPr>
          <w:sz w:val="24"/>
        </w:rPr>
      </w:pPr>
      <w:r>
        <w:rPr>
          <w:w w:val="125"/>
          <w:sz w:val="24"/>
        </w:rPr>
        <w:t>A többes kiemelt közvetítő részvénytársaságként, korlátolt felelősségű társaságként vagy szövetkezetként</w:t>
      </w:r>
      <w:r>
        <w:rPr>
          <w:spacing w:val="6"/>
          <w:w w:val="125"/>
          <w:sz w:val="24"/>
        </w:rPr>
        <w:t> </w:t>
      </w:r>
      <w:r>
        <w:rPr>
          <w:w w:val="125"/>
          <w:sz w:val="24"/>
        </w:rPr>
        <w:t>működhet.</w:t>
      </w:r>
    </w:p>
    <w:p>
      <w:pPr>
        <w:pStyle w:val="ListParagraph"/>
        <w:numPr>
          <w:ilvl w:val="0"/>
          <w:numId w:val="67"/>
        </w:numPr>
        <w:tabs>
          <w:tab w:pos="659" w:val="left" w:leader="none"/>
        </w:tabs>
        <w:spacing w:line="249" w:lineRule="exact" w:before="0" w:after="0"/>
        <w:ind w:left="658" w:right="0" w:hanging="341"/>
        <w:jc w:val="left"/>
        <w:rPr>
          <w:sz w:val="24"/>
        </w:rPr>
      </w:pPr>
      <w:r>
        <w:rPr>
          <w:i/>
          <w:w w:val="125"/>
          <w:position w:val="3"/>
          <w:sz w:val="18"/>
        </w:rPr>
        <w:t>7</w:t>
      </w:r>
      <w:r>
        <w:rPr>
          <w:i/>
          <w:spacing w:val="3"/>
          <w:w w:val="125"/>
          <w:position w:val="3"/>
          <w:sz w:val="18"/>
        </w:rPr>
        <w:t> </w:t>
      </w:r>
      <w:r>
        <w:rPr>
          <w:w w:val="125"/>
          <w:sz w:val="24"/>
        </w:rPr>
        <w:t>Pénzfeldolgozási</w:t>
      </w:r>
      <w:r>
        <w:rPr>
          <w:spacing w:val="40"/>
          <w:w w:val="125"/>
          <w:sz w:val="24"/>
        </w:rPr>
        <w:t> </w:t>
      </w:r>
      <w:r>
        <w:rPr>
          <w:w w:val="125"/>
          <w:sz w:val="24"/>
        </w:rPr>
        <w:t>tevékenységet</w:t>
      </w:r>
      <w:r>
        <w:rPr>
          <w:spacing w:val="39"/>
          <w:w w:val="125"/>
          <w:sz w:val="24"/>
        </w:rPr>
        <w:t> </w:t>
      </w:r>
      <w:r>
        <w:rPr>
          <w:w w:val="125"/>
          <w:sz w:val="24"/>
        </w:rPr>
        <w:t>pénzügyi</w:t>
      </w:r>
      <w:r>
        <w:rPr>
          <w:spacing w:val="41"/>
          <w:w w:val="125"/>
          <w:sz w:val="24"/>
        </w:rPr>
        <w:t> </w:t>
      </w:r>
      <w:r>
        <w:rPr>
          <w:w w:val="125"/>
          <w:sz w:val="24"/>
        </w:rPr>
        <w:t>intézménynek</w:t>
      </w:r>
      <w:r>
        <w:rPr>
          <w:spacing w:val="40"/>
          <w:w w:val="125"/>
          <w:sz w:val="24"/>
        </w:rPr>
        <w:t> </w:t>
      </w:r>
      <w:r>
        <w:rPr>
          <w:w w:val="125"/>
          <w:sz w:val="24"/>
        </w:rPr>
        <w:t>nem</w:t>
      </w:r>
      <w:r>
        <w:rPr>
          <w:spacing w:val="41"/>
          <w:w w:val="125"/>
          <w:sz w:val="24"/>
        </w:rPr>
        <w:t> </w:t>
      </w:r>
      <w:r>
        <w:rPr>
          <w:w w:val="125"/>
          <w:sz w:val="24"/>
        </w:rPr>
        <w:t>minősülő,</w:t>
      </w:r>
    </w:p>
    <w:p>
      <w:pPr>
        <w:pStyle w:val="BodyText"/>
        <w:spacing w:line="225" w:lineRule="auto" w:before="12"/>
        <w:ind w:firstLine="0"/>
      </w:pPr>
      <w:r>
        <w:rPr>
          <w:w w:val="130"/>
        </w:rPr>
        <w:t>részvénytársaság, korlátolt felelősségű társaság, szövetkezet vagy fióktelep is végezhet.</w:t>
      </w:r>
    </w:p>
    <w:p>
      <w:pPr>
        <w:pStyle w:val="BodyText"/>
        <w:spacing w:before="2"/>
        <w:ind w:left="0" w:firstLine="0"/>
        <w:rPr>
          <w:sz w:val="11"/>
        </w:rPr>
      </w:pPr>
    </w:p>
    <w:p>
      <w:pPr>
        <w:pStyle w:val="ListParagraph"/>
        <w:numPr>
          <w:ilvl w:val="1"/>
          <w:numId w:val="54"/>
        </w:numPr>
        <w:tabs>
          <w:tab w:pos="3080" w:val="left" w:leader="none"/>
        </w:tabs>
        <w:spacing w:line="240" w:lineRule="auto" w:before="99" w:after="0"/>
        <w:ind w:left="3079" w:right="0" w:hanging="305"/>
        <w:jc w:val="left"/>
        <w:rPr>
          <w:sz w:val="24"/>
        </w:rPr>
      </w:pPr>
      <w:r>
        <w:rPr>
          <w:w w:val="125"/>
          <w:sz w:val="24"/>
        </w:rPr>
        <w:t>Az induló tőke legkisebb</w:t>
      </w:r>
      <w:r>
        <w:rPr>
          <w:spacing w:val="-2"/>
          <w:w w:val="125"/>
          <w:sz w:val="24"/>
        </w:rPr>
        <w:t> </w:t>
      </w:r>
      <w:r>
        <w:rPr>
          <w:w w:val="125"/>
          <w:sz w:val="24"/>
        </w:rPr>
        <w:t>összege</w:t>
      </w:r>
    </w:p>
    <w:p>
      <w:pPr>
        <w:pStyle w:val="ListParagraph"/>
        <w:numPr>
          <w:ilvl w:val="0"/>
          <w:numId w:val="68"/>
        </w:numPr>
        <w:tabs>
          <w:tab w:pos="818" w:val="left" w:leader="none"/>
        </w:tabs>
        <w:spacing w:line="269" w:lineRule="exact" w:before="223" w:after="0"/>
        <w:ind w:left="817" w:right="0" w:hanging="500"/>
        <w:jc w:val="left"/>
        <w:rPr>
          <w:sz w:val="24"/>
        </w:rPr>
      </w:pPr>
      <w:r>
        <w:rPr>
          <w:rFonts w:ascii="Arial" w:hAnsi="Arial"/>
          <w:b/>
          <w:w w:val="120"/>
          <w:sz w:val="24"/>
        </w:rPr>
        <w:t>§ </w:t>
      </w:r>
      <w:r>
        <w:rPr>
          <w:w w:val="120"/>
          <w:sz w:val="24"/>
        </w:rPr>
        <w:t>(1) A (2) bekezdésben meghatározott</w:t>
      </w:r>
      <w:r>
        <w:rPr>
          <w:spacing w:val="-25"/>
          <w:w w:val="120"/>
          <w:sz w:val="24"/>
        </w:rPr>
        <w:t> </w:t>
      </w:r>
      <w:r>
        <w:rPr>
          <w:w w:val="120"/>
          <w:sz w:val="24"/>
        </w:rPr>
        <w:t>kivétellel</w:t>
      </w:r>
    </w:p>
    <w:p>
      <w:pPr>
        <w:pStyle w:val="ListParagraph"/>
        <w:numPr>
          <w:ilvl w:val="0"/>
          <w:numId w:val="69"/>
        </w:numPr>
        <w:tabs>
          <w:tab w:pos="631" w:val="left" w:leader="none"/>
        </w:tabs>
        <w:spacing w:line="260" w:lineRule="exact" w:before="0" w:after="0"/>
        <w:ind w:left="630" w:right="0" w:hanging="313"/>
        <w:jc w:val="left"/>
        <w:rPr>
          <w:sz w:val="24"/>
        </w:rPr>
      </w:pPr>
      <w:r>
        <w:rPr>
          <w:w w:val="125"/>
          <w:sz w:val="24"/>
        </w:rPr>
        <w:t>bank legalább kettőmilliárd</w:t>
      </w:r>
      <w:r>
        <w:rPr>
          <w:spacing w:val="3"/>
          <w:w w:val="125"/>
          <w:sz w:val="24"/>
        </w:rPr>
        <w:t> </w:t>
      </w:r>
      <w:r>
        <w:rPr>
          <w:w w:val="125"/>
          <w:sz w:val="24"/>
        </w:rPr>
        <w:t>forint,</w:t>
      </w:r>
    </w:p>
    <w:p>
      <w:pPr>
        <w:pStyle w:val="ListParagraph"/>
        <w:numPr>
          <w:ilvl w:val="0"/>
          <w:numId w:val="69"/>
        </w:numPr>
        <w:tabs>
          <w:tab w:pos="731" w:val="left" w:leader="none"/>
        </w:tabs>
        <w:spacing w:line="225" w:lineRule="auto" w:before="6" w:after="0"/>
        <w:ind w:left="113" w:right="127" w:firstLine="204"/>
        <w:jc w:val="left"/>
        <w:rPr>
          <w:sz w:val="24"/>
        </w:rPr>
      </w:pPr>
      <w:r>
        <w:rPr>
          <w:w w:val="125"/>
          <w:sz w:val="24"/>
        </w:rPr>
        <w:t>szövetkezeti hitelintézet - kizárólag szövetkezeti formában - legalább háromszázmillió forint induló tőkével</w:t>
      </w:r>
      <w:r>
        <w:rPr>
          <w:spacing w:val="1"/>
          <w:w w:val="125"/>
          <w:sz w:val="24"/>
        </w:rPr>
        <w:t> </w:t>
      </w:r>
      <w:r>
        <w:rPr>
          <w:w w:val="125"/>
          <w:sz w:val="24"/>
        </w:rPr>
        <w:t>alapítható.</w:t>
      </w:r>
    </w:p>
    <w:p>
      <w:pPr>
        <w:pStyle w:val="ListParagraph"/>
        <w:numPr>
          <w:ilvl w:val="0"/>
          <w:numId w:val="70"/>
        </w:numPr>
        <w:tabs>
          <w:tab w:pos="960" w:val="left" w:leader="none"/>
        </w:tabs>
        <w:spacing w:line="225" w:lineRule="auto" w:before="1" w:after="0"/>
        <w:ind w:left="113" w:right="136" w:firstLine="204"/>
        <w:jc w:val="both"/>
        <w:rPr>
          <w:sz w:val="24"/>
        </w:rPr>
      </w:pPr>
      <w:r>
        <w:rPr>
          <w:w w:val="125"/>
          <w:sz w:val="24"/>
        </w:rPr>
        <w:t>Az induló tőkére vonatkozó - e törvényben meghatározott - követelmények nem alkalmazandóak a központi szervhez tartósan kapcsolt hitelintézetre.</w:t>
      </w:r>
    </w:p>
    <w:p>
      <w:pPr>
        <w:pStyle w:val="BodyText"/>
        <w:spacing w:before="9"/>
        <w:ind w:left="0" w:firstLine="0"/>
        <w:rPr>
          <w:sz w:val="27"/>
        </w:rPr>
      </w:pPr>
      <w:r>
        <w:rPr/>
        <w:pict>
          <v:line style="position:absolute;mso-position-horizontal-relative:page;mso-position-vertical-relative:paragraph;z-index:-520;mso-wrap-distance-left:0;mso-wrap-distance-right:0" from="56.693001pt,18.193943pt" to="538.583001pt,18.193943pt" stroked="true" strokeweight=".5pt" strokecolor="#000000">
            <v:stroke dashstyle="solid"/>
            <w10:wrap type="topAndBottom"/>
          </v:line>
        </w:pict>
      </w:r>
    </w:p>
    <w:p>
      <w:pPr>
        <w:pStyle w:val="ListParagraph"/>
        <w:numPr>
          <w:ilvl w:val="0"/>
          <w:numId w:val="71"/>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LXIX. törvény 162. §. Hatályos: 2017. VII.</w:t>
      </w:r>
      <w:r>
        <w:rPr>
          <w:i/>
          <w:spacing w:val="-19"/>
          <w:w w:val="125"/>
          <w:sz w:val="18"/>
        </w:rPr>
        <w:t> </w:t>
      </w:r>
      <w:r>
        <w:rPr>
          <w:i/>
          <w:w w:val="125"/>
          <w:sz w:val="18"/>
        </w:rPr>
        <w:t>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117. § (2). Hatályos: 2016. III.</w:t>
      </w:r>
      <w:r>
        <w:rPr>
          <w:i/>
          <w:spacing w:val="-28"/>
          <w:w w:val="125"/>
          <w:sz w:val="18"/>
        </w:rPr>
        <w:t> </w:t>
      </w:r>
      <w:r>
        <w:rPr>
          <w:i/>
          <w:w w:val="125"/>
          <w:sz w:val="18"/>
        </w:rPr>
        <w:t>21-től.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60. §. Hatályos: 2015. I.</w:t>
      </w:r>
      <w:r>
        <w:rPr>
          <w:i/>
          <w:spacing w:val="-14"/>
          <w:w w:val="125"/>
          <w:sz w:val="18"/>
        </w:rPr>
        <w:t> </w:t>
      </w:r>
      <w:r>
        <w:rPr>
          <w:i/>
          <w:w w:val="125"/>
          <w:sz w:val="18"/>
        </w:rPr>
        <w:t>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ugyane törvény 306. § (2). Hatályos: 2014. III.</w:t>
      </w:r>
      <w:r>
        <w:rPr>
          <w:i/>
          <w:spacing w:val="-10"/>
          <w:w w:val="125"/>
          <w:sz w:val="18"/>
        </w:rPr>
        <w:t> </w:t>
      </w:r>
      <w:r>
        <w:rPr>
          <w:i/>
          <w:w w:val="125"/>
          <w:sz w:val="18"/>
        </w:rPr>
        <w:t>15-től.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118. §. Hatályos: 2016. III.</w:t>
      </w:r>
      <w:r>
        <w:rPr>
          <w:i/>
          <w:spacing w:val="-21"/>
          <w:w w:val="125"/>
          <w:sz w:val="18"/>
        </w:rPr>
        <w:t> </w:t>
      </w:r>
      <w:r>
        <w:rPr>
          <w:i/>
          <w:w w:val="125"/>
          <w:sz w:val="18"/>
        </w:rPr>
        <w:t>21-től.</w:t>
      </w:r>
    </w:p>
    <w:p>
      <w:pPr>
        <w:pStyle w:val="ListParagraph"/>
        <w:numPr>
          <w:ilvl w:val="0"/>
          <w:numId w:val="71"/>
        </w:numPr>
        <w:tabs>
          <w:tab w:pos="686" w:val="left" w:leader="none"/>
          <w:tab w:pos="687" w:val="left" w:leader="none"/>
        </w:tabs>
        <w:spacing w:line="200" w:lineRule="exact" w:before="0" w:after="0"/>
        <w:ind w:left="686" w:right="0" w:hanging="344"/>
        <w:jc w:val="left"/>
        <w:rPr>
          <w:i/>
          <w:sz w:val="18"/>
        </w:rPr>
      </w:pPr>
      <w:r>
        <w:rPr>
          <w:i/>
          <w:w w:val="125"/>
          <w:sz w:val="18"/>
        </w:rPr>
        <w:t>Módosította: ugyane törvény 306. § (8)</w:t>
      </w:r>
      <w:r>
        <w:rPr>
          <w:i/>
          <w:spacing w:val="-27"/>
          <w:w w:val="125"/>
          <w:sz w:val="18"/>
        </w:rPr>
        <w:t> </w:t>
      </w:r>
      <w:r>
        <w:rPr>
          <w:i/>
          <w:w w:val="125"/>
          <w:sz w:val="18"/>
        </w:rPr>
        <w:t>c).</w:t>
      </w:r>
    </w:p>
    <w:p>
      <w:pPr>
        <w:pStyle w:val="ListParagraph"/>
        <w:numPr>
          <w:ilvl w:val="0"/>
          <w:numId w:val="71"/>
        </w:numPr>
        <w:tabs>
          <w:tab w:pos="686" w:val="left" w:leader="none"/>
          <w:tab w:pos="687" w:val="left" w:leader="none"/>
        </w:tabs>
        <w:spacing w:line="203" w:lineRule="exact" w:before="0" w:after="0"/>
        <w:ind w:left="686" w:right="0" w:hanging="344"/>
        <w:jc w:val="left"/>
        <w:rPr>
          <w:i/>
          <w:sz w:val="18"/>
        </w:rPr>
      </w:pPr>
      <w:r>
        <w:rPr>
          <w:i/>
          <w:w w:val="125"/>
          <w:sz w:val="18"/>
        </w:rPr>
        <w:t>Módosította: ugyane törvény 306. § (8)</w:t>
      </w:r>
      <w:r>
        <w:rPr>
          <w:i/>
          <w:spacing w:val="-25"/>
          <w:w w:val="125"/>
          <w:sz w:val="18"/>
        </w:rPr>
        <w:t> </w:t>
      </w:r>
      <w:r>
        <w:rPr>
          <w:i/>
          <w:w w:val="125"/>
          <w:sz w:val="18"/>
        </w:rPr>
        <w:t>d).</w:t>
      </w:r>
    </w:p>
    <w:p>
      <w:pPr>
        <w:spacing w:after="0" w:line="203" w:lineRule="exact"/>
        <w:jc w:val="left"/>
        <w:rPr>
          <w:sz w:val="18"/>
        </w:rPr>
        <w:sectPr>
          <w:type w:val="continuous"/>
          <w:pgSz w:w="11900" w:h="16820"/>
          <w:pgMar w:top="1840" w:bottom="280" w:left="1020" w:right="1000"/>
        </w:sectPr>
      </w:pPr>
    </w:p>
    <w:p>
      <w:pPr>
        <w:pStyle w:val="ListParagraph"/>
        <w:numPr>
          <w:ilvl w:val="0"/>
          <w:numId w:val="70"/>
        </w:numPr>
        <w:tabs>
          <w:tab w:pos="817" w:val="left" w:leader="none"/>
        </w:tabs>
        <w:spacing w:line="225" w:lineRule="auto" w:before="173" w:after="0"/>
        <w:ind w:left="113" w:right="129" w:firstLine="204"/>
        <w:jc w:val="both"/>
        <w:rPr>
          <w:sz w:val="24"/>
        </w:rPr>
      </w:pPr>
      <w:r>
        <w:rPr>
          <w:w w:val="125"/>
          <w:sz w:val="24"/>
        </w:rPr>
        <w:t>Szakosított hitelintézet a rá vonatkozó külön törvényi szabályozással meghatározott induló tőkével</w:t>
      </w:r>
      <w:r>
        <w:rPr>
          <w:spacing w:val="3"/>
          <w:w w:val="125"/>
          <w:sz w:val="24"/>
        </w:rPr>
        <w:t> </w:t>
      </w:r>
      <w:r>
        <w:rPr>
          <w:w w:val="125"/>
          <w:sz w:val="24"/>
        </w:rPr>
        <w:t>alapítható.</w:t>
      </w:r>
    </w:p>
    <w:p>
      <w:pPr>
        <w:pStyle w:val="ListParagraph"/>
        <w:numPr>
          <w:ilvl w:val="0"/>
          <w:numId w:val="70"/>
        </w:numPr>
        <w:tabs>
          <w:tab w:pos="757" w:val="left" w:leader="none"/>
        </w:tabs>
        <w:spacing w:line="225" w:lineRule="auto" w:before="1" w:after="0"/>
        <w:ind w:left="113" w:right="131" w:firstLine="204"/>
        <w:jc w:val="both"/>
        <w:rPr>
          <w:sz w:val="24"/>
        </w:rPr>
      </w:pPr>
      <w:r>
        <w:rPr>
          <w:w w:val="125"/>
          <w:sz w:val="24"/>
        </w:rPr>
        <w:t>Pénzügyi vállalkozás - kivéve a pénzügyi holding társaságot és a fizetési rendszert működtető pénzügyi vállalkozást - legalább ötvenmillió forint induló tőkével alapítható.</w:t>
      </w:r>
    </w:p>
    <w:p>
      <w:pPr>
        <w:pStyle w:val="ListParagraph"/>
        <w:numPr>
          <w:ilvl w:val="0"/>
          <w:numId w:val="70"/>
        </w:numPr>
        <w:tabs>
          <w:tab w:pos="790" w:val="left" w:leader="none"/>
        </w:tabs>
        <w:spacing w:line="225" w:lineRule="auto" w:before="2" w:after="0"/>
        <w:ind w:left="113" w:right="124" w:firstLine="204"/>
        <w:jc w:val="both"/>
        <w:rPr>
          <w:sz w:val="24"/>
        </w:rPr>
      </w:pPr>
      <w:r>
        <w:rPr>
          <w:w w:val="125"/>
          <w:sz w:val="24"/>
        </w:rPr>
        <w:t>Harmadik országbeli hitelintézet fióktelepe - ha törvény másként nem rendelkezik - legalább kétmilliárd forint dotációs tőkével</w:t>
      </w:r>
      <w:r>
        <w:rPr>
          <w:spacing w:val="18"/>
          <w:w w:val="125"/>
          <w:sz w:val="24"/>
        </w:rPr>
        <w:t> </w:t>
      </w:r>
      <w:r>
        <w:rPr>
          <w:w w:val="125"/>
          <w:sz w:val="24"/>
        </w:rPr>
        <w:t>alapítható.</w:t>
      </w:r>
    </w:p>
    <w:p>
      <w:pPr>
        <w:spacing w:line="256" w:lineRule="exact" w:before="0"/>
        <w:ind w:left="317" w:right="0" w:firstLine="0"/>
        <w:jc w:val="left"/>
        <w:rPr>
          <w:i/>
          <w:sz w:val="18"/>
        </w:rPr>
      </w:pPr>
      <w:r>
        <w:rPr>
          <w:w w:val="125"/>
          <w:sz w:val="24"/>
        </w:rPr>
        <w:t>(6)</w:t>
      </w:r>
      <w:r>
        <w:rPr>
          <w:i/>
          <w:w w:val="125"/>
          <w:position w:val="3"/>
          <w:sz w:val="18"/>
        </w:rPr>
        <w:t>1</w:t>
      </w:r>
    </w:p>
    <w:p>
      <w:pPr>
        <w:pStyle w:val="ListParagraph"/>
        <w:numPr>
          <w:ilvl w:val="0"/>
          <w:numId w:val="72"/>
        </w:numPr>
        <w:tabs>
          <w:tab w:pos="797" w:val="left" w:leader="none"/>
        </w:tabs>
        <w:spacing w:line="225" w:lineRule="auto" w:before="5" w:after="0"/>
        <w:ind w:left="113" w:right="139" w:firstLine="204"/>
        <w:jc w:val="both"/>
        <w:rPr>
          <w:sz w:val="24"/>
        </w:rPr>
      </w:pPr>
      <w:r>
        <w:rPr>
          <w:w w:val="125"/>
          <w:sz w:val="24"/>
        </w:rPr>
        <w:t>Pénzügyi holding társaság legalább kettőmilliárd forint induló tőkével alapítható.</w:t>
      </w:r>
    </w:p>
    <w:p>
      <w:pPr>
        <w:pStyle w:val="ListParagraph"/>
        <w:numPr>
          <w:ilvl w:val="0"/>
          <w:numId w:val="72"/>
        </w:numPr>
        <w:tabs>
          <w:tab w:pos="759" w:val="left" w:leader="none"/>
        </w:tabs>
        <w:spacing w:line="225" w:lineRule="auto" w:before="1" w:after="0"/>
        <w:ind w:left="113" w:right="127" w:firstLine="204"/>
        <w:jc w:val="both"/>
        <w:rPr>
          <w:sz w:val="24"/>
        </w:rPr>
      </w:pPr>
      <w:r>
        <w:rPr>
          <w:w w:val="125"/>
          <w:sz w:val="24"/>
        </w:rPr>
        <w:t>A fizetési rendszert működtető pénzügyi vállalkozás - a (9) bekezdésben meghatározott kivétellel - legalább ötszázmillió forint induló tőkével  alapítható.</w:t>
      </w:r>
    </w:p>
    <w:p>
      <w:pPr>
        <w:pStyle w:val="ListParagraph"/>
        <w:numPr>
          <w:ilvl w:val="0"/>
          <w:numId w:val="72"/>
        </w:numPr>
        <w:tabs>
          <w:tab w:pos="820" w:val="left" w:leader="none"/>
        </w:tabs>
        <w:spacing w:line="225" w:lineRule="auto" w:before="2" w:after="0"/>
        <w:ind w:left="113" w:right="128" w:firstLine="204"/>
        <w:jc w:val="both"/>
        <w:rPr>
          <w:sz w:val="24"/>
        </w:rPr>
      </w:pPr>
      <w:r>
        <w:rPr>
          <w:w w:val="125"/>
          <w:sz w:val="24"/>
        </w:rPr>
        <w:t>Ha a fizetési rendszert működtető pénzügyi vállalkozás a kiegészítő pénzügyi szolgáltatást kizárólag készpénz-helyettesítő fizetési eszközökkel végzett fizetési műveletek tekintetében végzi, akkor legalább százötven millió forint induló tőkével</w:t>
      </w:r>
      <w:r>
        <w:rPr>
          <w:spacing w:val="1"/>
          <w:w w:val="125"/>
          <w:sz w:val="24"/>
        </w:rPr>
        <w:t> </w:t>
      </w:r>
      <w:r>
        <w:rPr>
          <w:w w:val="125"/>
          <w:sz w:val="24"/>
        </w:rPr>
        <w:t>alapítható.</w:t>
      </w:r>
    </w:p>
    <w:p>
      <w:pPr>
        <w:pStyle w:val="ListParagraph"/>
        <w:numPr>
          <w:ilvl w:val="0"/>
          <w:numId w:val="72"/>
        </w:numPr>
        <w:tabs>
          <w:tab w:pos="948" w:val="left" w:leader="none"/>
        </w:tabs>
        <w:spacing w:line="225" w:lineRule="auto" w:before="2" w:after="0"/>
        <w:ind w:left="113" w:right="136" w:firstLine="204"/>
        <w:jc w:val="both"/>
        <w:rPr>
          <w:sz w:val="24"/>
        </w:rPr>
      </w:pPr>
      <w:r>
        <w:rPr>
          <w:w w:val="125"/>
          <w:sz w:val="24"/>
        </w:rPr>
        <w:t>A többes kiemelt közvetítő legalább ötvenmillió forint induló tőkével rendelkezik.</w:t>
      </w:r>
    </w:p>
    <w:p>
      <w:pPr>
        <w:pStyle w:val="ListParagraph"/>
        <w:numPr>
          <w:ilvl w:val="0"/>
          <w:numId w:val="68"/>
        </w:numPr>
        <w:tabs>
          <w:tab w:pos="820" w:val="left" w:leader="none"/>
        </w:tabs>
        <w:spacing w:line="225" w:lineRule="auto" w:before="0" w:after="0"/>
        <w:ind w:left="113" w:right="125" w:firstLine="204"/>
        <w:jc w:val="both"/>
        <w:rPr>
          <w:sz w:val="24"/>
        </w:rPr>
      </w:pPr>
      <w:r>
        <w:rPr>
          <w:rFonts w:ascii="Arial" w:hAnsi="Arial"/>
          <w:b/>
          <w:w w:val="125"/>
          <w:sz w:val="24"/>
        </w:rPr>
        <w:t>§ </w:t>
      </w:r>
      <w:r>
        <w:rPr>
          <w:w w:val="125"/>
          <w:sz w:val="24"/>
        </w:rPr>
        <w:t>(1) Pénzügyi intézmény alapításához az induló tőkét kizárólag pénzbeni hozzájárulással lehet teljesíteni. Az induló tőkét kizárólag olyan hitelintézetnél lehet befizetni, illetve a működés megkezdéséig olyan hitelintézetnél vezetett fizetési számlán lehet tartani, amely nem vesz részt az alapításban, amelyben  az alapítónak nincs tulajdona, illetve amely az alapítóban nem rendelkezik tulajdonnal. Hitelintézet induló tőkéje a működési engedély  kiadásáig  kizárólag az alapítás, és a működés e törvényben meghatározott feltételeinek megteremtése érdekében használható</w:t>
      </w:r>
      <w:r>
        <w:rPr>
          <w:spacing w:val="7"/>
          <w:w w:val="125"/>
          <w:sz w:val="24"/>
        </w:rPr>
        <w:t> </w:t>
      </w:r>
      <w:r>
        <w:rPr>
          <w:w w:val="125"/>
          <w:sz w:val="24"/>
        </w:rPr>
        <w:t>fel.</w:t>
      </w:r>
    </w:p>
    <w:p>
      <w:pPr>
        <w:pStyle w:val="ListParagraph"/>
        <w:numPr>
          <w:ilvl w:val="0"/>
          <w:numId w:val="73"/>
        </w:numPr>
        <w:tabs>
          <w:tab w:pos="799" w:val="left" w:leader="none"/>
        </w:tabs>
        <w:spacing w:line="225" w:lineRule="auto" w:before="5" w:after="0"/>
        <w:ind w:left="113" w:right="125" w:firstLine="204"/>
        <w:jc w:val="both"/>
        <w:rPr>
          <w:sz w:val="24"/>
        </w:rPr>
      </w:pPr>
      <w:r>
        <w:rPr>
          <w:w w:val="130"/>
          <w:sz w:val="24"/>
        </w:rPr>
        <w:t>A részvénytársasági formában működő pénzügyi intézmény - ide nem értve a pénzügyi holding társaságot - új részvények jegyzésével történő alaptőke-emelését, a fióktelep formájában működő pénzügyi intézmény esetében a dotációs tőke emelését, illetve szövetkezeti hitelintézet alaptőke emelését kizárólag pénzbeni hozzájárulással lehet</w:t>
      </w:r>
      <w:r>
        <w:rPr>
          <w:spacing w:val="-39"/>
          <w:w w:val="130"/>
          <w:sz w:val="24"/>
        </w:rPr>
        <w:t> </w:t>
      </w:r>
      <w:r>
        <w:rPr>
          <w:w w:val="130"/>
          <w:sz w:val="24"/>
        </w:rPr>
        <w:t>végrehajtani.</w:t>
      </w:r>
    </w:p>
    <w:p>
      <w:pPr>
        <w:pStyle w:val="ListParagraph"/>
        <w:numPr>
          <w:ilvl w:val="0"/>
          <w:numId w:val="73"/>
        </w:numPr>
        <w:tabs>
          <w:tab w:pos="745" w:val="left" w:leader="none"/>
        </w:tabs>
        <w:spacing w:line="225" w:lineRule="auto" w:before="3" w:after="0"/>
        <w:ind w:left="113" w:right="122" w:firstLine="204"/>
        <w:jc w:val="both"/>
        <w:rPr>
          <w:sz w:val="24"/>
        </w:rPr>
      </w:pPr>
      <w:r>
        <w:rPr>
          <w:w w:val="130"/>
          <w:sz w:val="24"/>
        </w:rPr>
        <w:t>Ha</w:t>
      </w:r>
      <w:r>
        <w:rPr>
          <w:spacing w:val="-28"/>
          <w:w w:val="130"/>
          <w:sz w:val="24"/>
        </w:rPr>
        <w:t> </w:t>
      </w:r>
      <w:r>
        <w:rPr>
          <w:w w:val="130"/>
          <w:sz w:val="24"/>
        </w:rPr>
        <w:t>az</w:t>
      </w:r>
      <w:r>
        <w:rPr>
          <w:spacing w:val="-24"/>
          <w:w w:val="130"/>
          <w:sz w:val="24"/>
        </w:rPr>
        <w:t> </w:t>
      </w:r>
      <w:r>
        <w:rPr>
          <w:w w:val="130"/>
          <w:sz w:val="24"/>
        </w:rPr>
        <w:t>állam</w:t>
      </w:r>
      <w:r>
        <w:rPr>
          <w:spacing w:val="-25"/>
          <w:w w:val="130"/>
          <w:sz w:val="24"/>
        </w:rPr>
        <w:t> </w:t>
      </w:r>
      <w:r>
        <w:rPr>
          <w:w w:val="130"/>
          <w:sz w:val="24"/>
        </w:rPr>
        <w:t>hajt</w:t>
      </w:r>
      <w:r>
        <w:rPr>
          <w:spacing w:val="-24"/>
          <w:w w:val="130"/>
          <w:sz w:val="24"/>
        </w:rPr>
        <w:t> </w:t>
      </w:r>
      <w:r>
        <w:rPr>
          <w:w w:val="130"/>
          <w:sz w:val="24"/>
        </w:rPr>
        <w:t>végre</w:t>
      </w:r>
      <w:r>
        <w:rPr>
          <w:spacing w:val="-25"/>
          <w:w w:val="130"/>
          <w:sz w:val="24"/>
        </w:rPr>
        <w:t> </w:t>
      </w:r>
      <w:r>
        <w:rPr>
          <w:w w:val="130"/>
          <w:sz w:val="24"/>
        </w:rPr>
        <w:t>alaptőke-emelést</w:t>
      </w:r>
      <w:r>
        <w:rPr>
          <w:spacing w:val="-24"/>
          <w:w w:val="130"/>
          <w:sz w:val="24"/>
        </w:rPr>
        <w:t> </w:t>
      </w:r>
      <w:r>
        <w:rPr>
          <w:w w:val="130"/>
          <w:sz w:val="24"/>
        </w:rPr>
        <w:t>új</w:t>
      </w:r>
      <w:r>
        <w:rPr>
          <w:spacing w:val="-25"/>
          <w:w w:val="130"/>
          <w:sz w:val="24"/>
        </w:rPr>
        <w:t> </w:t>
      </w:r>
      <w:r>
        <w:rPr>
          <w:w w:val="130"/>
          <w:sz w:val="24"/>
        </w:rPr>
        <w:t>részvények</w:t>
      </w:r>
      <w:r>
        <w:rPr>
          <w:spacing w:val="-25"/>
          <w:w w:val="130"/>
          <w:sz w:val="24"/>
        </w:rPr>
        <w:t> </w:t>
      </w:r>
      <w:r>
        <w:rPr>
          <w:w w:val="130"/>
          <w:sz w:val="24"/>
        </w:rPr>
        <w:t>jegyzésével,</w:t>
      </w:r>
      <w:r>
        <w:rPr>
          <w:spacing w:val="-24"/>
          <w:w w:val="130"/>
          <w:sz w:val="24"/>
        </w:rPr>
        <w:t> </w:t>
      </w:r>
      <w:r>
        <w:rPr>
          <w:w w:val="130"/>
          <w:sz w:val="24"/>
        </w:rPr>
        <w:t>akkor az alaptőke emelését állampapír rendelkezésre bocsátásával is végre lehet</w:t>
      </w:r>
      <w:r>
        <w:rPr>
          <w:spacing w:val="78"/>
          <w:w w:val="130"/>
          <w:sz w:val="24"/>
        </w:rPr>
        <w:t> </w:t>
      </w:r>
      <w:r>
        <w:rPr>
          <w:w w:val="130"/>
          <w:sz w:val="24"/>
        </w:rPr>
        <w:t>hajtani olyan esetben, amikor egy hitelintézet fizetésképtelensége az ország vagy valamely nagyobb régió gazdasági érdekeit, vagy a bankrendszer megbízható működését súlyosan veszélyeztetné, és a fizetésképtelenség, illetve</w:t>
      </w:r>
      <w:r>
        <w:rPr>
          <w:spacing w:val="-10"/>
          <w:w w:val="130"/>
          <w:sz w:val="24"/>
        </w:rPr>
        <w:t> </w:t>
      </w:r>
      <w:r>
        <w:rPr>
          <w:w w:val="130"/>
          <w:sz w:val="24"/>
        </w:rPr>
        <w:t>a</w:t>
      </w:r>
      <w:r>
        <w:rPr>
          <w:spacing w:val="-10"/>
          <w:w w:val="130"/>
          <w:sz w:val="24"/>
        </w:rPr>
        <w:t> </w:t>
      </w:r>
      <w:r>
        <w:rPr>
          <w:w w:val="130"/>
          <w:sz w:val="24"/>
        </w:rPr>
        <w:t>felszámolás</w:t>
      </w:r>
      <w:r>
        <w:rPr>
          <w:spacing w:val="-8"/>
          <w:w w:val="130"/>
          <w:sz w:val="24"/>
        </w:rPr>
        <w:t> </w:t>
      </w:r>
      <w:r>
        <w:rPr>
          <w:w w:val="130"/>
          <w:sz w:val="24"/>
        </w:rPr>
        <w:t>csak</w:t>
      </w:r>
      <w:r>
        <w:rPr>
          <w:spacing w:val="-9"/>
          <w:w w:val="130"/>
          <w:sz w:val="24"/>
        </w:rPr>
        <w:t> </w:t>
      </w:r>
      <w:r>
        <w:rPr>
          <w:w w:val="130"/>
          <w:sz w:val="24"/>
        </w:rPr>
        <w:t>az</w:t>
      </w:r>
      <w:r>
        <w:rPr>
          <w:spacing w:val="-10"/>
          <w:w w:val="130"/>
          <w:sz w:val="24"/>
        </w:rPr>
        <w:t> </w:t>
      </w:r>
      <w:r>
        <w:rPr>
          <w:w w:val="130"/>
          <w:sz w:val="24"/>
        </w:rPr>
        <w:t>állam</w:t>
      </w:r>
      <w:r>
        <w:rPr>
          <w:spacing w:val="-9"/>
          <w:w w:val="130"/>
          <w:sz w:val="24"/>
        </w:rPr>
        <w:t> </w:t>
      </w:r>
      <w:r>
        <w:rPr>
          <w:w w:val="130"/>
          <w:sz w:val="24"/>
        </w:rPr>
        <w:t>beavatkozásával</w:t>
      </w:r>
      <w:r>
        <w:rPr>
          <w:spacing w:val="-9"/>
          <w:w w:val="130"/>
          <w:sz w:val="24"/>
        </w:rPr>
        <w:t> </w:t>
      </w:r>
      <w:r>
        <w:rPr>
          <w:w w:val="130"/>
          <w:sz w:val="24"/>
        </w:rPr>
        <w:t>hárítható</w:t>
      </w:r>
      <w:r>
        <w:rPr>
          <w:spacing w:val="-8"/>
          <w:w w:val="130"/>
          <w:sz w:val="24"/>
        </w:rPr>
        <w:t> </w:t>
      </w:r>
      <w:r>
        <w:rPr>
          <w:w w:val="130"/>
          <w:sz w:val="24"/>
        </w:rPr>
        <w:t>el.</w:t>
      </w:r>
    </w:p>
    <w:p>
      <w:pPr>
        <w:pStyle w:val="ListParagraph"/>
        <w:numPr>
          <w:ilvl w:val="0"/>
          <w:numId w:val="73"/>
        </w:numPr>
        <w:tabs>
          <w:tab w:pos="849" w:val="left" w:leader="none"/>
        </w:tabs>
        <w:spacing w:line="225" w:lineRule="auto" w:before="3" w:after="0"/>
        <w:ind w:left="113" w:right="131" w:firstLine="204"/>
        <w:jc w:val="both"/>
        <w:rPr>
          <w:sz w:val="24"/>
        </w:rPr>
      </w:pPr>
      <w:r>
        <w:rPr>
          <w:w w:val="125"/>
          <w:sz w:val="24"/>
        </w:rPr>
        <w:t>A pénzügyi intézmény saját kibocsátású részvényeinek értékesítése esetén halasztott fizetést, és visszavásárlási kötelezettséget érvényesen nem köthet ki.</w:t>
      </w:r>
    </w:p>
    <w:p>
      <w:pPr>
        <w:pStyle w:val="BodyText"/>
        <w:spacing w:before="3"/>
        <w:ind w:left="0" w:firstLine="0"/>
        <w:rPr>
          <w:sz w:val="11"/>
        </w:rPr>
      </w:pPr>
    </w:p>
    <w:p>
      <w:pPr>
        <w:pStyle w:val="BodyText"/>
        <w:spacing w:before="99"/>
        <w:ind w:left="3386" w:firstLine="0"/>
      </w:pPr>
      <w:r>
        <w:rPr>
          <w:w w:val="130"/>
        </w:rPr>
        <w:t>10. Engedélyezési eljárás</w:t>
      </w:r>
    </w:p>
    <w:p>
      <w:pPr>
        <w:pStyle w:val="ListParagraph"/>
        <w:numPr>
          <w:ilvl w:val="0"/>
          <w:numId w:val="68"/>
        </w:numPr>
        <w:tabs>
          <w:tab w:pos="857" w:val="left" w:leader="none"/>
        </w:tabs>
        <w:spacing w:line="225" w:lineRule="auto" w:before="237" w:after="0"/>
        <w:ind w:left="113" w:right="129" w:firstLine="204"/>
        <w:jc w:val="left"/>
        <w:rPr>
          <w:sz w:val="24"/>
        </w:rPr>
      </w:pPr>
      <w:r>
        <w:rPr>
          <w:rFonts w:ascii="Arial" w:hAnsi="Arial"/>
          <w:b/>
          <w:w w:val="120"/>
          <w:sz w:val="24"/>
        </w:rPr>
        <w:t>§ </w:t>
      </w:r>
      <w:r>
        <w:rPr>
          <w:w w:val="120"/>
          <w:sz w:val="24"/>
        </w:rPr>
        <w:t>(1) A Felügyelet engedélye szükséges - a (2)-(4) bekezdésben foglalt eltéréssel - a</w:t>
      </w:r>
      <w:r>
        <w:rPr>
          <w:spacing w:val="15"/>
          <w:w w:val="120"/>
          <w:sz w:val="24"/>
        </w:rPr>
        <w:t> </w:t>
      </w:r>
      <w:r>
        <w:rPr>
          <w:w w:val="120"/>
          <w:sz w:val="24"/>
        </w:rPr>
        <w:t>hitelintézet:</w:t>
      </w:r>
    </w:p>
    <w:p>
      <w:pPr>
        <w:pStyle w:val="ListParagraph"/>
        <w:numPr>
          <w:ilvl w:val="0"/>
          <w:numId w:val="74"/>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4"/>
        </w:numPr>
        <w:tabs>
          <w:tab w:pos="653" w:val="left" w:leader="none"/>
        </w:tabs>
        <w:spacing w:line="260" w:lineRule="exact" w:before="0" w:after="0"/>
        <w:ind w:left="652" w:right="0" w:hanging="335"/>
        <w:jc w:val="left"/>
        <w:rPr>
          <w:sz w:val="24"/>
        </w:rPr>
      </w:pPr>
      <w:r>
        <w:rPr>
          <w:w w:val="125"/>
          <w:sz w:val="24"/>
        </w:rPr>
        <w:t>átalakulásához, egyesüléséhez (beolvadás, összeolvadás),</w:t>
      </w:r>
      <w:r>
        <w:rPr>
          <w:spacing w:val="22"/>
          <w:w w:val="125"/>
          <w:sz w:val="24"/>
        </w:rPr>
        <w:t> </w:t>
      </w:r>
      <w:r>
        <w:rPr>
          <w:w w:val="125"/>
          <w:sz w:val="24"/>
        </w:rPr>
        <w:t>szétválásához,</w:t>
      </w:r>
    </w:p>
    <w:p>
      <w:pPr>
        <w:pStyle w:val="ListParagraph"/>
        <w:numPr>
          <w:ilvl w:val="0"/>
          <w:numId w:val="74"/>
        </w:numPr>
        <w:tabs>
          <w:tab w:pos="623" w:val="left" w:leader="none"/>
        </w:tabs>
        <w:spacing w:line="260" w:lineRule="exact" w:before="0" w:after="0"/>
        <w:ind w:left="622" w:right="0" w:hanging="305"/>
        <w:jc w:val="left"/>
        <w:rPr>
          <w:sz w:val="24"/>
        </w:rPr>
      </w:pPr>
      <w:r>
        <w:rPr>
          <w:w w:val="130"/>
          <w:sz w:val="24"/>
        </w:rPr>
        <w:t>alapszabályának e törvényben meghatározott</w:t>
      </w:r>
      <w:r>
        <w:rPr>
          <w:spacing w:val="-36"/>
          <w:w w:val="130"/>
          <w:sz w:val="24"/>
        </w:rPr>
        <w:t> </w:t>
      </w:r>
      <w:r>
        <w:rPr>
          <w:w w:val="130"/>
          <w:sz w:val="24"/>
        </w:rPr>
        <w:t>módosításához,</w:t>
      </w:r>
    </w:p>
    <w:p>
      <w:pPr>
        <w:pStyle w:val="ListParagraph"/>
        <w:numPr>
          <w:ilvl w:val="0"/>
          <w:numId w:val="74"/>
        </w:numPr>
        <w:tabs>
          <w:tab w:pos="870" w:val="left" w:leader="none"/>
          <w:tab w:pos="871" w:val="left" w:leader="none"/>
          <w:tab w:pos="2548" w:val="left" w:leader="none"/>
          <w:tab w:pos="4770" w:val="left" w:leader="none"/>
          <w:tab w:pos="7060" w:val="left" w:leader="none"/>
          <w:tab w:pos="7931" w:val="left" w:leader="none"/>
          <w:tab w:pos="8379" w:val="left" w:leader="none"/>
        </w:tabs>
        <w:spacing w:line="225" w:lineRule="auto" w:before="5" w:after="0"/>
        <w:ind w:left="113" w:right="125" w:firstLine="204"/>
        <w:jc w:val="left"/>
        <w:rPr>
          <w:sz w:val="24"/>
        </w:rPr>
      </w:pPr>
      <w:r>
        <w:rPr/>
        <w:pict>
          <v:line style="position:absolute;mso-position-horizontal-relative:page;mso-position-vertical-relative:paragraph;z-index:-496;mso-wrap-distance-left:0;mso-wrap-distance-right:0" from="56.693001pt,33.357933pt" to="538.583001pt,33.357933pt" stroked="true" strokeweight=".5pt" strokecolor="#000000">
            <v:stroke dashstyle="solid"/>
            <w10:wrap type="topAndBottom"/>
          </v:line>
        </w:pict>
      </w:r>
      <w:r>
        <w:rPr>
          <w:w w:val="125"/>
          <w:sz w:val="24"/>
        </w:rPr>
        <w:t>befolyásoló</w:t>
        <w:tab/>
      </w:r>
      <w:r>
        <w:rPr>
          <w:w w:val="130"/>
          <w:sz w:val="24"/>
        </w:rPr>
        <w:t>részesedésének</w:t>
        <w:tab/>
        <w:t>megszerzéséhez</w:t>
        <w:tab/>
        <w:t>vagy</w:t>
        <w:tab/>
        <w:t>a</w:t>
        <w:tab/>
      </w:r>
      <w:r>
        <w:rPr>
          <w:spacing w:val="-1"/>
          <w:w w:val="120"/>
          <w:sz w:val="24"/>
        </w:rPr>
        <w:t>befolyásoló </w:t>
      </w:r>
      <w:r>
        <w:rPr>
          <w:w w:val="130"/>
          <w:sz w:val="24"/>
        </w:rPr>
        <w:t>részesedés e törvényben meghatározott mértéket elérő</w:t>
      </w:r>
      <w:r>
        <w:rPr>
          <w:spacing w:val="-42"/>
          <w:w w:val="130"/>
          <w:sz w:val="24"/>
        </w:rPr>
        <w:t> </w:t>
      </w:r>
      <w:r>
        <w:rPr>
          <w:w w:val="130"/>
          <w:sz w:val="24"/>
        </w:rPr>
        <w:t>növeléséhez,</w:t>
      </w:r>
    </w:p>
    <w:p>
      <w:pPr>
        <w:tabs>
          <w:tab w:pos="686" w:val="left" w:leader="none"/>
        </w:tabs>
        <w:spacing w:before="44"/>
        <w:ind w:left="342" w:right="0" w:firstLine="0"/>
        <w:jc w:val="left"/>
        <w:rPr>
          <w:i/>
          <w:sz w:val="18"/>
        </w:rPr>
      </w:pPr>
      <w:r>
        <w:rPr>
          <w:i/>
          <w:w w:val="120"/>
          <w:sz w:val="18"/>
        </w:rPr>
        <w:t>1</w:t>
        <w:tab/>
        <w:t>Hatályon</w:t>
      </w:r>
      <w:r>
        <w:rPr>
          <w:i/>
          <w:spacing w:val="7"/>
          <w:w w:val="120"/>
          <w:sz w:val="18"/>
        </w:rPr>
        <w:t> </w:t>
      </w:r>
      <w:r>
        <w:rPr>
          <w:i/>
          <w:w w:val="120"/>
          <w:sz w:val="18"/>
        </w:rPr>
        <w:t>kívül</w:t>
      </w:r>
      <w:r>
        <w:rPr>
          <w:i/>
          <w:spacing w:val="6"/>
          <w:w w:val="120"/>
          <w:sz w:val="18"/>
        </w:rPr>
        <w:t> </w:t>
      </w:r>
      <w:r>
        <w:rPr>
          <w:i/>
          <w:w w:val="120"/>
          <w:sz w:val="18"/>
        </w:rPr>
        <w:t>helyezte:</w:t>
      </w:r>
      <w:r>
        <w:rPr>
          <w:i/>
          <w:spacing w:val="7"/>
          <w:w w:val="120"/>
          <w:sz w:val="18"/>
        </w:rPr>
        <w:t> </w:t>
      </w:r>
      <w:r>
        <w:rPr>
          <w:i/>
          <w:w w:val="120"/>
          <w:sz w:val="18"/>
        </w:rPr>
        <w:t>2014.</w:t>
      </w:r>
      <w:r>
        <w:rPr>
          <w:i/>
          <w:spacing w:val="7"/>
          <w:w w:val="120"/>
          <w:sz w:val="18"/>
        </w:rPr>
        <w:t> </w:t>
      </w:r>
      <w:r>
        <w:rPr>
          <w:i/>
          <w:w w:val="120"/>
          <w:sz w:val="18"/>
        </w:rPr>
        <w:t>évi</w:t>
      </w:r>
      <w:r>
        <w:rPr>
          <w:i/>
          <w:spacing w:val="6"/>
          <w:w w:val="120"/>
          <w:sz w:val="18"/>
        </w:rPr>
        <w:t> </w:t>
      </w:r>
      <w:r>
        <w:rPr>
          <w:i/>
          <w:w w:val="120"/>
          <w:sz w:val="18"/>
        </w:rPr>
        <w:t>CIV.</w:t>
      </w:r>
      <w:r>
        <w:rPr>
          <w:i/>
          <w:spacing w:val="7"/>
          <w:w w:val="120"/>
          <w:sz w:val="18"/>
        </w:rPr>
        <w:t> </w:t>
      </w:r>
      <w:r>
        <w:rPr>
          <w:i/>
          <w:w w:val="120"/>
          <w:sz w:val="18"/>
        </w:rPr>
        <w:t>törvény</w:t>
      </w:r>
      <w:r>
        <w:rPr>
          <w:i/>
          <w:spacing w:val="6"/>
          <w:w w:val="120"/>
          <w:sz w:val="18"/>
        </w:rPr>
        <w:t> </w:t>
      </w:r>
      <w:r>
        <w:rPr>
          <w:i/>
          <w:w w:val="120"/>
          <w:sz w:val="18"/>
        </w:rPr>
        <w:t>97.</w:t>
      </w:r>
      <w:r>
        <w:rPr>
          <w:i/>
          <w:spacing w:val="7"/>
          <w:w w:val="120"/>
          <w:sz w:val="18"/>
        </w:rPr>
        <w:t> </w:t>
      </w:r>
      <w:r>
        <w:rPr>
          <w:i/>
          <w:w w:val="120"/>
          <w:sz w:val="18"/>
        </w:rPr>
        <w:t>§</w:t>
      </w:r>
      <w:r>
        <w:rPr>
          <w:i/>
          <w:spacing w:val="7"/>
          <w:w w:val="120"/>
          <w:sz w:val="18"/>
        </w:rPr>
        <w:t> </w:t>
      </w:r>
      <w:r>
        <w:rPr>
          <w:i/>
          <w:w w:val="120"/>
          <w:sz w:val="18"/>
        </w:rPr>
        <w:t>a).</w:t>
      </w:r>
      <w:r>
        <w:rPr>
          <w:i/>
          <w:spacing w:val="7"/>
          <w:w w:val="120"/>
          <w:sz w:val="18"/>
        </w:rPr>
        <w:t> </w:t>
      </w:r>
      <w:r>
        <w:rPr>
          <w:i/>
          <w:w w:val="120"/>
          <w:sz w:val="18"/>
        </w:rPr>
        <w:t>Hatálytalan:</w:t>
      </w:r>
      <w:r>
        <w:rPr>
          <w:i/>
          <w:spacing w:val="7"/>
          <w:w w:val="120"/>
          <w:sz w:val="18"/>
        </w:rPr>
        <w:t> </w:t>
      </w:r>
      <w:r>
        <w:rPr>
          <w:i/>
          <w:w w:val="120"/>
          <w:sz w:val="18"/>
        </w:rPr>
        <w:t>2015.</w:t>
      </w:r>
      <w:r>
        <w:rPr>
          <w:i/>
          <w:spacing w:val="7"/>
          <w:w w:val="120"/>
          <w:sz w:val="18"/>
        </w:rPr>
        <w:t> </w:t>
      </w:r>
      <w:r>
        <w:rPr>
          <w:i/>
          <w:w w:val="120"/>
          <w:sz w:val="18"/>
        </w:rPr>
        <w:t>I.</w:t>
      </w:r>
      <w:r>
        <w:rPr>
          <w:i/>
          <w:spacing w:val="7"/>
          <w:w w:val="120"/>
          <w:sz w:val="18"/>
        </w:rPr>
        <w:t> </w:t>
      </w:r>
      <w:r>
        <w:rPr>
          <w:i/>
          <w:w w:val="120"/>
          <w:sz w:val="18"/>
        </w:rPr>
        <w:t>1-től.</w:t>
      </w:r>
    </w:p>
    <w:p>
      <w:pPr>
        <w:spacing w:after="0"/>
        <w:jc w:val="left"/>
        <w:rPr>
          <w:sz w:val="18"/>
        </w:rPr>
        <w:sectPr>
          <w:pgSz w:w="11900" w:h="16820"/>
          <w:pgMar w:header="1104" w:footer="0" w:top="1840" w:bottom="280" w:left="1020" w:right="1000"/>
        </w:sectPr>
      </w:pPr>
    </w:p>
    <w:p>
      <w:pPr>
        <w:pStyle w:val="ListParagraph"/>
        <w:numPr>
          <w:ilvl w:val="0"/>
          <w:numId w:val="74"/>
        </w:numPr>
        <w:tabs>
          <w:tab w:pos="629" w:val="left" w:leader="none"/>
        </w:tabs>
        <w:spacing w:line="268" w:lineRule="exact" w:before="159" w:after="0"/>
        <w:ind w:left="628" w:right="0" w:hanging="311"/>
        <w:jc w:val="left"/>
        <w:rPr>
          <w:sz w:val="24"/>
        </w:rPr>
      </w:pPr>
      <w:r>
        <w:rPr>
          <w:w w:val="125"/>
          <w:sz w:val="24"/>
        </w:rPr>
        <w:t>vezető állású személyének megválasztásához vagy</w:t>
      </w:r>
      <w:r>
        <w:rPr>
          <w:spacing w:val="6"/>
          <w:w w:val="125"/>
          <w:sz w:val="24"/>
        </w:rPr>
        <w:t> </w:t>
      </w:r>
      <w:r>
        <w:rPr>
          <w:w w:val="125"/>
          <w:sz w:val="24"/>
        </w:rPr>
        <w:t>kinevezéséhez,</w:t>
      </w:r>
    </w:p>
    <w:p>
      <w:pPr>
        <w:pStyle w:val="ListParagraph"/>
        <w:numPr>
          <w:ilvl w:val="0"/>
          <w:numId w:val="74"/>
        </w:numPr>
        <w:tabs>
          <w:tab w:pos="577" w:val="left" w:leader="none"/>
        </w:tabs>
        <w:spacing w:line="260" w:lineRule="exact" w:before="0" w:after="0"/>
        <w:ind w:left="576" w:right="0" w:hanging="259"/>
        <w:jc w:val="left"/>
        <w:rPr>
          <w:sz w:val="24"/>
        </w:rPr>
      </w:pPr>
      <w:r>
        <w:rPr>
          <w:w w:val="125"/>
          <w:sz w:val="24"/>
        </w:rPr>
        <w:t>működésének megkezdéséhez,</w:t>
      </w:r>
    </w:p>
    <w:p>
      <w:pPr>
        <w:pStyle w:val="ListParagraph"/>
        <w:numPr>
          <w:ilvl w:val="0"/>
          <w:numId w:val="74"/>
        </w:numPr>
        <w:tabs>
          <w:tab w:pos="653" w:val="left" w:leader="none"/>
        </w:tabs>
        <w:spacing w:line="260" w:lineRule="exact" w:before="0" w:after="0"/>
        <w:ind w:left="652" w:right="0" w:hanging="335"/>
        <w:jc w:val="left"/>
        <w:rPr>
          <w:sz w:val="24"/>
        </w:rPr>
      </w:pPr>
      <w:r>
        <w:rPr>
          <w:w w:val="125"/>
          <w:sz w:val="24"/>
        </w:rPr>
        <w:t>tevékenységi körének</w:t>
      </w:r>
      <w:r>
        <w:rPr>
          <w:spacing w:val="-10"/>
          <w:w w:val="125"/>
          <w:sz w:val="24"/>
        </w:rPr>
        <w:t> </w:t>
      </w:r>
      <w:r>
        <w:rPr>
          <w:w w:val="125"/>
          <w:sz w:val="24"/>
        </w:rPr>
        <w:t>módosításához,</w:t>
      </w:r>
    </w:p>
    <w:p>
      <w:pPr>
        <w:pStyle w:val="ListParagraph"/>
        <w:numPr>
          <w:ilvl w:val="0"/>
          <w:numId w:val="74"/>
        </w:numPr>
        <w:tabs>
          <w:tab w:pos="725" w:val="left" w:leader="none"/>
        </w:tabs>
        <w:spacing w:line="225" w:lineRule="auto" w:before="6" w:after="0"/>
        <w:ind w:left="113" w:right="136" w:firstLine="204"/>
        <w:jc w:val="left"/>
        <w:rPr>
          <w:sz w:val="24"/>
        </w:rPr>
      </w:pPr>
      <w:r>
        <w:rPr>
          <w:w w:val="125"/>
          <w:sz w:val="24"/>
        </w:rPr>
        <w:t>pénzügyi szolgáltatási tevékenységének kiemelt közvetítő vagy többes kiemelt közvetítő igénybevételével történő</w:t>
      </w:r>
      <w:r>
        <w:rPr>
          <w:spacing w:val="3"/>
          <w:w w:val="125"/>
          <w:sz w:val="24"/>
        </w:rPr>
        <w:t> </w:t>
      </w:r>
      <w:r>
        <w:rPr>
          <w:w w:val="125"/>
          <w:sz w:val="24"/>
        </w:rPr>
        <w:t>végzéséhez,</w:t>
      </w:r>
    </w:p>
    <w:p>
      <w:pPr>
        <w:pStyle w:val="ListParagraph"/>
        <w:numPr>
          <w:ilvl w:val="0"/>
          <w:numId w:val="74"/>
        </w:numPr>
        <w:tabs>
          <w:tab w:pos="663" w:val="left" w:leader="none"/>
        </w:tabs>
        <w:spacing w:line="225" w:lineRule="auto" w:before="1" w:after="0"/>
        <w:ind w:left="113" w:right="131" w:firstLine="204"/>
        <w:jc w:val="left"/>
        <w:rPr>
          <w:sz w:val="24"/>
        </w:rPr>
      </w:pPr>
      <w:r>
        <w:rPr>
          <w:w w:val="125"/>
          <w:sz w:val="24"/>
        </w:rPr>
        <w:t>képviseletének, fióktelepének, leányvállalatának (hitelintézet, pénzügyi vállalkozás vagy egyéb vállalkozás) harmadik országban történő</w:t>
      </w:r>
      <w:r>
        <w:rPr>
          <w:spacing w:val="61"/>
          <w:w w:val="125"/>
          <w:sz w:val="24"/>
        </w:rPr>
        <w:t> </w:t>
      </w:r>
      <w:r>
        <w:rPr>
          <w:w w:val="125"/>
          <w:sz w:val="24"/>
        </w:rPr>
        <w:t>létesítéséhez,</w:t>
      </w:r>
    </w:p>
    <w:p>
      <w:pPr>
        <w:pStyle w:val="ListParagraph"/>
        <w:numPr>
          <w:ilvl w:val="0"/>
          <w:numId w:val="74"/>
        </w:numPr>
        <w:tabs>
          <w:tab w:pos="595" w:val="left" w:leader="none"/>
        </w:tabs>
        <w:spacing w:line="225" w:lineRule="auto" w:before="1" w:after="0"/>
        <w:ind w:left="113" w:right="127" w:firstLine="204"/>
        <w:jc w:val="left"/>
        <w:rPr>
          <w:sz w:val="24"/>
        </w:rPr>
      </w:pPr>
      <w:r>
        <w:rPr>
          <w:w w:val="125"/>
          <w:sz w:val="24"/>
        </w:rPr>
        <w:t>devizakülföldinek minősülő vállalkozásban történő befolyásoló részesedés megszerzéséhez,</w:t>
      </w:r>
    </w:p>
    <w:p>
      <w:pPr>
        <w:pStyle w:val="ListParagraph"/>
        <w:numPr>
          <w:ilvl w:val="0"/>
          <w:numId w:val="74"/>
        </w:numPr>
        <w:tabs>
          <w:tab w:pos="1019" w:val="left" w:leader="none"/>
          <w:tab w:pos="4005" w:val="left" w:leader="none"/>
          <w:tab w:pos="6782" w:val="left" w:leader="none"/>
          <w:tab w:pos="8028" w:val="left" w:leader="none"/>
        </w:tabs>
        <w:spacing w:line="225" w:lineRule="auto" w:before="1" w:after="0"/>
        <w:ind w:left="113" w:right="127" w:firstLine="204"/>
        <w:jc w:val="both"/>
        <w:rPr>
          <w:sz w:val="24"/>
        </w:rPr>
      </w:pPr>
      <w:r>
        <w:rPr>
          <w:w w:val="130"/>
          <w:sz w:val="24"/>
        </w:rPr>
        <w:t>betétállományának</w:t>
      </w:r>
      <w:r>
        <w:rPr>
          <w:spacing w:val="78"/>
          <w:w w:val="130"/>
          <w:sz w:val="24"/>
        </w:rPr>
        <w:t> </w:t>
      </w:r>
      <w:r>
        <w:rPr>
          <w:w w:val="130"/>
          <w:sz w:val="24"/>
        </w:rPr>
        <w:t>és</w:t>
      </w:r>
      <w:r>
        <w:rPr>
          <w:spacing w:val="78"/>
          <w:w w:val="130"/>
          <w:sz w:val="24"/>
        </w:rPr>
        <w:t> </w:t>
      </w:r>
      <w:r>
        <w:rPr>
          <w:w w:val="130"/>
          <w:sz w:val="24"/>
        </w:rPr>
        <w:t>pénzeszköz</w:t>
      </w:r>
      <w:r>
        <w:rPr>
          <w:spacing w:val="78"/>
          <w:w w:val="130"/>
          <w:sz w:val="24"/>
        </w:rPr>
        <w:t> </w:t>
      </w:r>
      <w:r>
        <w:rPr>
          <w:w w:val="130"/>
          <w:sz w:val="24"/>
        </w:rPr>
        <w:t>visszafizetésére</w:t>
      </w:r>
      <w:r>
        <w:rPr>
          <w:spacing w:val="78"/>
          <w:w w:val="130"/>
          <w:sz w:val="24"/>
        </w:rPr>
        <w:t> </w:t>
      </w:r>
      <w:r>
        <w:rPr>
          <w:w w:val="130"/>
          <w:sz w:val="24"/>
        </w:rPr>
        <w:t>irányuló </w:t>
      </w:r>
      <w:r>
        <w:rPr>
          <w:w w:val="125"/>
          <w:sz w:val="24"/>
        </w:rPr>
        <w:t>szerződésállományának</w:t>
        <w:tab/>
      </w:r>
      <w:r>
        <w:rPr>
          <w:w w:val="130"/>
          <w:sz w:val="24"/>
        </w:rPr>
        <w:t>átruházásához</w:t>
        <w:tab/>
        <w:t>(a</w:t>
        <w:tab/>
      </w:r>
      <w:r>
        <w:rPr>
          <w:spacing w:val="-1"/>
          <w:w w:val="125"/>
          <w:sz w:val="24"/>
        </w:rPr>
        <w:t>továbbiakban: </w:t>
      </w:r>
      <w:r>
        <w:rPr>
          <w:w w:val="130"/>
          <w:sz w:val="24"/>
        </w:rPr>
        <w:t>betétállomány-átruházás),</w:t>
      </w:r>
    </w:p>
    <w:p>
      <w:pPr>
        <w:pStyle w:val="ListParagraph"/>
        <w:numPr>
          <w:ilvl w:val="0"/>
          <w:numId w:val="74"/>
        </w:numPr>
        <w:tabs>
          <w:tab w:pos="564" w:val="left" w:leader="none"/>
        </w:tabs>
        <w:spacing w:line="256" w:lineRule="exact" w:before="0" w:after="0"/>
        <w:ind w:left="563" w:right="0" w:hanging="246"/>
        <w:jc w:val="left"/>
        <w:rPr>
          <w:sz w:val="24"/>
        </w:rPr>
      </w:pPr>
      <w:r>
        <w:rPr>
          <w:w w:val="125"/>
          <w:sz w:val="24"/>
        </w:rPr>
        <w:t>működésének megszüntetéséhez,</w:t>
      </w:r>
      <w:r>
        <w:rPr>
          <w:spacing w:val="2"/>
          <w:w w:val="125"/>
          <w:sz w:val="24"/>
        </w:rPr>
        <w:t> </w:t>
      </w:r>
      <w:r>
        <w:rPr>
          <w:w w:val="125"/>
          <w:sz w:val="24"/>
        </w:rPr>
        <w:t>valamint</w:t>
      </w:r>
    </w:p>
    <w:p>
      <w:pPr>
        <w:pStyle w:val="ListParagraph"/>
        <w:numPr>
          <w:ilvl w:val="0"/>
          <w:numId w:val="74"/>
        </w:numPr>
        <w:tabs>
          <w:tab w:pos="990" w:val="left" w:leader="none"/>
        </w:tabs>
        <w:spacing w:line="225" w:lineRule="auto" w:before="6" w:after="0"/>
        <w:ind w:left="113" w:right="124" w:firstLine="204"/>
        <w:jc w:val="both"/>
        <w:rPr>
          <w:sz w:val="24"/>
        </w:rPr>
      </w:pPr>
      <w:r>
        <w:rPr>
          <w:w w:val="130"/>
          <w:sz w:val="24"/>
        </w:rPr>
        <w:t>jogszabály alapján készített hitelbiztosítéki érték-megállapítási szabályzatához, amely figyelembe veszi</w:t>
      </w:r>
      <w:r>
        <w:rPr>
          <w:spacing w:val="78"/>
          <w:w w:val="130"/>
          <w:sz w:val="24"/>
        </w:rPr>
        <w:t> </w:t>
      </w:r>
      <w:r>
        <w:rPr>
          <w:w w:val="130"/>
          <w:sz w:val="24"/>
        </w:rPr>
        <w:t>a hitelbiztosítéki érték megállapításának</w:t>
      </w:r>
      <w:r>
        <w:rPr>
          <w:spacing w:val="-18"/>
          <w:w w:val="130"/>
          <w:sz w:val="24"/>
        </w:rPr>
        <w:t> </w:t>
      </w:r>
      <w:r>
        <w:rPr>
          <w:w w:val="130"/>
          <w:sz w:val="24"/>
        </w:rPr>
        <w:t>módszertani</w:t>
      </w:r>
      <w:r>
        <w:rPr>
          <w:spacing w:val="-18"/>
          <w:w w:val="130"/>
          <w:sz w:val="24"/>
        </w:rPr>
        <w:t> </w:t>
      </w:r>
      <w:r>
        <w:rPr>
          <w:w w:val="130"/>
          <w:sz w:val="24"/>
        </w:rPr>
        <w:t>elveiről</w:t>
      </w:r>
      <w:r>
        <w:rPr>
          <w:spacing w:val="-18"/>
          <w:w w:val="130"/>
          <w:sz w:val="24"/>
        </w:rPr>
        <w:t> </w:t>
      </w:r>
      <w:r>
        <w:rPr>
          <w:w w:val="130"/>
          <w:sz w:val="24"/>
        </w:rPr>
        <w:t>szóló</w:t>
      </w:r>
      <w:r>
        <w:rPr>
          <w:spacing w:val="-17"/>
          <w:w w:val="130"/>
          <w:sz w:val="24"/>
        </w:rPr>
        <w:t> </w:t>
      </w:r>
      <w:r>
        <w:rPr>
          <w:w w:val="130"/>
          <w:sz w:val="24"/>
        </w:rPr>
        <w:t>jogszabályban</w:t>
      </w:r>
      <w:r>
        <w:rPr>
          <w:spacing w:val="-16"/>
          <w:w w:val="130"/>
          <w:sz w:val="24"/>
        </w:rPr>
        <w:t> </w:t>
      </w:r>
      <w:r>
        <w:rPr>
          <w:w w:val="130"/>
          <w:sz w:val="24"/>
        </w:rPr>
        <w:t>foglaltakat.</w:t>
      </w:r>
    </w:p>
    <w:p>
      <w:pPr>
        <w:pStyle w:val="ListParagraph"/>
        <w:numPr>
          <w:ilvl w:val="0"/>
          <w:numId w:val="75"/>
        </w:numPr>
        <w:tabs>
          <w:tab w:pos="858" w:val="left" w:leader="none"/>
          <w:tab w:pos="8794" w:val="left" w:leader="none"/>
        </w:tabs>
        <w:spacing w:line="225" w:lineRule="auto" w:before="1" w:after="0"/>
        <w:ind w:left="113" w:right="115" w:firstLine="204"/>
        <w:jc w:val="left"/>
        <w:rPr>
          <w:sz w:val="24"/>
        </w:rPr>
      </w:pPr>
      <w:r>
        <w:rPr>
          <w:w w:val="125"/>
          <w:sz w:val="24"/>
        </w:rPr>
        <w:t>A   Felügyelet   engedélye   szükséges   a</w:t>
      </w:r>
      <w:r>
        <w:rPr>
          <w:spacing w:val="41"/>
          <w:w w:val="125"/>
          <w:sz w:val="24"/>
        </w:rPr>
        <w:t> </w:t>
      </w:r>
      <w:r>
        <w:rPr>
          <w:w w:val="125"/>
          <w:sz w:val="24"/>
        </w:rPr>
        <w:t>fióktelep </w:t>
      </w:r>
      <w:r>
        <w:rPr>
          <w:spacing w:val="54"/>
          <w:w w:val="125"/>
          <w:sz w:val="24"/>
        </w:rPr>
        <w:t> </w:t>
      </w:r>
      <w:r>
        <w:rPr>
          <w:w w:val="125"/>
          <w:sz w:val="24"/>
        </w:rPr>
        <w:t>formájában</w:t>
        <w:tab/>
      </w:r>
      <w:r>
        <w:rPr>
          <w:spacing w:val="-4"/>
          <w:w w:val="125"/>
          <w:sz w:val="24"/>
        </w:rPr>
        <w:t>működő </w:t>
      </w:r>
      <w:r>
        <w:rPr>
          <w:w w:val="125"/>
          <w:sz w:val="24"/>
        </w:rPr>
        <w:t>hitelintézet</w:t>
      </w:r>
    </w:p>
    <w:p>
      <w:pPr>
        <w:pStyle w:val="ListParagraph"/>
        <w:numPr>
          <w:ilvl w:val="0"/>
          <w:numId w:val="76"/>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6"/>
        </w:numPr>
        <w:tabs>
          <w:tab w:pos="653" w:val="left" w:leader="none"/>
        </w:tabs>
        <w:spacing w:line="260" w:lineRule="exact" w:before="0" w:after="0"/>
        <w:ind w:left="652" w:right="0" w:hanging="335"/>
        <w:jc w:val="left"/>
        <w:rPr>
          <w:sz w:val="24"/>
        </w:rPr>
      </w:pPr>
      <w:r>
        <w:rPr>
          <w:w w:val="125"/>
          <w:sz w:val="24"/>
        </w:rPr>
        <w:t>működésének</w:t>
      </w:r>
      <w:r>
        <w:rPr>
          <w:spacing w:val="-11"/>
          <w:w w:val="125"/>
          <w:sz w:val="24"/>
        </w:rPr>
        <w:t> </w:t>
      </w:r>
      <w:r>
        <w:rPr>
          <w:w w:val="125"/>
          <w:sz w:val="24"/>
        </w:rPr>
        <w:t>megkezdéséhez,</w:t>
      </w:r>
    </w:p>
    <w:p>
      <w:pPr>
        <w:pStyle w:val="ListParagraph"/>
        <w:numPr>
          <w:ilvl w:val="0"/>
          <w:numId w:val="76"/>
        </w:numPr>
        <w:tabs>
          <w:tab w:pos="623" w:val="left" w:leader="none"/>
        </w:tabs>
        <w:spacing w:line="260" w:lineRule="exact" w:before="0" w:after="0"/>
        <w:ind w:left="622" w:right="0" w:hanging="305"/>
        <w:jc w:val="left"/>
        <w:rPr>
          <w:sz w:val="24"/>
        </w:rPr>
      </w:pPr>
      <w:r>
        <w:rPr>
          <w:w w:val="125"/>
          <w:sz w:val="24"/>
        </w:rPr>
        <w:t>tevékenységi körének</w:t>
      </w:r>
      <w:r>
        <w:rPr>
          <w:spacing w:val="1"/>
          <w:w w:val="125"/>
          <w:sz w:val="24"/>
        </w:rPr>
        <w:t> </w:t>
      </w:r>
      <w:r>
        <w:rPr>
          <w:w w:val="125"/>
          <w:sz w:val="24"/>
        </w:rPr>
        <w:t>módosításához,</w:t>
      </w:r>
    </w:p>
    <w:p>
      <w:pPr>
        <w:pStyle w:val="ListParagraph"/>
        <w:numPr>
          <w:ilvl w:val="0"/>
          <w:numId w:val="76"/>
        </w:numPr>
        <w:tabs>
          <w:tab w:pos="720" w:val="left" w:leader="none"/>
        </w:tabs>
        <w:spacing w:line="225" w:lineRule="auto" w:before="6" w:after="0"/>
        <w:ind w:left="113" w:right="136" w:firstLine="204"/>
        <w:jc w:val="left"/>
        <w:rPr>
          <w:sz w:val="24"/>
        </w:rPr>
      </w:pPr>
      <w:r>
        <w:rPr>
          <w:w w:val="125"/>
          <w:sz w:val="24"/>
        </w:rPr>
        <w:t>pénzügyi szolgáltatási tevékenységének kiemelt közvetítő vagy többes kiemelt közvetítő igénybevételével történő</w:t>
      </w:r>
      <w:r>
        <w:rPr>
          <w:spacing w:val="3"/>
          <w:w w:val="125"/>
          <w:sz w:val="24"/>
        </w:rPr>
        <w:t> </w:t>
      </w:r>
      <w:r>
        <w:rPr>
          <w:w w:val="125"/>
          <w:sz w:val="24"/>
        </w:rPr>
        <w:t>végzéséhez,</w:t>
      </w:r>
    </w:p>
    <w:p>
      <w:pPr>
        <w:pStyle w:val="ListParagraph"/>
        <w:numPr>
          <w:ilvl w:val="0"/>
          <w:numId w:val="76"/>
        </w:numPr>
        <w:tabs>
          <w:tab w:pos="629" w:val="left" w:leader="none"/>
        </w:tabs>
        <w:spacing w:line="256" w:lineRule="exact" w:before="0" w:after="0"/>
        <w:ind w:left="628" w:right="0" w:hanging="311"/>
        <w:jc w:val="left"/>
        <w:rPr>
          <w:sz w:val="24"/>
        </w:rPr>
      </w:pPr>
      <w:r>
        <w:rPr>
          <w:w w:val="125"/>
          <w:sz w:val="24"/>
        </w:rPr>
        <w:t>vezető állású személyének</w:t>
      </w:r>
      <w:r>
        <w:rPr>
          <w:spacing w:val="1"/>
          <w:w w:val="125"/>
          <w:sz w:val="24"/>
        </w:rPr>
        <w:t> </w:t>
      </w:r>
      <w:r>
        <w:rPr>
          <w:w w:val="125"/>
          <w:sz w:val="24"/>
        </w:rPr>
        <w:t>kinevezéséhez,</w:t>
      </w:r>
    </w:p>
    <w:p>
      <w:pPr>
        <w:pStyle w:val="ListParagraph"/>
        <w:numPr>
          <w:ilvl w:val="0"/>
          <w:numId w:val="76"/>
        </w:numPr>
        <w:tabs>
          <w:tab w:pos="577" w:val="left" w:leader="none"/>
        </w:tabs>
        <w:spacing w:line="260" w:lineRule="exact" w:before="0" w:after="0"/>
        <w:ind w:left="576" w:right="0" w:hanging="259"/>
        <w:jc w:val="left"/>
        <w:rPr>
          <w:sz w:val="24"/>
        </w:rPr>
      </w:pPr>
      <w:r>
        <w:rPr>
          <w:w w:val="125"/>
          <w:sz w:val="24"/>
        </w:rPr>
        <w:t>betétállomány-átruházásához,</w:t>
      </w:r>
      <w:r>
        <w:rPr>
          <w:spacing w:val="1"/>
          <w:w w:val="125"/>
          <w:sz w:val="24"/>
        </w:rPr>
        <w:t> </w:t>
      </w:r>
      <w:r>
        <w:rPr>
          <w:w w:val="125"/>
          <w:sz w:val="24"/>
        </w:rPr>
        <w:t>valamint</w:t>
      </w:r>
    </w:p>
    <w:p>
      <w:pPr>
        <w:pStyle w:val="ListParagraph"/>
        <w:numPr>
          <w:ilvl w:val="0"/>
          <w:numId w:val="76"/>
        </w:numPr>
        <w:tabs>
          <w:tab w:pos="653" w:val="left" w:leader="none"/>
        </w:tabs>
        <w:spacing w:line="260" w:lineRule="exact" w:before="0" w:after="0"/>
        <w:ind w:left="652" w:right="0" w:hanging="335"/>
        <w:jc w:val="left"/>
        <w:rPr>
          <w:sz w:val="24"/>
        </w:rPr>
      </w:pPr>
      <w:r>
        <w:rPr>
          <w:w w:val="130"/>
          <w:sz w:val="24"/>
        </w:rPr>
        <w:t>működésének</w:t>
      </w:r>
      <w:r>
        <w:rPr>
          <w:spacing w:val="-15"/>
          <w:w w:val="130"/>
          <w:sz w:val="24"/>
        </w:rPr>
        <w:t> </w:t>
      </w:r>
      <w:r>
        <w:rPr>
          <w:w w:val="130"/>
          <w:sz w:val="24"/>
        </w:rPr>
        <w:t>megszüntetéséhez.</w:t>
      </w:r>
    </w:p>
    <w:p>
      <w:pPr>
        <w:pStyle w:val="ListParagraph"/>
        <w:numPr>
          <w:ilvl w:val="0"/>
          <w:numId w:val="75"/>
        </w:numPr>
        <w:tabs>
          <w:tab w:pos="756" w:val="left" w:leader="none"/>
        </w:tabs>
        <w:spacing w:line="225" w:lineRule="auto" w:before="5" w:after="0"/>
        <w:ind w:left="113" w:right="127" w:firstLine="204"/>
        <w:jc w:val="left"/>
        <w:rPr>
          <w:sz w:val="24"/>
        </w:rPr>
      </w:pPr>
      <w:r>
        <w:rPr>
          <w:w w:val="125"/>
          <w:sz w:val="24"/>
        </w:rPr>
        <w:t>A Felügyelet (1) bekezdés szerinti engedélye nem szükséges hitelintézet fióktelepének másik EGT-államban történő</w:t>
      </w:r>
      <w:r>
        <w:rPr>
          <w:spacing w:val="3"/>
          <w:w w:val="125"/>
          <w:sz w:val="24"/>
        </w:rPr>
        <w:t> </w:t>
      </w:r>
      <w:r>
        <w:rPr>
          <w:w w:val="125"/>
          <w:sz w:val="24"/>
        </w:rPr>
        <w:t>létesítéséhez.</w:t>
      </w:r>
    </w:p>
    <w:p>
      <w:pPr>
        <w:pStyle w:val="ListParagraph"/>
        <w:numPr>
          <w:ilvl w:val="0"/>
          <w:numId w:val="75"/>
        </w:numPr>
        <w:tabs>
          <w:tab w:pos="857" w:val="left" w:leader="none"/>
        </w:tabs>
        <w:spacing w:line="225" w:lineRule="auto" w:before="1" w:after="0"/>
        <w:ind w:left="113" w:right="124" w:firstLine="204"/>
        <w:jc w:val="left"/>
        <w:rPr>
          <w:sz w:val="24"/>
        </w:rPr>
      </w:pPr>
      <w:r>
        <w:rPr>
          <w:w w:val="125"/>
          <w:sz w:val="24"/>
        </w:rPr>
        <w:t>A (2) bekezdés szerinti engedély nem szükséges olyan hitelintézet fióktelepe esetén, amelynek székhelye másik EGT-államban</w:t>
      </w:r>
      <w:r>
        <w:rPr>
          <w:spacing w:val="-6"/>
          <w:w w:val="125"/>
          <w:sz w:val="24"/>
        </w:rPr>
        <w:t> </w:t>
      </w:r>
      <w:r>
        <w:rPr>
          <w:w w:val="125"/>
          <w:sz w:val="24"/>
        </w:rPr>
        <w:t>van.</w:t>
      </w:r>
    </w:p>
    <w:p>
      <w:pPr>
        <w:pStyle w:val="ListParagraph"/>
        <w:numPr>
          <w:ilvl w:val="0"/>
          <w:numId w:val="75"/>
        </w:numPr>
        <w:tabs>
          <w:tab w:pos="824" w:val="left" w:leader="none"/>
        </w:tabs>
        <w:spacing w:line="225" w:lineRule="auto" w:before="2" w:after="0"/>
        <w:ind w:left="113" w:right="125" w:firstLine="204"/>
        <w:jc w:val="both"/>
        <w:rPr>
          <w:sz w:val="24"/>
        </w:rPr>
      </w:pPr>
      <w:r>
        <w:rPr>
          <w:w w:val="125"/>
          <w:sz w:val="24"/>
        </w:rPr>
        <w:t>Az (1) bekezdés </w:t>
      </w:r>
      <w:r>
        <w:rPr>
          <w:i/>
          <w:w w:val="125"/>
          <w:sz w:val="24"/>
        </w:rPr>
        <w:t>b) </w:t>
      </w:r>
      <w:r>
        <w:rPr>
          <w:w w:val="125"/>
          <w:sz w:val="24"/>
        </w:rPr>
        <w:t>és </w:t>
      </w:r>
      <w:r>
        <w:rPr>
          <w:i/>
          <w:w w:val="125"/>
          <w:sz w:val="24"/>
        </w:rPr>
        <w:t>d) </w:t>
      </w:r>
      <w:r>
        <w:rPr>
          <w:w w:val="125"/>
          <w:sz w:val="24"/>
        </w:rPr>
        <w:t>pontjában, valamint az alapszabálynak az igazgatóság jogkörét megváltoztató módosításakor a Felügyelet - ha az összevont alapú felügyeleti feladatok ellátása miatt szükséges - a határozat meghozatala előtt egyeztet azon EGT-állam illetékes felügyeleti hatóságával, amelynek székhelyén olyan hitelintézet található, amelyre az engedélyezési kérelmet benyújtó hitelintézettel együttesen az összevont alapú felügyelet kiterjed.</w:t>
      </w:r>
    </w:p>
    <w:p>
      <w:pPr>
        <w:pStyle w:val="ListParagraph"/>
        <w:numPr>
          <w:ilvl w:val="0"/>
          <w:numId w:val="68"/>
        </w:numPr>
        <w:tabs>
          <w:tab w:pos="895" w:val="left" w:leader="none"/>
        </w:tabs>
        <w:spacing w:line="225" w:lineRule="auto" w:before="3" w:after="0"/>
        <w:ind w:left="113" w:right="130" w:firstLine="204"/>
        <w:jc w:val="left"/>
        <w:rPr>
          <w:sz w:val="24"/>
        </w:rPr>
      </w:pPr>
      <w:r>
        <w:rPr>
          <w:rFonts w:ascii="Arial" w:hAnsi="Arial"/>
          <w:b/>
          <w:w w:val="120"/>
          <w:sz w:val="24"/>
        </w:rPr>
        <w:t>§ </w:t>
      </w:r>
      <w:r>
        <w:rPr>
          <w:w w:val="120"/>
          <w:sz w:val="24"/>
        </w:rPr>
        <w:t>(1) A Felügyelet engedélye szükséges - a (2) bekezdésben foglalt eltéréssel - a pénzügyi</w:t>
      </w:r>
      <w:r>
        <w:rPr>
          <w:spacing w:val="21"/>
          <w:w w:val="120"/>
          <w:sz w:val="24"/>
        </w:rPr>
        <w:t> </w:t>
      </w:r>
      <w:r>
        <w:rPr>
          <w:w w:val="120"/>
          <w:sz w:val="24"/>
        </w:rPr>
        <w:t>vállalkozás</w:t>
      </w:r>
    </w:p>
    <w:p>
      <w:pPr>
        <w:pStyle w:val="ListParagraph"/>
        <w:numPr>
          <w:ilvl w:val="0"/>
          <w:numId w:val="77"/>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7"/>
        </w:numPr>
        <w:tabs>
          <w:tab w:pos="653" w:val="left" w:leader="none"/>
        </w:tabs>
        <w:spacing w:line="260" w:lineRule="exact" w:before="0" w:after="0"/>
        <w:ind w:left="652" w:right="0" w:hanging="335"/>
        <w:jc w:val="left"/>
        <w:rPr>
          <w:sz w:val="24"/>
        </w:rPr>
      </w:pPr>
      <w:r>
        <w:rPr>
          <w:w w:val="125"/>
          <w:sz w:val="24"/>
        </w:rPr>
        <w:t>tevékenységi körének</w:t>
      </w:r>
      <w:r>
        <w:rPr>
          <w:spacing w:val="-10"/>
          <w:w w:val="125"/>
          <w:sz w:val="24"/>
        </w:rPr>
        <w:t> </w:t>
      </w:r>
      <w:r>
        <w:rPr>
          <w:w w:val="125"/>
          <w:sz w:val="24"/>
        </w:rPr>
        <w:t>módosításához,</w:t>
      </w:r>
    </w:p>
    <w:p>
      <w:pPr>
        <w:pStyle w:val="ListParagraph"/>
        <w:numPr>
          <w:ilvl w:val="0"/>
          <w:numId w:val="77"/>
        </w:numPr>
        <w:tabs>
          <w:tab w:pos="623" w:val="left" w:leader="none"/>
        </w:tabs>
        <w:spacing w:line="260" w:lineRule="exact" w:before="0" w:after="0"/>
        <w:ind w:left="622" w:right="0" w:hanging="305"/>
        <w:jc w:val="left"/>
        <w:rPr>
          <w:sz w:val="24"/>
        </w:rPr>
      </w:pPr>
      <w:r>
        <w:rPr>
          <w:w w:val="125"/>
          <w:sz w:val="24"/>
        </w:rPr>
        <w:t>átalakulásához, egyesüléséhez (beolvadás, összeolvadás),</w:t>
      </w:r>
      <w:r>
        <w:rPr>
          <w:spacing w:val="32"/>
          <w:w w:val="125"/>
          <w:sz w:val="24"/>
        </w:rPr>
        <w:t> </w:t>
      </w:r>
      <w:r>
        <w:rPr>
          <w:w w:val="125"/>
          <w:sz w:val="24"/>
        </w:rPr>
        <w:t>szétválásához,</w:t>
      </w:r>
    </w:p>
    <w:p>
      <w:pPr>
        <w:pStyle w:val="ListParagraph"/>
        <w:numPr>
          <w:ilvl w:val="0"/>
          <w:numId w:val="77"/>
        </w:numPr>
        <w:tabs>
          <w:tab w:pos="653" w:val="left" w:leader="none"/>
        </w:tabs>
        <w:spacing w:line="260" w:lineRule="exact" w:before="0" w:after="0"/>
        <w:ind w:left="652" w:right="0" w:hanging="335"/>
        <w:jc w:val="left"/>
        <w:rPr>
          <w:sz w:val="24"/>
        </w:rPr>
      </w:pPr>
      <w:r>
        <w:rPr>
          <w:w w:val="125"/>
          <w:sz w:val="24"/>
        </w:rPr>
        <w:t>vezető állású személyének megválasztásához vagy</w:t>
      </w:r>
      <w:r>
        <w:rPr>
          <w:spacing w:val="-5"/>
          <w:w w:val="125"/>
          <w:sz w:val="24"/>
        </w:rPr>
        <w:t> </w:t>
      </w:r>
      <w:r>
        <w:rPr>
          <w:w w:val="125"/>
          <w:sz w:val="24"/>
        </w:rPr>
        <w:t>kinevezéséhez,</w:t>
      </w:r>
    </w:p>
    <w:p>
      <w:pPr>
        <w:pStyle w:val="ListParagraph"/>
        <w:numPr>
          <w:ilvl w:val="0"/>
          <w:numId w:val="77"/>
        </w:numPr>
        <w:tabs>
          <w:tab w:pos="867" w:val="left" w:leader="none"/>
          <w:tab w:pos="868" w:val="left" w:leader="none"/>
          <w:tab w:pos="2543" w:val="left" w:leader="none"/>
          <w:tab w:pos="4764" w:val="left" w:leader="none"/>
          <w:tab w:pos="7056" w:val="left" w:leader="none"/>
          <w:tab w:pos="7929" w:val="left" w:leader="none"/>
          <w:tab w:pos="8379" w:val="left" w:leader="none"/>
        </w:tabs>
        <w:spacing w:line="225" w:lineRule="auto" w:before="5" w:after="0"/>
        <w:ind w:left="113" w:right="125" w:firstLine="204"/>
        <w:jc w:val="left"/>
        <w:rPr>
          <w:sz w:val="24"/>
        </w:rPr>
      </w:pPr>
      <w:r>
        <w:rPr>
          <w:w w:val="125"/>
          <w:sz w:val="24"/>
        </w:rPr>
        <w:t>befolyásoló</w:t>
        <w:tab/>
      </w:r>
      <w:r>
        <w:rPr>
          <w:w w:val="130"/>
          <w:sz w:val="24"/>
        </w:rPr>
        <w:t>részesedésének</w:t>
        <w:tab/>
        <w:t>megszerzéséhez</w:t>
        <w:tab/>
        <w:t>vagy</w:t>
        <w:tab/>
        <w:t>a</w:t>
        <w:tab/>
      </w:r>
      <w:r>
        <w:rPr>
          <w:spacing w:val="-1"/>
          <w:w w:val="120"/>
          <w:sz w:val="24"/>
        </w:rPr>
        <w:t>befolyásoló </w:t>
      </w:r>
      <w:r>
        <w:rPr>
          <w:w w:val="130"/>
          <w:sz w:val="24"/>
        </w:rPr>
        <w:t>részesedés e törvényben meghatározott mértéket elérő</w:t>
      </w:r>
      <w:r>
        <w:rPr>
          <w:spacing w:val="-42"/>
          <w:w w:val="130"/>
          <w:sz w:val="24"/>
        </w:rPr>
        <w:t> </w:t>
      </w:r>
      <w:r>
        <w:rPr>
          <w:w w:val="130"/>
          <w:sz w:val="24"/>
        </w:rPr>
        <w:t>növeléséhez,</w:t>
      </w:r>
    </w:p>
    <w:p>
      <w:pPr>
        <w:pStyle w:val="ListParagraph"/>
        <w:numPr>
          <w:ilvl w:val="0"/>
          <w:numId w:val="77"/>
        </w:numPr>
        <w:tabs>
          <w:tab w:pos="665" w:val="left" w:leader="none"/>
        </w:tabs>
        <w:spacing w:line="225" w:lineRule="auto" w:before="1" w:after="0"/>
        <w:ind w:left="113" w:right="136" w:firstLine="204"/>
        <w:jc w:val="left"/>
        <w:rPr>
          <w:sz w:val="24"/>
        </w:rPr>
      </w:pPr>
      <w:r>
        <w:rPr>
          <w:w w:val="125"/>
          <w:sz w:val="24"/>
        </w:rPr>
        <w:t>pénzügyi szolgáltatási tevékenységének kiemelt közvetítő vagy többes kiemelt közvetítő igénybevételével történő végzéséhez,</w:t>
      </w:r>
      <w:r>
        <w:rPr>
          <w:spacing w:val="5"/>
          <w:w w:val="125"/>
          <w:sz w:val="24"/>
        </w:rPr>
        <w:t> </w:t>
      </w:r>
      <w:r>
        <w:rPr>
          <w:w w:val="125"/>
          <w:sz w:val="24"/>
        </w:rPr>
        <w:t>valamint</w:t>
      </w:r>
    </w:p>
    <w:p>
      <w:pPr>
        <w:pStyle w:val="ListParagraph"/>
        <w:numPr>
          <w:ilvl w:val="0"/>
          <w:numId w:val="77"/>
        </w:numPr>
        <w:tabs>
          <w:tab w:pos="653" w:val="left" w:leader="none"/>
        </w:tabs>
        <w:spacing w:line="256" w:lineRule="exact" w:before="0" w:after="0"/>
        <w:ind w:left="652" w:right="0" w:hanging="335"/>
        <w:jc w:val="left"/>
        <w:rPr>
          <w:sz w:val="24"/>
        </w:rPr>
      </w:pPr>
      <w:r>
        <w:rPr>
          <w:w w:val="130"/>
          <w:sz w:val="24"/>
        </w:rPr>
        <w:t>működésének</w:t>
      </w:r>
      <w:r>
        <w:rPr>
          <w:spacing w:val="-15"/>
          <w:w w:val="130"/>
          <w:sz w:val="24"/>
        </w:rPr>
        <w:t> </w:t>
      </w:r>
      <w:r>
        <w:rPr>
          <w:w w:val="130"/>
          <w:sz w:val="24"/>
        </w:rPr>
        <w:t>megszüntetéséhez.</w:t>
      </w:r>
    </w:p>
    <w:p>
      <w:pPr>
        <w:pStyle w:val="ListParagraph"/>
        <w:numPr>
          <w:ilvl w:val="0"/>
          <w:numId w:val="78"/>
        </w:numPr>
        <w:tabs>
          <w:tab w:pos="858" w:val="left" w:leader="none"/>
          <w:tab w:pos="8794" w:val="left" w:leader="none"/>
        </w:tabs>
        <w:spacing w:line="225" w:lineRule="auto" w:before="6" w:after="0"/>
        <w:ind w:left="113" w:right="115" w:firstLine="204"/>
        <w:jc w:val="left"/>
        <w:rPr>
          <w:sz w:val="24"/>
        </w:rPr>
      </w:pPr>
      <w:r>
        <w:rPr>
          <w:w w:val="125"/>
          <w:sz w:val="24"/>
        </w:rPr>
        <w:t>A   Felügyelet   engedélye   szükséges   a</w:t>
      </w:r>
      <w:r>
        <w:rPr>
          <w:spacing w:val="41"/>
          <w:w w:val="125"/>
          <w:sz w:val="24"/>
        </w:rPr>
        <w:t> </w:t>
      </w:r>
      <w:r>
        <w:rPr>
          <w:w w:val="125"/>
          <w:sz w:val="24"/>
        </w:rPr>
        <w:t>fióktelep </w:t>
      </w:r>
      <w:r>
        <w:rPr>
          <w:spacing w:val="54"/>
          <w:w w:val="125"/>
          <w:sz w:val="24"/>
        </w:rPr>
        <w:t> </w:t>
      </w:r>
      <w:r>
        <w:rPr>
          <w:w w:val="125"/>
          <w:sz w:val="24"/>
        </w:rPr>
        <w:t>formájában</w:t>
        <w:tab/>
      </w:r>
      <w:r>
        <w:rPr>
          <w:spacing w:val="-4"/>
          <w:w w:val="125"/>
          <w:sz w:val="24"/>
        </w:rPr>
        <w:t>működő </w:t>
      </w:r>
      <w:r>
        <w:rPr>
          <w:w w:val="125"/>
          <w:sz w:val="24"/>
        </w:rPr>
        <w:t>pénzügyi vállalkozás</w:t>
      </w:r>
    </w:p>
    <w:p>
      <w:pPr>
        <w:pStyle w:val="ListParagraph"/>
        <w:numPr>
          <w:ilvl w:val="0"/>
          <w:numId w:val="79"/>
        </w:numPr>
        <w:tabs>
          <w:tab w:pos="631" w:val="left" w:leader="none"/>
        </w:tabs>
        <w:spacing w:line="256" w:lineRule="exact" w:before="0" w:after="0"/>
        <w:ind w:left="630" w:right="0" w:hanging="313"/>
        <w:jc w:val="left"/>
        <w:rPr>
          <w:sz w:val="24"/>
        </w:rPr>
      </w:pPr>
      <w:r>
        <w:rPr>
          <w:w w:val="130"/>
          <w:sz w:val="24"/>
        </w:rPr>
        <w:t>alapításához,</w:t>
      </w:r>
    </w:p>
    <w:p>
      <w:pPr>
        <w:pStyle w:val="ListParagraph"/>
        <w:numPr>
          <w:ilvl w:val="0"/>
          <w:numId w:val="79"/>
        </w:numPr>
        <w:tabs>
          <w:tab w:pos="653" w:val="left" w:leader="none"/>
        </w:tabs>
        <w:spacing w:line="268" w:lineRule="exact" w:before="0" w:after="0"/>
        <w:ind w:left="652" w:right="0" w:hanging="335"/>
        <w:jc w:val="left"/>
        <w:rPr>
          <w:sz w:val="24"/>
        </w:rPr>
      </w:pPr>
      <w:r>
        <w:rPr>
          <w:w w:val="125"/>
          <w:sz w:val="24"/>
        </w:rPr>
        <w:t>tevékenységi körének</w:t>
      </w:r>
      <w:r>
        <w:rPr>
          <w:spacing w:val="-10"/>
          <w:w w:val="125"/>
          <w:sz w:val="24"/>
        </w:rPr>
        <w:t> </w:t>
      </w:r>
      <w:r>
        <w:rPr>
          <w:w w:val="125"/>
          <w:sz w:val="24"/>
        </w:rPr>
        <w:t>módosításához,</w:t>
      </w:r>
    </w:p>
    <w:p>
      <w:pPr>
        <w:spacing w:after="0" w:line="268" w:lineRule="exact"/>
        <w:jc w:val="left"/>
        <w:rPr>
          <w:sz w:val="24"/>
        </w:rPr>
        <w:sectPr>
          <w:pgSz w:w="11900" w:h="16820"/>
          <w:pgMar w:header="1104" w:footer="0" w:top="1840" w:bottom="280" w:left="1020" w:right="1000"/>
        </w:sectPr>
      </w:pPr>
    </w:p>
    <w:p>
      <w:pPr>
        <w:pStyle w:val="ListParagraph"/>
        <w:numPr>
          <w:ilvl w:val="0"/>
          <w:numId w:val="79"/>
        </w:numPr>
        <w:tabs>
          <w:tab w:pos="623" w:val="left" w:leader="none"/>
        </w:tabs>
        <w:spacing w:line="268" w:lineRule="exact" w:before="159" w:after="0"/>
        <w:ind w:left="622" w:right="0" w:hanging="305"/>
        <w:jc w:val="left"/>
        <w:rPr>
          <w:sz w:val="24"/>
        </w:rPr>
      </w:pPr>
      <w:r>
        <w:rPr>
          <w:w w:val="125"/>
          <w:sz w:val="24"/>
        </w:rPr>
        <w:t>vezető állású személyének</w:t>
      </w:r>
      <w:r>
        <w:rPr>
          <w:spacing w:val="1"/>
          <w:w w:val="125"/>
          <w:sz w:val="24"/>
        </w:rPr>
        <w:t> </w:t>
      </w:r>
      <w:r>
        <w:rPr>
          <w:w w:val="125"/>
          <w:sz w:val="24"/>
        </w:rPr>
        <w:t>kinevezéséhez,</w:t>
      </w:r>
    </w:p>
    <w:p>
      <w:pPr>
        <w:pStyle w:val="ListParagraph"/>
        <w:numPr>
          <w:ilvl w:val="0"/>
          <w:numId w:val="79"/>
        </w:numPr>
        <w:tabs>
          <w:tab w:pos="720" w:val="left" w:leader="none"/>
        </w:tabs>
        <w:spacing w:line="225" w:lineRule="auto" w:before="6" w:after="0"/>
        <w:ind w:left="113" w:right="136" w:firstLine="204"/>
        <w:jc w:val="both"/>
        <w:rPr>
          <w:sz w:val="24"/>
        </w:rPr>
      </w:pPr>
      <w:r>
        <w:rPr>
          <w:w w:val="125"/>
          <w:sz w:val="24"/>
        </w:rPr>
        <w:t>pénzügyi szolgáltatási tevékenységének kiemelt közvetítő vagy többes kiemelt közvetítő igénybevételével történő végzéséhez,</w:t>
      </w:r>
      <w:r>
        <w:rPr>
          <w:spacing w:val="5"/>
          <w:w w:val="125"/>
          <w:sz w:val="24"/>
        </w:rPr>
        <w:t> </w:t>
      </w:r>
      <w:r>
        <w:rPr>
          <w:w w:val="125"/>
          <w:sz w:val="24"/>
        </w:rPr>
        <w:t>valamint</w:t>
      </w:r>
    </w:p>
    <w:p>
      <w:pPr>
        <w:pStyle w:val="ListParagraph"/>
        <w:numPr>
          <w:ilvl w:val="0"/>
          <w:numId w:val="79"/>
        </w:numPr>
        <w:tabs>
          <w:tab w:pos="629" w:val="left" w:leader="none"/>
        </w:tabs>
        <w:spacing w:line="256" w:lineRule="exact" w:before="0" w:after="0"/>
        <w:ind w:left="628" w:right="0" w:hanging="311"/>
        <w:jc w:val="left"/>
        <w:rPr>
          <w:sz w:val="24"/>
        </w:rPr>
      </w:pPr>
      <w:r>
        <w:rPr>
          <w:w w:val="130"/>
          <w:sz w:val="24"/>
        </w:rPr>
        <w:t>működésének</w:t>
      </w:r>
      <w:r>
        <w:rPr>
          <w:spacing w:val="-5"/>
          <w:w w:val="130"/>
          <w:sz w:val="24"/>
        </w:rPr>
        <w:t> </w:t>
      </w:r>
      <w:r>
        <w:rPr>
          <w:w w:val="130"/>
          <w:sz w:val="24"/>
        </w:rPr>
        <w:t>megszüntetéséhez.</w:t>
      </w:r>
    </w:p>
    <w:p>
      <w:pPr>
        <w:pStyle w:val="ListParagraph"/>
        <w:numPr>
          <w:ilvl w:val="0"/>
          <w:numId w:val="78"/>
        </w:numPr>
        <w:tabs>
          <w:tab w:pos="799" w:val="left" w:leader="none"/>
        </w:tabs>
        <w:spacing w:line="225" w:lineRule="auto" w:before="5" w:after="0"/>
        <w:ind w:left="113" w:right="131" w:firstLine="204"/>
        <w:jc w:val="both"/>
        <w:rPr>
          <w:sz w:val="24"/>
        </w:rPr>
      </w:pPr>
      <w:r>
        <w:rPr>
          <w:w w:val="125"/>
          <w:sz w:val="24"/>
        </w:rPr>
        <w:t>A pénzügyi vállalkozás alapítására adott engedély a tevékenységi kör megállapításához és a tevékenység megkezdéséhez szükséges engedélyt is tartalmazza.</w:t>
      </w:r>
    </w:p>
    <w:p>
      <w:pPr>
        <w:pStyle w:val="ListParagraph"/>
        <w:numPr>
          <w:ilvl w:val="0"/>
          <w:numId w:val="78"/>
        </w:numPr>
        <w:tabs>
          <w:tab w:pos="864" w:val="left" w:leader="none"/>
        </w:tabs>
        <w:spacing w:line="225" w:lineRule="auto" w:before="2" w:after="0"/>
        <w:ind w:left="113" w:right="127" w:firstLine="204"/>
        <w:jc w:val="both"/>
        <w:rPr>
          <w:sz w:val="24"/>
        </w:rPr>
      </w:pPr>
      <w:r>
        <w:rPr>
          <w:w w:val="125"/>
          <w:sz w:val="24"/>
        </w:rPr>
        <w:t>A (2) bekezdésben meghatározott engedély nem szükséges, ha  a pénzügyi vállalkozás székhelye EGT-államban van,</w:t>
      </w:r>
      <w:r>
        <w:rPr>
          <w:spacing w:val="-8"/>
          <w:w w:val="125"/>
          <w:sz w:val="24"/>
        </w:rPr>
        <w:t> </w:t>
      </w:r>
      <w:r>
        <w:rPr>
          <w:w w:val="125"/>
          <w:sz w:val="24"/>
        </w:rPr>
        <w:t>és</w:t>
      </w:r>
    </w:p>
    <w:p>
      <w:pPr>
        <w:pStyle w:val="ListParagraph"/>
        <w:numPr>
          <w:ilvl w:val="0"/>
          <w:numId w:val="80"/>
        </w:numPr>
        <w:tabs>
          <w:tab w:pos="631" w:val="left" w:leader="none"/>
        </w:tabs>
        <w:spacing w:line="256" w:lineRule="exact" w:before="0" w:after="0"/>
        <w:ind w:left="630" w:right="0" w:hanging="313"/>
        <w:jc w:val="left"/>
        <w:rPr>
          <w:sz w:val="24"/>
        </w:rPr>
      </w:pPr>
      <w:r>
        <w:rPr>
          <w:w w:val="125"/>
          <w:sz w:val="24"/>
        </w:rPr>
        <w:t>a pénzügyi vállalkozás</w:t>
      </w:r>
    </w:p>
    <w:p>
      <w:pPr>
        <w:pStyle w:val="BodyText"/>
        <w:spacing w:line="225" w:lineRule="auto" w:before="5"/>
        <w:ind w:right="128"/>
        <w:jc w:val="both"/>
      </w:pPr>
      <w:r>
        <w:rPr>
          <w:i/>
          <w:w w:val="130"/>
        </w:rPr>
        <w:t>aa) </w:t>
      </w:r>
      <w:r>
        <w:rPr>
          <w:w w:val="130"/>
        </w:rPr>
        <w:t>leányvállalata vagy közös vezetésű vállalata olyan hitelintézetnek, </w:t>
      </w:r>
      <w:r>
        <w:rPr>
          <w:w w:val="125"/>
        </w:rPr>
        <w:t>amelynek székhelye a pénzügyi vállalkozás székhelyével azonos EGT-államban </w:t>
      </w:r>
      <w:r>
        <w:rPr>
          <w:w w:val="130"/>
        </w:rPr>
        <w:t>van, vagy</w:t>
      </w:r>
    </w:p>
    <w:p>
      <w:pPr>
        <w:pStyle w:val="BodyText"/>
        <w:spacing w:line="225" w:lineRule="auto" w:before="2"/>
        <w:ind w:right="125"/>
        <w:jc w:val="both"/>
      </w:pPr>
      <w:r>
        <w:rPr>
          <w:i/>
          <w:w w:val="125"/>
        </w:rPr>
        <w:t>ab) </w:t>
      </w:r>
      <w:r>
        <w:rPr>
          <w:w w:val="125"/>
        </w:rPr>
        <w:t>leányvállalata vagy közös vezetésű vállalata olyan pénzügyi vállalkozásnak, amely megfelel az </w:t>
      </w:r>
      <w:r>
        <w:rPr>
          <w:i/>
          <w:w w:val="125"/>
        </w:rPr>
        <w:t>aa) </w:t>
      </w:r>
      <w:r>
        <w:rPr>
          <w:w w:val="125"/>
        </w:rPr>
        <w:t>alpontban meghatározott feltételnek és székhelye a leányvállalatával azonos EGT-államban van, és</w:t>
      </w:r>
    </w:p>
    <w:p>
      <w:pPr>
        <w:pStyle w:val="ListParagraph"/>
        <w:numPr>
          <w:ilvl w:val="0"/>
          <w:numId w:val="80"/>
        </w:numPr>
        <w:tabs>
          <w:tab w:pos="653" w:val="left" w:leader="none"/>
        </w:tabs>
        <w:spacing w:line="256" w:lineRule="exact" w:before="0" w:after="0"/>
        <w:ind w:left="652" w:right="0" w:hanging="335"/>
        <w:jc w:val="left"/>
        <w:rPr>
          <w:sz w:val="24"/>
        </w:rPr>
      </w:pPr>
      <w:r>
        <w:rPr>
          <w:w w:val="130"/>
          <w:sz w:val="24"/>
        </w:rPr>
        <w:t>tevékenységét</w:t>
      </w:r>
      <w:r>
        <w:rPr>
          <w:spacing w:val="-26"/>
          <w:w w:val="130"/>
          <w:sz w:val="24"/>
        </w:rPr>
        <w:t> </w:t>
      </w:r>
      <w:r>
        <w:rPr>
          <w:w w:val="130"/>
          <w:sz w:val="24"/>
        </w:rPr>
        <w:t>abban</w:t>
      </w:r>
      <w:r>
        <w:rPr>
          <w:spacing w:val="-17"/>
          <w:w w:val="130"/>
          <w:sz w:val="24"/>
        </w:rPr>
        <w:t> </w:t>
      </w:r>
      <w:r>
        <w:rPr>
          <w:w w:val="130"/>
          <w:sz w:val="24"/>
        </w:rPr>
        <w:t>az</w:t>
      </w:r>
      <w:r>
        <w:rPr>
          <w:spacing w:val="-17"/>
          <w:w w:val="130"/>
          <w:sz w:val="24"/>
        </w:rPr>
        <w:t> </w:t>
      </w:r>
      <w:r>
        <w:rPr>
          <w:w w:val="130"/>
          <w:sz w:val="24"/>
        </w:rPr>
        <w:t>EGT-államban</w:t>
      </w:r>
      <w:r>
        <w:rPr>
          <w:spacing w:val="-16"/>
          <w:w w:val="130"/>
          <w:sz w:val="24"/>
        </w:rPr>
        <w:t> </w:t>
      </w:r>
      <w:r>
        <w:rPr>
          <w:w w:val="130"/>
          <w:sz w:val="24"/>
        </w:rPr>
        <w:t>végzi,</w:t>
      </w:r>
      <w:r>
        <w:rPr>
          <w:spacing w:val="-17"/>
          <w:w w:val="130"/>
          <w:sz w:val="24"/>
        </w:rPr>
        <w:t> </w:t>
      </w:r>
      <w:r>
        <w:rPr>
          <w:w w:val="130"/>
          <w:sz w:val="24"/>
        </w:rPr>
        <w:t>ahol</w:t>
      </w:r>
      <w:r>
        <w:rPr>
          <w:spacing w:val="-17"/>
          <w:w w:val="130"/>
          <w:sz w:val="24"/>
        </w:rPr>
        <w:t> </w:t>
      </w:r>
      <w:r>
        <w:rPr>
          <w:w w:val="130"/>
          <w:sz w:val="24"/>
        </w:rPr>
        <w:t>a</w:t>
      </w:r>
      <w:r>
        <w:rPr>
          <w:spacing w:val="-17"/>
          <w:w w:val="130"/>
          <w:sz w:val="24"/>
        </w:rPr>
        <w:t> </w:t>
      </w:r>
      <w:r>
        <w:rPr>
          <w:w w:val="130"/>
          <w:sz w:val="24"/>
        </w:rPr>
        <w:t>székhelye</w:t>
      </w:r>
      <w:r>
        <w:rPr>
          <w:spacing w:val="-16"/>
          <w:w w:val="130"/>
          <w:sz w:val="24"/>
        </w:rPr>
        <w:t> </w:t>
      </w:r>
      <w:r>
        <w:rPr>
          <w:w w:val="130"/>
          <w:sz w:val="24"/>
        </w:rPr>
        <w:t>van,</w:t>
      </w:r>
    </w:p>
    <w:p>
      <w:pPr>
        <w:pStyle w:val="ListParagraph"/>
        <w:numPr>
          <w:ilvl w:val="0"/>
          <w:numId w:val="80"/>
        </w:numPr>
        <w:tabs>
          <w:tab w:pos="623" w:val="left" w:leader="none"/>
        </w:tabs>
        <w:spacing w:line="260" w:lineRule="exact" w:before="0" w:after="0"/>
        <w:ind w:left="622" w:right="0" w:hanging="305"/>
        <w:jc w:val="left"/>
        <w:rPr>
          <w:sz w:val="24"/>
        </w:rPr>
      </w:pPr>
      <w:r>
        <w:rPr>
          <w:w w:val="125"/>
          <w:sz w:val="24"/>
        </w:rPr>
        <w:t>az anyavállalat a szavazati jog legalább kilencven százalékát</w:t>
      </w:r>
      <w:r>
        <w:rPr>
          <w:spacing w:val="18"/>
          <w:w w:val="125"/>
          <w:sz w:val="24"/>
        </w:rPr>
        <w:t> </w:t>
      </w:r>
      <w:r>
        <w:rPr>
          <w:w w:val="125"/>
          <w:sz w:val="24"/>
        </w:rPr>
        <w:t>gyakorolja,</w:t>
      </w:r>
    </w:p>
    <w:p>
      <w:pPr>
        <w:pStyle w:val="ListParagraph"/>
        <w:numPr>
          <w:ilvl w:val="0"/>
          <w:numId w:val="80"/>
        </w:numPr>
        <w:tabs>
          <w:tab w:pos="674" w:val="left" w:leader="none"/>
        </w:tabs>
        <w:spacing w:line="225" w:lineRule="auto" w:before="5" w:after="0"/>
        <w:ind w:left="113" w:right="128" w:firstLine="204"/>
        <w:jc w:val="both"/>
        <w:rPr>
          <w:sz w:val="24"/>
        </w:rPr>
      </w:pPr>
      <w:r>
        <w:rPr>
          <w:w w:val="125"/>
          <w:sz w:val="24"/>
        </w:rPr>
        <w:t>az anyavállalat a Felügyeletnek bemutatja a székhely szerinti EGT-állam illetékes felügyeleti hatóságának igazolását arról, hogy a pénzügyi vállalkozás irányítását óvatos és körültekintő módon látja</w:t>
      </w:r>
      <w:r>
        <w:rPr>
          <w:spacing w:val="8"/>
          <w:w w:val="125"/>
          <w:sz w:val="24"/>
        </w:rPr>
        <w:t> </w:t>
      </w:r>
      <w:r>
        <w:rPr>
          <w:w w:val="125"/>
          <w:sz w:val="24"/>
        </w:rPr>
        <w:t>el,</w:t>
      </w:r>
    </w:p>
    <w:p>
      <w:pPr>
        <w:pStyle w:val="ListParagraph"/>
        <w:numPr>
          <w:ilvl w:val="0"/>
          <w:numId w:val="80"/>
        </w:numPr>
        <w:tabs>
          <w:tab w:pos="683" w:val="left" w:leader="none"/>
        </w:tabs>
        <w:spacing w:line="225" w:lineRule="auto" w:before="2" w:after="0"/>
        <w:ind w:left="113" w:right="125" w:firstLine="204"/>
        <w:jc w:val="both"/>
        <w:rPr>
          <w:sz w:val="24"/>
        </w:rPr>
      </w:pPr>
      <w:r>
        <w:rPr>
          <w:w w:val="125"/>
          <w:sz w:val="24"/>
        </w:rPr>
        <w:t>az anyavállalat - az illetékes felügyeleti hatóságának hozzájárulásával - egyetemleges felelősséget vállal a pénzügyi vállalkozás kötelezettségéért,</w:t>
      </w:r>
      <w:r>
        <w:rPr>
          <w:spacing w:val="72"/>
          <w:w w:val="125"/>
          <w:sz w:val="24"/>
        </w:rPr>
        <w:t> </w:t>
      </w:r>
      <w:r>
        <w:rPr>
          <w:w w:val="125"/>
          <w:sz w:val="24"/>
        </w:rPr>
        <w:t>és</w:t>
      </w:r>
    </w:p>
    <w:p>
      <w:pPr>
        <w:pStyle w:val="ListParagraph"/>
        <w:numPr>
          <w:ilvl w:val="0"/>
          <w:numId w:val="80"/>
        </w:numPr>
        <w:tabs>
          <w:tab w:pos="577" w:val="left" w:leader="none"/>
        </w:tabs>
        <w:spacing w:line="256" w:lineRule="exact" w:before="0" w:after="0"/>
        <w:ind w:left="576" w:right="0" w:hanging="259"/>
        <w:jc w:val="left"/>
        <w:rPr>
          <w:sz w:val="24"/>
        </w:rPr>
      </w:pPr>
      <w:r>
        <w:rPr>
          <w:w w:val="125"/>
          <w:sz w:val="24"/>
        </w:rPr>
        <w:t>a pénzügyi vállalkozás az anyavállalatával összevont felügyelet alatt</w:t>
      </w:r>
      <w:r>
        <w:rPr>
          <w:spacing w:val="7"/>
          <w:w w:val="125"/>
          <w:sz w:val="24"/>
        </w:rPr>
        <w:t> </w:t>
      </w:r>
      <w:r>
        <w:rPr>
          <w:w w:val="125"/>
          <w:sz w:val="24"/>
        </w:rPr>
        <w:t>áll.</w:t>
      </w:r>
    </w:p>
    <w:p>
      <w:pPr>
        <w:pStyle w:val="ListParagraph"/>
        <w:numPr>
          <w:ilvl w:val="0"/>
          <w:numId w:val="78"/>
        </w:numPr>
        <w:tabs>
          <w:tab w:pos="787" w:val="left" w:leader="none"/>
        </w:tabs>
        <w:spacing w:line="225" w:lineRule="auto" w:before="6" w:after="0"/>
        <w:ind w:left="113" w:right="128" w:firstLine="204"/>
        <w:jc w:val="both"/>
        <w:rPr>
          <w:sz w:val="24"/>
        </w:rPr>
      </w:pPr>
      <w:r>
        <w:rPr>
          <w:w w:val="125"/>
          <w:sz w:val="24"/>
        </w:rPr>
        <w:t>Kizárólag csoportfinanszírozást végző pénzügyi vállalkozásként történő működés megkezdésére vonatkozó engedély iránti kérelmet pénzügyi intézménynek nem minősülő vállalkozás az alapítása után is benyújthat azzal, hogy az engedély megadásának nem feltétele a központi hitelinformációs rendszerről szóló törvényben meghatározott központi hitelinformációs rendszerhez történő csatlakozásról szóló</w:t>
      </w:r>
      <w:r>
        <w:rPr>
          <w:spacing w:val="10"/>
          <w:w w:val="125"/>
          <w:sz w:val="24"/>
        </w:rPr>
        <w:t> </w:t>
      </w:r>
      <w:r>
        <w:rPr>
          <w:w w:val="125"/>
          <w:sz w:val="24"/>
        </w:rPr>
        <w:t>nyilatkozat.</w:t>
      </w:r>
    </w:p>
    <w:p>
      <w:pPr>
        <w:pStyle w:val="ListParagraph"/>
        <w:numPr>
          <w:ilvl w:val="0"/>
          <w:numId w:val="68"/>
        </w:numPr>
        <w:tabs>
          <w:tab w:pos="898" w:val="left" w:leader="none"/>
        </w:tabs>
        <w:spacing w:line="225" w:lineRule="auto" w:before="2" w:after="0"/>
        <w:ind w:left="113" w:right="132" w:firstLine="204"/>
        <w:jc w:val="both"/>
        <w:rPr>
          <w:sz w:val="24"/>
        </w:rPr>
      </w:pPr>
      <w:r>
        <w:rPr>
          <w:rFonts w:ascii="Arial" w:hAnsi="Arial"/>
          <w:b/>
          <w:w w:val="125"/>
          <w:sz w:val="24"/>
        </w:rPr>
        <w:t>§ </w:t>
      </w:r>
      <w:r>
        <w:rPr>
          <w:w w:val="125"/>
          <w:sz w:val="24"/>
        </w:rPr>
        <w:t>A Felügyelet az e törvényben meghatározott engedélyt határozott időre, feltételhez kötötten, valamint korlátozott tevékenységi körrel, területi korlátozással, a pénzügyi szolgáltatási tevékenységen belül pedig  üzletági  vagy termékkorlátozással is</w:t>
      </w:r>
      <w:r>
        <w:rPr>
          <w:spacing w:val="3"/>
          <w:w w:val="125"/>
          <w:sz w:val="24"/>
        </w:rPr>
        <w:t> </w:t>
      </w:r>
      <w:r>
        <w:rPr>
          <w:w w:val="125"/>
          <w:sz w:val="24"/>
        </w:rPr>
        <w:t>megadhatja.</w:t>
      </w:r>
    </w:p>
    <w:p>
      <w:pPr>
        <w:pStyle w:val="ListParagraph"/>
        <w:numPr>
          <w:ilvl w:val="0"/>
          <w:numId w:val="68"/>
        </w:numPr>
        <w:tabs>
          <w:tab w:pos="897" w:val="left" w:leader="none"/>
        </w:tabs>
        <w:spacing w:line="251" w:lineRule="exact" w:before="0" w:after="0"/>
        <w:ind w:left="896" w:right="0" w:hanging="579"/>
        <w:jc w:val="left"/>
        <w:rPr>
          <w:sz w:val="24"/>
        </w:rPr>
      </w:pPr>
      <w:r>
        <w:rPr>
          <w:rFonts w:ascii="Arial" w:hAnsi="Arial"/>
          <w:b/>
          <w:w w:val="120"/>
          <w:sz w:val="24"/>
        </w:rPr>
        <w:t>§</w:t>
      </w:r>
      <w:r>
        <w:rPr>
          <w:i/>
          <w:w w:val="120"/>
          <w:position w:val="3"/>
          <w:sz w:val="18"/>
        </w:rPr>
        <w:t>1</w:t>
      </w:r>
      <w:r>
        <w:rPr>
          <w:i/>
          <w:spacing w:val="26"/>
          <w:w w:val="120"/>
          <w:position w:val="3"/>
          <w:sz w:val="18"/>
        </w:rPr>
        <w:t> </w:t>
      </w:r>
      <w:r>
        <w:rPr>
          <w:w w:val="120"/>
          <w:sz w:val="24"/>
        </w:rPr>
        <w:t>(1)</w:t>
      </w:r>
      <w:r>
        <w:rPr>
          <w:spacing w:val="36"/>
          <w:w w:val="120"/>
          <w:sz w:val="24"/>
        </w:rPr>
        <w:t> </w:t>
      </w:r>
      <w:r>
        <w:rPr>
          <w:w w:val="120"/>
          <w:sz w:val="24"/>
        </w:rPr>
        <w:t>A</w:t>
      </w:r>
      <w:r>
        <w:rPr>
          <w:spacing w:val="35"/>
          <w:w w:val="120"/>
          <w:sz w:val="24"/>
        </w:rPr>
        <w:t> </w:t>
      </w:r>
      <w:r>
        <w:rPr>
          <w:w w:val="120"/>
          <w:sz w:val="24"/>
        </w:rPr>
        <w:t>betétállomány</w:t>
      </w:r>
      <w:r>
        <w:rPr>
          <w:spacing w:val="36"/>
          <w:w w:val="120"/>
          <w:sz w:val="24"/>
        </w:rPr>
        <w:t> </w:t>
      </w:r>
      <w:r>
        <w:rPr>
          <w:w w:val="120"/>
          <w:sz w:val="24"/>
        </w:rPr>
        <w:t>és</w:t>
      </w:r>
      <w:r>
        <w:rPr>
          <w:spacing w:val="35"/>
          <w:w w:val="120"/>
          <w:sz w:val="24"/>
        </w:rPr>
        <w:t> </w:t>
      </w:r>
      <w:r>
        <w:rPr>
          <w:w w:val="120"/>
          <w:sz w:val="24"/>
        </w:rPr>
        <w:t>más</w:t>
      </w:r>
      <w:r>
        <w:rPr>
          <w:spacing w:val="36"/>
          <w:w w:val="120"/>
          <w:sz w:val="24"/>
        </w:rPr>
        <w:t> </w:t>
      </w:r>
      <w:r>
        <w:rPr>
          <w:w w:val="120"/>
          <w:sz w:val="24"/>
        </w:rPr>
        <w:t>visszafizetendő</w:t>
      </w:r>
      <w:r>
        <w:rPr>
          <w:spacing w:val="35"/>
          <w:w w:val="120"/>
          <w:sz w:val="24"/>
        </w:rPr>
        <w:t> </w:t>
      </w:r>
      <w:r>
        <w:rPr>
          <w:w w:val="120"/>
          <w:sz w:val="24"/>
        </w:rPr>
        <w:t>pénzeszköz,</w:t>
      </w:r>
      <w:r>
        <w:rPr>
          <w:spacing w:val="35"/>
          <w:w w:val="120"/>
          <w:sz w:val="24"/>
        </w:rPr>
        <w:t> </w:t>
      </w:r>
      <w:r>
        <w:rPr>
          <w:w w:val="120"/>
          <w:sz w:val="24"/>
        </w:rPr>
        <w:t>valamint</w:t>
      </w:r>
    </w:p>
    <w:p>
      <w:pPr>
        <w:pStyle w:val="BodyText"/>
        <w:spacing w:line="225" w:lineRule="auto" w:before="12"/>
        <w:ind w:right="113" w:firstLine="0"/>
        <w:jc w:val="both"/>
      </w:pPr>
      <w:r>
        <w:rPr>
          <w:w w:val="125"/>
        </w:rPr>
        <w:t>pénzforgalmi szolgáltatási keretszerződés-állomány - az átadó és az átvevő hitelintézet közötti megállapodás alapján - a Felügyelet engedélyével átruházható. Az állományátruházás során a Ptk. szerződésátruházásra  vonatkozó szabályait azzal az eltéréssel kell alkalmazni, hogy az állományátruházás esetén a szerződés biztosítékai nem szűnnek meg, továbbá az állományátruházáshoz nem szükséges a szerződésben maradó fél jognyilatkozata. A Felügyelet engedélye nem helyettesíti a Gazdasági Versenyhivatalnak a tisztességtelen piaci magatartás és a versenykorlátozás tilalmáról szóló 1996. évi LVII. törvény szerinti</w:t>
      </w:r>
      <w:r>
        <w:rPr>
          <w:spacing w:val="-8"/>
          <w:w w:val="125"/>
        </w:rPr>
        <w:t> </w:t>
      </w:r>
      <w:r>
        <w:rPr>
          <w:w w:val="125"/>
        </w:rPr>
        <w:t>engedélyét.</w:t>
      </w:r>
    </w:p>
    <w:p>
      <w:pPr>
        <w:pStyle w:val="ListParagraph"/>
        <w:numPr>
          <w:ilvl w:val="0"/>
          <w:numId w:val="81"/>
        </w:numPr>
        <w:tabs>
          <w:tab w:pos="734" w:val="left" w:leader="none"/>
        </w:tabs>
        <w:spacing w:line="260" w:lineRule="exact" w:before="0" w:after="0"/>
        <w:ind w:left="733" w:right="0" w:hanging="416"/>
        <w:jc w:val="left"/>
        <w:rPr>
          <w:sz w:val="24"/>
        </w:rPr>
      </w:pPr>
      <w:r>
        <w:rPr>
          <w:w w:val="125"/>
          <w:sz w:val="24"/>
        </w:rPr>
        <w:t>Az állományátruházás engedélyezése iránti kérelemnek tartalmaznia</w:t>
      </w:r>
      <w:r>
        <w:rPr>
          <w:spacing w:val="61"/>
          <w:w w:val="125"/>
          <w:sz w:val="24"/>
        </w:rPr>
        <w:t> </w:t>
      </w:r>
      <w:r>
        <w:rPr>
          <w:w w:val="125"/>
          <w:sz w:val="24"/>
        </w:rPr>
        <w:t>kell</w:t>
      </w:r>
    </w:p>
    <w:p>
      <w:pPr>
        <w:pStyle w:val="ListParagraph"/>
        <w:numPr>
          <w:ilvl w:val="0"/>
          <w:numId w:val="82"/>
        </w:numPr>
        <w:tabs>
          <w:tab w:pos="768" w:val="left" w:leader="none"/>
          <w:tab w:pos="769" w:val="left" w:leader="none"/>
          <w:tab w:pos="1251" w:val="left" w:leader="none"/>
          <w:tab w:pos="2542" w:val="left" w:leader="none"/>
          <w:tab w:pos="3036" w:val="left" w:leader="none"/>
          <w:tab w:pos="4515" w:val="left" w:leader="none"/>
          <w:tab w:pos="6889" w:val="left" w:leader="none"/>
          <w:tab w:pos="7368" w:val="left" w:leader="none"/>
          <w:tab w:pos="8748" w:val="left" w:leader="none"/>
        </w:tabs>
        <w:spacing w:line="225" w:lineRule="auto" w:before="5" w:after="0"/>
        <w:ind w:left="113" w:right="130" w:firstLine="204"/>
        <w:jc w:val="left"/>
        <w:rPr>
          <w:sz w:val="24"/>
        </w:rPr>
      </w:pPr>
      <w:r>
        <w:rPr>
          <w:w w:val="130"/>
          <w:sz w:val="24"/>
        </w:rPr>
        <w:t>az</w:t>
        <w:tab/>
        <w:t>átruházó</w:t>
        <w:tab/>
        <w:t>és</w:t>
        <w:tab/>
        <w:t>az </w:t>
      </w:r>
      <w:r>
        <w:rPr>
          <w:spacing w:val="13"/>
          <w:w w:val="130"/>
          <w:sz w:val="24"/>
        </w:rPr>
        <w:t> </w:t>
      </w:r>
      <w:r>
        <w:rPr>
          <w:w w:val="130"/>
          <w:sz w:val="24"/>
        </w:rPr>
        <w:t>átvevő</w:t>
        <w:tab/>
        <w:t>állományátadásra</w:t>
        <w:tab/>
        <w:t>és</w:t>
        <w:tab/>
        <w:t>-átvételre</w:t>
        <w:tab/>
      </w:r>
      <w:r>
        <w:rPr>
          <w:spacing w:val="-3"/>
          <w:w w:val="125"/>
          <w:sz w:val="24"/>
        </w:rPr>
        <w:t>irányuló </w:t>
      </w:r>
      <w:r>
        <w:rPr>
          <w:w w:val="130"/>
          <w:sz w:val="24"/>
        </w:rPr>
        <w:t>jognyilatkozatát,</w:t>
      </w:r>
    </w:p>
    <w:p>
      <w:pPr>
        <w:pStyle w:val="ListParagraph"/>
        <w:numPr>
          <w:ilvl w:val="0"/>
          <w:numId w:val="82"/>
        </w:numPr>
        <w:tabs>
          <w:tab w:pos="653" w:val="left" w:leader="none"/>
        </w:tabs>
        <w:spacing w:line="256" w:lineRule="exact" w:before="0" w:after="0"/>
        <w:ind w:left="652" w:right="0" w:hanging="335"/>
        <w:jc w:val="left"/>
        <w:rPr>
          <w:sz w:val="24"/>
        </w:rPr>
      </w:pPr>
      <w:r>
        <w:rPr>
          <w:w w:val="125"/>
          <w:sz w:val="24"/>
        </w:rPr>
        <w:t>az átruházandó állományhoz kapcsolódó eszközök, fedezetek</w:t>
      </w:r>
      <w:r>
        <w:rPr>
          <w:spacing w:val="6"/>
          <w:w w:val="125"/>
          <w:sz w:val="24"/>
        </w:rPr>
        <w:t> </w:t>
      </w:r>
      <w:r>
        <w:rPr>
          <w:w w:val="125"/>
          <w:sz w:val="24"/>
        </w:rPr>
        <w:t>megjelölését,</w:t>
      </w:r>
    </w:p>
    <w:p>
      <w:pPr>
        <w:pStyle w:val="ListParagraph"/>
        <w:numPr>
          <w:ilvl w:val="0"/>
          <w:numId w:val="82"/>
        </w:numPr>
        <w:tabs>
          <w:tab w:pos="623" w:val="left" w:leader="none"/>
        </w:tabs>
        <w:spacing w:line="268" w:lineRule="exact" w:before="0" w:after="0"/>
        <w:ind w:left="622" w:right="0" w:hanging="305"/>
        <w:jc w:val="left"/>
        <w:rPr>
          <w:sz w:val="24"/>
        </w:rPr>
      </w:pPr>
      <w:r>
        <w:rPr>
          <w:w w:val="130"/>
          <w:sz w:val="24"/>
        </w:rPr>
        <w:t>az állományátruházás időpontját,</w:t>
      </w:r>
      <w:r>
        <w:rPr>
          <w:spacing w:val="-15"/>
          <w:w w:val="130"/>
          <w:sz w:val="24"/>
        </w:rPr>
        <w:t> </w:t>
      </w:r>
      <w:r>
        <w:rPr>
          <w:w w:val="130"/>
          <w:sz w:val="24"/>
        </w:rPr>
        <w:t>ellenértékét,</w:t>
      </w:r>
    </w:p>
    <w:p>
      <w:pPr>
        <w:pStyle w:val="BodyText"/>
        <w:ind w:left="0" w:firstLine="0"/>
        <w:rPr>
          <w:sz w:val="20"/>
        </w:rPr>
      </w:pPr>
    </w:p>
    <w:p>
      <w:pPr>
        <w:pStyle w:val="BodyText"/>
        <w:ind w:left="0" w:firstLine="0"/>
        <w:rPr>
          <w:sz w:val="20"/>
        </w:rPr>
      </w:pPr>
    </w:p>
    <w:p>
      <w:pPr>
        <w:pStyle w:val="BodyText"/>
        <w:spacing w:before="1"/>
        <w:ind w:left="0" w:firstLine="0"/>
        <w:rPr>
          <w:sz w:val="10"/>
        </w:rPr>
      </w:pPr>
      <w:r>
        <w:rPr/>
        <w:pict>
          <v:line style="position:absolute;mso-position-horizontal-relative:page;mso-position-vertical-relative:paragraph;z-index:-472;mso-wrap-distance-left:0;mso-wrap-distance-right:0" from="56.693001pt,8.013765pt" to="538.583001pt,8.01376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189.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82"/>
        </w:numPr>
        <w:tabs>
          <w:tab w:pos="785" w:val="left" w:leader="none"/>
        </w:tabs>
        <w:spacing w:line="225" w:lineRule="auto" w:before="173" w:after="0"/>
        <w:ind w:left="113" w:right="125" w:firstLine="204"/>
        <w:jc w:val="both"/>
        <w:rPr>
          <w:sz w:val="24"/>
        </w:rPr>
      </w:pPr>
      <w:r>
        <w:rPr>
          <w:w w:val="125"/>
          <w:sz w:val="24"/>
        </w:rPr>
        <w:t>annak igazolását, hogy az átvevő hitelintézet rendelkezik a saját állományához tartozó minimális szavatoló tőkén túl az átvett állományhoz szükséges minimális szavatoló</w:t>
      </w:r>
      <w:r>
        <w:rPr>
          <w:spacing w:val="1"/>
          <w:w w:val="125"/>
          <w:sz w:val="24"/>
        </w:rPr>
        <w:t> </w:t>
      </w:r>
      <w:r>
        <w:rPr>
          <w:w w:val="125"/>
          <w:sz w:val="24"/>
        </w:rPr>
        <w:t>tőkével.</w:t>
      </w:r>
    </w:p>
    <w:p>
      <w:pPr>
        <w:pStyle w:val="ListParagraph"/>
        <w:numPr>
          <w:ilvl w:val="0"/>
          <w:numId w:val="81"/>
        </w:numPr>
        <w:tabs>
          <w:tab w:pos="756" w:val="left" w:leader="none"/>
        </w:tabs>
        <w:spacing w:line="225" w:lineRule="auto" w:before="1" w:after="0"/>
        <w:ind w:left="113" w:right="126" w:firstLine="204"/>
        <w:jc w:val="both"/>
        <w:rPr>
          <w:sz w:val="24"/>
        </w:rPr>
      </w:pPr>
      <w:r>
        <w:rPr>
          <w:w w:val="125"/>
          <w:sz w:val="24"/>
        </w:rPr>
        <w:t>A szerződésállományt átruházó hitelintézet az átruházás Felügyelet által engedélyezett időpontjának napját megelőző legalább hatvan nappal postai  úton értesít minden érintett ügyfelet az  átruházás  szándékáról.  Az  értesítésben felhívja a figyelmet arra, hogy az ügyfél az átruházás Felügyelet által engedélyezett napjáig jogosult a szerződését díjmentesen írásban felmondani, ennek hiányában úgy kell tekinteni, hogy az átruházás tényét tudomásul vette. Bemutatóra szóló betét vagy értékpapír esetén  az  értesítést két országos napilapban hirdetményként kell</w:t>
      </w:r>
      <w:r>
        <w:rPr>
          <w:spacing w:val="13"/>
          <w:w w:val="125"/>
          <w:sz w:val="24"/>
        </w:rPr>
        <w:t> </w:t>
      </w:r>
      <w:r>
        <w:rPr>
          <w:w w:val="125"/>
          <w:sz w:val="24"/>
        </w:rPr>
        <w:t>közzétenni.</w:t>
      </w:r>
    </w:p>
    <w:p>
      <w:pPr>
        <w:pStyle w:val="ListParagraph"/>
        <w:numPr>
          <w:ilvl w:val="0"/>
          <w:numId w:val="81"/>
        </w:numPr>
        <w:tabs>
          <w:tab w:pos="818" w:val="left" w:leader="none"/>
        </w:tabs>
        <w:spacing w:line="225" w:lineRule="auto" w:before="5" w:after="0"/>
        <w:ind w:left="113" w:right="123" w:firstLine="204"/>
        <w:jc w:val="both"/>
        <w:rPr>
          <w:sz w:val="24"/>
        </w:rPr>
      </w:pPr>
      <w:r>
        <w:rPr>
          <w:w w:val="130"/>
          <w:sz w:val="24"/>
        </w:rPr>
        <w:t>Ha a szerződésállományt átvevő hitelintézet az állományátruházással összefüggésben a pénzforgalmi szolgáltatási keretszerződések módosítását kezdeményezi,</w:t>
      </w:r>
      <w:r>
        <w:rPr>
          <w:spacing w:val="-23"/>
          <w:w w:val="130"/>
          <w:sz w:val="24"/>
        </w:rPr>
        <w:t> </w:t>
      </w:r>
      <w:r>
        <w:rPr>
          <w:w w:val="130"/>
          <w:sz w:val="24"/>
        </w:rPr>
        <w:t>az</w:t>
      </w:r>
      <w:r>
        <w:rPr>
          <w:spacing w:val="-22"/>
          <w:w w:val="130"/>
          <w:sz w:val="24"/>
        </w:rPr>
        <w:t> </w:t>
      </w:r>
      <w:r>
        <w:rPr>
          <w:w w:val="130"/>
          <w:sz w:val="24"/>
        </w:rPr>
        <w:t>átruházó</w:t>
      </w:r>
      <w:r>
        <w:rPr>
          <w:spacing w:val="-22"/>
          <w:w w:val="130"/>
          <w:sz w:val="24"/>
        </w:rPr>
        <w:t> </w:t>
      </w:r>
      <w:r>
        <w:rPr>
          <w:w w:val="130"/>
          <w:sz w:val="24"/>
        </w:rPr>
        <w:t>és</w:t>
      </w:r>
      <w:r>
        <w:rPr>
          <w:spacing w:val="-22"/>
          <w:w w:val="130"/>
          <w:sz w:val="24"/>
        </w:rPr>
        <w:t> </w:t>
      </w:r>
      <w:r>
        <w:rPr>
          <w:w w:val="130"/>
          <w:sz w:val="24"/>
        </w:rPr>
        <w:t>az</w:t>
      </w:r>
      <w:r>
        <w:rPr>
          <w:spacing w:val="-22"/>
          <w:w w:val="130"/>
          <w:sz w:val="24"/>
        </w:rPr>
        <w:t> </w:t>
      </w:r>
      <w:r>
        <w:rPr>
          <w:w w:val="130"/>
          <w:sz w:val="24"/>
        </w:rPr>
        <w:t>átvevő</w:t>
      </w:r>
      <w:r>
        <w:rPr>
          <w:spacing w:val="-22"/>
          <w:w w:val="130"/>
          <w:sz w:val="24"/>
        </w:rPr>
        <w:t> </w:t>
      </w:r>
      <w:r>
        <w:rPr>
          <w:w w:val="130"/>
          <w:sz w:val="24"/>
        </w:rPr>
        <w:t>hitelintézet</w:t>
      </w:r>
      <w:r>
        <w:rPr>
          <w:spacing w:val="-22"/>
          <w:w w:val="130"/>
          <w:sz w:val="24"/>
        </w:rPr>
        <w:t> </w:t>
      </w:r>
      <w:r>
        <w:rPr>
          <w:w w:val="130"/>
          <w:sz w:val="24"/>
        </w:rPr>
        <w:t>megállapodhat</w:t>
      </w:r>
      <w:r>
        <w:rPr>
          <w:spacing w:val="-22"/>
          <w:w w:val="130"/>
          <w:sz w:val="24"/>
        </w:rPr>
        <w:t> </w:t>
      </w:r>
      <w:r>
        <w:rPr>
          <w:w w:val="130"/>
          <w:sz w:val="24"/>
        </w:rPr>
        <w:t>arról,</w:t>
      </w:r>
      <w:r>
        <w:rPr>
          <w:spacing w:val="-22"/>
          <w:w w:val="130"/>
          <w:sz w:val="24"/>
        </w:rPr>
        <w:t> </w:t>
      </w:r>
      <w:r>
        <w:rPr>
          <w:w w:val="130"/>
          <w:sz w:val="24"/>
        </w:rPr>
        <w:t>hogy a pénzforgalmi szolgáltatási keretszerződések átvevő hitelintézet általi módosításának hatálybalépéséig az átadó hitelintézet mindazon szolgáltatást biztosítja, amely szükséges ahhoz, hogy az átvevő hitelintézet teljesítse az átruházott pénzforgalmi szolgáltatási</w:t>
      </w:r>
      <w:r>
        <w:rPr>
          <w:spacing w:val="-16"/>
          <w:w w:val="130"/>
          <w:sz w:val="24"/>
        </w:rPr>
        <w:t> </w:t>
      </w:r>
      <w:r>
        <w:rPr>
          <w:w w:val="130"/>
          <w:sz w:val="24"/>
        </w:rPr>
        <w:t>keretszerződéseket.</w:t>
      </w:r>
    </w:p>
    <w:p>
      <w:pPr>
        <w:pStyle w:val="ListParagraph"/>
        <w:numPr>
          <w:ilvl w:val="0"/>
          <w:numId w:val="81"/>
        </w:numPr>
        <w:tabs>
          <w:tab w:pos="799" w:val="left" w:leader="none"/>
        </w:tabs>
        <w:spacing w:line="225" w:lineRule="auto" w:before="4" w:after="0"/>
        <w:ind w:left="113" w:right="127" w:firstLine="204"/>
        <w:jc w:val="both"/>
        <w:rPr>
          <w:sz w:val="24"/>
        </w:rPr>
      </w:pPr>
      <w:r>
        <w:rPr>
          <w:w w:val="130"/>
          <w:sz w:val="24"/>
        </w:rPr>
        <w:t>A Felügyelet az állományátruházás engedélyezését megtagadja, ha az veszélyezteti az átvevő, illetve az átadó hitelintézet által megkötött szerződésekben vállalt kötelezettségek</w:t>
      </w:r>
      <w:r>
        <w:rPr>
          <w:spacing w:val="-14"/>
          <w:w w:val="130"/>
          <w:sz w:val="24"/>
        </w:rPr>
        <w:t> </w:t>
      </w:r>
      <w:r>
        <w:rPr>
          <w:w w:val="130"/>
          <w:sz w:val="24"/>
        </w:rPr>
        <w:t>teljesítését.</w:t>
      </w:r>
    </w:p>
    <w:p>
      <w:pPr>
        <w:pStyle w:val="ListParagraph"/>
        <w:numPr>
          <w:ilvl w:val="0"/>
          <w:numId w:val="81"/>
        </w:numPr>
        <w:tabs>
          <w:tab w:pos="843" w:val="left" w:leader="none"/>
        </w:tabs>
        <w:spacing w:line="225" w:lineRule="auto" w:before="2" w:after="0"/>
        <w:ind w:left="113" w:right="122" w:firstLine="204"/>
        <w:jc w:val="both"/>
        <w:rPr>
          <w:sz w:val="24"/>
        </w:rPr>
      </w:pPr>
      <w:r>
        <w:rPr>
          <w:w w:val="125"/>
          <w:sz w:val="24"/>
        </w:rPr>
        <w:t>A pénzforgalmi szolgáltatási keretszerződés átruházását követően a keretszerződésen alapuló fizetési megbízások teljesítése az  átvevő  hitelintézetet terhelik. Az átadó hitelintézet részére adott fizetési megbízás teljesítésére szóló jóváhagyás az átvevő hitelintézet részére adott  jóváhagyásnak minősül. A pénzforgalmi szolgáltatási keretszerződés-állomány átruházásával minden pénzforgalmi szolgáltatáshoz kapcsolódó szerződés is átruházásra kerül azzal, hogy a fizetési műveletek hitelkeretből történő teljesítésére</w:t>
      </w:r>
      <w:r>
        <w:rPr>
          <w:spacing w:val="35"/>
          <w:w w:val="125"/>
          <w:sz w:val="24"/>
        </w:rPr>
        <w:t> </w:t>
      </w:r>
      <w:r>
        <w:rPr>
          <w:w w:val="125"/>
          <w:sz w:val="24"/>
        </w:rPr>
        <w:t>irányuló</w:t>
      </w:r>
      <w:r>
        <w:rPr>
          <w:spacing w:val="36"/>
          <w:w w:val="125"/>
          <w:sz w:val="24"/>
        </w:rPr>
        <w:t> </w:t>
      </w:r>
      <w:r>
        <w:rPr>
          <w:w w:val="125"/>
          <w:sz w:val="24"/>
        </w:rPr>
        <w:t>szerződés</w:t>
      </w:r>
      <w:r>
        <w:rPr>
          <w:spacing w:val="35"/>
          <w:w w:val="125"/>
          <w:sz w:val="24"/>
        </w:rPr>
        <w:t> </w:t>
      </w:r>
      <w:r>
        <w:rPr>
          <w:w w:val="125"/>
          <w:sz w:val="24"/>
        </w:rPr>
        <w:t>átruházása</w:t>
      </w:r>
      <w:r>
        <w:rPr>
          <w:spacing w:val="36"/>
          <w:w w:val="125"/>
          <w:sz w:val="24"/>
        </w:rPr>
        <w:t> </w:t>
      </w:r>
      <w:r>
        <w:rPr>
          <w:w w:val="125"/>
          <w:sz w:val="24"/>
        </w:rPr>
        <w:t>esetén</w:t>
      </w:r>
      <w:r>
        <w:rPr>
          <w:spacing w:val="36"/>
          <w:w w:val="125"/>
          <w:sz w:val="24"/>
        </w:rPr>
        <w:t> </w:t>
      </w:r>
      <w:r>
        <w:rPr>
          <w:w w:val="125"/>
          <w:sz w:val="24"/>
        </w:rPr>
        <w:t>-</w:t>
      </w:r>
      <w:r>
        <w:rPr>
          <w:spacing w:val="35"/>
          <w:w w:val="125"/>
          <w:sz w:val="24"/>
        </w:rPr>
        <w:t> </w:t>
      </w:r>
      <w:r>
        <w:rPr>
          <w:w w:val="125"/>
          <w:sz w:val="24"/>
        </w:rPr>
        <w:t>a</w:t>
      </w:r>
      <w:r>
        <w:rPr>
          <w:spacing w:val="36"/>
          <w:w w:val="125"/>
          <w:sz w:val="24"/>
        </w:rPr>
        <w:t> </w:t>
      </w:r>
      <w:r>
        <w:rPr>
          <w:w w:val="125"/>
          <w:sz w:val="24"/>
        </w:rPr>
        <w:t>(2)</w:t>
      </w:r>
      <w:r>
        <w:rPr>
          <w:spacing w:val="36"/>
          <w:w w:val="125"/>
          <w:sz w:val="24"/>
        </w:rPr>
        <w:t> </w:t>
      </w:r>
      <w:r>
        <w:rPr>
          <w:w w:val="125"/>
          <w:sz w:val="24"/>
        </w:rPr>
        <w:t>bekezdéstől</w:t>
      </w:r>
      <w:r>
        <w:rPr>
          <w:spacing w:val="35"/>
          <w:w w:val="125"/>
          <w:sz w:val="24"/>
        </w:rPr>
        <w:t> </w:t>
      </w:r>
      <w:r>
        <w:rPr>
          <w:w w:val="125"/>
          <w:sz w:val="24"/>
        </w:rPr>
        <w:t>eltérően</w:t>
      </w:r>
    </w:p>
    <w:p>
      <w:pPr>
        <w:pStyle w:val="ListParagraph"/>
        <w:numPr>
          <w:ilvl w:val="0"/>
          <w:numId w:val="6"/>
        </w:numPr>
        <w:tabs>
          <w:tab w:pos="271" w:val="left" w:leader="none"/>
        </w:tabs>
        <w:spacing w:line="250" w:lineRule="exact" w:before="0" w:after="0"/>
        <w:ind w:left="270" w:right="0" w:hanging="157"/>
        <w:jc w:val="left"/>
        <w:rPr>
          <w:sz w:val="24"/>
        </w:rPr>
      </w:pPr>
      <w:r>
        <w:rPr>
          <w:w w:val="125"/>
          <w:sz w:val="24"/>
        </w:rPr>
        <w:t>a kérelemnek a 17/A. § (2) bekezdés </w:t>
      </w:r>
      <w:r>
        <w:rPr>
          <w:i/>
          <w:w w:val="125"/>
          <w:sz w:val="24"/>
        </w:rPr>
        <w:t>a) </w:t>
      </w:r>
      <w:r>
        <w:rPr>
          <w:w w:val="125"/>
          <w:sz w:val="24"/>
        </w:rPr>
        <w:t>pontját kell</w:t>
      </w:r>
      <w:r>
        <w:rPr>
          <w:spacing w:val="12"/>
          <w:w w:val="125"/>
          <w:sz w:val="24"/>
        </w:rPr>
        <w:t> </w:t>
      </w:r>
      <w:r>
        <w:rPr>
          <w:w w:val="125"/>
          <w:sz w:val="24"/>
        </w:rPr>
        <w:t>tartalmaznia.</w:t>
      </w:r>
    </w:p>
    <w:p>
      <w:pPr>
        <w:pStyle w:val="BodyText"/>
        <w:spacing w:line="262" w:lineRule="exact"/>
        <w:ind w:left="317" w:firstLine="0"/>
      </w:pPr>
      <w:r>
        <w:rPr>
          <w:rFonts w:ascii="Arial" w:hAnsi="Arial"/>
          <w:b/>
          <w:w w:val="125"/>
        </w:rPr>
        <w:t>17/A. §</w:t>
      </w:r>
      <w:r>
        <w:rPr>
          <w:i/>
          <w:w w:val="125"/>
          <w:position w:val="3"/>
          <w:sz w:val="18"/>
        </w:rPr>
        <w:t>1 </w:t>
      </w:r>
      <w:r>
        <w:rPr>
          <w:w w:val="125"/>
        </w:rPr>
        <w:t>(1) A szerződésből kilépő pénzügyi intézmény (a továbbiakban:</w:t>
      </w:r>
    </w:p>
    <w:p>
      <w:pPr>
        <w:pStyle w:val="BodyText"/>
        <w:spacing w:line="225" w:lineRule="auto" w:before="12"/>
        <w:ind w:right="116" w:firstLine="0"/>
        <w:jc w:val="both"/>
      </w:pPr>
      <w:r>
        <w:rPr>
          <w:w w:val="125"/>
        </w:rPr>
        <w:t>átadó) és a szerződésbe belépő pénzügyi intézmény (a továbbiakban: átvevő) megállapodhat a 3. § (1) bekezdésének </w:t>
      </w:r>
      <w:r>
        <w:rPr>
          <w:i/>
          <w:w w:val="125"/>
        </w:rPr>
        <w:t>b)-c) </w:t>
      </w:r>
      <w:r>
        <w:rPr>
          <w:w w:val="125"/>
        </w:rPr>
        <w:t>és </w:t>
      </w:r>
      <w:r>
        <w:rPr>
          <w:i/>
          <w:w w:val="125"/>
        </w:rPr>
        <w:t>l) </w:t>
      </w:r>
      <w:r>
        <w:rPr>
          <w:w w:val="125"/>
        </w:rPr>
        <w:t>pontjaiban meghatározott pénzügyi szolgáltatás nyújtására irányuló, legalább húsz szerződést vagy legalább tízmilliárd forint tőketartozást vagy lízingdíj-követelést tartalmazó szerződéses állományból (a továbbiakban: szerződésállomány) az átadót megillető jogok és az őt terhelő kötelezettségek összességének - a Felügyelet engedélyével - a szerződést átvevő félre történő átruházásában. Az átruházás során a Ptk. szerződésátruházásra vonatkozó szabályait azzal az eltéréssel kell alkalmazni, hogy az átruházás esetén a szerződés biztosítékai nem szűnnek meg, továbbá az átruházáshoz nem szükséges a szerződésben maradó fél jognyilatkozata. A Felügyelet engedélye nem helyettesíti a Gazdasági Versenyhivatalnak a tisztességtelen piaci magatartás és a versenykorlátozás tilalmáról szóló 1996. évi LVII. törvény szerinti</w:t>
      </w:r>
      <w:r>
        <w:rPr>
          <w:spacing w:val="-8"/>
          <w:w w:val="125"/>
        </w:rPr>
        <w:t> </w:t>
      </w:r>
      <w:r>
        <w:rPr>
          <w:w w:val="125"/>
        </w:rPr>
        <w:t>engedélyét.</w:t>
      </w:r>
    </w:p>
    <w:p>
      <w:pPr>
        <w:pStyle w:val="ListParagraph"/>
        <w:numPr>
          <w:ilvl w:val="0"/>
          <w:numId w:val="83"/>
        </w:numPr>
        <w:tabs>
          <w:tab w:pos="734" w:val="left" w:leader="none"/>
        </w:tabs>
        <w:spacing w:line="262" w:lineRule="exact" w:before="0" w:after="0"/>
        <w:ind w:left="733" w:right="0" w:hanging="416"/>
        <w:jc w:val="left"/>
        <w:rPr>
          <w:sz w:val="24"/>
        </w:rPr>
      </w:pPr>
      <w:r>
        <w:rPr>
          <w:w w:val="125"/>
          <w:sz w:val="24"/>
        </w:rPr>
        <w:t>Az átruházás engedélyezése iránti kérelemnek tartalmaznia</w:t>
      </w:r>
      <w:r>
        <w:rPr>
          <w:spacing w:val="31"/>
          <w:w w:val="125"/>
          <w:sz w:val="24"/>
        </w:rPr>
        <w:t> </w:t>
      </w:r>
      <w:r>
        <w:rPr>
          <w:w w:val="125"/>
          <w:sz w:val="24"/>
        </w:rPr>
        <w:t>kell</w:t>
      </w:r>
    </w:p>
    <w:p>
      <w:pPr>
        <w:pStyle w:val="ListParagraph"/>
        <w:numPr>
          <w:ilvl w:val="0"/>
          <w:numId w:val="84"/>
        </w:numPr>
        <w:tabs>
          <w:tab w:pos="631" w:val="left" w:leader="none"/>
        </w:tabs>
        <w:spacing w:line="260" w:lineRule="exact" w:before="0" w:after="0"/>
        <w:ind w:left="630" w:right="0" w:hanging="313"/>
        <w:jc w:val="left"/>
        <w:rPr>
          <w:sz w:val="24"/>
        </w:rPr>
      </w:pPr>
      <w:r>
        <w:rPr>
          <w:w w:val="130"/>
          <w:sz w:val="24"/>
        </w:rPr>
        <w:t>ha az átvevő</w:t>
      </w:r>
      <w:r>
        <w:rPr>
          <w:spacing w:val="-11"/>
          <w:w w:val="130"/>
          <w:sz w:val="24"/>
        </w:rPr>
        <w:t> </w:t>
      </w:r>
      <w:r>
        <w:rPr>
          <w:w w:val="130"/>
          <w:sz w:val="24"/>
        </w:rPr>
        <w:t>hitelintézet:</w:t>
      </w:r>
    </w:p>
    <w:p>
      <w:pPr>
        <w:pStyle w:val="BodyText"/>
        <w:spacing w:line="225" w:lineRule="auto" w:before="6"/>
        <w:ind w:right="253"/>
      </w:pPr>
      <w:r>
        <w:rPr>
          <w:i/>
          <w:w w:val="125"/>
        </w:rPr>
        <w:t>aa) </w:t>
      </w:r>
      <w:r>
        <w:rPr>
          <w:w w:val="125"/>
        </w:rPr>
        <w:t>az átadó pénzügyi intézmény és az átvevő hitelintézet átruházásra  irányuló</w:t>
      </w:r>
      <w:r>
        <w:rPr>
          <w:spacing w:val="-1"/>
          <w:w w:val="125"/>
        </w:rPr>
        <w:t> </w:t>
      </w:r>
      <w:r>
        <w:rPr>
          <w:w w:val="125"/>
        </w:rPr>
        <w:t>jognyilatkozatát,</w:t>
      </w:r>
    </w:p>
    <w:p>
      <w:pPr>
        <w:pStyle w:val="BodyText"/>
        <w:spacing w:line="256" w:lineRule="exact"/>
        <w:ind w:left="317" w:firstLine="0"/>
      </w:pPr>
      <w:r>
        <w:rPr>
          <w:i/>
          <w:w w:val="125"/>
        </w:rPr>
        <w:t>ab) </w:t>
      </w:r>
      <w:r>
        <w:rPr>
          <w:w w:val="125"/>
        </w:rPr>
        <w:t>az átruházandó szerződések, azok biztosítékainak megjelölését,</w:t>
      </w:r>
    </w:p>
    <w:p>
      <w:pPr>
        <w:pStyle w:val="BodyText"/>
        <w:spacing w:line="268" w:lineRule="exact"/>
        <w:ind w:left="317" w:firstLine="0"/>
      </w:pPr>
      <w:r>
        <w:rPr>
          <w:i/>
          <w:w w:val="130"/>
        </w:rPr>
        <w:t>ac) </w:t>
      </w:r>
      <w:r>
        <w:rPr>
          <w:w w:val="130"/>
        </w:rPr>
        <w:t>a szerződésállomány-átruházás időpontját, ellenértékét,</w:t>
      </w:r>
    </w:p>
    <w:p>
      <w:pPr>
        <w:pStyle w:val="BodyText"/>
        <w:spacing w:before="5"/>
        <w:ind w:left="0" w:firstLine="0"/>
        <w:rPr>
          <w:sz w:val="27"/>
        </w:rPr>
      </w:pPr>
      <w:r>
        <w:rPr/>
        <w:pict>
          <v:line style="position:absolute;mso-position-horizontal-relative:page;mso-position-vertical-relative:paragraph;z-index:-448;mso-wrap-distance-left:0;mso-wrap-distance-right:0" from="56.693001pt,17.980749pt" to="538.583001pt,17.98074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LXXXV. törvény 190. §. Hatályos: 2015. VII.</w:t>
      </w:r>
      <w:r>
        <w:rPr>
          <w:i/>
          <w:spacing w:val="-16"/>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BodyText"/>
        <w:spacing w:line="225" w:lineRule="auto" w:before="173"/>
        <w:ind w:right="126"/>
        <w:jc w:val="both"/>
      </w:pPr>
      <w:r>
        <w:rPr>
          <w:i/>
          <w:w w:val="125"/>
        </w:rPr>
        <w:t>ad) </w:t>
      </w:r>
      <w:r>
        <w:rPr>
          <w:w w:val="125"/>
        </w:rPr>
        <w:t>az átruházandó szerződésállománynak az átadó pénzügyi intézménynél kimutatott könyv szerinti értékét, valamint a szerződésállományra vonatkozó értékvesztés, illetve céltartalék összegét,</w:t>
      </w:r>
    </w:p>
    <w:p>
      <w:pPr>
        <w:pStyle w:val="BodyText"/>
        <w:spacing w:line="256" w:lineRule="exact"/>
        <w:ind w:left="317" w:firstLine="0"/>
      </w:pPr>
      <w:r>
        <w:rPr>
          <w:i/>
          <w:w w:val="130"/>
        </w:rPr>
        <w:t>ae) </w:t>
      </w:r>
      <w:r>
        <w:rPr>
          <w:w w:val="130"/>
        </w:rPr>
        <w:t>a szerződésben maradó felek azonosítására szolgáló adatokat,</w:t>
      </w:r>
    </w:p>
    <w:p>
      <w:pPr>
        <w:pStyle w:val="BodyText"/>
        <w:spacing w:line="225" w:lineRule="auto" w:before="5"/>
        <w:ind w:right="125"/>
        <w:jc w:val="both"/>
      </w:pPr>
      <w:r>
        <w:rPr>
          <w:i/>
          <w:w w:val="125"/>
        </w:rPr>
        <w:t>af) </w:t>
      </w:r>
      <w:r>
        <w:rPr>
          <w:w w:val="125"/>
        </w:rPr>
        <w:t>annak igazolását, hogy az átvevő hitelintézet rendelkezik az átvenni  kívánt szerződésállományhoz kapcsolódó kockázatokat minimálisan fedező szavatoló tőkével,</w:t>
      </w:r>
    </w:p>
    <w:p>
      <w:pPr>
        <w:pStyle w:val="BodyText"/>
        <w:spacing w:line="225" w:lineRule="auto" w:before="2"/>
        <w:ind w:right="124"/>
        <w:jc w:val="both"/>
      </w:pPr>
      <w:r>
        <w:rPr>
          <w:i/>
          <w:w w:val="125"/>
        </w:rPr>
        <w:t>ag) </w:t>
      </w:r>
      <w:r>
        <w:rPr>
          <w:w w:val="125"/>
        </w:rPr>
        <w:t>az átvevő hitelintézet átvenni kívánt szerződésállomány figyelembe vételével elkészített üzleti tervét;</w:t>
      </w:r>
    </w:p>
    <w:p>
      <w:pPr>
        <w:pStyle w:val="ListParagraph"/>
        <w:numPr>
          <w:ilvl w:val="0"/>
          <w:numId w:val="84"/>
        </w:numPr>
        <w:tabs>
          <w:tab w:pos="653" w:val="left" w:leader="none"/>
        </w:tabs>
        <w:spacing w:line="256" w:lineRule="exact" w:before="0" w:after="0"/>
        <w:ind w:left="652" w:right="0" w:hanging="335"/>
        <w:jc w:val="left"/>
        <w:rPr>
          <w:sz w:val="24"/>
        </w:rPr>
      </w:pPr>
      <w:r>
        <w:rPr>
          <w:w w:val="125"/>
          <w:sz w:val="24"/>
        </w:rPr>
        <w:t>ha az átvevő pénzügyi</w:t>
      </w:r>
      <w:r>
        <w:rPr>
          <w:spacing w:val="-10"/>
          <w:w w:val="125"/>
          <w:sz w:val="24"/>
        </w:rPr>
        <w:t> </w:t>
      </w:r>
      <w:r>
        <w:rPr>
          <w:w w:val="125"/>
          <w:sz w:val="24"/>
        </w:rPr>
        <w:t>vállalkozás:</w:t>
      </w:r>
    </w:p>
    <w:p>
      <w:pPr>
        <w:pStyle w:val="BodyText"/>
        <w:spacing w:line="225" w:lineRule="auto" w:before="5"/>
        <w:ind w:right="129"/>
        <w:jc w:val="both"/>
      </w:pPr>
      <w:r>
        <w:rPr>
          <w:i/>
          <w:w w:val="125"/>
        </w:rPr>
        <w:t>ba) </w:t>
      </w:r>
      <w:r>
        <w:rPr>
          <w:w w:val="125"/>
        </w:rPr>
        <w:t>az átadó pénzügyi intézmény és az átvevő pénzügyi vállalkozás átruházásra irányuló jognyilatkozatát,</w:t>
      </w:r>
    </w:p>
    <w:p>
      <w:pPr>
        <w:pStyle w:val="BodyText"/>
        <w:spacing w:line="256" w:lineRule="exact"/>
        <w:ind w:left="317" w:firstLine="0"/>
      </w:pPr>
      <w:r>
        <w:rPr>
          <w:i/>
          <w:w w:val="125"/>
        </w:rPr>
        <w:t>bb) </w:t>
      </w:r>
      <w:r>
        <w:rPr>
          <w:w w:val="125"/>
        </w:rPr>
        <w:t>az átruházandó szerződések, azok biztosítékainak megjelölését,</w:t>
      </w:r>
    </w:p>
    <w:p>
      <w:pPr>
        <w:pStyle w:val="BodyText"/>
        <w:spacing w:line="260" w:lineRule="exact"/>
        <w:ind w:left="317" w:firstLine="0"/>
      </w:pPr>
      <w:r>
        <w:rPr>
          <w:i/>
          <w:w w:val="130"/>
        </w:rPr>
        <w:t>bc) </w:t>
      </w:r>
      <w:r>
        <w:rPr>
          <w:w w:val="130"/>
        </w:rPr>
        <w:t>a szerződésállomány-átruházás időpontját, ellenértékét,</w:t>
      </w:r>
    </w:p>
    <w:p>
      <w:pPr>
        <w:pStyle w:val="BodyText"/>
        <w:spacing w:line="225" w:lineRule="auto" w:before="6"/>
        <w:ind w:right="126"/>
        <w:jc w:val="both"/>
      </w:pPr>
      <w:r>
        <w:rPr>
          <w:i/>
          <w:w w:val="125"/>
        </w:rPr>
        <w:t>bd) </w:t>
      </w:r>
      <w:r>
        <w:rPr>
          <w:w w:val="125"/>
        </w:rPr>
        <w:t>az átruházandó szerződésállománynak az átadó pénzügyi intézménynél kimutatott könyv szerinti értékét, valamint a szerződésállományra vonatkozó értékvesztés, illetve céltartalék összegét,</w:t>
      </w:r>
    </w:p>
    <w:p>
      <w:pPr>
        <w:pStyle w:val="BodyText"/>
        <w:spacing w:line="256" w:lineRule="exact"/>
        <w:ind w:left="317" w:firstLine="0"/>
      </w:pPr>
      <w:r>
        <w:rPr>
          <w:i/>
          <w:w w:val="130"/>
        </w:rPr>
        <w:t>be) </w:t>
      </w:r>
      <w:r>
        <w:rPr>
          <w:w w:val="130"/>
        </w:rPr>
        <w:t>a szerződésben maradó felek azonosítására szolgáló</w:t>
      </w:r>
      <w:r>
        <w:rPr>
          <w:spacing w:val="-57"/>
          <w:w w:val="130"/>
        </w:rPr>
        <w:t> </w:t>
      </w:r>
      <w:r>
        <w:rPr>
          <w:w w:val="130"/>
        </w:rPr>
        <w:t>adatokat,</w:t>
      </w:r>
    </w:p>
    <w:p>
      <w:pPr>
        <w:pStyle w:val="BodyText"/>
        <w:spacing w:line="225" w:lineRule="auto" w:before="5"/>
        <w:ind w:right="129"/>
        <w:jc w:val="both"/>
      </w:pPr>
      <w:r>
        <w:rPr>
          <w:i/>
          <w:w w:val="125"/>
        </w:rPr>
        <w:t>bf) </w:t>
      </w:r>
      <w:r>
        <w:rPr>
          <w:w w:val="125"/>
        </w:rPr>
        <w:t>az átvevő pénzügyi vállalkozás átvenni kívánt szerződésállományra vonatkozó üzleti tervét;</w:t>
      </w:r>
    </w:p>
    <w:p>
      <w:pPr>
        <w:pStyle w:val="ListParagraph"/>
        <w:numPr>
          <w:ilvl w:val="0"/>
          <w:numId w:val="84"/>
        </w:numPr>
        <w:tabs>
          <w:tab w:pos="651" w:val="left" w:leader="none"/>
        </w:tabs>
        <w:spacing w:line="225" w:lineRule="auto" w:before="1" w:after="0"/>
        <w:ind w:left="113" w:right="122" w:firstLine="204"/>
        <w:jc w:val="both"/>
        <w:rPr>
          <w:sz w:val="24"/>
        </w:rPr>
      </w:pPr>
      <w:r>
        <w:rPr>
          <w:w w:val="130"/>
          <w:sz w:val="24"/>
        </w:rPr>
        <w:t>ha az átvevő összevont alapú felügyelet alá tartozó pénzügyi</w:t>
      </w:r>
      <w:r>
        <w:rPr>
          <w:spacing w:val="-45"/>
          <w:w w:val="130"/>
          <w:sz w:val="24"/>
        </w:rPr>
        <w:t> </w:t>
      </w:r>
      <w:r>
        <w:rPr>
          <w:w w:val="130"/>
          <w:sz w:val="24"/>
        </w:rPr>
        <w:t>vállalkozás, akkor a </w:t>
      </w:r>
      <w:r>
        <w:rPr>
          <w:i/>
          <w:w w:val="130"/>
          <w:sz w:val="24"/>
        </w:rPr>
        <w:t>b) </w:t>
      </w:r>
      <w:r>
        <w:rPr>
          <w:w w:val="130"/>
          <w:sz w:val="24"/>
        </w:rPr>
        <w:t>pontban felsoroltakon túl az anyavállalatának azon igazolását is, hogy az átvevő összevont alapú felügyelet alá tartozó vállalkozások rendelkeznek az összevont alapú felügyelet szintjén a felmerülő többletkockázatokat fedező szavatoló</w:t>
      </w:r>
      <w:r>
        <w:rPr>
          <w:spacing w:val="-11"/>
          <w:w w:val="130"/>
          <w:sz w:val="24"/>
        </w:rPr>
        <w:t> </w:t>
      </w:r>
      <w:r>
        <w:rPr>
          <w:w w:val="130"/>
          <w:sz w:val="24"/>
        </w:rPr>
        <w:t>tőkével.</w:t>
      </w:r>
    </w:p>
    <w:p>
      <w:pPr>
        <w:pStyle w:val="ListParagraph"/>
        <w:numPr>
          <w:ilvl w:val="0"/>
          <w:numId w:val="83"/>
        </w:numPr>
        <w:tabs>
          <w:tab w:pos="749" w:val="left" w:leader="none"/>
        </w:tabs>
        <w:spacing w:line="225" w:lineRule="auto" w:before="3" w:after="0"/>
        <w:ind w:left="113" w:right="128" w:firstLine="204"/>
        <w:jc w:val="both"/>
        <w:rPr>
          <w:sz w:val="24"/>
        </w:rPr>
      </w:pPr>
      <w:r>
        <w:rPr>
          <w:w w:val="125"/>
          <w:sz w:val="24"/>
        </w:rPr>
        <w:t>A Felügyelet az átruházás engedélyezését megtagadja, ha az átvevő nem tudja igazolni, hogy rendelkezik az átvenni kívánt szerződésállomány vonatkozásában mindazon feltételekkel, amelyek biztosítják, hogy  az  átruházás ne veszélyeztesse az átadó pénzügyi intézmény átruházandó szerződésekben vállalt kötelezettségeinek</w:t>
      </w:r>
      <w:r>
        <w:rPr>
          <w:spacing w:val="10"/>
          <w:w w:val="125"/>
          <w:sz w:val="24"/>
        </w:rPr>
        <w:t> </w:t>
      </w:r>
      <w:r>
        <w:rPr>
          <w:w w:val="125"/>
          <w:sz w:val="24"/>
        </w:rPr>
        <w:t>teljesítését.</w:t>
      </w:r>
    </w:p>
    <w:p>
      <w:pPr>
        <w:pStyle w:val="ListParagraph"/>
        <w:numPr>
          <w:ilvl w:val="0"/>
          <w:numId w:val="83"/>
        </w:numPr>
        <w:tabs>
          <w:tab w:pos="913" w:val="left" w:leader="none"/>
        </w:tabs>
        <w:spacing w:line="225" w:lineRule="auto" w:before="3" w:after="0"/>
        <w:ind w:left="113" w:right="128" w:firstLine="204"/>
        <w:jc w:val="both"/>
        <w:rPr>
          <w:sz w:val="24"/>
        </w:rPr>
      </w:pPr>
      <w:r>
        <w:rPr>
          <w:w w:val="125"/>
          <w:sz w:val="24"/>
        </w:rPr>
        <w:t>A szerződésállományt átadó pénzügyi intézmény - az átruházás Felügyelet által engedélyezett időpontját megelőzően legalább harminc</w:t>
      </w:r>
      <w:r>
        <w:rPr>
          <w:spacing w:val="68"/>
          <w:w w:val="125"/>
          <w:sz w:val="24"/>
        </w:rPr>
        <w:t> </w:t>
      </w:r>
      <w:r>
        <w:rPr>
          <w:w w:val="125"/>
          <w:sz w:val="24"/>
        </w:rPr>
        <w:t>nappal</w:t>
      </w:r>
    </w:p>
    <w:p>
      <w:pPr>
        <w:pStyle w:val="ListParagraph"/>
        <w:numPr>
          <w:ilvl w:val="0"/>
          <w:numId w:val="6"/>
        </w:numPr>
        <w:tabs>
          <w:tab w:pos="458" w:val="left" w:leader="none"/>
        </w:tabs>
        <w:spacing w:line="225" w:lineRule="auto" w:before="1" w:after="0"/>
        <w:ind w:left="113" w:right="125" w:firstLine="0"/>
        <w:jc w:val="both"/>
        <w:rPr>
          <w:sz w:val="24"/>
        </w:rPr>
      </w:pPr>
      <w:r>
        <w:rPr>
          <w:w w:val="125"/>
          <w:sz w:val="24"/>
        </w:rPr>
        <w:t>postai úton írásban köteles minden érintett ügyfelet értesíteni a szerződésállomány átruházás szándékáról. Az értesítéssel egyidejűleg az átadó pénzügyi intézmény köteles tájékoztatni az ügyfelet az átruházással összefüggésben szükségessé váló egyes szerződési feltételeknek az átruházás engedélyezett időpontját követő módosulásáról. A szerződési feltételek átruházással összefüggő egyoldalú módosítása a kamat, díj,  költség tekintetében az ügyfélre nem lehet</w:t>
      </w:r>
      <w:r>
        <w:rPr>
          <w:spacing w:val="16"/>
          <w:w w:val="125"/>
          <w:sz w:val="24"/>
        </w:rPr>
        <w:t> </w:t>
      </w:r>
      <w:r>
        <w:rPr>
          <w:w w:val="125"/>
          <w:sz w:val="24"/>
        </w:rPr>
        <w:t>hátrányosabb.</w:t>
      </w:r>
    </w:p>
    <w:p>
      <w:pPr>
        <w:pStyle w:val="ListParagraph"/>
        <w:numPr>
          <w:ilvl w:val="0"/>
          <w:numId w:val="83"/>
        </w:numPr>
        <w:tabs>
          <w:tab w:pos="765" w:val="left" w:leader="none"/>
        </w:tabs>
        <w:spacing w:line="225" w:lineRule="auto" w:before="4" w:after="0"/>
        <w:ind w:left="113" w:right="128" w:firstLine="204"/>
        <w:jc w:val="both"/>
        <w:rPr>
          <w:sz w:val="24"/>
        </w:rPr>
      </w:pPr>
      <w:r>
        <w:rPr>
          <w:w w:val="130"/>
          <w:sz w:val="24"/>
        </w:rPr>
        <w:t>A (4) bekezdés szerinti értesítésben fel kell hívni a figyelmet arra, hogy az ügyfél az átruházás Felügyelet által engedélyezett napjáig jogosult a szerződést díjmentesen írásban felmondani, ennek hiányában úgy kell</w:t>
      </w:r>
      <w:r>
        <w:rPr>
          <w:spacing w:val="78"/>
          <w:w w:val="130"/>
          <w:sz w:val="24"/>
        </w:rPr>
        <w:t> </w:t>
      </w:r>
      <w:r>
        <w:rPr>
          <w:w w:val="130"/>
          <w:sz w:val="24"/>
        </w:rPr>
        <w:t>tekinteni, hogy az átruházás tényét és az ezzel összefüggésben módosuló szerződési feltételeket tudomásul vette. A szerződés felmondása esetén az</w:t>
      </w:r>
      <w:r>
        <w:rPr>
          <w:spacing w:val="78"/>
          <w:w w:val="130"/>
          <w:sz w:val="24"/>
        </w:rPr>
        <w:t> </w:t>
      </w:r>
      <w:r>
        <w:rPr>
          <w:w w:val="130"/>
          <w:sz w:val="24"/>
        </w:rPr>
        <w:t>ügyfél fennálló kötelezettségei egy összegben esedékessé válnak, melyet legkésőbb a szerződés szerinti felmondási idő utolsó napjáig köteles teljesíteni.</w:t>
      </w:r>
    </w:p>
    <w:p>
      <w:pPr>
        <w:spacing w:after="0" w:line="225" w:lineRule="auto"/>
        <w:jc w:val="both"/>
        <w:rPr>
          <w:sz w:val="24"/>
        </w:rPr>
        <w:sectPr>
          <w:pgSz w:w="11900" w:h="16820"/>
          <w:pgMar w:header="1104" w:footer="0" w:top="1840" w:bottom="280" w:left="1020" w:right="1000"/>
        </w:sectPr>
      </w:pPr>
    </w:p>
    <w:p>
      <w:pPr>
        <w:pStyle w:val="ListParagraph"/>
        <w:numPr>
          <w:ilvl w:val="0"/>
          <w:numId w:val="83"/>
        </w:numPr>
        <w:tabs>
          <w:tab w:pos="745" w:val="left" w:leader="none"/>
        </w:tabs>
        <w:spacing w:line="225" w:lineRule="auto" w:before="173" w:after="0"/>
        <w:ind w:left="113" w:right="128" w:firstLine="204"/>
        <w:jc w:val="both"/>
        <w:rPr>
          <w:sz w:val="24"/>
        </w:rPr>
      </w:pPr>
      <w:r>
        <w:rPr>
          <w:w w:val="125"/>
          <w:sz w:val="24"/>
        </w:rPr>
        <w:t>A szerződésállomány átruházásával egyidejűleg - az átruházás Felügyelet által engedélyezett időpontjának napjával - az átvevőre szállnak  át  a  szerződést biztosító megállapodásokból eredő jogok és kötelezettségek, így különösen a zálogjogi, a kezességi, az óvadéki, a biztosítékként alkalmazott opciós, engedményezési és garancia szerződésekből eredő jogok és kötelezettségek. E rendelkezés irányadó az átadó pénzügyi intézményt az átruházást megelőzően megillető adatigénylési, ellenőrzési jogosultságaira is. Az átadó és az átvevő pénzügyi intézménynek együttesen értesítenie kell a szerződést biztosító megállapodások kötelezettjeit a biztosítékok, a jogok és kötelezettségek</w:t>
      </w:r>
      <w:r>
        <w:rPr>
          <w:spacing w:val="1"/>
          <w:w w:val="125"/>
          <w:sz w:val="24"/>
        </w:rPr>
        <w:t> </w:t>
      </w:r>
      <w:r>
        <w:rPr>
          <w:w w:val="125"/>
          <w:sz w:val="24"/>
        </w:rPr>
        <w:t>átszállásáról.</w:t>
      </w:r>
    </w:p>
    <w:p>
      <w:pPr>
        <w:pStyle w:val="ListParagraph"/>
        <w:numPr>
          <w:ilvl w:val="0"/>
          <w:numId w:val="83"/>
        </w:numPr>
        <w:tabs>
          <w:tab w:pos="767" w:val="left" w:leader="none"/>
        </w:tabs>
        <w:spacing w:line="225" w:lineRule="auto" w:before="5" w:after="0"/>
        <w:ind w:left="113" w:right="124" w:firstLine="204"/>
        <w:jc w:val="both"/>
        <w:rPr>
          <w:sz w:val="24"/>
        </w:rPr>
      </w:pPr>
      <w:r>
        <w:rPr>
          <w:w w:val="130"/>
          <w:sz w:val="24"/>
        </w:rPr>
        <w:t>A (6) bekezdést kell alkalmazni a szerződésben maradó félnek az átadó pénzügyi intézménynél vezetett fizetési számlájára vonatkozóan az átadó javára kibocsátott - az átruházott szerződéssel összefüggő - beszedési és beszámítási felhatalmazásokban foglalt jogok és kötelezettségek szerint gyakorolt beszedésből és számlaterhelésekből származó bevételek tekintetében is azzal, hogy a beszedéseket és a számlaterheléseket az átadó pénzügyi</w:t>
      </w:r>
      <w:r>
        <w:rPr>
          <w:spacing w:val="-30"/>
          <w:w w:val="130"/>
          <w:sz w:val="24"/>
        </w:rPr>
        <w:t> </w:t>
      </w:r>
      <w:r>
        <w:rPr>
          <w:w w:val="130"/>
          <w:sz w:val="24"/>
        </w:rPr>
        <w:t>intézmény</w:t>
      </w:r>
      <w:r>
        <w:rPr>
          <w:spacing w:val="-29"/>
          <w:w w:val="130"/>
          <w:sz w:val="24"/>
        </w:rPr>
        <w:t> </w:t>
      </w:r>
      <w:r>
        <w:rPr>
          <w:w w:val="130"/>
          <w:sz w:val="24"/>
        </w:rPr>
        <w:t>az</w:t>
      </w:r>
      <w:r>
        <w:rPr>
          <w:spacing w:val="-30"/>
          <w:w w:val="130"/>
          <w:sz w:val="24"/>
        </w:rPr>
        <w:t> </w:t>
      </w:r>
      <w:r>
        <w:rPr>
          <w:w w:val="130"/>
          <w:sz w:val="24"/>
        </w:rPr>
        <w:t>átvevő</w:t>
      </w:r>
      <w:r>
        <w:rPr>
          <w:spacing w:val="-29"/>
          <w:w w:val="130"/>
          <w:sz w:val="24"/>
        </w:rPr>
        <w:t> </w:t>
      </w:r>
      <w:r>
        <w:rPr>
          <w:w w:val="130"/>
          <w:sz w:val="24"/>
        </w:rPr>
        <w:t>pénzügyi</w:t>
      </w:r>
      <w:r>
        <w:rPr>
          <w:spacing w:val="-30"/>
          <w:w w:val="130"/>
          <w:sz w:val="24"/>
        </w:rPr>
        <w:t> </w:t>
      </w:r>
      <w:r>
        <w:rPr>
          <w:w w:val="130"/>
          <w:sz w:val="24"/>
        </w:rPr>
        <w:t>intézménnyel</w:t>
      </w:r>
      <w:r>
        <w:rPr>
          <w:spacing w:val="-29"/>
          <w:w w:val="130"/>
          <w:sz w:val="24"/>
        </w:rPr>
        <w:t> </w:t>
      </w:r>
      <w:r>
        <w:rPr>
          <w:w w:val="130"/>
          <w:sz w:val="24"/>
        </w:rPr>
        <w:t>kötött</w:t>
      </w:r>
      <w:r>
        <w:rPr>
          <w:spacing w:val="-28"/>
          <w:w w:val="130"/>
          <w:sz w:val="24"/>
        </w:rPr>
        <w:t> </w:t>
      </w:r>
      <w:r>
        <w:rPr>
          <w:w w:val="130"/>
          <w:sz w:val="24"/>
        </w:rPr>
        <w:t>megállapodásban foglaltak szerint, illetve az átvevő pénzügyi intézmény utasításainak megfelelően köteles végrehajtani, és az ekként befolyt pénzeszközöket továbbítani az átvevő pénzügyi</w:t>
      </w:r>
      <w:r>
        <w:rPr>
          <w:spacing w:val="-26"/>
          <w:w w:val="130"/>
          <w:sz w:val="24"/>
        </w:rPr>
        <w:t> </w:t>
      </w:r>
      <w:r>
        <w:rPr>
          <w:w w:val="130"/>
          <w:sz w:val="24"/>
        </w:rPr>
        <w:t>intézménynek.</w:t>
      </w:r>
    </w:p>
    <w:p>
      <w:pPr>
        <w:pStyle w:val="ListParagraph"/>
        <w:numPr>
          <w:ilvl w:val="0"/>
          <w:numId w:val="83"/>
        </w:numPr>
        <w:tabs>
          <w:tab w:pos="754" w:val="left" w:leader="none"/>
        </w:tabs>
        <w:spacing w:line="225" w:lineRule="auto" w:before="6" w:after="0"/>
        <w:ind w:left="113" w:right="127" w:firstLine="204"/>
        <w:jc w:val="both"/>
        <w:rPr>
          <w:sz w:val="24"/>
        </w:rPr>
      </w:pPr>
      <w:r>
        <w:rPr>
          <w:w w:val="125"/>
          <w:sz w:val="24"/>
        </w:rPr>
        <w:t>Az átadó köteles az ügyfélnek, valamint egyéb kötelezettnek az átadónál nyitott vagy vezetett bármely fizetési számláját érintő fizetési megbízásról, hatósági átutalásról vagy átutalási végzésről, valamint bármely további számlaműveletről az átvevőt az arról való tudomásszerzést követően haladéktalanul</w:t>
      </w:r>
      <w:r>
        <w:rPr>
          <w:spacing w:val="1"/>
          <w:w w:val="125"/>
          <w:sz w:val="24"/>
        </w:rPr>
        <w:t> </w:t>
      </w:r>
      <w:r>
        <w:rPr>
          <w:w w:val="125"/>
          <w:sz w:val="24"/>
        </w:rPr>
        <w:t>tájékoztatni.</w:t>
      </w:r>
    </w:p>
    <w:p>
      <w:pPr>
        <w:pStyle w:val="ListParagraph"/>
        <w:numPr>
          <w:ilvl w:val="0"/>
          <w:numId w:val="83"/>
        </w:numPr>
        <w:tabs>
          <w:tab w:pos="779" w:val="left" w:leader="none"/>
        </w:tabs>
        <w:spacing w:line="225" w:lineRule="auto" w:before="3" w:after="0"/>
        <w:ind w:left="113" w:right="127" w:firstLine="204"/>
        <w:jc w:val="both"/>
        <w:rPr>
          <w:sz w:val="24"/>
        </w:rPr>
      </w:pPr>
      <w:r>
        <w:rPr>
          <w:w w:val="125"/>
          <w:sz w:val="24"/>
        </w:rPr>
        <w:t>Az átruházott szerződésállományba tartozó szerződésekhez kapcsolódó, biztosítéki céllal létesített biztosítási és egyéb jogviszonyokból eredő követeléseket engedményező szerződések és kedvezményezetti pozíciók is részét képezik az átruházott</w:t>
      </w:r>
      <w:r>
        <w:rPr>
          <w:spacing w:val="10"/>
          <w:w w:val="125"/>
          <w:sz w:val="24"/>
        </w:rPr>
        <w:t> </w:t>
      </w:r>
      <w:r>
        <w:rPr>
          <w:w w:val="125"/>
          <w:sz w:val="24"/>
        </w:rPr>
        <w:t>szerződésállománynak.</w:t>
      </w:r>
    </w:p>
    <w:p>
      <w:pPr>
        <w:pStyle w:val="ListParagraph"/>
        <w:numPr>
          <w:ilvl w:val="0"/>
          <w:numId w:val="83"/>
        </w:numPr>
        <w:tabs>
          <w:tab w:pos="924" w:val="left" w:leader="none"/>
        </w:tabs>
        <w:spacing w:line="225" w:lineRule="auto" w:before="3" w:after="0"/>
        <w:ind w:left="113" w:right="131" w:firstLine="204"/>
        <w:jc w:val="both"/>
        <w:rPr>
          <w:sz w:val="24"/>
        </w:rPr>
      </w:pPr>
      <w:r>
        <w:rPr>
          <w:w w:val="125"/>
          <w:sz w:val="24"/>
        </w:rPr>
        <w:t>A szerződésátruházás következtében felmerülő költség, díj az ügyfélre nem hárítható</w:t>
      </w:r>
      <w:r>
        <w:rPr>
          <w:spacing w:val="3"/>
          <w:w w:val="125"/>
          <w:sz w:val="24"/>
        </w:rPr>
        <w:t> </w:t>
      </w:r>
      <w:r>
        <w:rPr>
          <w:w w:val="125"/>
          <w:sz w:val="24"/>
        </w:rPr>
        <w:t>át.</w:t>
      </w:r>
    </w:p>
    <w:p>
      <w:pPr>
        <w:pStyle w:val="ListParagraph"/>
        <w:numPr>
          <w:ilvl w:val="0"/>
          <w:numId w:val="83"/>
        </w:numPr>
        <w:tabs>
          <w:tab w:pos="1069" w:val="left" w:leader="none"/>
        </w:tabs>
        <w:spacing w:line="225" w:lineRule="auto" w:before="1" w:after="0"/>
        <w:ind w:left="113" w:right="127" w:firstLine="204"/>
        <w:jc w:val="both"/>
        <w:rPr>
          <w:sz w:val="24"/>
        </w:rPr>
      </w:pPr>
      <w:r>
        <w:rPr>
          <w:w w:val="125"/>
          <w:sz w:val="24"/>
        </w:rPr>
        <w:t>A pénzügyi intézmények az (1) bekezdésben foglalt pénzügyi szolgáltatás nyújtására irányuló szerződésekből eredő követelésállomány átruházásában - a Felügyelet engedélyével - akként is megállapodhatnak, hogy az átruházással az engedményest a követelésállományon kívül a (6)-(9) bekezdés szerinti  szerződésekből eredő jogok és kedvezmények is megilletik.  A követelésállomány ilyen engedményezésének esetére e § rendelkezéseit is alkalmazni kell azzal, hogy a szerződésállomány alatt követelésállományt, az átadó alatt engedményezőt, az átvevő alatt pedig az engedményest kell</w:t>
      </w:r>
      <w:r>
        <w:rPr>
          <w:spacing w:val="13"/>
          <w:w w:val="125"/>
          <w:sz w:val="24"/>
        </w:rPr>
        <w:t> </w:t>
      </w:r>
      <w:r>
        <w:rPr>
          <w:w w:val="125"/>
          <w:sz w:val="24"/>
        </w:rPr>
        <w:t>érteni.</w:t>
      </w:r>
    </w:p>
    <w:p>
      <w:pPr>
        <w:pStyle w:val="BodyText"/>
        <w:spacing w:before="231"/>
        <w:ind w:left="2511" w:firstLine="0"/>
      </w:pPr>
      <w:r>
        <w:rPr>
          <w:w w:val="125"/>
        </w:rPr>
        <w:t>11. Az alapítási engedély iránti kérelem</w:t>
      </w:r>
    </w:p>
    <w:p>
      <w:pPr>
        <w:pStyle w:val="ListParagraph"/>
        <w:numPr>
          <w:ilvl w:val="0"/>
          <w:numId w:val="68"/>
        </w:numPr>
        <w:tabs>
          <w:tab w:pos="896" w:val="left" w:leader="none"/>
        </w:tabs>
        <w:spacing w:line="225" w:lineRule="auto" w:before="236" w:after="0"/>
        <w:ind w:left="113" w:right="132" w:firstLine="204"/>
        <w:jc w:val="both"/>
        <w:rPr>
          <w:sz w:val="24"/>
        </w:rPr>
      </w:pPr>
      <w:r>
        <w:rPr>
          <w:rFonts w:ascii="Arial" w:hAnsi="Arial"/>
          <w:b/>
          <w:w w:val="120"/>
          <w:sz w:val="24"/>
        </w:rPr>
        <w:t>§ </w:t>
      </w:r>
      <w:r>
        <w:rPr>
          <w:w w:val="120"/>
          <w:sz w:val="24"/>
        </w:rPr>
        <w:t>(1) A pénzügyi intézmény az alapítási engedély iránti kérelméhez mellékeli</w:t>
      </w:r>
    </w:p>
    <w:p>
      <w:pPr>
        <w:pStyle w:val="ListParagraph"/>
        <w:numPr>
          <w:ilvl w:val="0"/>
          <w:numId w:val="85"/>
        </w:numPr>
        <w:tabs>
          <w:tab w:pos="747" w:val="left" w:leader="none"/>
        </w:tabs>
        <w:spacing w:line="225" w:lineRule="auto" w:before="1" w:after="0"/>
        <w:ind w:left="113" w:right="133" w:firstLine="204"/>
        <w:jc w:val="both"/>
        <w:rPr>
          <w:sz w:val="24"/>
        </w:rPr>
      </w:pPr>
      <w:r>
        <w:rPr>
          <w:w w:val="125"/>
          <w:sz w:val="24"/>
        </w:rPr>
        <w:t>az alapítani tervezett pénzügyi intézmény - típusának, tevékenységi körének egyértelmű meghatározását tartalmazó - alapító</w:t>
      </w:r>
      <w:r>
        <w:rPr>
          <w:spacing w:val="39"/>
          <w:w w:val="125"/>
          <w:sz w:val="24"/>
        </w:rPr>
        <w:t> </w:t>
      </w:r>
      <w:r>
        <w:rPr>
          <w:w w:val="125"/>
          <w:sz w:val="24"/>
        </w:rPr>
        <w:t>okiratát,</w:t>
      </w:r>
    </w:p>
    <w:p>
      <w:pPr>
        <w:pStyle w:val="ListParagraph"/>
        <w:numPr>
          <w:ilvl w:val="0"/>
          <w:numId w:val="85"/>
        </w:numPr>
        <w:tabs>
          <w:tab w:pos="707" w:val="left" w:leader="none"/>
        </w:tabs>
        <w:spacing w:line="225" w:lineRule="auto" w:before="2" w:after="0"/>
        <w:ind w:left="113" w:right="135" w:firstLine="204"/>
        <w:jc w:val="both"/>
        <w:rPr>
          <w:sz w:val="24"/>
        </w:rPr>
      </w:pPr>
      <w:r>
        <w:rPr>
          <w:w w:val="130"/>
          <w:sz w:val="24"/>
        </w:rPr>
        <w:t>a tervezett működési terület (országos kiterjedésű vagy meghatározott területi egységre korlátozott) meghatározását tartalmazó</w:t>
      </w:r>
      <w:r>
        <w:rPr>
          <w:spacing w:val="-24"/>
          <w:w w:val="130"/>
          <w:sz w:val="24"/>
        </w:rPr>
        <w:t> </w:t>
      </w:r>
      <w:r>
        <w:rPr>
          <w:w w:val="130"/>
          <w:sz w:val="24"/>
        </w:rPr>
        <w:t>iratot,</w:t>
      </w:r>
    </w:p>
    <w:p>
      <w:pPr>
        <w:pStyle w:val="ListParagraph"/>
        <w:numPr>
          <w:ilvl w:val="0"/>
          <w:numId w:val="85"/>
        </w:numPr>
        <w:tabs>
          <w:tab w:pos="768" w:val="left" w:leader="none"/>
        </w:tabs>
        <w:spacing w:line="225" w:lineRule="auto" w:before="1" w:after="0"/>
        <w:ind w:left="113" w:right="127" w:firstLine="204"/>
        <w:jc w:val="both"/>
        <w:rPr>
          <w:sz w:val="24"/>
        </w:rPr>
      </w:pPr>
      <w:r>
        <w:rPr>
          <w:w w:val="130"/>
          <w:sz w:val="24"/>
        </w:rPr>
        <w:t>hitelintézet esetében az induló tőke ötven százalékának, pénzügyi vállalkozás</w:t>
      </w:r>
      <w:r>
        <w:rPr>
          <w:spacing w:val="-6"/>
          <w:w w:val="130"/>
          <w:sz w:val="24"/>
        </w:rPr>
        <w:t> </w:t>
      </w:r>
      <w:r>
        <w:rPr>
          <w:w w:val="130"/>
          <w:sz w:val="24"/>
        </w:rPr>
        <w:t>esetében</w:t>
      </w:r>
      <w:r>
        <w:rPr>
          <w:spacing w:val="-6"/>
          <w:w w:val="130"/>
          <w:sz w:val="24"/>
        </w:rPr>
        <w:t> </w:t>
      </w:r>
      <w:r>
        <w:rPr>
          <w:w w:val="130"/>
          <w:sz w:val="24"/>
        </w:rPr>
        <w:t>az</w:t>
      </w:r>
      <w:r>
        <w:rPr>
          <w:spacing w:val="-6"/>
          <w:w w:val="130"/>
          <w:sz w:val="24"/>
        </w:rPr>
        <w:t> </w:t>
      </w:r>
      <w:r>
        <w:rPr>
          <w:w w:val="130"/>
          <w:sz w:val="24"/>
        </w:rPr>
        <w:t>induló</w:t>
      </w:r>
      <w:r>
        <w:rPr>
          <w:spacing w:val="-5"/>
          <w:w w:val="130"/>
          <w:sz w:val="24"/>
        </w:rPr>
        <w:t> </w:t>
      </w:r>
      <w:r>
        <w:rPr>
          <w:w w:val="130"/>
          <w:sz w:val="24"/>
        </w:rPr>
        <w:t>tőke</w:t>
      </w:r>
      <w:r>
        <w:rPr>
          <w:spacing w:val="-6"/>
          <w:w w:val="130"/>
          <w:sz w:val="24"/>
        </w:rPr>
        <w:t> </w:t>
      </w:r>
      <w:r>
        <w:rPr>
          <w:w w:val="130"/>
          <w:sz w:val="24"/>
        </w:rPr>
        <w:t>teljes</w:t>
      </w:r>
      <w:r>
        <w:rPr>
          <w:spacing w:val="-6"/>
          <w:w w:val="130"/>
          <w:sz w:val="24"/>
        </w:rPr>
        <w:t> </w:t>
      </w:r>
      <w:r>
        <w:rPr>
          <w:w w:val="130"/>
          <w:sz w:val="24"/>
        </w:rPr>
        <w:t>összegének</w:t>
      </w:r>
      <w:r>
        <w:rPr>
          <w:spacing w:val="-6"/>
          <w:w w:val="130"/>
          <w:sz w:val="24"/>
        </w:rPr>
        <w:t> </w:t>
      </w:r>
      <w:r>
        <w:rPr>
          <w:w w:val="130"/>
          <w:sz w:val="24"/>
        </w:rPr>
        <w:t>az</w:t>
      </w:r>
      <w:r>
        <w:rPr>
          <w:spacing w:val="-5"/>
          <w:w w:val="130"/>
          <w:sz w:val="24"/>
        </w:rPr>
        <w:t> </w:t>
      </w:r>
      <w:r>
        <w:rPr>
          <w:w w:val="130"/>
          <w:sz w:val="24"/>
        </w:rPr>
        <w:t>alapítók</w:t>
      </w:r>
      <w:r>
        <w:rPr>
          <w:spacing w:val="-6"/>
          <w:w w:val="130"/>
          <w:sz w:val="24"/>
        </w:rPr>
        <w:t> </w:t>
      </w:r>
      <w:r>
        <w:rPr>
          <w:w w:val="130"/>
          <w:sz w:val="24"/>
        </w:rPr>
        <w:t>által</w:t>
      </w:r>
      <w:r>
        <w:rPr>
          <w:spacing w:val="-6"/>
          <w:w w:val="130"/>
          <w:sz w:val="24"/>
        </w:rPr>
        <w:t> </w:t>
      </w:r>
      <w:r>
        <w:rPr>
          <w:w w:val="130"/>
          <w:sz w:val="24"/>
        </w:rPr>
        <w:t>történő tényleges befizetésére és rendelkezésre állására vonatkozó</w:t>
      </w:r>
      <w:r>
        <w:rPr>
          <w:spacing w:val="-53"/>
          <w:w w:val="130"/>
          <w:sz w:val="24"/>
        </w:rPr>
        <w:t> </w:t>
      </w:r>
      <w:r>
        <w:rPr>
          <w:w w:val="130"/>
          <w:sz w:val="24"/>
        </w:rPr>
        <w:t>igazolást,</w:t>
      </w:r>
    </w:p>
    <w:p>
      <w:pPr>
        <w:spacing w:after="0" w:line="225" w:lineRule="auto"/>
        <w:jc w:val="both"/>
        <w:rPr>
          <w:sz w:val="24"/>
        </w:rPr>
        <w:sectPr>
          <w:pgSz w:w="11900" w:h="16820"/>
          <w:pgMar w:header="1104" w:footer="0" w:top="1840" w:bottom="280" w:left="1020" w:right="1000"/>
        </w:sectPr>
      </w:pPr>
    </w:p>
    <w:p>
      <w:pPr>
        <w:pStyle w:val="ListParagraph"/>
        <w:numPr>
          <w:ilvl w:val="0"/>
          <w:numId w:val="85"/>
        </w:numPr>
        <w:tabs>
          <w:tab w:pos="690" w:val="left" w:leader="none"/>
        </w:tabs>
        <w:spacing w:line="225" w:lineRule="auto" w:before="173" w:after="0"/>
        <w:ind w:left="113" w:right="129" w:firstLine="204"/>
        <w:jc w:val="both"/>
        <w:rPr>
          <w:sz w:val="24"/>
        </w:rPr>
      </w:pPr>
      <w:r>
        <w:rPr>
          <w:w w:val="130"/>
          <w:sz w:val="24"/>
        </w:rPr>
        <w:t>a szervezeti felépítésének, az irányítási, döntési és ellenőrzési rendjére vonatkozó,</w:t>
      </w:r>
      <w:r>
        <w:rPr>
          <w:spacing w:val="-23"/>
          <w:w w:val="130"/>
          <w:sz w:val="24"/>
        </w:rPr>
        <w:t> </w:t>
      </w:r>
      <w:r>
        <w:rPr>
          <w:w w:val="130"/>
          <w:sz w:val="24"/>
        </w:rPr>
        <w:t>valamint</w:t>
      </w:r>
      <w:r>
        <w:rPr>
          <w:spacing w:val="-23"/>
          <w:w w:val="130"/>
          <w:sz w:val="24"/>
        </w:rPr>
        <w:t> </w:t>
      </w:r>
      <w:r>
        <w:rPr>
          <w:w w:val="130"/>
          <w:sz w:val="24"/>
        </w:rPr>
        <w:t>a</w:t>
      </w:r>
      <w:r>
        <w:rPr>
          <w:spacing w:val="-22"/>
          <w:w w:val="130"/>
          <w:sz w:val="24"/>
        </w:rPr>
        <w:t> </w:t>
      </w:r>
      <w:r>
        <w:rPr>
          <w:w w:val="130"/>
          <w:sz w:val="24"/>
        </w:rPr>
        <w:t>szervezeti</w:t>
      </w:r>
      <w:r>
        <w:rPr>
          <w:spacing w:val="-22"/>
          <w:w w:val="130"/>
          <w:sz w:val="24"/>
        </w:rPr>
        <w:t> </w:t>
      </w:r>
      <w:r>
        <w:rPr>
          <w:w w:val="130"/>
          <w:sz w:val="24"/>
        </w:rPr>
        <w:t>és</w:t>
      </w:r>
      <w:r>
        <w:rPr>
          <w:spacing w:val="-17"/>
          <w:w w:val="130"/>
          <w:sz w:val="24"/>
        </w:rPr>
        <w:t> </w:t>
      </w:r>
      <w:r>
        <w:rPr>
          <w:w w:val="130"/>
          <w:sz w:val="24"/>
        </w:rPr>
        <w:t>működési</w:t>
      </w:r>
      <w:r>
        <w:rPr>
          <w:spacing w:val="-28"/>
          <w:w w:val="130"/>
          <w:sz w:val="24"/>
        </w:rPr>
        <w:t> </w:t>
      </w:r>
      <w:r>
        <w:rPr>
          <w:w w:val="130"/>
          <w:sz w:val="24"/>
        </w:rPr>
        <w:t>szabályzatra</w:t>
      </w:r>
      <w:r>
        <w:rPr>
          <w:spacing w:val="-22"/>
          <w:w w:val="130"/>
          <w:sz w:val="24"/>
        </w:rPr>
        <w:t> </w:t>
      </w:r>
      <w:r>
        <w:rPr>
          <w:w w:val="130"/>
          <w:sz w:val="24"/>
        </w:rPr>
        <w:t>vonatkozó</w:t>
      </w:r>
      <w:r>
        <w:rPr>
          <w:spacing w:val="-23"/>
          <w:w w:val="130"/>
          <w:sz w:val="24"/>
        </w:rPr>
        <w:t> </w:t>
      </w:r>
      <w:r>
        <w:rPr>
          <w:w w:val="130"/>
          <w:sz w:val="24"/>
        </w:rPr>
        <w:t>tervezet bemutatását, ha ezeket az alapító okirat részletesen nem</w:t>
      </w:r>
      <w:r>
        <w:rPr>
          <w:spacing w:val="-38"/>
          <w:w w:val="130"/>
          <w:sz w:val="24"/>
        </w:rPr>
        <w:t> </w:t>
      </w:r>
      <w:r>
        <w:rPr>
          <w:w w:val="130"/>
          <w:sz w:val="24"/>
        </w:rPr>
        <w:t>tartalmazza,</w:t>
      </w:r>
    </w:p>
    <w:p>
      <w:pPr>
        <w:pStyle w:val="ListParagraph"/>
        <w:numPr>
          <w:ilvl w:val="0"/>
          <w:numId w:val="85"/>
        </w:numPr>
        <w:tabs>
          <w:tab w:pos="803" w:val="left" w:leader="none"/>
        </w:tabs>
        <w:spacing w:line="225" w:lineRule="auto" w:before="1" w:after="0"/>
        <w:ind w:left="113" w:right="132" w:firstLine="204"/>
        <w:jc w:val="both"/>
        <w:rPr>
          <w:sz w:val="24"/>
        </w:rPr>
      </w:pPr>
      <w:r>
        <w:rPr>
          <w:w w:val="125"/>
          <w:sz w:val="24"/>
        </w:rPr>
        <w:t>külföldi székhelyű kérelmező esetében nyilatkozatot a kérelmező kézbesítési megbízottjáról, aki csak Magyarországon bejegyzett ügyvéd, illetve ügyvédi iroda vagy a kérelmező magyarországi bankképviselete</w:t>
      </w:r>
      <w:r>
        <w:rPr>
          <w:spacing w:val="20"/>
          <w:w w:val="125"/>
          <w:sz w:val="24"/>
        </w:rPr>
        <w:t> </w:t>
      </w:r>
      <w:r>
        <w:rPr>
          <w:w w:val="125"/>
          <w:sz w:val="24"/>
        </w:rPr>
        <w:t>lehet,</w:t>
      </w:r>
    </w:p>
    <w:p>
      <w:pPr>
        <w:pStyle w:val="ListParagraph"/>
        <w:numPr>
          <w:ilvl w:val="0"/>
          <w:numId w:val="85"/>
        </w:numPr>
        <w:tabs>
          <w:tab w:pos="504" w:val="left" w:leader="none"/>
          <w:tab w:pos="829" w:val="left" w:leader="none"/>
          <w:tab w:pos="2142" w:val="left" w:leader="none"/>
          <w:tab w:pos="3684" w:val="left" w:leader="none"/>
          <w:tab w:pos="4714" w:val="left" w:leader="none"/>
          <w:tab w:pos="7165" w:val="left" w:leader="none"/>
          <w:tab w:pos="7968" w:val="left" w:leader="none"/>
          <w:tab w:pos="9602" w:val="left" w:leader="none"/>
        </w:tabs>
        <w:spacing w:line="250" w:lineRule="exact" w:before="0" w:after="0"/>
        <w:ind w:left="503" w:right="0" w:hanging="186"/>
        <w:jc w:val="left"/>
        <w:rPr>
          <w:sz w:val="24"/>
        </w:rPr>
      </w:pPr>
      <w:r>
        <w:rPr>
          <w:i/>
          <w:w w:val="130"/>
          <w:position w:val="3"/>
          <w:sz w:val="18"/>
        </w:rPr>
        <w:t>1</w:t>
        <w:tab/>
      </w:r>
      <w:r>
        <w:rPr>
          <w:w w:val="130"/>
          <w:sz w:val="24"/>
        </w:rPr>
        <w:t>pénzügyi</w:t>
        <w:tab/>
        <w:t>vállalkozás</w:t>
        <w:tab/>
        <w:t>esetén</w:t>
        <w:tab/>
        <w:t>annak </w:t>
      </w:r>
      <w:r>
        <w:rPr>
          <w:spacing w:val="16"/>
          <w:w w:val="130"/>
          <w:sz w:val="24"/>
        </w:rPr>
        <w:t> </w:t>
      </w:r>
      <w:r>
        <w:rPr>
          <w:w w:val="130"/>
          <w:sz w:val="24"/>
        </w:rPr>
        <w:t>igazolását,</w:t>
        <w:tab/>
        <w:t>hogy</w:t>
        <w:tab/>
        <w:t>rendelkezik</w:t>
        <w:tab/>
        <w:t>a</w:t>
      </w:r>
    </w:p>
    <w:p>
      <w:pPr>
        <w:pStyle w:val="BodyText"/>
        <w:spacing w:line="225" w:lineRule="auto" w:before="12"/>
        <w:ind w:firstLine="0"/>
      </w:pPr>
      <w:r>
        <w:rPr>
          <w:w w:val="125"/>
        </w:rPr>
        <w:t>pénzügyi szolgáltatás nyújtásához szükséges személyi és tárgyi feltételekkel, valamint a 20. § (2) bekezdés </w:t>
      </w:r>
      <w:r>
        <w:rPr>
          <w:i/>
          <w:w w:val="125"/>
        </w:rPr>
        <w:t>d)-f), h), k) </w:t>
      </w:r>
      <w:r>
        <w:rPr>
          <w:w w:val="125"/>
        </w:rPr>
        <w:t>és </w:t>
      </w:r>
      <w:r>
        <w:rPr>
          <w:i/>
          <w:w w:val="125"/>
        </w:rPr>
        <w:t>q) </w:t>
      </w:r>
      <w:r>
        <w:rPr>
          <w:w w:val="125"/>
        </w:rPr>
        <w:t>pontjában foglaltakat,</w:t>
      </w:r>
    </w:p>
    <w:p>
      <w:pPr>
        <w:pStyle w:val="ListParagraph"/>
        <w:numPr>
          <w:ilvl w:val="0"/>
          <w:numId w:val="85"/>
        </w:numPr>
        <w:tabs>
          <w:tab w:pos="800" w:val="left" w:leader="none"/>
        </w:tabs>
        <w:spacing w:line="225" w:lineRule="auto" w:before="1" w:after="0"/>
        <w:ind w:left="113" w:right="126" w:firstLine="204"/>
        <w:jc w:val="both"/>
        <w:rPr>
          <w:sz w:val="24"/>
        </w:rPr>
      </w:pPr>
      <w:r>
        <w:rPr>
          <w:w w:val="125"/>
          <w:sz w:val="24"/>
        </w:rPr>
        <w:t>az összevont alapú, vagy a pénzügyi konglomerátumok kiegészítő felügyeletéről szóló törvényben meghatározott kiegészítő  felügyelet  alá  tartozó hitelintézet esetében az összevont alapú, vagy a  kiegészítő felügyelethez kapcsolódó információátadás rendjének bemutatását és a hitelintézettel szoros kapcsolatban álló személyek nyilatkozatát arról, hogy a hitelintézet összevont alapú, és kiegészítő felügyelete érdekében szükséges adatot, tényt és információt a Felügyelet rendelkezésére</w:t>
      </w:r>
      <w:r>
        <w:rPr>
          <w:spacing w:val="44"/>
          <w:w w:val="125"/>
          <w:sz w:val="24"/>
        </w:rPr>
        <w:t> </w:t>
      </w:r>
      <w:r>
        <w:rPr>
          <w:w w:val="125"/>
          <w:sz w:val="24"/>
        </w:rPr>
        <w:t>bocsátja,</w:t>
      </w:r>
    </w:p>
    <w:p>
      <w:pPr>
        <w:pStyle w:val="ListParagraph"/>
        <w:numPr>
          <w:ilvl w:val="0"/>
          <w:numId w:val="85"/>
        </w:numPr>
        <w:tabs>
          <w:tab w:pos="793" w:val="left" w:leader="none"/>
        </w:tabs>
        <w:spacing w:line="225" w:lineRule="auto" w:before="4" w:after="0"/>
        <w:ind w:left="113" w:right="124" w:firstLine="204"/>
        <w:jc w:val="both"/>
        <w:rPr>
          <w:sz w:val="24"/>
        </w:rPr>
      </w:pPr>
      <w:r>
        <w:rPr>
          <w:w w:val="125"/>
          <w:sz w:val="24"/>
        </w:rPr>
        <w:t>az összevont alapú vagy a pénzügyi konglomerátumok kiegészítő felügyeletéről szóló törvényben meghatározott kiegészítő  felügyelet  alá  tartozó hitelintézet esetében a hitelintézettel szoros kapcsolatban álló természetes személy nyilatkozatát arról, hogy hozzájárul a hitelintézet részére átadott személyes adatainak az összevont alapú és a kiegészítő felügyelet ellátása céljából történő kezeléséhez és továbbításához,</w:t>
      </w:r>
      <w:r>
        <w:rPr>
          <w:spacing w:val="-50"/>
          <w:w w:val="125"/>
          <w:sz w:val="24"/>
        </w:rPr>
        <w:t> </w:t>
      </w:r>
      <w:r>
        <w:rPr>
          <w:w w:val="125"/>
          <w:sz w:val="24"/>
        </w:rPr>
        <w:t>valamint</w:t>
      </w:r>
    </w:p>
    <w:p>
      <w:pPr>
        <w:pStyle w:val="ListParagraph"/>
        <w:numPr>
          <w:ilvl w:val="0"/>
          <w:numId w:val="85"/>
        </w:numPr>
        <w:tabs>
          <w:tab w:pos="812" w:val="left" w:leader="none"/>
        </w:tabs>
        <w:spacing w:line="225" w:lineRule="auto" w:before="4" w:after="0"/>
        <w:ind w:left="113" w:right="129" w:firstLine="204"/>
        <w:jc w:val="both"/>
        <w:rPr>
          <w:sz w:val="24"/>
        </w:rPr>
      </w:pPr>
      <w:r>
        <w:rPr>
          <w:w w:val="130"/>
          <w:sz w:val="24"/>
        </w:rPr>
        <w:t>nyilatkozatát arról, hogy a pénzügyi intézmény irányítása a</w:t>
      </w:r>
      <w:r>
        <w:rPr>
          <w:spacing w:val="78"/>
          <w:w w:val="130"/>
          <w:sz w:val="24"/>
        </w:rPr>
        <w:t> </w:t>
      </w:r>
      <w:r>
        <w:rPr>
          <w:w w:val="130"/>
          <w:sz w:val="24"/>
        </w:rPr>
        <w:t>Magyarországon létesítendő főirodában</w:t>
      </w:r>
      <w:r>
        <w:rPr>
          <w:spacing w:val="-16"/>
          <w:w w:val="130"/>
          <w:sz w:val="24"/>
        </w:rPr>
        <w:t> </w:t>
      </w:r>
      <w:r>
        <w:rPr>
          <w:w w:val="130"/>
          <w:sz w:val="24"/>
        </w:rPr>
        <w:t>történik.</w:t>
      </w:r>
    </w:p>
    <w:p>
      <w:pPr>
        <w:pStyle w:val="ListParagraph"/>
        <w:numPr>
          <w:ilvl w:val="0"/>
          <w:numId w:val="86"/>
        </w:numPr>
        <w:tabs>
          <w:tab w:pos="790" w:val="left" w:leader="none"/>
        </w:tabs>
        <w:spacing w:line="225" w:lineRule="auto" w:before="1" w:after="0"/>
        <w:ind w:left="113" w:right="127" w:firstLine="204"/>
        <w:jc w:val="both"/>
        <w:rPr>
          <w:sz w:val="24"/>
        </w:rPr>
      </w:pPr>
      <w:r>
        <w:rPr>
          <w:w w:val="125"/>
          <w:sz w:val="24"/>
        </w:rPr>
        <w:t>Az alapító, ha a pénzügyi intézményben befolyásoló részesedést kíván szerezni, az (1) bekezdésben foglaltakon kívül az engedély iránti kérelemhez mellékeli</w:t>
      </w:r>
    </w:p>
    <w:p>
      <w:pPr>
        <w:pStyle w:val="ListParagraph"/>
        <w:numPr>
          <w:ilvl w:val="0"/>
          <w:numId w:val="87"/>
        </w:numPr>
        <w:tabs>
          <w:tab w:pos="631" w:val="left" w:leader="none"/>
        </w:tabs>
        <w:spacing w:line="256" w:lineRule="exact" w:before="0" w:after="0"/>
        <w:ind w:left="630" w:right="0" w:hanging="313"/>
        <w:jc w:val="left"/>
        <w:rPr>
          <w:sz w:val="24"/>
        </w:rPr>
      </w:pPr>
      <w:r>
        <w:rPr>
          <w:w w:val="130"/>
          <w:sz w:val="24"/>
        </w:rPr>
        <w:t>a kérelmező 2. mellékletben meghatározott azonosító</w:t>
      </w:r>
      <w:r>
        <w:rPr>
          <w:spacing w:val="-47"/>
          <w:w w:val="130"/>
          <w:sz w:val="24"/>
        </w:rPr>
        <w:t> </w:t>
      </w:r>
      <w:r>
        <w:rPr>
          <w:w w:val="130"/>
          <w:sz w:val="24"/>
        </w:rPr>
        <w:t>adatait,</w:t>
      </w:r>
    </w:p>
    <w:p>
      <w:pPr>
        <w:pStyle w:val="ListParagraph"/>
        <w:numPr>
          <w:ilvl w:val="0"/>
          <w:numId w:val="87"/>
        </w:numPr>
        <w:tabs>
          <w:tab w:pos="751" w:val="left" w:leader="none"/>
        </w:tabs>
        <w:spacing w:line="225" w:lineRule="auto" w:before="5" w:after="0"/>
        <w:ind w:left="113" w:right="124" w:firstLine="204"/>
        <w:jc w:val="both"/>
        <w:rPr>
          <w:sz w:val="24"/>
        </w:rPr>
      </w:pPr>
      <w:r>
        <w:rPr>
          <w:w w:val="130"/>
          <w:sz w:val="24"/>
        </w:rPr>
        <w:t>a befolyásoló részesedés megszerzéséhez szükséges pénzügyi forrás törvényes eredetének</w:t>
      </w:r>
      <w:r>
        <w:rPr>
          <w:spacing w:val="-8"/>
          <w:w w:val="130"/>
          <w:sz w:val="24"/>
        </w:rPr>
        <w:t> </w:t>
      </w:r>
      <w:r>
        <w:rPr>
          <w:w w:val="130"/>
          <w:sz w:val="24"/>
        </w:rPr>
        <w:t>igazolását,</w:t>
      </w:r>
    </w:p>
    <w:p>
      <w:pPr>
        <w:pStyle w:val="ListParagraph"/>
        <w:numPr>
          <w:ilvl w:val="0"/>
          <w:numId w:val="87"/>
        </w:numPr>
        <w:tabs>
          <w:tab w:pos="649" w:val="left" w:leader="none"/>
        </w:tabs>
        <w:spacing w:line="225" w:lineRule="auto" w:before="1" w:after="0"/>
        <w:ind w:left="113" w:right="126" w:firstLine="204"/>
        <w:jc w:val="both"/>
        <w:rPr>
          <w:sz w:val="24"/>
        </w:rPr>
      </w:pPr>
      <w:r>
        <w:rPr>
          <w:w w:val="130"/>
          <w:sz w:val="24"/>
        </w:rPr>
        <w:t>harminc napnál nem régebbi okirati igazolást arról, hogy személyes joga szerinti hatáskörrel rendelkező adóhatósággal, vámhatósággal, egészségbiztosítási szervvel, nyugdíj-biztosítási igazgatási szervvel szemben nincs</w:t>
      </w:r>
      <w:r>
        <w:rPr>
          <w:spacing w:val="-3"/>
          <w:w w:val="130"/>
          <w:sz w:val="24"/>
        </w:rPr>
        <w:t> </w:t>
      </w:r>
      <w:r>
        <w:rPr>
          <w:w w:val="130"/>
          <w:sz w:val="24"/>
        </w:rPr>
        <w:t>tartozása,</w:t>
      </w:r>
    </w:p>
    <w:p>
      <w:pPr>
        <w:pStyle w:val="ListParagraph"/>
        <w:numPr>
          <w:ilvl w:val="0"/>
          <w:numId w:val="87"/>
        </w:numPr>
        <w:tabs>
          <w:tab w:pos="665" w:val="left" w:leader="none"/>
        </w:tabs>
        <w:spacing w:line="225" w:lineRule="auto" w:before="3" w:after="0"/>
        <w:ind w:left="113" w:right="133" w:firstLine="204"/>
        <w:jc w:val="both"/>
        <w:rPr>
          <w:sz w:val="24"/>
        </w:rPr>
      </w:pPr>
      <w:r>
        <w:rPr>
          <w:w w:val="130"/>
          <w:sz w:val="24"/>
        </w:rPr>
        <w:t>nyilatkozatot arról, hogy egyéb tulajdonosi érdekeltsége és</w:t>
      </w:r>
      <w:r>
        <w:rPr>
          <w:spacing w:val="-51"/>
          <w:w w:val="130"/>
          <w:sz w:val="24"/>
        </w:rPr>
        <w:t> </w:t>
      </w:r>
      <w:r>
        <w:rPr>
          <w:w w:val="130"/>
          <w:sz w:val="24"/>
        </w:rPr>
        <w:t>tevékenysége nem veszélyezteti a pénzügyi intézmény</w:t>
      </w:r>
      <w:r>
        <w:rPr>
          <w:spacing w:val="-35"/>
          <w:w w:val="130"/>
          <w:sz w:val="24"/>
        </w:rPr>
        <w:t> </w:t>
      </w:r>
      <w:r>
        <w:rPr>
          <w:w w:val="130"/>
          <w:sz w:val="24"/>
        </w:rPr>
        <w:t>működését,</w:t>
      </w:r>
    </w:p>
    <w:p>
      <w:pPr>
        <w:pStyle w:val="ListParagraph"/>
        <w:numPr>
          <w:ilvl w:val="0"/>
          <w:numId w:val="87"/>
        </w:numPr>
        <w:tabs>
          <w:tab w:pos="664" w:val="left" w:leader="none"/>
        </w:tabs>
        <w:spacing w:line="225" w:lineRule="auto" w:before="1" w:after="0"/>
        <w:ind w:left="113" w:right="129" w:firstLine="204"/>
        <w:jc w:val="both"/>
        <w:rPr>
          <w:sz w:val="24"/>
        </w:rPr>
      </w:pPr>
      <w:r>
        <w:rPr>
          <w:w w:val="125"/>
          <w:sz w:val="24"/>
        </w:rPr>
        <w:t>természetes személy esetén a bűnügyi nyilvántartó szerv által kiállított - büntetlen előéletet igazoló - hatósági bizonyítványt vagy a személyes joga szerinti ennek megfelelő</w:t>
      </w:r>
      <w:r>
        <w:rPr>
          <w:spacing w:val="2"/>
          <w:w w:val="125"/>
          <w:sz w:val="24"/>
        </w:rPr>
        <w:t> </w:t>
      </w:r>
      <w:r>
        <w:rPr>
          <w:w w:val="125"/>
          <w:sz w:val="24"/>
        </w:rPr>
        <w:t>okiratot,</w:t>
      </w:r>
    </w:p>
    <w:p>
      <w:pPr>
        <w:pStyle w:val="ListParagraph"/>
        <w:numPr>
          <w:ilvl w:val="0"/>
          <w:numId w:val="87"/>
        </w:numPr>
        <w:tabs>
          <w:tab w:pos="580" w:val="left" w:leader="none"/>
        </w:tabs>
        <w:spacing w:line="225" w:lineRule="auto" w:before="2" w:after="0"/>
        <w:ind w:left="113" w:right="125" w:firstLine="204"/>
        <w:jc w:val="both"/>
        <w:rPr>
          <w:sz w:val="24"/>
        </w:rPr>
      </w:pPr>
      <w:r>
        <w:rPr>
          <w:w w:val="130"/>
          <w:sz w:val="24"/>
        </w:rPr>
        <w:t>nem</w:t>
      </w:r>
      <w:r>
        <w:rPr>
          <w:spacing w:val="-16"/>
          <w:w w:val="130"/>
          <w:sz w:val="24"/>
        </w:rPr>
        <w:t> </w:t>
      </w:r>
      <w:r>
        <w:rPr>
          <w:w w:val="130"/>
          <w:sz w:val="24"/>
        </w:rPr>
        <w:t>természetes</w:t>
      </w:r>
      <w:r>
        <w:rPr>
          <w:spacing w:val="-16"/>
          <w:w w:val="130"/>
          <w:sz w:val="24"/>
        </w:rPr>
        <w:t> </w:t>
      </w:r>
      <w:r>
        <w:rPr>
          <w:w w:val="130"/>
          <w:sz w:val="24"/>
        </w:rPr>
        <w:t>személy</w:t>
      </w:r>
      <w:r>
        <w:rPr>
          <w:spacing w:val="-15"/>
          <w:w w:val="130"/>
          <w:sz w:val="24"/>
        </w:rPr>
        <w:t> </w:t>
      </w:r>
      <w:r>
        <w:rPr>
          <w:w w:val="130"/>
          <w:sz w:val="24"/>
        </w:rPr>
        <w:t>esetén</w:t>
      </w:r>
      <w:r>
        <w:rPr>
          <w:spacing w:val="-16"/>
          <w:w w:val="130"/>
          <w:sz w:val="24"/>
        </w:rPr>
        <w:t> </w:t>
      </w:r>
      <w:r>
        <w:rPr>
          <w:w w:val="130"/>
          <w:sz w:val="24"/>
        </w:rPr>
        <w:t>a</w:t>
      </w:r>
      <w:r>
        <w:rPr>
          <w:spacing w:val="-15"/>
          <w:w w:val="130"/>
          <w:sz w:val="24"/>
        </w:rPr>
        <w:t> </w:t>
      </w:r>
      <w:r>
        <w:rPr>
          <w:w w:val="130"/>
          <w:sz w:val="24"/>
        </w:rPr>
        <w:t>kérelem</w:t>
      </w:r>
      <w:r>
        <w:rPr>
          <w:spacing w:val="-16"/>
          <w:w w:val="130"/>
          <w:sz w:val="24"/>
        </w:rPr>
        <w:t> </w:t>
      </w:r>
      <w:r>
        <w:rPr>
          <w:w w:val="130"/>
          <w:sz w:val="24"/>
        </w:rPr>
        <w:t>benyújtásakor</w:t>
      </w:r>
      <w:r>
        <w:rPr>
          <w:spacing w:val="-15"/>
          <w:w w:val="130"/>
          <w:sz w:val="24"/>
        </w:rPr>
        <w:t> </w:t>
      </w:r>
      <w:r>
        <w:rPr>
          <w:w w:val="130"/>
          <w:sz w:val="24"/>
        </w:rPr>
        <w:t>hatályos</w:t>
      </w:r>
      <w:r>
        <w:rPr>
          <w:spacing w:val="-16"/>
          <w:w w:val="130"/>
          <w:sz w:val="24"/>
        </w:rPr>
        <w:t> </w:t>
      </w:r>
      <w:r>
        <w:rPr>
          <w:w w:val="130"/>
          <w:sz w:val="24"/>
        </w:rPr>
        <w:t>létesítő okiratát,</w:t>
      </w:r>
      <w:r>
        <w:rPr>
          <w:spacing w:val="-18"/>
          <w:w w:val="130"/>
          <w:sz w:val="24"/>
        </w:rPr>
        <w:t> </w:t>
      </w:r>
      <w:r>
        <w:rPr>
          <w:w w:val="130"/>
          <w:sz w:val="24"/>
        </w:rPr>
        <w:t>harminc</w:t>
      </w:r>
      <w:r>
        <w:rPr>
          <w:spacing w:val="-18"/>
          <w:w w:val="130"/>
          <w:sz w:val="24"/>
        </w:rPr>
        <w:t> </w:t>
      </w:r>
      <w:r>
        <w:rPr>
          <w:w w:val="130"/>
          <w:sz w:val="24"/>
        </w:rPr>
        <w:t>napnál</w:t>
      </w:r>
      <w:r>
        <w:rPr>
          <w:spacing w:val="-17"/>
          <w:w w:val="130"/>
          <w:sz w:val="24"/>
        </w:rPr>
        <w:t> </w:t>
      </w:r>
      <w:r>
        <w:rPr>
          <w:w w:val="130"/>
          <w:sz w:val="24"/>
        </w:rPr>
        <w:t>nem</w:t>
      </w:r>
      <w:r>
        <w:rPr>
          <w:spacing w:val="-6"/>
          <w:w w:val="130"/>
          <w:sz w:val="24"/>
        </w:rPr>
        <w:t> </w:t>
      </w:r>
      <w:r>
        <w:rPr>
          <w:w w:val="130"/>
          <w:sz w:val="24"/>
        </w:rPr>
        <w:t>régebbi</w:t>
      </w:r>
      <w:r>
        <w:rPr>
          <w:spacing w:val="-29"/>
          <w:w w:val="130"/>
          <w:sz w:val="24"/>
        </w:rPr>
        <w:t> </w:t>
      </w:r>
      <w:r>
        <w:rPr>
          <w:w w:val="130"/>
          <w:sz w:val="24"/>
        </w:rPr>
        <w:t>okirati</w:t>
      </w:r>
      <w:r>
        <w:rPr>
          <w:spacing w:val="-18"/>
          <w:w w:val="130"/>
          <w:sz w:val="24"/>
        </w:rPr>
        <w:t> </w:t>
      </w:r>
      <w:r>
        <w:rPr>
          <w:w w:val="130"/>
          <w:sz w:val="24"/>
        </w:rPr>
        <w:t>igazolást</w:t>
      </w:r>
      <w:r>
        <w:rPr>
          <w:spacing w:val="-18"/>
          <w:w w:val="130"/>
          <w:sz w:val="24"/>
        </w:rPr>
        <w:t> </w:t>
      </w:r>
      <w:r>
        <w:rPr>
          <w:w w:val="130"/>
          <w:sz w:val="24"/>
        </w:rPr>
        <w:t>arról,</w:t>
      </w:r>
      <w:r>
        <w:rPr>
          <w:spacing w:val="-17"/>
          <w:w w:val="130"/>
          <w:sz w:val="24"/>
        </w:rPr>
        <w:t> </w:t>
      </w:r>
      <w:r>
        <w:rPr>
          <w:w w:val="130"/>
          <w:sz w:val="24"/>
        </w:rPr>
        <w:t>hogy</w:t>
      </w:r>
      <w:r>
        <w:rPr>
          <w:spacing w:val="-18"/>
          <w:w w:val="130"/>
          <w:sz w:val="24"/>
        </w:rPr>
        <w:t> </w:t>
      </w:r>
      <w:r>
        <w:rPr>
          <w:w w:val="130"/>
          <w:sz w:val="24"/>
        </w:rPr>
        <w:t>a</w:t>
      </w:r>
      <w:r>
        <w:rPr>
          <w:spacing w:val="-17"/>
          <w:w w:val="130"/>
          <w:sz w:val="24"/>
        </w:rPr>
        <w:t> </w:t>
      </w:r>
      <w:r>
        <w:rPr>
          <w:w w:val="130"/>
          <w:sz w:val="24"/>
        </w:rPr>
        <w:t>személyes joga szerinti bejegyzése (nyilvántartásba vétele) megtörtént, nem áll csőd-, felszámolási vagy végelszámolási eljárás alatt, valamint vezető állású</w:t>
      </w:r>
      <w:r>
        <w:rPr>
          <w:spacing w:val="78"/>
          <w:w w:val="130"/>
          <w:sz w:val="24"/>
        </w:rPr>
        <w:t> </w:t>
      </w:r>
      <w:r>
        <w:rPr>
          <w:w w:val="130"/>
          <w:sz w:val="24"/>
        </w:rPr>
        <w:t>személyével szemben kizáró ok nem áll</w:t>
      </w:r>
      <w:r>
        <w:rPr>
          <w:spacing w:val="-36"/>
          <w:w w:val="130"/>
          <w:sz w:val="24"/>
        </w:rPr>
        <w:t> </w:t>
      </w:r>
      <w:r>
        <w:rPr>
          <w:w w:val="130"/>
          <w:sz w:val="24"/>
        </w:rPr>
        <w:t>fenn,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424;mso-wrap-distance-left:0;mso-wrap-distance-right:0" from="56.693001pt,15.755632pt" to="538.583001pt,15.75563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191.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87"/>
        </w:numPr>
        <w:tabs>
          <w:tab w:pos="567" w:val="left" w:leader="none"/>
        </w:tabs>
        <w:spacing w:line="261" w:lineRule="exact" w:before="159" w:after="0"/>
        <w:ind w:left="566" w:right="0" w:hanging="249"/>
        <w:jc w:val="left"/>
        <w:rPr>
          <w:sz w:val="24"/>
        </w:rPr>
      </w:pPr>
      <w:r>
        <w:rPr>
          <w:i/>
          <w:w w:val="130"/>
          <w:position w:val="3"/>
          <w:sz w:val="18"/>
        </w:rPr>
        <w:t>1 </w:t>
      </w:r>
      <w:r>
        <w:rPr>
          <w:w w:val="130"/>
          <w:sz w:val="24"/>
        </w:rPr>
        <w:t>nem természetes személy kérelmező esetén a tulajdonosi</w:t>
      </w:r>
      <w:r>
        <w:rPr>
          <w:spacing w:val="14"/>
          <w:w w:val="130"/>
          <w:sz w:val="24"/>
        </w:rPr>
        <w:t> </w:t>
      </w:r>
      <w:r>
        <w:rPr>
          <w:w w:val="130"/>
          <w:sz w:val="24"/>
        </w:rPr>
        <w:t>szerkezetének</w:t>
      </w:r>
    </w:p>
    <w:p>
      <w:pPr>
        <w:pStyle w:val="BodyText"/>
        <w:spacing w:line="225" w:lineRule="auto" w:before="12"/>
        <w:ind w:right="128" w:firstLine="0"/>
        <w:jc w:val="both"/>
      </w:pPr>
      <w:r>
        <w:rPr>
          <w:w w:val="125"/>
        </w:rPr>
        <w:t>okiratokkal alátámasztott részletes leírását, továbbá - amennyiben  ez  lehetséges - a tényleges tulajdonosok bemutatását, valamint ha a kérelmezőre  az összevont alapú felügyelet kiterjed, ezen körülményeknek a részletes  leírását, továbbá az összevont alapú felügyelet alá tartozó hitelintézet, befektetési vállalkozás előző évre vonatkozó konszolidált éves beszámolóját,  ha konszolidált beszámoló készítésére</w:t>
      </w:r>
      <w:r>
        <w:rPr>
          <w:spacing w:val="7"/>
          <w:w w:val="125"/>
        </w:rPr>
        <w:t> </w:t>
      </w:r>
      <w:r>
        <w:rPr>
          <w:w w:val="125"/>
        </w:rPr>
        <w:t>kötelezett,</w:t>
      </w:r>
    </w:p>
    <w:p>
      <w:pPr>
        <w:pStyle w:val="ListParagraph"/>
        <w:numPr>
          <w:ilvl w:val="0"/>
          <w:numId w:val="87"/>
        </w:numPr>
        <w:tabs>
          <w:tab w:pos="693" w:val="left" w:leader="none"/>
        </w:tabs>
        <w:spacing w:line="225" w:lineRule="auto" w:before="4" w:after="0"/>
        <w:ind w:left="113" w:right="124" w:firstLine="204"/>
        <w:jc w:val="both"/>
        <w:rPr>
          <w:sz w:val="24"/>
        </w:rPr>
      </w:pPr>
      <w:r>
        <w:rPr>
          <w:w w:val="125"/>
          <w:sz w:val="24"/>
        </w:rPr>
        <w:t>nyilatkozatot arról, hogy milyen - az Szmt. szerinti - függő és jövőbeni kötelezettségei vannak,</w:t>
      </w:r>
      <w:r>
        <w:rPr>
          <w:spacing w:val="15"/>
          <w:w w:val="125"/>
          <w:sz w:val="24"/>
        </w:rPr>
        <w:t> </w:t>
      </w:r>
      <w:r>
        <w:rPr>
          <w:w w:val="125"/>
          <w:sz w:val="24"/>
        </w:rPr>
        <w:t>valamint</w:t>
      </w:r>
    </w:p>
    <w:p>
      <w:pPr>
        <w:pStyle w:val="ListParagraph"/>
        <w:numPr>
          <w:ilvl w:val="0"/>
          <w:numId w:val="87"/>
        </w:numPr>
        <w:tabs>
          <w:tab w:pos="629" w:val="left" w:leader="none"/>
        </w:tabs>
        <w:spacing w:line="225" w:lineRule="auto" w:before="1" w:after="0"/>
        <w:ind w:left="113" w:right="130" w:firstLine="204"/>
        <w:jc w:val="both"/>
        <w:rPr>
          <w:sz w:val="24"/>
        </w:rPr>
      </w:pPr>
      <w:r>
        <w:rPr>
          <w:w w:val="130"/>
          <w:sz w:val="24"/>
        </w:rPr>
        <w:t>a kérelmező teljes bizonyító erejű magánokiratban foglalt nyilatkozatát arra vonatkozóan, hogy hozzájárul az engedély iránti kérelemhez mellékelt iratban foglaltak valódiságának a Felügyelet által megkeresett szervek útján történő</w:t>
      </w:r>
      <w:r>
        <w:rPr>
          <w:spacing w:val="-4"/>
          <w:w w:val="130"/>
          <w:sz w:val="24"/>
        </w:rPr>
        <w:t> </w:t>
      </w:r>
      <w:r>
        <w:rPr>
          <w:w w:val="130"/>
          <w:sz w:val="24"/>
        </w:rPr>
        <w:t>ellenőrzéséhez.</w:t>
      </w:r>
    </w:p>
    <w:p>
      <w:pPr>
        <w:pStyle w:val="ListParagraph"/>
        <w:numPr>
          <w:ilvl w:val="0"/>
          <w:numId w:val="86"/>
        </w:numPr>
        <w:tabs>
          <w:tab w:pos="757" w:val="left" w:leader="none"/>
        </w:tabs>
        <w:spacing w:line="225" w:lineRule="auto" w:before="2" w:after="0"/>
        <w:ind w:left="113" w:right="128" w:firstLine="204"/>
        <w:jc w:val="both"/>
        <w:rPr>
          <w:sz w:val="24"/>
        </w:rPr>
      </w:pPr>
      <w:r>
        <w:rPr>
          <w:w w:val="130"/>
          <w:sz w:val="24"/>
        </w:rPr>
        <w:t>Az</w:t>
      </w:r>
      <w:r>
        <w:rPr>
          <w:spacing w:val="-10"/>
          <w:w w:val="130"/>
          <w:sz w:val="24"/>
        </w:rPr>
        <w:t> </w:t>
      </w:r>
      <w:r>
        <w:rPr>
          <w:w w:val="130"/>
          <w:sz w:val="24"/>
        </w:rPr>
        <w:t>állami</w:t>
      </w:r>
      <w:r>
        <w:rPr>
          <w:spacing w:val="-9"/>
          <w:w w:val="130"/>
          <w:sz w:val="24"/>
        </w:rPr>
        <w:t> </w:t>
      </w:r>
      <w:r>
        <w:rPr>
          <w:w w:val="130"/>
          <w:sz w:val="24"/>
        </w:rPr>
        <w:t>adóhatóságtól</w:t>
      </w:r>
      <w:r>
        <w:rPr>
          <w:spacing w:val="-10"/>
          <w:w w:val="130"/>
          <w:sz w:val="24"/>
        </w:rPr>
        <w:t> </w:t>
      </w:r>
      <w:r>
        <w:rPr>
          <w:w w:val="130"/>
          <w:sz w:val="24"/>
        </w:rPr>
        <w:t>beszerezhető</w:t>
      </w:r>
      <w:r>
        <w:rPr>
          <w:spacing w:val="-9"/>
          <w:w w:val="130"/>
          <w:sz w:val="24"/>
        </w:rPr>
        <w:t> </w:t>
      </w:r>
      <w:r>
        <w:rPr>
          <w:w w:val="130"/>
          <w:sz w:val="24"/>
        </w:rPr>
        <w:t>adóigazolással</w:t>
      </w:r>
      <w:r>
        <w:rPr>
          <w:spacing w:val="-10"/>
          <w:w w:val="130"/>
          <w:sz w:val="24"/>
        </w:rPr>
        <w:t> </w:t>
      </w:r>
      <w:r>
        <w:rPr>
          <w:w w:val="130"/>
          <w:sz w:val="24"/>
        </w:rPr>
        <w:t>egyenértékű,</w:t>
      </w:r>
      <w:r>
        <w:rPr>
          <w:spacing w:val="-10"/>
          <w:w w:val="130"/>
          <w:sz w:val="24"/>
        </w:rPr>
        <w:t> </w:t>
      </w:r>
      <w:r>
        <w:rPr>
          <w:w w:val="130"/>
          <w:sz w:val="24"/>
        </w:rPr>
        <w:t>ha</w:t>
      </w:r>
      <w:r>
        <w:rPr>
          <w:spacing w:val="-9"/>
          <w:w w:val="130"/>
          <w:sz w:val="24"/>
        </w:rPr>
        <w:t> </w:t>
      </w:r>
      <w:r>
        <w:rPr>
          <w:w w:val="130"/>
          <w:sz w:val="24"/>
        </w:rPr>
        <w:t>az adózó szerepel a köztartozásmentes adózói</w:t>
      </w:r>
      <w:r>
        <w:rPr>
          <w:spacing w:val="-30"/>
          <w:w w:val="130"/>
          <w:sz w:val="24"/>
        </w:rPr>
        <w:t> </w:t>
      </w:r>
      <w:r>
        <w:rPr>
          <w:w w:val="130"/>
          <w:sz w:val="24"/>
        </w:rPr>
        <w:t>adatbázisban.</w:t>
      </w:r>
    </w:p>
    <w:p>
      <w:pPr>
        <w:pStyle w:val="ListParagraph"/>
        <w:numPr>
          <w:ilvl w:val="0"/>
          <w:numId w:val="86"/>
        </w:numPr>
        <w:tabs>
          <w:tab w:pos="794" w:val="left" w:leader="none"/>
        </w:tabs>
        <w:spacing w:line="225" w:lineRule="auto" w:before="1" w:after="0"/>
        <w:ind w:left="113" w:right="125" w:firstLine="204"/>
        <w:jc w:val="both"/>
        <w:rPr>
          <w:sz w:val="24"/>
        </w:rPr>
      </w:pPr>
      <w:r>
        <w:rPr>
          <w:w w:val="125"/>
          <w:sz w:val="24"/>
        </w:rPr>
        <w:t>Ha az alapítók között befolyásoló részesedést szerezni kívánó külföldi székhelyű pénzügyi intézmény, biztosítóintézet vagy befektetési társaság van, az (1)-(2) bekezdésben foglaltakon kívül az engedély iránti kérelemhez benyújtja a székhely szerinti ország illetékes felügyeleti hatóságának  igazolását, vagy nyilatkozatát arról, hogy a vállalkozás a prudens tevékenység végzésére vonatkozó szabályokat betartva</w:t>
      </w:r>
      <w:r>
        <w:rPr>
          <w:spacing w:val="5"/>
          <w:w w:val="125"/>
          <w:sz w:val="24"/>
        </w:rPr>
        <w:t> </w:t>
      </w:r>
      <w:r>
        <w:rPr>
          <w:w w:val="125"/>
          <w:sz w:val="24"/>
        </w:rPr>
        <w:t>működik.</w:t>
      </w:r>
    </w:p>
    <w:p>
      <w:pPr>
        <w:pStyle w:val="ListParagraph"/>
        <w:numPr>
          <w:ilvl w:val="0"/>
          <w:numId w:val="86"/>
        </w:numPr>
        <w:tabs>
          <w:tab w:pos="734" w:val="left" w:leader="none"/>
        </w:tabs>
        <w:spacing w:line="258" w:lineRule="exact" w:before="0" w:after="0"/>
        <w:ind w:left="733" w:right="0" w:hanging="416"/>
        <w:jc w:val="left"/>
        <w:rPr>
          <w:sz w:val="24"/>
        </w:rPr>
      </w:pPr>
      <w:r>
        <w:rPr>
          <w:w w:val="125"/>
          <w:sz w:val="24"/>
        </w:rPr>
        <w:t>A pénzügyi holding társaság az engedély iránti kérelméhez</w:t>
      </w:r>
      <w:r>
        <w:rPr>
          <w:spacing w:val="23"/>
          <w:w w:val="125"/>
          <w:sz w:val="24"/>
        </w:rPr>
        <w:t> </w:t>
      </w:r>
      <w:r>
        <w:rPr>
          <w:w w:val="125"/>
          <w:sz w:val="24"/>
        </w:rPr>
        <w:t>mellékeli</w:t>
      </w:r>
    </w:p>
    <w:p>
      <w:pPr>
        <w:pStyle w:val="ListParagraph"/>
        <w:numPr>
          <w:ilvl w:val="0"/>
          <w:numId w:val="88"/>
        </w:numPr>
        <w:tabs>
          <w:tab w:pos="738" w:val="left" w:leader="none"/>
        </w:tabs>
        <w:spacing w:line="225" w:lineRule="auto" w:before="6" w:after="0"/>
        <w:ind w:left="113" w:right="128" w:firstLine="204"/>
        <w:jc w:val="both"/>
        <w:rPr>
          <w:sz w:val="24"/>
        </w:rPr>
      </w:pPr>
      <w:r>
        <w:rPr>
          <w:w w:val="125"/>
          <w:sz w:val="24"/>
        </w:rPr>
        <w:t>az (1) bekezdés </w:t>
      </w:r>
      <w:r>
        <w:rPr>
          <w:i/>
          <w:w w:val="125"/>
          <w:sz w:val="24"/>
        </w:rPr>
        <w:t>a) </w:t>
      </w:r>
      <w:r>
        <w:rPr>
          <w:w w:val="125"/>
          <w:sz w:val="24"/>
        </w:rPr>
        <w:t>és </w:t>
      </w:r>
      <w:r>
        <w:rPr>
          <w:i/>
          <w:w w:val="125"/>
          <w:sz w:val="24"/>
        </w:rPr>
        <w:t>c)-e) </w:t>
      </w:r>
      <w:r>
        <w:rPr>
          <w:w w:val="125"/>
          <w:sz w:val="24"/>
        </w:rPr>
        <w:t>pontjában, valamint a (2) bekezdésben foglaltakat,</w:t>
      </w:r>
    </w:p>
    <w:p>
      <w:pPr>
        <w:pStyle w:val="ListParagraph"/>
        <w:numPr>
          <w:ilvl w:val="0"/>
          <w:numId w:val="88"/>
        </w:numPr>
        <w:tabs>
          <w:tab w:pos="653" w:val="left" w:leader="none"/>
        </w:tabs>
        <w:spacing w:line="256" w:lineRule="exact" w:before="0" w:after="0"/>
        <w:ind w:left="652" w:right="0" w:hanging="335"/>
        <w:jc w:val="left"/>
        <w:rPr>
          <w:sz w:val="24"/>
        </w:rPr>
      </w:pPr>
      <w:r>
        <w:rPr>
          <w:w w:val="125"/>
          <w:sz w:val="24"/>
        </w:rPr>
        <w:t>a középtávú - az első három évre vonatkozó - üzleti</w:t>
      </w:r>
      <w:r>
        <w:rPr>
          <w:spacing w:val="-3"/>
          <w:w w:val="125"/>
          <w:sz w:val="24"/>
        </w:rPr>
        <w:t> </w:t>
      </w:r>
      <w:r>
        <w:rPr>
          <w:w w:val="125"/>
          <w:sz w:val="24"/>
        </w:rPr>
        <w:t>tervet,</w:t>
      </w:r>
    </w:p>
    <w:p>
      <w:pPr>
        <w:pStyle w:val="ListParagraph"/>
        <w:numPr>
          <w:ilvl w:val="0"/>
          <w:numId w:val="88"/>
        </w:numPr>
        <w:tabs>
          <w:tab w:pos="727" w:val="left" w:leader="none"/>
        </w:tabs>
        <w:spacing w:line="225" w:lineRule="auto" w:before="5" w:after="0"/>
        <w:ind w:left="113" w:right="133" w:firstLine="204"/>
        <w:jc w:val="both"/>
        <w:rPr>
          <w:sz w:val="24"/>
        </w:rPr>
      </w:pPr>
      <w:r>
        <w:rPr>
          <w:w w:val="130"/>
          <w:sz w:val="24"/>
        </w:rPr>
        <w:t>nyilatkozatot arra vonatkozóan, hogy a tevékenységét mikor kívánja megkezdeni,</w:t>
      </w:r>
    </w:p>
    <w:p>
      <w:pPr>
        <w:pStyle w:val="ListParagraph"/>
        <w:numPr>
          <w:ilvl w:val="0"/>
          <w:numId w:val="88"/>
        </w:numPr>
        <w:tabs>
          <w:tab w:pos="871" w:val="left" w:leader="none"/>
        </w:tabs>
        <w:spacing w:line="225" w:lineRule="auto" w:before="2" w:after="0"/>
        <w:ind w:left="113" w:right="124" w:firstLine="204"/>
        <w:jc w:val="both"/>
        <w:rPr>
          <w:sz w:val="24"/>
        </w:rPr>
      </w:pPr>
      <w:r>
        <w:rPr>
          <w:w w:val="130"/>
          <w:sz w:val="24"/>
        </w:rPr>
        <w:t>nyilatkozatát arról, hogy a jogszabályban meghatározott vagy jogszabályon alapuló adatszolgáltatások teljesítésére felkészült, valamint az adatszolgáltatáshoz szükséges számítógépes programok</w:t>
      </w:r>
      <w:r>
        <w:rPr>
          <w:spacing w:val="-38"/>
          <w:w w:val="130"/>
          <w:sz w:val="24"/>
        </w:rPr>
        <w:t> </w:t>
      </w:r>
      <w:r>
        <w:rPr>
          <w:w w:val="130"/>
          <w:sz w:val="24"/>
        </w:rPr>
        <w:t>tesztfuttatásait,</w:t>
      </w:r>
    </w:p>
    <w:p>
      <w:pPr>
        <w:pStyle w:val="ListParagraph"/>
        <w:numPr>
          <w:ilvl w:val="0"/>
          <w:numId w:val="88"/>
        </w:numPr>
        <w:tabs>
          <w:tab w:pos="723" w:val="left" w:leader="none"/>
        </w:tabs>
        <w:spacing w:line="225" w:lineRule="auto" w:before="1" w:after="0"/>
        <w:ind w:left="113" w:right="128" w:firstLine="204"/>
        <w:jc w:val="both"/>
        <w:rPr>
          <w:sz w:val="24"/>
        </w:rPr>
      </w:pPr>
      <w:r>
        <w:rPr>
          <w:w w:val="130"/>
          <w:sz w:val="24"/>
        </w:rPr>
        <w:t>nyilatkozatot arról, hogy a holdinghoz tartozó pénzügyi intézmény a felügyelete érdekében szükséges adatot, tényt, információt, megoldást a Felügyelet rendelkezésére</w:t>
      </w:r>
      <w:r>
        <w:rPr>
          <w:spacing w:val="-7"/>
          <w:w w:val="130"/>
          <w:sz w:val="24"/>
        </w:rPr>
        <w:t> </w:t>
      </w:r>
      <w:r>
        <w:rPr>
          <w:w w:val="130"/>
          <w:sz w:val="24"/>
        </w:rPr>
        <w:t>bocsátja.</w:t>
      </w:r>
    </w:p>
    <w:p>
      <w:pPr>
        <w:pStyle w:val="ListParagraph"/>
        <w:numPr>
          <w:ilvl w:val="0"/>
          <w:numId w:val="86"/>
        </w:numPr>
        <w:tabs>
          <w:tab w:pos="863" w:val="left" w:leader="none"/>
        </w:tabs>
        <w:spacing w:line="225" w:lineRule="auto" w:before="2" w:after="0"/>
        <w:ind w:left="113" w:right="126" w:firstLine="204"/>
        <w:jc w:val="both"/>
        <w:rPr>
          <w:sz w:val="24"/>
        </w:rPr>
      </w:pPr>
      <w:r>
        <w:rPr>
          <w:w w:val="130"/>
          <w:sz w:val="24"/>
        </w:rPr>
        <w:t>Alapítási engedély alapján a hitelintézet a banküzem létesítésével kapcsolatos tevékenységet</w:t>
      </w:r>
      <w:r>
        <w:rPr>
          <w:spacing w:val="-9"/>
          <w:w w:val="130"/>
          <w:sz w:val="24"/>
        </w:rPr>
        <w:t> </w:t>
      </w:r>
      <w:r>
        <w:rPr>
          <w:w w:val="130"/>
          <w:sz w:val="24"/>
        </w:rPr>
        <w:t>végezhet.</w:t>
      </w:r>
    </w:p>
    <w:p>
      <w:pPr>
        <w:pStyle w:val="ListParagraph"/>
        <w:numPr>
          <w:ilvl w:val="0"/>
          <w:numId w:val="68"/>
        </w:numPr>
        <w:tabs>
          <w:tab w:pos="830" w:val="left" w:leader="none"/>
        </w:tabs>
        <w:spacing w:line="225" w:lineRule="auto" w:before="0" w:after="0"/>
        <w:ind w:left="113" w:right="129" w:firstLine="204"/>
        <w:jc w:val="both"/>
        <w:rPr>
          <w:sz w:val="24"/>
        </w:rPr>
      </w:pPr>
      <w:r>
        <w:rPr>
          <w:rFonts w:ascii="Arial" w:hAnsi="Arial"/>
          <w:b/>
          <w:w w:val="125"/>
          <w:sz w:val="24"/>
        </w:rPr>
        <w:t>§ </w:t>
      </w:r>
      <w:r>
        <w:rPr>
          <w:w w:val="125"/>
          <w:sz w:val="24"/>
        </w:rPr>
        <w:t>(1) Fióktelep formájában működő pénzügyi intézmény alapítása esetén a 18. § (1) bekezdésében foglaltakon kívül az alapítási engedély iránti kérelemhez a pénzügyi intézmény</w:t>
      </w:r>
      <w:r>
        <w:rPr>
          <w:spacing w:val="1"/>
          <w:w w:val="125"/>
          <w:sz w:val="24"/>
        </w:rPr>
        <w:t> </w:t>
      </w:r>
      <w:r>
        <w:rPr>
          <w:w w:val="125"/>
          <w:sz w:val="24"/>
        </w:rPr>
        <w:t>mellékeli</w:t>
      </w:r>
    </w:p>
    <w:p>
      <w:pPr>
        <w:pStyle w:val="ListParagraph"/>
        <w:numPr>
          <w:ilvl w:val="0"/>
          <w:numId w:val="89"/>
        </w:numPr>
        <w:tabs>
          <w:tab w:pos="631" w:val="left" w:leader="none"/>
        </w:tabs>
        <w:spacing w:line="256" w:lineRule="exact" w:before="0" w:after="0"/>
        <w:ind w:left="630" w:right="0" w:hanging="313"/>
        <w:jc w:val="left"/>
        <w:rPr>
          <w:sz w:val="24"/>
        </w:rPr>
      </w:pPr>
      <w:r>
        <w:rPr>
          <w:w w:val="125"/>
          <w:sz w:val="24"/>
        </w:rPr>
        <w:t>a külföldi pénzügyi intézmény alapító</w:t>
      </w:r>
      <w:r>
        <w:rPr>
          <w:spacing w:val="1"/>
          <w:w w:val="125"/>
          <w:sz w:val="24"/>
        </w:rPr>
        <w:t> </w:t>
      </w:r>
      <w:r>
        <w:rPr>
          <w:w w:val="125"/>
          <w:sz w:val="24"/>
        </w:rPr>
        <w:t>okiratát,</w:t>
      </w:r>
    </w:p>
    <w:p>
      <w:pPr>
        <w:pStyle w:val="ListParagraph"/>
        <w:numPr>
          <w:ilvl w:val="0"/>
          <w:numId w:val="89"/>
        </w:numPr>
        <w:tabs>
          <w:tab w:pos="737" w:val="left" w:leader="none"/>
        </w:tabs>
        <w:spacing w:line="225" w:lineRule="auto" w:before="6" w:after="0"/>
        <w:ind w:left="113" w:right="130" w:firstLine="204"/>
        <w:jc w:val="both"/>
        <w:rPr>
          <w:sz w:val="24"/>
        </w:rPr>
      </w:pPr>
      <w:r>
        <w:rPr>
          <w:w w:val="130"/>
          <w:sz w:val="24"/>
        </w:rPr>
        <w:t>a külföldi pénzügyi intézmény három hónapnál nem régebbi eredeti cégkivonatát vagy igazolást arról, hogy a külföldi pénzügyi intézményt a vállalati (gazdasági) nyilvántartásba</w:t>
      </w:r>
      <w:r>
        <w:rPr>
          <w:spacing w:val="-8"/>
          <w:w w:val="130"/>
          <w:sz w:val="24"/>
        </w:rPr>
        <w:t> </w:t>
      </w:r>
      <w:r>
        <w:rPr>
          <w:w w:val="130"/>
          <w:sz w:val="24"/>
        </w:rPr>
        <w:t>bejegyezték,</w:t>
      </w:r>
    </w:p>
    <w:p>
      <w:pPr>
        <w:pStyle w:val="ListParagraph"/>
        <w:numPr>
          <w:ilvl w:val="0"/>
          <w:numId w:val="89"/>
        </w:numPr>
        <w:tabs>
          <w:tab w:pos="724" w:val="left" w:leader="none"/>
        </w:tabs>
        <w:spacing w:line="225" w:lineRule="auto" w:before="1" w:after="0"/>
        <w:ind w:left="113" w:right="130" w:firstLine="204"/>
        <w:jc w:val="both"/>
        <w:rPr>
          <w:sz w:val="24"/>
        </w:rPr>
      </w:pPr>
      <w:r>
        <w:rPr>
          <w:w w:val="125"/>
          <w:sz w:val="24"/>
        </w:rPr>
        <w:t>a külföldi pénzügyi intézmény székhelye szerinti illetékes felügyeleti hatóságtól származó engedélyének</w:t>
      </w:r>
      <w:r>
        <w:rPr>
          <w:spacing w:val="7"/>
          <w:w w:val="125"/>
          <w:sz w:val="24"/>
        </w:rPr>
        <w:t> </w:t>
      </w:r>
      <w:r>
        <w:rPr>
          <w:w w:val="125"/>
          <w:sz w:val="24"/>
        </w:rPr>
        <w:t>másolatát,</w:t>
      </w:r>
    </w:p>
    <w:p>
      <w:pPr>
        <w:pStyle w:val="ListParagraph"/>
        <w:numPr>
          <w:ilvl w:val="0"/>
          <w:numId w:val="89"/>
        </w:numPr>
        <w:tabs>
          <w:tab w:pos="769" w:val="left" w:leader="none"/>
        </w:tabs>
        <w:spacing w:line="225" w:lineRule="auto" w:before="2" w:after="0"/>
        <w:ind w:left="113" w:right="130" w:firstLine="204"/>
        <w:jc w:val="both"/>
        <w:rPr>
          <w:sz w:val="24"/>
        </w:rPr>
      </w:pPr>
      <w:r>
        <w:rPr>
          <w:w w:val="130"/>
          <w:sz w:val="24"/>
        </w:rPr>
        <w:t>harminc napnál nem régebbi igazolást arra vonatkozóan, hogy az alapításban részt vevő külföldi pénzügyi intézménynek a magyarországi és a székhelye szerinti államban lévő adóhatósággal, vámhatósággal, illetve a egészségbiztosítási szervvel, nyugdíj-biztosítási igazgatási szervvel szemben tartozása</w:t>
      </w:r>
      <w:r>
        <w:rPr>
          <w:spacing w:val="6"/>
          <w:w w:val="130"/>
          <w:sz w:val="24"/>
        </w:rPr>
        <w:t> </w:t>
      </w:r>
      <w:r>
        <w:rPr>
          <w:w w:val="130"/>
          <w:sz w:val="24"/>
        </w:rPr>
        <w:t>nincs,</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400;mso-wrap-distance-left:0;mso-wrap-distance-right:0" from="56.693001pt,8.246504pt" to="538.583001pt,8.24650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2017. évi LXIX. törvény 163. §. Hatályos: 2017. VII.</w:t>
      </w:r>
      <w:r>
        <w:rPr>
          <w:i/>
          <w:spacing w:val="-19"/>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89"/>
        </w:numPr>
        <w:tabs>
          <w:tab w:pos="648" w:val="left" w:leader="none"/>
        </w:tabs>
        <w:spacing w:line="225" w:lineRule="auto" w:before="173" w:after="0"/>
        <w:ind w:left="113" w:right="128" w:firstLine="204"/>
        <w:jc w:val="both"/>
        <w:rPr>
          <w:sz w:val="24"/>
        </w:rPr>
      </w:pPr>
      <w:r>
        <w:rPr>
          <w:w w:val="125"/>
          <w:sz w:val="24"/>
        </w:rPr>
        <w:t>a székhely szerinti állam illetékes felügyeleti hatóságának igazolását arra vonatkozóan, hogy a pénzügyi intézmény irányítását végző főiroda a székhely szerinti államban</w:t>
      </w:r>
      <w:r>
        <w:rPr>
          <w:spacing w:val="1"/>
          <w:w w:val="125"/>
          <w:sz w:val="24"/>
        </w:rPr>
        <w:t> </w:t>
      </w:r>
      <w:r>
        <w:rPr>
          <w:w w:val="125"/>
          <w:sz w:val="24"/>
        </w:rPr>
        <w:t>van,</w:t>
      </w:r>
    </w:p>
    <w:p>
      <w:pPr>
        <w:pStyle w:val="ListParagraph"/>
        <w:numPr>
          <w:ilvl w:val="0"/>
          <w:numId w:val="89"/>
        </w:numPr>
        <w:tabs>
          <w:tab w:pos="692" w:val="left" w:leader="none"/>
        </w:tabs>
        <w:spacing w:line="225" w:lineRule="auto" w:before="1" w:after="0"/>
        <w:ind w:left="113" w:right="123" w:firstLine="204"/>
        <w:jc w:val="both"/>
        <w:rPr>
          <w:sz w:val="24"/>
        </w:rPr>
      </w:pPr>
      <w:r>
        <w:rPr>
          <w:w w:val="130"/>
          <w:sz w:val="24"/>
        </w:rPr>
        <w:t>hitelintézet esetén az alapítónak az előző három gazdálkodási évre vonatkozó,</w:t>
      </w:r>
      <w:r>
        <w:rPr>
          <w:spacing w:val="-26"/>
          <w:w w:val="130"/>
          <w:sz w:val="24"/>
        </w:rPr>
        <w:t> </w:t>
      </w:r>
      <w:r>
        <w:rPr>
          <w:w w:val="130"/>
          <w:sz w:val="24"/>
        </w:rPr>
        <w:t>pénzügyi</w:t>
      </w:r>
      <w:r>
        <w:rPr>
          <w:spacing w:val="-28"/>
          <w:w w:val="130"/>
          <w:sz w:val="24"/>
        </w:rPr>
        <w:t> </w:t>
      </w:r>
      <w:r>
        <w:rPr>
          <w:w w:val="130"/>
          <w:sz w:val="24"/>
        </w:rPr>
        <w:t>vállalkozás</w:t>
      </w:r>
      <w:r>
        <w:rPr>
          <w:spacing w:val="-27"/>
          <w:w w:val="130"/>
          <w:sz w:val="24"/>
        </w:rPr>
        <w:t> </w:t>
      </w:r>
      <w:r>
        <w:rPr>
          <w:w w:val="130"/>
          <w:sz w:val="24"/>
        </w:rPr>
        <w:t>esetén</w:t>
      </w:r>
      <w:r>
        <w:rPr>
          <w:spacing w:val="-27"/>
          <w:w w:val="130"/>
          <w:sz w:val="24"/>
        </w:rPr>
        <w:t> </w:t>
      </w:r>
      <w:r>
        <w:rPr>
          <w:w w:val="130"/>
          <w:sz w:val="24"/>
        </w:rPr>
        <w:t>az</w:t>
      </w:r>
      <w:r>
        <w:rPr>
          <w:spacing w:val="-27"/>
          <w:w w:val="130"/>
          <w:sz w:val="24"/>
        </w:rPr>
        <w:t> </w:t>
      </w:r>
      <w:r>
        <w:rPr>
          <w:w w:val="130"/>
          <w:sz w:val="24"/>
        </w:rPr>
        <w:t>előző</w:t>
      </w:r>
      <w:r>
        <w:rPr>
          <w:spacing w:val="-27"/>
          <w:w w:val="130"/>
          <w:sz w:val="24"/>
        </w:rPr>
        <w:t> </w:t>
      </w:r>
      <w:r>
        <w:rPr>
          <w:w w:val="130"/>
          <w:sz w:val="24"/>
        </w:rPr>
        <w:t>gazdálkodási</w:t>
      </w:r>
      <w:r>
        <w:rPr>
          <w:spacing w:val="-26"/>
          <w:w w:val="130"/>
          <w:sz w:val="24"/>
        </w:rPr>
        <w:t> </w:t>
      </w:r>
      <w:r>
        <w:rPr>
          <w:w w:val="130"/>
          <w:sz w:val="24"/>
        </w:rPr>
        <w:t>évre</w:t>
      </w:r>
      <w:r>
        <w:rPr>
          <w:spacing w:val="-20"/>
          <w:w w:val="130"/>
          <w:sz w:val="24"/>
        </w:rPr>
        <w:t> </w:t>
      </w:r>
      <w:r>
        <w:rPr>
          <w:w w:val="130"/>
          <w:sz w:val="24"/>
        </w:rPr>
        <w:t>vonatkozó, könyvvizsgáló által hitelesített mérlegét és</w:t>
      </w:r>
      <w:r>
        <w:rPr>
          <w:spacing w:val="-40"/>
          <w:w w:val="130"/>
          <w:sz w:val="24"/>
        </w:rPr>
        <w:t> </w:t>
      </w:r>
      <w:r>
        <w:rPr>
          <w:w w:val="130"/>
          <w:sz w:val="24"/>
        </w:rPr>
        <w:t>eredménykimutatását,</w:t>
      </w:r>
    </w:p>
    <w:p>
      <w:pPr>
        <w:pStyle w:val="ListParagraph"/>
        <w:numPr>
          <w:ilvl w:val="0"/>
          <w:numId w:val="89"/>
        </w:numPr>
        <w:tabs>
          <w:tab w:pos="776" w:val="left" w:leader="none"/>
        </w:tabs>
        <w:spacing w:line="225" w:lineRule="auto" w:before="2" w:after="0"/>
        <w:ind w:left="113" w:right="129" w:firstLine="204"/>
        <w:jc w:val="both"/>
        <w:rPr>
          <w:sz w:val="24"/>
        </w:rPr>
      </w:pPr>
      <w:r>
        <w:rPr>
          <w:w w:val="125"/>
          <w:sz w:val="24"/>
        </w:rPr>
        <w:t>nyilatkozatot arról, hogy a külföldi pénzügyi intézménynek milyen mérlegen kívüli kötelezettségei</w:t>
      </w:r>
      <w:r>
        <w:rPr>
          <w:spacing w:val="2"/>
          <w:w w:val="125"/>
          <w:sz w:val="24"/>
        </w:rPr>
        <w:t> </w:t>
      </w:r>
      <w:r>
        <w:rPr>
          <w:w w:val="125"/>
          <w:sz w:val="24"/>
        </w:rPr>
        <w:t>vannak,</w:t>
      </w:r>
    </w:p>
    <w:p>
      <w:pPr>
        <w:pStyle w:val="ListParagraph"/>
        <w:numPr>
          <w:ilvl w:val="0"/>
          <w:numId w:val="89"/>
        </w:numPr>
        <w:tabs>
          <w:tab w:pos="709" w:val="left" w:leader="none"/>
        </w:tabs>
        <w:spacing w:line="225" w:lineRule="auto" w:before="1" w:after="0"/>
        <w:ind w:left="113" w:right="130" w:firstLine="204"/>
        <w:jc w:val="both"/>
        <w:rPr>
          <w:sz w:val="24"/>
        </w:rPr>
      </w:pPr>
      <w:r>
        <w:rPr>
          <w:w w:val="125"/>
          <w:sz w:val="24"/>
        </w:rPr>
        <w:t>az alapító tulajdonosi szerkezetének, valamint azon körülményeknek a részletes leírását, amelyek miatt az alapító kapcsolatban álló személyek csoportjához tartozónak minősül, továbbá az irányító vállalat előző évre vonatkozó konszolidált éves beszámolóját, ha az irányító vállalat konszolidált beszámoló készítésére</w:t>
      </w:r>
      <w:r>
        <w:rPr>
          <w:spacing w:val="2"/>
          <w:w w:val="125"/>
          <w:sz w:val="24"/>
        </w:rPr>
        <w:t> </w:t>
      </w:r>
      <w:r>
        <w:rPr>
          <w:w w:val="125"/>
          <w:sz w:val="24"/>
        </w:rPr>
        <w:t>kötelezett,</w:t>
      </w:r>
    </w:p>
    <w:p>
      <w:pPr>
        <w:pStyle w:val="ListParagraph"/>
        <w:numPr>
          <w:ilvl w:val="0"/>
          <w:numId w:val="89"/>
        </w:numPr>
        <w:tabs>
          <w:tab w:pos="629" w:val="left" w:leader="none"/>
        </w:tabs>
        <w:spacing w:line="225" w:lineRule="auto" w:before="3" w:after="0"/>
        <w:ind w:left="113" w:right="130" w:firstLine="204"/>
        <w:jc w:val="both"/>
        <w:rPr>
          <w:sz w:val="24"/>
        </w:rPr>
      </w:pPr>
      <w:r>
        <w:rPr>
          <w:w w:val="130"/>
          <w:sz w:val="24"/>
        </w:rPr>
        <w:t>a kérelemben érintett személyek teljes bizonyító erejű magánokiratban foglalt nyilatkozatát arra vonatkozóan, hogy hozzájárulnak az engedély</w:t>
      </w:r>
      <w:r>
        <w:rPr>
          <w:spacing w:val="-47"/>
          <w:w w:val="130"/>
          <w:sz w:val="24"/>
        </w:rPr>
        <w:t> </w:t>
      </w:r>
      <w:r>
        <w:rPr>
          <w:w w:val="130"/>
          <w:sz w:val="24"/>
        </w:rPr>
        <w:t>iránti kérelemhez mellékelt iratban foglaltak valódiságának a Felügyelet által megkeresett szervek útján történő</w:t>
      </w:r>
      <w:r>
        <w:rPr>
          <w:spacing w:val="-16"/>
          <w:w w:val="130"/>
          <w:sz w:val="24"/>
        </w:rPr>
        <w:t> </w:t>
      </w:r>
      <w:r>
        <w:rPr>
          <w:w w:val="130"/>
          <w:sz w:val="24"/>
        </w:rPr>
        <w:t>ellenőrzéséhez,</w:t>
      </w:r>
    </w:p>
    <w:p>
      <w:pPr>
        <w:pStyle w:val="ListParagraph"/>
        <w:numPr>
          <w:ilvl w:val="0"/>
          <w:numId w:val="89"/>
        </w:numPr>
        <w:tabs>
          <w:tab w:pos="564" w:val="left" w:leader="none"/>
        </w:tabs>
        <w:spacing w:line="225" w:lineRule="auto" w:before="3" w:after="0"/>
        <w:ind w:left="113" w:right="127" w:firstLine="204"/>
        <w:jc w:val="both"/>
        <w:rPr>
          <w:sz w:val="24"/>
        </w:rPr>
      </w:pPr>
      <w:r>
        <w:rPr>
          <w:w w:val="130"/>
          <w:sz w:val="24"/>
        </w:rPr>
        <w:t>a</w:t>
      </w:r>
      <w:r>
        <w:rPr>
          <w:spacing w:val="-25"/>
          <w:w w:val="130"/>
          <w:sz w:val="24"/>
        </w:rPr>
        <w:t> </w:t>
      </w:r>
      <w:r>
        <w:rPr>
          <w:w w:val="130"/>
          <w:sz w:val="24"/>
        </w:rPr>
        <w:t>kérelmező</w:t>
      </w:r>
      <w:r>
        <w:rPr>
          <w:spacing w:val="-16"/>
          <w:w w:val="130"/>
          <w:sz w:val="24"/>
        </w:rPr>
        <w:t> </w:t>
      </w:r>
      <w:r>
        <w:rPr>
          <w:w w:val="130"/>
          <w:sz w:val="24"/>
        </w:rPr>
        <w:t>által</w:t>
      </w:r>
      <w:r>
        <w:rPr>
          <w:spacing w:val="-34"/>
          <w:w w:val="130"/>
          <w:sz w:val="24"/>
        </w:rPr>
        <w:t> </w:t>
      </w:r>
      <w:r>
        <w:rPr>
          <w:w w:val="130"/>
          <w:sz w:val="24"/>
        </w:rPr>
        <w:t>folytatott,</w:t>
      </w:r>
      <w:r>
        <w:rPr>
          <w:spacing w:val="-24"/>
          <w:w w:val="130"/>
          <w:sz w:val="24"/>
        </w:rPr>
        <w:t> </w:t>
      </w:r>
      <w:r>
        <w:rPr>
          <w:w w:val="130"/>
          <w:sz w:val="24"/>
        </w:rPr>
        <w:t>a</w:t>
      </w:r>
      <w:r>
        <w:rPr>
          <w:spacing w:val="-25"/>
          <w:w w:val="130"/>
          <w:sz w:val="24"/>
        </w:rPr>
        <w:t> </w:t>
      </w:r>
      <w:r>
        <w:rPr>
          <w:w w:val="130"/>
          <w:sz w:val="24"/>
        </w:rPr>
        <w:t>székhely</w:t>
      </w:r>
      <w:r>
        <w:rPr>
          <w:spacing w:val="-25"/>
          <w:w w:val="130"/>
          <w:sz w:val="24"/>
        </w:rPr>
        <w:t> </w:t>
      </w:r>
      <w:r>
        <w:rPr>
          <w:w w:val="130"/>
          <w:sz w:val="24"/>
        </w:rPr>
        <w:t>szerinti</w:t>
      </w:r>
      <w:r>
        <w:rPr>
          <w:spacing w:val="-25"/>
          <w:w w:val="130"/>
          <w:sz w:val="24"/>
        </w:rPr>
        <w:t> </w:t>
      </w:r>
      <w:r>
        <w:rPr>
          <w:w w:val="130"/>
          <w:sz w:val="24"/>
        </w:rPr>
        <w:t>illetékes</w:t>
      </w:r>
      <w:r>
        <w:rPr>
          <w:spacing w:val="-24"/>
          <w:w w:val="130"/>
          <w:sz w:val="24"/>
        </w:rPr>
        <w:t> </w:t>
      </w:r>
      <w:r>
        <w:rPr>
          <w:w w:val="130"/>
          <w:sz w:val="24"/>
        </w:rPr>
        <w:t>felügyeleti</w:t>
      </w:r>
      <w:r>
        <w:rPr>
          <w:spacing w:val="-25"/>
          <w:w w:val="130"/>
          <w:sz w:val="24"/>
        </w:rPr>
        <w:t> </w:t>
      </w:r>
      <w:r>
        <w:rPr>
          <w:w w:val="130"/>
          <w:sz w:val="24"/>
        </w:rPr>
        <w:t>hatóság által</w:t>
      </w:r>
      <w:r>
        <w:rPr>
          <w:spacing w:val="-21"/>
          <w:w w:val="130"/>
          <w:sz w:val="24"/>
        </w:rPr>
        <w:t> </w:t>
      </w:r>
      <w:r>
        <w:rPr>
          <w:w w:val="130"/>
          <w:sz w:val="24"/>
        </w:rPr>
        <w:t>engedélyezett</w:t>
      </w:r>
      <w:r>
        <w:rPr>
          <w:spacing w:val="-21"/>
          <w:w w:val="130"/>
          <w:sz w:val="24"/>
        </w:rPr>
        <w:t> </w:t>
      </w:r>
      <w:r>
        <w:rPr>
          <w:w w:val="130"/>
          <w:sz w:val="24"/>
        </w:rPr>
        <w:t>pénzügyi,</w:t>
      </w:r>
      <w:r>
        <w:rPr>
          <w:spacing w:val="-21"/>
          <w:w w:val="130"/>
          <w:sz w:val="24"/>
        </w:rPr>
        <w:t> </w:t>
      </w:r>
      <w:r>
        <w:rPr>
          <w:w w:val="130"/>
          <w:sz w:val="24"/>
        </w:rPr>
        <w:t>kiegészítő</w:t>
      </w:r>
      <w:r>
        <w:rPr>
          <w:spacing w:val="-15"/>
          <w:w w:val="130"/>
          <w:sz w:val="24"/>
        </w:rPr>
        <w:t> </w:t>
      </w:r>
      <w:r>
        <w:rPr>
          <w:w w:val="130"/>
          <w:sz w:val="24"/>
        </w:rPr>
        <w:t>pénzügyi</w:t>
      </w:r>
      <w:r>
        <w:rPr>
          <w:spacing w:val="-27"/>
          <w:w w:val="130"/>
          <w:sz w:val="24"/>
        </w:rPr>
        <w:t> </w:t>
      </w:r>
      <w:r>
        <w:rPr>
          <w:w w:val="130"/>
          <w:sz w:val="24"/>
        </w:rPr>
        <w:t>szolgáltatási</w:t>
      </w:r>
      <w:r>
        <w:rPr>
          <w:spacing w:val="-21"/>
          <w:w w:val="130"/>
          <w:sz w:val="24"/>
        </w:rPr>
        <w:t> </w:t>
      </w:r>
      <w:r>
        <w:rPr>
          <w:w w:val="130"/>
          <w:sz w:val="24"/>
        </w:rPr>
        <w:t>tevékenységek megjelölését,</w:t>
      </w:r>
      <w:r>
        <w:rPr>
          <w:spacing w:val="-28"/>
          <w:w w:val="130"/>
          <w:sz w:val="24"/>
        </w:rPr>
        <w:t> </w:t>
      </w:r>
      <w:r>
        <w:rPr>
          <w:w w:val="130"/>
          <w:sz w:val="24"/>
        </w:rPr>
        <w:t>valamint</w:t>
      </w:r>
      <w:r>
        <w:rPr>
          <w:spacing w:val="-27"/>
          <w:w w:val="130"/>
          <w:sz w:val="24"/>
        </w:rPr>
        <w:t> </w:t>
      </w:r>
      <w:r>
        <w:rPr>
          <w:w w:val="130"/>
          <w:sz w:val="24"/>
        </w:rPr>
        <w:t>azokat</w:t>
      </w:r>
      <w:r>
        <w:rPr>
          <w:spacing w:val="-28"/>
          <w:w w:val="130"/>
          <w:sz w:val="24"/>
        </w:rPr>
        <w:t> </w:t>
      </w:r>
      <w:r>
        <w:rPr>
          <w:w w:val="130"/>
          <w:sz w:val="24"/>
        </w:rPr>
        <w:t>a</w:t>
      </w:r>
      <w:r>
        <w:rPr>
          <w:spacing w:val="-27"/>
          <w:w w:val="130"/>
          <w:sz w:val="24"/>
        </w:rPr>
        <w:t> </w:t>
      </w:r>
      <w:r>
        <w:rPr>
          <w:w w:val="130"/>
          <w:sz w:val="24"/>
        </w:rPr>
        <w:t>helyeket,</w:t>
      </w:r>
      <w:r>
        <w:rPr>
          <w:spacing w:val="-27"/>
          <w:w w:val="130"/>
          <w:sz w:val="24"/>
        </w:rPr>
        <w:t> </w:t>
      </w:r>
      <w:r>
        <w:rPr>
          <w:w w:val="130"/>
          <w:sz w:val="24"/>
        </w:rPr>
        <w:t>ahol</w:t>
      </w:r>
      <w:r>
        <w:rPr>
          <w:spacing w:val="-28"/>
          <w:w w:val="130"/>
          <w:sz w:val="24"/>
        </w:rPr>
        <w:t> </w:t>
      </w:r>
      <w:r>
        <w:rPr>
          <w:w w:val="130"/>
          <w:sz w:val="24"/>
        </w:rPr>
        <w:t>ezeket</w:t>
      </w:r>
      <w:r>
        <w:rPr>
          <w:spacing w:val="-27"/>
          <w:w w:val="130"/>
          <w:sz w:val="24"/>
        </w:rPr>
        <w:t> </w:t>
      </w:r>
      <w:r>
        <w:rPr>
          <w:w w:val="130"/>
          <w:sz w:val="24"/>
        </w:rPr>
        <w:t>a</w:t>
      </w:r>
      <w:r>
        <w:rPr>
          <w:spacing w:val="-28"/>
          <w:w w:val="130"/>
          <w:sz w:val="24"/>
        </w:rPr>
        <w:t> </w:t>
      </w:r>
      <w:r>
        <w:rPr>
          <w:w w:val="130"/>
          <w:sz w:val="24"/>
        </w:rPr>
        <w:t>tevékenységeket</w:t>
      </w:r>
      <w:r>
        <w:rPr>
          <w:spacing w:val="-27"/>
          <w:w w:val="130"/>
          <w:sz w:val="24"/>
        </w:rPr>
        <w:t> </w:t>
      </w:r>
      <w:r>
        <w:rPr>
          <w:w w:val="130"/>
          <w:sz w:val="24"/>
        </w:rPr>
        <w:t>végzi,</w:t>
      </w:r>
    </w:p>
    <w:p>
      <w:pPr>
        <w:pStyle w:val="ListParagraph"/>
        <w:numPr>
          <w:ilvl w:val="0"/>
          <w:numId w:val="89"/>
        </w:numPr>
        <w:tabs>
          <w:tab w:pos="667" w:val="left" w:leader="none"/>
        </w:tabs>
        <w:spacing w:line="225" w:lineRule="auto" w:before="1" w:after="0"/>
        <w:ind w:left="113" w:right="124" w:firstLine="204"/>
        <w:jc w:val="both"/>
        <w:rPr>
          <w:sz w:val="24"/>
        </w:rPr>
      </w:pPr>
      <w:r>
        <w:rPr>
          <w:w w:val="130"/>
          <w:sz w:val="24"/>
        </w:rPr>
        <w:t>a fióktelep vezető állású személyének döntési jogkörének megnevezését, valamint</w:t>
      </w:r>
      <w:r>
        <w:rPr>
          <w:spacing w:val="-32"/>
          <w:w w:val="130"/>
          <w:sz w:val="24"/>
        </w:rPr>
        <w:t> </w:t>
      </w:r>
      <w:r>
        <w:rPr>
          <w:w w:val="130"/>
          <w:sz w:val="24"/>
        </w:rPr>
        <w:t>a</w:t>
      </w:r>
      <w:r>
        <w:rPr>
          <w:spacing w:val="-31"/>
          <w:w w:val="130"/>
          <w:sz w:val="24"/>
        </w:rPr>
        <w:t> </w:t>
      </w:r>
      <w:r>
        <w:rPr>
          <w:w w:val="130"/>
          <w:sz w:val="24"/>
        </w:rPr>
        <w:t>kérelmező</w:t>
      </w:r>
      <w:r>
        <w:rPr>
          <w:spacing w:val="-32"/>
          <w:w w:val="130"/>
          <w:sz w:val="24"/>
        </w:rPr>
        <w:t> </w:t>
      </w:r>
      <w:r>
        <w:rPr>
          <w:w w:val="130"/>
          <w:sz w:val="24"/>
        </w:rPr>
        <w:t>azon</w:t>
      </w:r>
      <w:r>
        <w:rPr>
          <w:spacing w:val="-31"/>
          <w:w w:val="130"/>
          <w:sz w:val="24"/>
        </w:rPr>
        <w:t> </w:t>
      </w:r>
      <w:r>
        <w:rPr>
          <w:w w:val="130"/>
          <w:sz w:val="24"/>
        </w:rPr>
        <w:t>testületeinek</w:t>
      </w:r>
      <w:r>
        <w:rPr>
          <w:spacing w:val="-31"/>
          <w:w w:val="130"/>
          <w:sz w:val="24"/>
        </w:rPr>
        <w:t> </w:t>
      </w:r>
      <w:r>
        <w:rPr>
          <w:w w:val="130"/>
          <w:sz w:val="24"/>
        </w:rPr>
        <w:t>megnevezését,</w:t>
      </w:r>
      <w:r>
        <w:rPr>
          <w:spacing w:val="-32"/>
          <w:w w:val="130"/>
          <w:sz w:val="24"/>
        </w:rPr>
        <w:t> </w:t>
      </w:r>
      <w:r>
        <w:rPr>
          <w:w w:val="130"/>
          <w:sz w:val="24"/>
        </w:rPr>
        <w:t>amelyek</w:t>
      </w:r>
      <w:r>
        <w:rPr>
          <w:spacing w:val="-31"/>
          <w:w w:val="130"/>
          <w:sz w:val="24"/>
        </w:rPr>
        <w:t> </w:t>
      </w:r>
      <w:r>
        <w:rPr>
          <w:w w:val="130"/>
          <w:sz w:val="24"/>
        </w:rPr>
        <w:t>hozzájárulása nélkül bizonyos döntések nem érvényesek,</w:t>
      </w:r>
      <w:r>
        <w:rPr>
          <w:spacing w:val="-34"/>
          <w:w w:val="130"/>
          <w:sz w:val="24"/>
        </w:rPr>
        <w:t> </w:t>
      </w:r>
      <w:r>
        <w:rPr>
          <w:w w:val="130"/>
          <w:sz w:val="24"/>
        </w:rPr>
        <w:t>valamint</w:t>
      </w:r>
    </w:p>
    <w:p>
      <w:pPr>
        <w:pStyle w:val="ListParagraph"/>
        <w:numPr>
          <w:ilvl w:val="0"/>
          <w:numId w:val="89"/>
        </w:numPr>
        <w:tabs>
          <w:tab w:pos="588" w:val="left" w:leader="none"/>
        </w:tabs>
        <w:spacing w:line="225" w:lineRule="auto" w:before="2" w:after="0"/>
        <w:ind w:left="113" w:right="124" w:firstLine="204"/>
        <w:jc w:val="both"/>
        <w:rPr>
          <w:sz w:val="24"/>
        </w:rPr>
      </w:pPr>
      <w:r>
        <w:rPr>
          <w:w w:val="130"/>
          <w:sz w:val="24"/>
        </w:rPr>
        <w:t>a</w:t>
      </w:r>
      <w:r>
        <w:rPr>
          <w:spacing w:val="-16"/>
          <w:w w:val="130"/>
          <w:sz w:val="24"/>
        </w:rPr>
        <w:t> </w:t>
      </w:r>
      <w:r>
        <w:rPr>
          <w:w w:val="130"/>
          <w:sz w:val="24"/>
        </w:rPr>
        <w:t>székhely</w:t>
      </w:r>
      <w:r>
        <w:rPr>
          <w:spacing w:val="-9"/>
          <w:w w:val="130"/>
          <w:sz w:val="24"/>
        </w:rPr>
        <w:t> </w:t>
      </w:r>
      <w:r>
        <w:rPr>
          <w:w w:val="130"/>
          <w:sz w:val="24"/>
        </w:rPr>
        <w:t>szerinti</w:t>
      </w:r>
      <w:r>
        <w:rPr>
          <w:spacing w:val="-10"/>
          <w:w w:val="130"/>
          <w:sz w:val="24"/>
        </w:rPr>
        <w:t> </w:t>
      </w:r>
      <w:r>
        <w:rPr>
          <w:w w:val="130"/>
          <w:sz w:val="24"/>
        </w:rPr>
        <w:t>illetékes</w:t>
      </w:r>
      <w:r>
        <w:rPr>
          <w:spacing w:val="-10"/>
          <w:w w:val="130"/>
          <w:sz w:val="24"/>
        </w:rPr>
        <w:t> </w:t>
      </w:r>
      <w:r>
        <w:rPr>
          <w:w w:val="130"/>
          <w:sz w:val="24"/>
        </w:rPr>
        <w:t>felügyeleti</w:t>
      </w:r>
      <w:r>
        <w:rPr>
          <w:spacing w:val="-10"/>
          <w:w w:val="130"/>
          <w:sz w:val="24"/>
        </w:rPr>
        <w:t> </w:t>
      </w:r>
      <w:r>
        <w:rPr>
          <w:w w:val="130"/>
          <w:sz w:val="24"/>
        </w:rPr>
        <w:t>hatóság</w:t>
      </w:r>
      <w:r>
        <w:rPr>
          <w:spacing w:val="-10"/>
          <w:w w:val="130"/>
          <w:sz w:val="24"/>
        </w:rPr>
        <w:t> </w:t>
      </w:r>
      <w:r>
        <w:rPr>
          <w:w w:val="130"/>
          <w:sz w:val="24"/>
        </w:rPr>
        <w:t>nyilatkozatát</w:t>
      </w:r>
      <w:r>
        <w:rPr>
          <w:spacing w:val="-10"/>
          <w:w w:val="130"/>
          <w:sz w:val="24"/>
        </w:rPr>
        <w:t> </w:t>
      </w:r>
      <w:r>
        <w:rPr>
          <w:w w:val="130"/>
          <w:sz w:val="24"/>
        </w:rPr>
        <w:t>arról,</w:t>
      </w:r>
      <w:r>
        <w:rPr>
          <w:spacing w:val="-10"/>
          <w:w w:val="130"/>
          <w:sz w:val="24"/>
        </w:rPr>
        <w:t> </w:t>
      </w:r>
      <w:r>
        <w:rPr>
          <w:w w:val="130"/>
          <w:sz w:val="24"/>
        </w:rPr>
        <w:t>hogy</w:t>
      </w:r>
      <w:r>
        <w:rPr>
          <w:spacing w:val="-9"/>
          <w:w w:val="130"/>
          <w:sz w:val="24"/>
        </w:rPr>
        <w:t> </w:t>
      </w:r>
      <w:r>
        <w:rPr>
          <w:w w:val="130"/>
          <w:sz w:val="24"/>
        </w:rPr>
        <w:t>a nem magyar állampolgárságú vezető állású személlyel szemben nem állnak fenn</w:t>
      </w:r>
      <w:r>
        <w:rPr>
          <w:spacing w:val="-13"/>
          <w:w w:val="130"/>
          <w:sz w:val="24"/>
        </w:rPr>
        <w:t> </w:t>
      </w:r>
      <w:r>
        <w:rPr>
          <w:w w:val="130"/>
          <w:sz w:val="24"/>
        </w:rPr>
        <w:t>kizáró</w:t>
      </w:r>
      <w:r>
        <w:rPr>
          <w:spacing w:val="-13"/>
          <w:w w:val="130"/>
          <w:sz w:val="24"/>
        </w:rPr>
        <w:t> </w:t>
      </w:r>
      <w:r>
        <w:rPr>
          <w:w w:val="130"/>
          <w:sz w:val="24"/>
        </w:rPr>
        <w:t>okok</w:t>
      </w:r>
      <w:r>
        <w:rPr>
          <w:spacing w:val="-12"/>
          <w:w w:val="130"/>
          <w:sz w:val="24"/>
        </w:rPr>
        <w:t> </w:t>
      </w:r>
      <w:r>
        <w:rPr>
          <w:w w:val="130"/>
          <w:sz w:val="24"/>
        </w:rPr>
        <w:t>e</w:t>
      </w:r>
      <w:r>
        <w:rPr>
          <w:spacing w:val="-13"/>
          <w:w w:val="130"/>
          <w:sz w:val="24"/>
        </w:rPr>
        <w:t> </w:t>
      </w:r>
      <w:r>
        <w:rPr>
          <w:w w:val="130"/>
          <w:sz w:val="24"/>
        </w:rPr>
        <w:t>munkakör</w:t>
      </w:r>
      <w:r>
        <w:rPr>
          <w:spacing w:val="-13"/>
          <w:w w:val="130"/>
          <w:sz w:val="24"/>
        </w:rPr>
        <w:t> </w:t>
      </w:r>
      <w:r>
        <w:rPr>
          <w:w w:val="130"/>
          <w:sz w:val="24"/>
        </w:rPr>
        <w:t>betöltésével,</w:t>
      </w:r>
      <w:r>
        <w:rPr>
          <w:spacing w:val="-13"/>
          <w:w w:val="130"/>
          <w:sz w:val="24"/>
        </w:rPr>
        <w:t> </w:t>
      </w:r>
      <w:r>
        <w:rPr>
          <w:w w:val="130"/>
          <w:sz w:val="24"/>
        </w:rPr>
        <w:t>és</w:t>
      </w:r>
      <w:r>
        <w:rPr>
          <w:spacing w:val="-13"/>
          <w:w w:val="130"/>
          <w:sz w:val="24"/>
        </w:rPr>
        <w:t> </w:t>
      </w:r>
      <w:r>
        <w:rPr>
          <w:w w:val="130"/>
          <w:sz w:val="24"/>
        </w:rPr>
        <w:t>ellátásával</w:t>
      </w:r>
      <w:r>
        <w:rPr>
          <w:spacing w:val="-13"/>
          <w:w w:val="130"/>
          <w:sz w:val="24"/>
        </w:rPr>
        <w:t> </w:t>
      </w:r>
      <w:r>
        <w:rPr>
          <w:w w:val="130"/>
          <w:sz w:val="24"/>
        </w:rPr>
        <w:t>kapcsolatban.</w:t>
      </w:r>
    </w:p>
    <w:p>
      <w:pPr>
        <w:pStyle w:val="ListParagraph"/>
        <w:numPr>
          <w:ilvl w:val="0"/>
          <w:numId w:val="90"/>
        </w:numPr>
        <w:tabs>
          <w:tab w:pos="757" w:val="left" w:leader="none"/>
        </w:tabs>
        <w:spacing w:line="225" w:lineRule="auto" w:before="2" w:after="0"/>
        <w:ind w:left="113" w:right="128" w:firstLine="204"/>
        <w:jc w:val="both"/>
        <w:rPr>
          <w:sz w:val="24"/>
        </w:rPr>
      </w:pPr>
      <w:r>
        <w:rPr>
          <w:w w:val="130"/>
          <w:sz w:val="24"/>
        </w:rPr>
        <w:t>Az</w:t>
      </w:r>
      <w:r>
        <w:rPr>
          <w:spacing w:val="-10"/>
          <w:w w:val="130"/>
          <w:sz w:val="24"/>
        </w:rPr>
        <w:t> </w:t>
      </w:r>
      <w:r>
        <w:rPr>
          <w:w w:val="130"/>
          <w:sz w:val="24"/>
        </w:rPr>
        <w:t>állami</w:t>
      </w:r>
      <w:r>
        <w:rPr>
          <w:spacing w:val="-9"/>
          <w:w w:val="130"/>
          <w:sz w:val="24"/>
        </w:rPr>
        <w:t> </w:t>
      </w:r>
      <w:r>
        <w:rPr>
          <w:w w:val="130"/>
          <w:sz w:val="24"/>
        </w:rPr>
        <w:t>adóhatóságtól</w:t>
      </w:r>
      <w:r>
        <w:rPr>
          <w:spacing w:val="-10"/>
          <w:w w:val="130"/>
          <w:sz w:val="24"/>
        </w:rPr>
        <w:t> </w:t>
      </w:r>
      <w:r>
        <w:rPr>
          <w:w w:val="130"/>
          <w:sz w:val="24"/>
        </w:rPr>
        <w:t>beszerezhető</w:t>
      </w:r>
      <w:r>
        <w:rPr>
          <w:spacing w:val="-9"/>
          <w:w w:val="130"/>
          <w:sz w:val="24"/>
        </w:rPr>
        <w:t> </w:t>
      </w:r>
      <w:r>
        <w:rPr>
          <w:w w:val="130"/>
          <w:sz w:val="24"/>
        </w:rPr>
        <w:t>adóigazolással</w:t>
      </w:r>
      <w:r>
        <w:rPr>
          <w:spacing w:val="-10"/>
          <w:w w:val="130"/>
          <w:sz w:val="24"/>
        </w:rPr>
        <w:t> </w:t>
      </w:r>
      <w:r>
        <w:rPr>
          <w:w w:val="130"/>
          <w:sz w:val="24"/>
        </w:rPr>
        <w:t>egyenértékű,</w:t>
      </w:r>
      <w:r>
        <w:rPr>
          <w:spacing w:val="-10"/>
          <w:w w:val="130"/>
          <w:sz w:val="24"/>
        </w:rPr>
        <w:t> </w:t>
      </w:r>
      <w:r>
        <w:rPr>
          <w:w w:val="130"/>
          <w:sz w:val="24"/>
        </w:rPr>
        <w:t>ha</w:t>
      </w:r>
      <w:r>
        <w:rPr>
          <w:spacing w:val="-9"/>
          <w:w w:val="130"/>
          <w:sz w:val="24"/>
        </w:rPr>
        <w:t> </w:t>
      </w:r>
      <w:r>
        <w:rPr>
          <w:w w:val="130"/>
          <w:sz w:val="24"/>
        </w:rPr>
        <w:t>az adózó szerepel a köztartozásmentes adózói</w:t>
      </w:r>
      <w:r>
        <w:rPr>
          <w:spacing w:val="-30"/>
          <w:w w:val="130"/>
          <w:sz w:val="24"/>
        </w:rPr>
        <w:t> </w:t>
      </w:r>
      <w:r>
        <w:rPr>
          <w:w w:val="130"/>
          <w:sz w:val="24"/>
        </w:rPr>
        <w:t>adatbázisban.</w:t>
      </w:r>
    </w:p>
    <w:p>
      <w:pPr>
        <w:pStyle w:val="ListParagraph"/>
        <w:numPr>
          <w:ilvl w:val="0"/>
          <w:numId w:val="90"/>
        </w:numPr>
        <w:tabs>
          <w:tab w:pos="750" w:val="left" w:leader="none"/>
        </w:tabs>
        <w:spacing w:line="225" w:lineRule="auto" w:before="1" w:after="0"/>
        <w:ind w:left="113" w:right="131" w:firstLine="204"/>
        <w:jc w:val="both"/>
        <w:rPr>
          <w:sz w:val="24"/>
        </w:rPr>
      </w:pPr>
      <w:r>
        <w:rPr>
          <w:w w:val="125"/>
          <w:sz w:val="24"/>
        </w:rPr>
        <w:t>Fióktelep formájában működő pénzügyi intézmény alapítási engedélyét a Felügyelet abban az esetben adja meg - az (1) bekezdésben és a 18. § (1) bekezdésében meghatározott feltételek teljesülése mellett -,</w:t>
      </w:r>
      <w:r>
        <w:rPr>
          <w:spacing w:val="33"/>
          <w:w w:val="125"/>
          <w:sz w:val="24"/>
        </w:rPr>
        <w:t> </w:t>
      </w:r>
      <w:r>
        <w:rPr>
          <w:w w:val="125"/>
          <w:sz w:val="24"/>
        </w:rPr>
        <w:t>ha</w:t>
      </w:r>
    </w:p>
    <w:p>
      <w:pPr>
        <w:pStyle w:val="ListParagraph"/>
        <w:numPr>
          <w:ilvl w:val="0"/>
          <w:numId w:val="91"/>
        </w:numPr>
        <w:tabs>
          <w:tab w:pos="733" w:val="left" w:leader="none"/>
        </w:tabs>
        <w:spacing w:line="225" w:lineRule="auto" w:before="2" w:after="0"/>
        <w:ind w:left="113" w:right="128" w:firstLine="204"/>
        <w:jc w:val="both"/>
        <w:rPr>
          <w:sz w:val="24"/>
        </w:rPr>
      </w:pPr>
      <w:r>
        <w:rPr>
          <w:w w:val="130"/>
          <w:sz w:val="24"/>
        </w:rPr>
        <w:t>érvényes és hatályos, a felügyeleti hatóságok kölcsönös elismerésén alapuló, továbbá a fióktelepek felügyeletére is kiterjedő nemzetközi együttműködési megállapodás van a Felügyelet és a kérelmező pénzügyi intézmény</w:t>
      </w:r>
      <w:r>
        <w:rPr>
          <w:spacing w:val="-11"/>
          <w:w w:val="130"/>
          <w:sz w:val="24"/>
        </w:rPr>
        <w:t> </w:t>
      </w:r>
      <w:r>
        <w:rPr>
          <w:w w:val="130"/>
          <w:sz w:val="24"/>
        </w:rPr>
        <w:t>székhelye</w:t>
      </w:r>
      <w:r>
        <w:rPr>
          <w:spacing w:val="-10"/>
          <w:w w:val="130"/>
          <w:sz w:val="24"/>
        </w:rPr>
        <w:t> </w:t>
      </w:r>
      <w:r>
        <w:rPr>
          <w:w w:val="130"/>
          <w:sz w:val="24"/>
        </w:rPr>
        <w:t>szerinti</w:t>
      </w:r>
      <w:r>
        <w:rPr>
          <w:spacing w:val="-10"/>
          <w:w w:val="130"/>
          <w:sz w:val="24"/>
        </w:rPr>
        <w:t> </w:t>
      </w:r>
      <w:r>
        <w:rPr>
          <w:w w:val="130"/>
          <w:sz w:val="24"/>
        </w:rPr>
        <w:t>illetékes</w:t>
      </w:r>
      <w:r>
        <w:rPr>
          <w:spacing w:val="-11"/>
          <w:w w:val="130"/>
          <w:sz w:val="24"/>
        </w:rPr>
        <w:t> </w:t>
      </w:r>
      <w:r>
        <w:rPr>
          <w:w w:val="130"/>
          <w:sz w:val="24"/>
        </w:rPr>
        <w:t>felügyeleti</w:t>
      </w:r>
      <w:r>
        <w:rPr>
          <w:spacing w:val="-10"/>
          <w:w w:val="130"/>
          <w:sz w:val="24"/>
        </w:rPr>
        <w:t> </w:t>
      </w:r>
      <w:r>
        <w:rPr>
          <w:w w:val="130"/>
          <w:sz w:val="24"/>
        </w:rPr>
        <w:t>hatóság</w:t>
      </w:r>
      <w:r>
        <w:rPr>
          <w:spacing w:val="-10"/>
          <w:w w:val="130"/>
          <w:sz w:val="24"/>
        </w:rPr>
        <w:t> </w:t>
      </w:r>
      <w:r>
        <w:rPr>
          <w:w w:val="130"/>
          <w:sz w:val="24"/>
        </w:rPr>
        <w:t>között,</w:t>
      </w:r>
    </w:p>
    <w:p>
      <w:pPr>
        <w:pStyle w:val="ListParagraph"/>
        <w:numPr>
          <w:ilvl w:val="0"/>
          <w:numId w:val="91"/>
        </w:numPr>
        <w:tabs>
          <w:tab w:pos="689" w:val="left" w:leader="none"/>
        </w:tabs>
        <w:spacing w:line="225" w:lineRule="auto" w:before="2" w:after="0"/>
        <w:ind w:left="113" w:right="128" w:firstLine="204"/>
        <w:jc w:val="both"/>
        <w:rPr>
          <w:sz w:val="24"/>
        </w:rPr>
      </w:pPr>
      <w:r>
        <w:rPr>
          <w:w w:val="125"/>
          <w:sz w:val="24"/>
        </w:rPr>
        <w:t>a kérelmező pénzügyi intézmény székhelye szerinti állam rendelkezik a magyar jogszabályok által támasztott követelményeknek megfelelő pénzmosás és a terrorizmus finanszírozása elleni jogszabályi</w:t>
      </w:r>
      <w:r>
        <w:rPr>
          <w:spacing w:val="10"/>
          <w:w w:val="125"/>
          <w:sz w:val="24"/>
        </w:rPr>
        <w:t> </w:t>
      </w:r>
      <w:r>
        <w:rPr>
          <w:w w:val="125"/>
          <w:sz w:val="24"/>
        </w:rPr>
        <w:t>előírásokkal,</w:t>
      </w:r>
    </w:p>
    <w:p>
      <w:pPr>
        <w:pStyle w:val="ListParagraph"/>
        <w:numPr>
          <w:ilvl w:val="0"/>
          <w:numId w:val="91"/>
        </w:numPr>
        <w:tabs>
          <w:tab w:pos="759" w:val="left" w:leader="none"/>
        </w:tabs>
        <w:spacing w:line="250" w:lineRule="exact" w:before="0" w:after="0"/>
        <w:ind w:left="758" w:right="0" w:hanging="245"/>
        <w:jc w:val="left"/>
        <w:rPr>
          <w:sz w:val="24"/>
        </w:rPr>
      </w:pPr>
      <w:r>
        <w:rPr/>
        <w:drawing>
          <wp:anchor distT="0" distB="0" distL="0" distR="0" allowOverlap="1" layoutInCell="1" locked="0" behindDoc="0" simplePos="0" relativeHeight="1696">
            <wp:simplePos x="0" y="0"/>
            <wp:positionH relativeFrom="page">
              <wp:posOffset>745401</wp:posOffset>
            </wp:positionH>
            <wp:positionV relativeFrom="paragraph">
              <wp:posOffset>15314</wp:posOffset>
            </wp:positionV>
            <wp:extent cx="228600" cy="165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w:t>
      </w:r>
      <w:r>
        <w:rPr>
          <w:i/>
          <w:spacing w:val="45"/>
          <w:w w:val="125"/>
          <w:position w:val="3"/>
          <w:sz w:val="18"/>
        </w:rPr>
        <w:t> </w:t>
      </w:r>
      <w:r>
        <w:rPr>
          <w:w w:val="125"/>
          <w:sz w:val="24"/>
        </w:rPr>
        <w:t>a</w:t>
      </w:r>
      <w:r>
        <w:rPr>
          <w:spacing w:val="6"/>
          <w:w w:val="125"/>
          <w:sz w:val="24"/>
        </w:rPr>
        <w:t> </w:t>
      </w:r>
      <w:r>
        <w:rPr>
          <w:w w:val="125"/>
          <w:sz w:val="24"/>
        </w:rPr>
        <w:t>kérelmező</w:t>
      </w:r>
      <w:r>
        <w:rPr>
          <w:spacing w:val="15"/>
          <w:w w:val="125"/>
          <w:sz w:val="24"/>
        </w:rPr>
        <w:t> </w:t>
      </w:r>
      <w:r>
        <w:rPr>
          <w:w w:val="125"/>
          <w:sz w:val="24"/>
        </w:rPr>
        <w:t>pénzügyi</w:t>
      </w:r>
      <w:r>
        <w:rPr>
          <w:spacing w:val="16"/>
          <w:w w:val="125"/>
          <w:sz w:val="24"/>
        </w:rPr>
        <w:t> </w:t>
      </w:r>
      <w:r>
        <w:rPr>
          <w:w w:val="125"/>
          <w:sz w:val="24"/>
        </w:rPr>
        <w:t>intézmény</w:t>
      </w:r>
      <w:r>
        <w:rPr>
          <w:spacing w:val="15"/>
          <w:w w:val="125"/>
          <w:sz w:val="24"/>
        </w:rPr>
        <w:t> </w:t>
      </w:r>
      <w:r>
        <w:rPr>
          <w:w w:val="125"/>
          <w:sz w:val="24"/>
        </w:rPr>
        <w:t>rendelkezik</w:t>
      </w:r>
      <w:r>
        <w:rPr>
          <w:spacing w:val="15"/>
          <w:w w:val="125"/>
          <w:sz w:val="24"/>
        </w:rPr>
        <w:t> </w:t>
      </w:r>
      <w:r>
        <w:rPr>
          <w:w w:val="125"/>
          <w:sz w:val="24"/>
        </w:rPr>
        <w:t>a</w:t>
      </w:r>
      <w:r>
        <w:rPr>
          <w:spacing w:val="15"/>
          <w:w w:val="125"/>
          <w:sz w:val="24"/>
        </w:rPr>
        <w:t> </w:t>
      </w:r>
      <w:r>
        <w:rPr>
          <w:w w:val="125"/>
          <w:sz w:val="24"/>
        </w:rPr>
        <w:t>jogszabályok</w:t>
      </w:r>
      <w:r>
        <w:rPr>
          <w:spacing w:val="15"/>
          <w:w w:val="125"/>
          <w:sz w:val="24"/>
        </w:rPr>
        <w:t> </w:t>
      </w:r>
      <w:r>
        <w:rPr>
          <w:w w:val="125"/>
          <w:sz w:val="24"/>
        </w:rPr>
        <w:t>és</w:t>
      </w:r>
      <w:r>
        <w:rPr>
          <w:spacing w:val="15"/>
          <w:w w:val="125"/>
          <w:sz w:val="24"/>
        </w:rPr>
        <w:t> </w:t>
      </w:r>
      <w:r>
        <w:rPr>
          <w:w w:val="125"/>
          <w:sz w:val="24"/>
        </w:rPr>
        <w:t>az</w:t>
      </w:r>
    </w:p>
    <w:p>
      <w:pPr>
        <w:pStyle w:val="BodyText"/>
        <w:tabs>
          <w:tab w:pos="1339" w:val="left" w:leader="none"/>
          <w:tab w:pos="2183" w:val="left" w:leader="none"/>
          <w:tab w:pos="3840" w:val="left" w:leader="none"/>
          <w:tab w:pos="5784" w:val="left" w:leader="none"/>
          <w:tab w:pos="6500" w:val="left" w:leader="none"/>
          <w:tab w:pos="7649" w:val="left" w:leader="none"/>
          <w:tab w:pos="8452" w:val="left" w:leader="none"/>
        </w:tabs>
        <w:spacing w:line="225" w:lineRule="auto" w:before="12"/>
        <w:ind w:right="139" w:firstLine="0"/>
      </w:pPr>
      <w:r>
        <w:rPr>
          <w:w w:val="125"/>
        </w:rPr>
        <w:t>Európai</w:t>
        <w:tab/>
        <w:t>Unió</w:t>
        <w:tab/>
        <w:t>közvetlenül</w:t>
        <w:tab/>
        <w:t>alkalmazandó</w:t>
        <w:tab/>
        <w:t>jogi</w:t>
        <w:tab/>
        <w:t>aktusai</w:t>
        <w:tab/>
        <w:t>által</w:t>
        <w:tab/>
      </w:r>
      <w:r>
        <w:rPr>
          <w:spacing w:val="-1"/>
          <w:w w:val="125"/>
        </w:rPr>
        <w:t>támasztott </w:t>
      </w:r>
      <w:r>
        <w:rPr>
          <w:w w:val="125"/>
        </w:rPr>
        <w:t>követelményeket kielégítő adatkezelési</w:t>
      </w:r>
      <w:r>
        <w:rPr>
          <w:spacing w:val="3"/>
          <w:w w:val="125"/>
        </w:rPr>
        <w:t> </w:t>
      </w:r>
      <w:r>
        <w:rPr>
          <w:w w:val="125"/>
        </w:rPr>
        <w:t>szabályzattal,</w:t>
      </w:r>
    </w:p>
    <w:p>
      <w:pPr>
        <w:pStyle w:val="ListParagraph"/>
        <w:numPr>
          <w:ilvl w:val="0"/>
          <w:numId w:val="91"/>
        </w:numPr>
        <w:tabs>
          <w:tab w:pos="757" w:val="left" w:leader="none"/>
        </w:tabs>
        <w:spacing w:line="225" w:lineRule="auto" w:before="1" w:after="0"/>
        <w:ind w:left="113" w:right="130" w:firstLine="204"/>
        <w:jc w:val="both"/>
        <w:rPr>
          <w:sz w:val="24"/>
        </w:rPr>
      </w:pPr>
      <w:r>
        <w:rPr>
          <w:w w:val="130"/>
          <w:sz w:val="24"/>
        </w:rPr>
        <w:t>a kérelmező pénzügyi intézmény nyilatkozik arról, hogy korlátlanul helytáll a fióktelep cégneve alatt keletkezett</w:t>
      </w:r>
      <w:r>
        <w:rPr>
          <w:spacing w:val="-36"/>
          <w:w w:val="130"/>
          <w:sz w:val="24"/>
        </w:rPr>
        <w:t> </w:t>
      </w:r>
      <w:r>
        <w:rPr>
          <w:w w:val="130"/>
          <w:sz w:val="24"/>
        </w:rPr>
        <w:t>kötelezettségekért,</w:t>
      </w:r>
    </w:p>
    <w:p>
      <w:pPr>
        <w:pStyle w:val="ListParagraph"/>
        <w:numPr>
          <w:ilvl w:val="0"/>
          <w:numId w:val="91"/>
        </w:numPr>
        <w:tabs>
          <w:tab w:pos="671" w:val="left" w:leader="none"/>
        </w:tabs>
        <w:spacing w:line="225" w:lineRule="auto" w:before="1" w:after="0"/>
        <w:ind w:left="113" w:right="130" w:firstLine="204"/>
        <w:jc w:val="both"/>
        <w:rPr>
          <w:sz w:val="24"/>
        </w:rPr>
      </w:pPr>
      <w:r>
        <w:rPr>
          <w:w w:val="130"/>
          <w:sz w:val="24"/>
        </w:rPr>
        <w:t>a kérelmező pénzügyi intézmény benyújtja a székhelye szerinti illetékes felügyeleti hatóság fióktelep létesítésre vonatkozó engedélyét, vagy hozzájáruló nyilatkozatát vagy tudomásulvételét,</w:t>
      </w:r>
      <w:r>
        <w:rPr>
          <w:spacing w:val="-35"/>
          <w:w w:val="130"/>
          <w:sz w:val="24"/>
        </w:rPr>
        <w:t> </w:t>
      </w:r>
      <w:r>
        <w:rPr>
          <w:w w:val="130"/>
          <w:sz w:val="24"/>
        </w:rPr>
        <w:t>valamint</w:t>
      </w:r>
    </w:p>
    <w:p>
      <w:pPr>
        <w:pStyle w:val="ListParagraph"/>
        <w:numPr>
          <w:ilvl w:val="0"/>
          <w:numId w:val="91"/>
        </w:numPr>
        <w:tabs>
          <w:tab w:pos="656" w:val="left" w:leader="none"/>
        </w:tabs>
        <w:spacing w:line="225" w:lineRule="auto" w:before="2" w:after="0"/>
        <w:ind w:left="113" w:right="129" w:firstLine="204"/>
        <w:jc w:val="both"/>
        <w:rPr>
          <w:sz w:val="24"/>
        </w:rPr>
      </w:pPr>
      <w:r>
        <w:rPr>
          <w:w w:val="125"/>
          <w:sz w:val="24"/>
        </w:rPr>
        <w:t>a kérelmező pénzügyi intézmény székhelye szerinti állam jogszabályai biztosítják a pénzügyi intézmények prudens, biztonságos</w:t>
      </w:r>
      <w:r>
        <w:rPr>
          <w:spacing w:val="23"/>
          <w:w w:val="125"/>
          <w:sz w:val="24"/>
        </w:rPr>
        <w:t> </w:t>
      </w:r>
      <w:r>
        <w:rPr>
          <w:w w:val="125"/>
          <w:sz w:val="24"/>
        </w:rPr>
        <w:t>működését.</w:t>
      </w:r>
    </w:p>
    <w:p>
      <w:pPr>
        <w:pStyle w:val="BodyText"/>
        <w:spacing w:before="228"/>
        <w:ind w:left="1592" w:firstLine="0"/>
      </w:pPr>
      <w:r>
        <w:rPr>
          <w:w w:val="125"/>
        </w:rPr>
        <w:t>12. A tevékenységi (működési) engedély iránti kérelem</w:t>
      </w:r>
    </w:p>
    <w:p>
      <w:pPr>
        <w:pStyle w:val="BodyText"/>
        <w:spacing w:before="2"/>
        <w:ind w:left="0" w:firstLine="0"/>
        <w:rPr>
          <w:sz w:val="29"/>
        </w:rPr>
      </w:pPr>
      <w:r>
        <w:rPr/>
        <w:pict>
          <v:line style="position:absolute;mso-position-horizontal-relative:page;mso-position-vertical-relative:paragraph;z-index:-376;mso-wrap-distance-left:0;mso-wrap-distance-right:0" from="56.693001pt,18.978758pt" to="538.583001pt,18.97875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2019. évi XXXIV. törvény 133. §</w:t>
      </w:r>
      <w:r>
        <w:rPr>
          <w:i/>
          <w:spacing w:val="-6"/>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ListParagraph"/>
        <w:numPr>
          <w:ilvl w:val="0"/>
          <w:numId w:val="68"/>
        </w:numPr>
        <w:tabs>
          <w:tab w:pos="897" w:val="left" w:leader="none"/>
        </w:tabs>
        <w:spacing w:line="225" w:lineRule="auto" w:before="172" w:after="0"/>
        <w:ind w:left="113" w:right="127" w:firstLine="204"/>
        <w:jc w:val="both"/>
        <w:rPr>
          <w:sz w:val="24"/>
        </w:rPr>
      </w:pPr>
      <w:r>
        <w:rPr>
          <w:rFonts w:ascii="Arial" w:hAnsi="Arial"/>
          <w:b/>
          <w:w w:val="120"/>
          <w:sz w:val="24"/>
        </w:rPr>
        <w:t>§ </w:t>
      </w:r>
      <w:r>
        <w:rPr>
          <w:w w:val="120"/>
          <w:sz w:val="24"/>
        </w:rPr>
        <w:t>(1) A hitelintézet működésének - pénzügyi és kiegészítő pénzügyi szolgáltatási tevékenységének - megkezdéséhez a Felügyelet tevékenységi engedélye is</w:t>
      </w:r>
      <w:r>
        <w:rPr>
          <w:spacing w:val="9"/>
          <w:w w:val="120"/>
          <w:sz w:val="24"/>
        </w:rPr>
        <w:t> </w:t>
      </w:r>
      <w:r>
        <w:rPr>
          <w:w w:val="120"/>
          <w:sz w:val="24"/>
        </w:rPr>
        <w:t>szükséges.</w:t>
      </w:r>
    </w:p>
    <w:p>
      <w:pPr>
        <w:pStyle w:val="ListParagraph"/>
        <w:numPr>
          <w:ilvl w:val="0"/>
          <w:numId w:val="92"/>
        </w:numPr>
        <w:tabs>
          <w:tab w:pos="834" w:val="left" w:leader="none"/>
        </w:tabs>
        <w:spacing w:line="225" w:lineRule="auto" w:before="1" w:after="0"/>
        <w:ind w:left="113" w:right="132" w:firstLine="204"/>
        <w:jc w:val="both"/>
        <w:rPr>
          <w:sz w:val="24"/>
        </w:rPr>
      </w:pPr>
      <w:r>
        <w:rPr>
          <w:w w:val="125"/>
          <w:sz w:val="24"/>
        </w:rPr>
        <w:t>A hitelintézet a tevékenységi engedély megadása iránti kérelméhez mellékeli</w:t>
      </w:r>
    </w:p>
    <w:p>
      <w:pPr>
        <w:pStyle w:val="ListParagraph"/>
        <w:numPr>
          <w:ilvl w:val="0"/>
          <w:numId w:val="93"/>
        </w:numPr>
        <w:tabs>
          <w:tab w:pos="631" w:val="left" w:leader="none"/>
        </w:tabs>
        <w:spacing w:line="256" w:lineRule="exact" w:before="0" w:after="0"/>
        <w:ind w:left="630" w:right="0" w:hanging="313"/>
        <w:jc w:val="left"/>
        <w:rPr>
          <w:sz w:val="24"/>
        </w:rPr>
      </w:pPr>
      <w:r>
        <w:rPr>
          <w:w w:val="125"/>
          <w:sz w:val="24"/>
        </w:rPr>
        <w:t>az induló tőke teljes befizetésére vonatkozó</w:t>
      </w:r>
      <w:r>
        <w:rPr>
          <w:spacing w:val="18"/>
          <w:w w:val="125"/>
          <w:sz w:val="24"/>
        </w:rPr>
        <w:t> </w:t>
      </w:r>
      <w:r>
        <w:rPr>
          <w:w w:val="125"/>
          <w:sz w:val="24"/>
        </w:rPr>
        <w:t>igazolást,</w:t>
      </w:r>
    </w:p>
    <w:p>
      <w:pPr>
        <w:pStyle w:val="ListParagraph"/>
        <w:numPr>
          <w:ilvl w:val="0"/>
          <w:numId w:val="93"/>
        </w:numPr>
        <w:tabs>
          <w:tab w:pos="726" w:val="left" w:leader="none"/>
        </w:tabs>
        <w:spacing w:line="225" w:lineRule="auto" w:before="6" w:after="0"/>
        <w:ind w:left="113" w:right="127" w:firstLine="204"/>
        <w:jc w:val="both"/>
        <w:rPr>
          <w:sz w:val="24"/>
        </w:rPr>
      </w:pPr>
      <w:r>
        <w:rPr>
          <w:w w:val="130"/>
          <w:sz w:val="24"/>
        </w:rPr>
        <w:t>az </w:t>
      </w:r>
      <w:r>
        <w:rPr>
          <w:i/>
          <w:w w:val="130"/>
          <w:sz w:val="24"/>
        </w:rPr>
        <w:t>a) </w:t>
      </w:r>
      <w:r>
        <w:rPr>
          <w:w w:val="130"/>
          <w:sz w:val="24"/>
        </w:rPr>
        <w:t>pont szerinti összeg teljes vagy részleges felhasználása esetén igazolást vagy nyilatkozatot arról, hogy a felhasználás az alapítás, vagy a működés megkezdése érdekében</w:t>
      </w:r>
      <w:r>
        <w:rPr>
          <w:spacing w:val="-11"/>
          <w:w w:val="130"/>
          <w:sz w:val="24"/>
        </w:rPr>
        <w:t> </w:t>
      </w:r>
      <w:r>
        <w:rPr>
          <w:w w:val="130"/>
          <w:sz w:val="24"/>
        </w:rPr>
        <w:t>történt,</w:t>
      </w:r>
    </w:p>
    <w:p>
      <w:pPr>
        <w:pStyle w:val="ListParagraph"/>
        <w:numPr>
          <w:ilvl w:val="0"/>
          <w:numId w:val="93"/>
        </w:numPr>
        <w:tabs>
          <w:tab w:pos="547" w:val="left" w:leader="none"/>
        </w:tabs>
        <w:spacing w:line="250" w:lineRule="exact" w:before="0" w:after="0"/>
        <w:ind w:left="546" w:right="0" w:hanging="229"/>
        <w:jc w:val="left"/>
        <w:rPr>
          <w:sz w:val="24"/>
        </w:rPr>
      </w:pPr>
      <w:r>
        <w:rPr>
          <w:i/>
          <w:w w:val="130"/>
          <w:position w:val="3"/>
          <w:sz w:val="18"/>
        </w:rPr>
        <w:t>1 </w:t>
      </w:r>
      <w:r>
        <w:rPr>
          <w:w w:val="130"/>
          <w:sz w:val="24"/>
        </w:rPr>
        <w:t>a hitelintézet jegyzett tőkéjében legalább ötszázalékos</w:t>
      </w:r>
      <w:r>
        <w:rPr>
          <w:spacing w:val="9"/>
          <w:w w:val="130"/>
          <w:sz w:val="24"/>
        </w:rPr>
        <w:t> </w:t>
      </w:r>
      <w:r>
        <w:rPr>
          <w:w w:val="130"/>
          <w:sz w:val="24"/>
        </w:rPr>
        <w:t>részesedéssel</w:t>
      </w:r>
    </w:p>
    <w:p>
      <w:pPr>
        <w:pStyle w:val="BodyText"/>
        <w:spacing w:line="225" w:lineRule="auto" w:before="12"/>
        <w:ind w:right="123" w:firstLine="0"/>
        <w:jc w:val="both"/>
      </w:pPr>
      <w:r>
        <w:rPr>
          <w:w w:val="130"/>
        </w:rPr>
        <w:t>vagy szavazati joggal rendelkező tag azonosítására alkalmas adatokat, valamint ha a hitelintézetnek nincs befolyásoló részesedéssel rendelkező tagja,</w:t>
      </w:r>
      <w:r>
        <w:rPr>
          <w:spacing w:val="-25"/>
          <w:w w:val="130"/>
        </w:rPr>
        <w:t> </w:t>
      </w:r>
      <w:r>
        <w:rPr>
          <w:w w:val="130"/>
        </w:rPr>
        <w:t>akkor</w:t>
      </w:r>
      <w:r>
        <w:rPr>
          <w:spacing w:val="-24"/>
          <w:w w:val="130"/>
        </w:rPr>
        <w:t> </w:t>
      </w:r>
      <w:r>
        <w:rPr>
          <w:w w:val="130"/>
        </w:rPr>
        <w:t>a</w:t>
      </w:r>
      <w:r>
        <w:rPr>
          <w:spacing w:val="-24"/>
          <w:w w:val="130"/>
        </w:rPr>
        <w:t> </w:t>
      </w:r>
      <w:r>
        <w:rPr>
          <w:w w:val="130"/>
        </w:rPr>
        <w:t>húsz</w:t>
      </w:r>
      <w:r>
        <w:rPr>
          <w:spacing w:val="-24"/>
          <w:w w:val="130"/>
        </w:rPr>
        <w:t> </w:t>
      </w:r>
      <w:r>
        <w:rPr>
          <w:w w:val="130"/>
        </w:rPr>
        <w:t>legnagyobb</w:t>
      </w:r>
      <w:r>
        <w:rPr>
          <w:spacing w:val="-24"/>
          <w:w w:val="130"/>
        </w:rPr>
        <w:t> </w:t>
      </w:r>
      <w:r>
        <w:rPr>
          <w:w w:val="130"/>
        </w:rPr>
        <w:t>részesedéssel</w:t>
      </w:r>
      <w:r>
        <w:rPr>
          <w:spacing w:val="-24"/>
          <w:w w:val="130"/>
        </w:rPr>
        <w:t> </w:t>
      </w:r>
      <w:r>
        <w:rPr>
          <w:w w:val="130"/>
        </w:rPr>
        <w:t>vagy</w:t>
      </w:r>
      <w:r>
        <w:rPr>
          <w:spacing w:val="-24"/>
          <w:w w:val="130"/>
        </w:rPr>
        <w:t> </w:t>
      </w:r>
      <w:r>
        <w:rPr>
          <w:w w:val="130"/>
        </w:rPr>
        <w:t>szavazati</w:t>
      </w:r>
      <w:r>
        <w:rPr>
          <w:spacing w:val="-24"/>
          <w:w w:val="130"/>
        </w:rPr>
        <w:t> </w:t>
      </w:r>
      <w:r>
        <w:rPr>
          <w:w w:val="130"/>
        </w:rPr>
        <w:t>joggal</w:t>
      </w:r>
      <w:r>
        <w:rPr>
          <w:spacing w:val="-24"/>
          <w:w w:val="130"/>
        </w:rPr>
        <w:t> </w:t>
      </w:r>
      <w:r>
        <w:rPr>
          <w:w w:val="130"/>
        </w:rPr>
        <w:t>rendelkező tag azonosítására alkalmas</w:t>
      </w:r>
      <w:r>
        <w:rPr>
          <w:spacing w:val="-11"/>
          <w:w w:val="130"/>
        </w:rPr>
        <w:t> </w:t>
      </w:r>
      <w:r>
        <w:rPr>
          <w:w w:val="130"/>
        </w:rPr>
        <w:t>adatokat,</w:t>
      </w:r>
    </w:p>
    <w:p>
      <w:pPr>
        <w:pStyle w:val="ListParagraph"/>
        <w:numPr>
          <w:ilvl w:val="0"/>
          <w:numId w:val="93"/>
        </w:numPr>
        <w:tabs>
          <w:tab w:pos="645" w:val="left" w:leader="none"/>
        </w:tabs>
        <w:spacing w:line="225" w:lineRule="auto" w:before="2" w:after="0"/>
        <w:ind w:left="113" w:right="131" w:firstLine="204"/>
        <w:jc w:val="both"/>
        <w:rPr>
          <w:sz w:val="24"/>
        </w:rPr>
      </w:pPr>
      <w:r>
        <w:rPr>
          <w:w w:val="125"/>
          <w:sz w:val="24"/>
        </w:rPr>
        <w:t>a középtávú - az első három évre vonatkozó - üzleti tervet, ide nem értve a központi szervhez tartósan kapcsolt hitelintézetet, a működéshez szükséges személyi és tárgyi feltételek biztosítására vonatkozó</w:t>
      </w:r>
      <w:r>
        <w:rPr>
          <w:spacing w:val="16"/>
          <w:w w:val="125"/>
          <w:sz w:val="24"/>
        </w:rPr>
        <w:t> </w:t>
      </w:r>
      <w:r>
        <w:rPr>
          <w:w w:val="125"/>
          <w:sz w:val="24"/>
        </w:rPr>
        <w:t>igazolásokat,</w:t>
      </w:r>
    </w:p>
    <w:p>
      <w:pPr>
        <w:pStyle w:val="ListParagraph"/>
        <w:numPr>
          <w:ilvl w:val="0"/>
          <w:numId w:val="93"/>
        </w:numPr>
        <w:tabs>
          <w:tab w:pos="715" w:val="left" w:leader="none"/>
        </w:tabs>
        <w:spacing w:line="225" w:lineRule="auto" w:before="2" w:after="0"/>
        <w:ind w:left="113" w:right="134" w:firstLine="204"/>
        <w:jc w:val="both"/>
        <w:rPr>
          <w:sz w:val="24"/>
        </w:rPr>
      </w:pPr>
      <w:r>
        <w:rPr>
          <w:w w:val="125"/>
          <w:sz w:val="24"/>
        </w:rPr>
        <w:t>a folytatni kívánt tevékenységekre vonatkozó, az általános szerződési feltételeket is tartalmazó egy vagy több</w:t>
      </w:r>
      <w:r>
        <w:rPr>
          <w:spacing w:val="14"/>
          <w:w w:val="125"/>
          <w:sz w:val="24"/>
        </w:rPr>
        <w:t> </w:t>
      </w:r>
      <w:r>
        <w:rPr>
          <w:w w:val="125"/>
          <w:sz w:val="24"/>
        </w:rPr>
        <w:t>üzletszabályzatot,</w:t>
      </w:r>
    </w:p>
    <w:p>
      <w:pPr>
        <w:pStyle w:val="ListParagraph"/>
        <w:numPr>
          <w:ilvl w:val="0"/>
          <w:numId w:val="93"/>
        </w:numPr>
        <w:tabs>
          <w:tab w:pos="687" w:val="left" w:leader="none"/>
        </w:tabs>
        <w:spacing w:line="225" w:lineRule="auto" w:before="1" w:after="0"/>
        <w:ind w:left="113" w:right="133" w:firstLine="204"/>
        <w:jc w:val="both"/>
        <w:rPr>
          <w:sz w:val="24"/>
        </w:rPr>
      </w:pPr>
      <w:r>
        <w:rPr>
          <w:w w:val="130"/>
          <w:sz w:val="24"/>
        </w:rPr>
        <w:t>nyilatkozatot arra vonatkozóan, hogy a tevékenységét mikor kívánja megkezdeni,</w:t>
      </w:r>
    </w:p>
    <w:p>
      <w:pPr>
        <w:pStyle w:val="ListParagraph"/>
        <w:numPr>
          <w:ilvl w:val="0"/>
          <w:numId w:val="93"/>
        </w:numPr>
        <w:tabs>
          <w:tab w:pos="689" w:val="left" w:leader="none"/>
        </w:tabs>
        <w:spacing w:line="225" w:lineRule="auto" w:before="1" w:after="0"/>
        <w:ind w:left="113" w:right="109" w:firstLine="204"/>
        <w:jc w:val="both"/>
        <w:rPr>
          <w:sz w:val="24"/>
        </w:rPr>
      </w:pPr>
      <w:r>
        <w:rPr>
          <w:w w:val="125"/>
          <w:sz w:val="24"/>
        </w:rPr>
        <w:t>az Országos Betétbiztosítási Alapnak (a továbbiakban: OBA) megküldött csatlakozási nyilatkozat másolatát kivéve, ha a fióktelep formában működő hitelintézetnek e törvény alapján nem szükséges csatlakoznia az</w:t>
      </w:r>
      <w:r>
        <w:rPr>
          <w:spacing w:val="1"/>
          <w:w w:val="125"/>
          <w:sz w:val="24"/>
        </w:rPr>
        <w:t> </w:t>
      </w:r>
      <w:r>
        <w:rPr>
          <w:w w:val="125"/>
          <w:sz w:val="24"/>
        </w:rPr>
        <w:t>OBA-hoz,</w:t>
      </w:r>
    </w:p>
    <w:p>
      <w:pPr>
        <w:pStyle w:val="ListParagraph"/>
        <w:numPr>
          <w:ilvl w:val="0"/>
          <w:numId w:val="93"/>
        </w:numPr>
        <w:tabs>
          <w:tab w:pos="1017" w:val="left" w:leader="none"/>
        </w:tabs>
        <w:spacing w:line="225" w:lineRule="auto" w:before="2" w:after="0"/>
        <w:ind w:left="113" w:right="123" w:firstLine="204"/>
        <w:jc w:val="both"/>
        <w:rPr>
          <w:sz w:val="24"/>
        </w:rPr>
      </w:pPr>
      <w:r>
        <w:rPr>
          <w:w w:val="130"/>
          <w:sz w:val="24"/>
        </w:rPr>
        <w:t>nyilatkozatot</w:t>
      </w:r>
      <w:r>
        <w:rPr>
          <w:spacing w:val="78"/>
          <w:w w:val="130"/>
          <w:sz w:val="24"/>
        </w:rPr>
        <w:t> </w:t>
      </w:r>
      <w:r>
        <w:rPr>
          <w:w w:val="130"/>
          <w:sz w:val="24"/>
        </w:rPr>
        <w:t>arról,</w:t>
      </w:r>
      <w:r>
        <w:rPr>
          <w:spacing w:val="78"/>
          <w:w w:val="130"/>
          <w:sz w:val="24"/>
        </w:rPr>
        <w:t> </w:t>
      </w:r>
      <w:r>
        <w:rPr>
          <w:w w:val="130"/>
          <w:sz w:val="24"/>
        </w:rPr>
        <w:t>hogy a</w:t>
      </w:r>
      <w:r>
        <w:rPr>
          <w:spacing w:val="78"/>
          <w:w w:val="130"/>
          <w:sz w:val="24"/>
        </w:rPr>
        <w:t> </w:t>
      </w:r>
      <w:r>
        <w:rPr>
          <w:w w:val="130"/>
          <w:sz w:val="24"/>
        </w:rPr>
        <w:t>jogszabályban</w:t>
      </w:r>
      <w:r>
        <w:rPr>
          <w:spacing w:val="78"/>
          <w:w w:val="130"/>
          <w:sz w:val="24"/>
        </w:rPr>
        <w:t> </w:t>
      </w:r>
      <w:r>
        <w:rPr>
          <w:w w:val="130"/>
          <w:sz w:val="24"/>
        </w:rPr>
        <w:t>meghatározott adatszolgáltatások teljesítésére felkészült, valamint az adatszolgáltatáshoz felhasznált számítógépes programok tesztfuttatási</w:t>
      </w:r>
      <w:r>
        <w:rPr>
          <w:spacing w:val="-27"/>
          <w:w w:val="130"/>
          <w:sz w:val="24"/>
        </w:rPr>
        <w:t> </w:t>
      </w:r>
      <w:r>
        <w:rPr>
          <w:w w:val="130"/>
          <w:sz w:val="24"/>
        </w:rPr>
        <w:t>eredményeit,</w:t>
      </w:r>
    </w:p>
    <w:p>
      <w:pPr>
        <w:pStyle w:val="ListParagraph"/>
        <w:numPr>
          <w:ilvl w:val="0"/>
          <w:numId w:val="93"/>
        </w:numPr>
        <w:tabs>
          <w:tab w:pos="564" w:val="left" w:leader="none"/>
        </w:tabs>
        <w:spacing w:line="256" w:lineRule="exact" w:before="0" w:after="0"/>
        <w:ind w:left="563" w:right="0" w:hanging="246"/>
        <w:jc w:val="left"/>
        <w:rPr>
          <w:sz w:val="24"/>
        </w:rPr>
      </w:pPr>
      <w:r>
        <w:rPr>
          <w:w w:val="130"/>
          <w:sz w:val="24"/>
        </w:rPr>
        <w:t>számviteli</w:t>
      </w:r>
      <w:r>
        <w:rPr>
          <w:spacing w:val="-14"/>
          <w:w w:val="130"/>
          <w:sz w:val="24"/>
        </w:rPr>
        <w:t> </w:t>
      </w:r>
      <w:r>
        <w:rPr>
          <w:w w:val="130"/>
          <w:sz w:val="24"/>
        </w:rPr>
        <w:t>politikájának,</w:t>
      </w:r>
      <w:r>
        <w:rPr>
          <w:spacing w:val="-14"/>
          <w:w w:val="130"/>
          <w:sz w:val="24"/>
        </w:rPr>
        <w:t> </w:t>
      </w:r>
      <w:r>
        <w:rPr>
          <w:w w:val="130"/>
          <w:sz w:val="24"/>
        </w:rPr>
        <w:t>részletes</w:t>
      </w:r>
      <w:r>
        <w:rPr>
          <w:spacing w:val="-14"/>
          <w:w w:val="130"/>
          <w:sz w:val="24"/>
        </w:rPr>
        <w:t> </w:t>
      </w:r>
      <w:r>
        <w:rPr>
          <w:w w:val="130"/>
          <w:sz w:val="24"/>
        </w:rPr>
        <w:t>számviteli</w:t>
      </w:r>
      <w:r>
        <w:rPr>
          <w:spacing w:val="-14"/>
          <w:w w:val="130"/>
          <w:sz w:val="24"/>
        </w:rPr>
        <w:t> </w:t>
      </w:r>
      <w:r>
        <w:rPr>
          <w:w w:val="130"/>
          <w:sz w:val="24"/>
        </w:rPr>
        <w:t>rendszerének</w:t>
      </w:r>
      <w:r>
        <w:rPr>
          <w:spacing w:val="-13"/>
          <w:w w:val="130"/>
          <w:sz w:val="24"/>
        </w:rPr>
        <w:t> </w:t>
      </w:r>
      <w:r>
        <w:rPr>
          <w:w w:val="130"/>
          <w:sz w:val="24"/>
        </w:rPr>
        <w:t>tervezetét,</w:t>
      </w:r>
    </w:p>
    <w:p>
      <w:pPr>
        <w:pStyle w:val="ListParagraph"/>
        <w:numPr>
          <w:ilvl w:val="0"/>
          <w:numId w:val="93"/>
        </w:numPr>
        <w:tabs>
          <w:tab w:pos="667" w:val="left" w:leader="none"/>
        </w:tabs>
        <w:spacing w:line="225" w:lineRule="auto" w:before="5" w:after="0"/>
        <w:ind w:left="113" w:right="124" w:firstLine="204"/>
        <w:jc w:val="both"/>
        <w:rPr>
          <w:sz w:val="24"/>
        </w:rPr>
      </w:pPr>
      <w:r>
        <w:rPr>
          <w:w w:val="130"/>
          <w:sz w:val="24"/>
        </w:rPr>
        <w:t>valamely, a hitelintézetek közötti fizetési rendszerhez való közvetlen csatlakozásról szóló nyilatkozatot és a csatlakozást biztosító informatikai rendszer könyvvizsgálói igazolását, vagy a közvetve történő csatlakozás elfogadásáról adott</w:t>
      </w:r>
      <w:r>
        <w:rPr>
          <w:spacing w:val="-9"/>
          <w:w w:val="130"/>
          <w:sz w:val="24"/>
        </w:rPr>
        <w:t> </w:t>
      </w:r>
      <w:r>
        <w:rPr>
          <w:w w:val="130"/>
          <w:sz w:val="24"/>
        </w:rPr>
        <w:t>nyilatkozatot,</w:t>
      </w:r>
    </w:p>
    <w:p>
      <w:pPr>
        <w:pStyle w:val="ListParagraph"/>
        <w:numPr>
          <w:ilvl w:val="0"/>
          <w:numId w:val="93"/>
        </w:numPr>
        <w:tabs>
          <w:tab w:pos="680" w:val="left" w:leader="none"/>
        </w:tabs>
        <w:spacing w:line="225" w:lineRule="auto" w:before="3" w:after="0"/>
        <w:ind w:left="113" w:right="128" w:firstLine="204"/>
        <w:jc w:val="both"/>
        <w:rPr>
          <w:sz w:val="24"/>
        </w:rPr>
      </w:pPr>
      <w:r>
        <w:rPr>
          <w:w w:val="125"/>
          <w:sz w:val="24"/>
        </w:rPr>
        <w:t>a központi hitelinformációs rendszerről szóló törvényben meghatározott központi hitelinformációs rendszerhez történő csatlakozásról szóló nyilatkozatot,</w:t>
      </w:r>
    </w:p>
    <w:p>
      <w:pPr>
        <w:pStyle w:val="ListParagraph"/>
        <w:numPr>
          <w:ilvl w:val="0"/>
          <w:numId w:val="93"/>
        </w:numPr>
        <w:tabs>
          <w:tab w:pos="490" w:val="left" w:leader="none"/>
          <w:tab w:pos="829" w:val="left" w:leader="none"/>
          <w:tab w:pos="1198" w:val="left" w:leader="none"/>
          <w:tab w:pos="2806" w:val="left" w:leader="none"/>
          <w:tab w:pos="4448" w:val="left" w:leader="none"/>
          <w:tab w:pos="6712" w:val="left" w:leader="none"/>
          <w:tab w:pos="8697" w:val="left" w:leader="none"/>
        </w:tabs>
        <w:spacing w:line="250" w:lineRule="exact" w:before="0" w:after="0"/>
        <w:ind w:left="489" w:right="0" w:hanging="172"/>
        <w:jc w:val="left"/>
        <w:rPr>
          <w:sz w:val="24"/>
        </w:rPr>
      </w:pPr>
      <w:r>
        <w:rPr>
          <w:i/>
          <w:w w:val="130"/>
          <w:position w:val="3"/>
          <w:sz w:val="18"/>
        </w:rPr>
        <w:t>2</w:t>
        <w:tab/>
      </w:r>
      <w:r>
        <w:rPr>
          <w:w w:val="130"/>
          <w:sz w:val="24"/>
        </w:rPr>
        <w:t>a</w:t>
        <w:tab/>
        <w:t>hitelintézet</w:t>
        <w:tab/>
        <w:t>likviditását,</w:t>
        <w:tab/>
        <w:t>fizetőképességét</w:t>
        <w:tab/>
        <w:t>(szolvenciáját)</w:t>
        <w:tab/>
        <w:t>súlyosan</w:t>
      </w:r>
    </w:p>
    <w:p>
      <w:pPr>
        <w:pStyle w:val="BodyText"/>
        <w:spacing w:line="225" w:lineRule="auto" w:before="12"/>
        <w:ind w:right="130" w:firstLine="0"/>
        <w:jc w:val="both"/>
      </w:pPr>
      <w:r>
        <w:rPr>
          <w:w w:val="125"/>
        </w:rPr>
        <w:t>veszélyeztető állapot esetén alkalmazandó, a hitelintézet igazgatósága által elfogadott eljárás rendjét és - ha a hitelintézetre nem terjed ki az összevont alapú felügyelet - a 114. §-ban meghatározott egyedi helyreállítási</w:t>
      </w:r>
      <w:r>
        <w:rPr>
          <w:spacing w:val="49"/>
          <w:w w:val="125"/>
        </w:rPr>
        <w:t> </w:t>
      </w:r>
      <w:r>
        <w:rPr>
          <w:w w:val="125"/>
        </w:rPr>
        <w:t>tervét,</w:t>
      </w:r>
    </w:p>
    <w:p>
      <w:pPr>
        <w:pStyle w:val="ListParagraph"/>
        <w:numPr>
          <w:ilvl w:val="0"/>
          <w:numId w:val="93"/>
        </w:numPr>
        <w:tabs>
          <w:tab w:pos="744" w:val="left" w:leader="none"/>
        </w:tabs>
        <w:spacing w:line="225" w:lineRule="auto" w:before="2" w:after="0"/>
        <w:ind w:left="113" w:right="124" w:firstLine="204"/>
        <w:jc w:val="both"/>
        <w:rPr>
          <w:sz w:val="24"/>
        </w:rPr>
      </w:pPr>
      <w:r>
        <w:rPr>
          <w:w w:val="130"/>
          <w:sz w:val="24"/>
        </w:rPr>
        <w:t>a szervezeti felépítését, az irányítási, döntési és ellenőrzési rendjét és a szervezeti és működési szabályzatát, ha ezeket az alapító okirat részletesen nem</w:t>
      </w:r>
      <w:r>
        <w:rPr>
          <w:spacing w:val="-3"/>
          <w:w w:val="130"/>
          <w:sz w:val="24"/>
        </w:rPr>
        <w:t> </w:t>
      </w:r>
      <w:r>
        <w:rPr>
          <w:w w:val="130"/>
          <w:sz w:val="24"/>
        </w:rPr>
        <w:t>tartalmazza,</w:t>
      </w:r>
    </w:p>
    <w:p>
      <w:pPr>
        <w:pStyle w:val="ListParagraph"/>
        <w:numPr>
          <w:ilvl w:val="0"/>
          <w:numId w:val="93"/>
        </w:numPr>
        <w:tabs>
          <w:tab w:pos="568" w:val="left" w:leader="none"/>
          <w:tab w:pos="983" w:val="left" w:leader="none"/>
          <w:tab w:pos="2792" w:val="left" w:leader="none"/>
          <w:tab w:pos="4465" w:val="left" w:leader="none"/>
          <w:tab w:pos="5867" w:val="left" w:leader="none"/>
          <w:tab w:pos="6307" w:val="left" w:leader="none"/>
          <w:tab w:pos="7971" w:val="left" w:leader="none"/>
        </w:tabs>
        <w:spacing w:line="249" w:lineRule="exact" w:before="0" w:after="0"/>
        <w:ind w:left="567" w:right="0" w:hanging="250"/>
        <w:jc w:val="left"/>
        <w:rPr>
          <w:sz w:val="24"/>
        </w:rPr>
      </w:pPr>
      <w:r>
        <w:rPr>
          <w:i/>
          <w:w w:val="130"/>
          <w:position w:val="3"/>
          <w:sz w:val="18"/>
        </w:rPr>
        <w:t>3</w:t>
        <w:tab/>
      </w:r>
      <w:r>
        <w:rPr>
          <w:w w:val="130"/>
          <w:sz w:val="24"/>
        </w:rPr>
        <w:t>szövetkezeti</w:t>
        <w:tab/>
        <w:t>hitelintézet</w:t>
        <w:tab/>
        <w:t>esetében</w:t>
        <w:tab/>
        <w:t>a</w:t>
        <w:tab/>
        <w:t>Szhitv.-ben</w:t>
        <w:tab/>
        <w:t>meghatározott</w:t>
      </w:r>
    </w:p>
    <w:p>
      <w:pPr>
        <w:pStyle w:val="BodyText"/>
        <w:spacing w:line="267" w:lineRule="exact"/>
        <w:ind w:firstLine="0"/>
      </w:pPr>
      <w:r>
        <w:rPr>
          <w:w w:val="125"/>
        </w:rPr>
        <w:t>Integrációs Szervezethez benyújtott, csatlakozásról szóló nyilatkozatot,</w:t>
      </w:r>
    </w:p>
    <w:p>
      <w:pPr>
        <w:pStyle w:val="ListParagraph"/>
        <w:numPr>
          <w:ilvl w:val="0"/>
          <w:numId w:val="93"/>
        </w:numPr>
        <w:tabs>
          <w:tab w:pos="675" w:val="left" w:leader="none"/>
        </w:tabs>
        <w:spacing w:line="225" w:lineRule="auto" w:before="5" w:after="0"/>
        <w:ind w:left="113" w:right="126" w:firstLine="204"/>
        <w:jc w:val="left"/>
        <w:rPr>
          <w:sz w:val="24"/>
        </w:rPr>
      </w:pPr>
      <w:r>
        <w:rPr>
          <w:w w:val="130"/>
          <w:sz w:val="24"/>
        </w:rPr>
        <w:t>harmadik országbeli hitelintézet fióktelepe esetén, ha az a Felügyelet e törvény</w:t>
      </w:r>
      <w:r>
        <w:rPr>
          <w:spacing w:val="-14"/>
          <w:w w:val="130"/>
          <w:sz w:val="24"/>
        </w:rPr>
        <w:t> </w:t>
      </w:r>
      <w:r>
        <w:rPr>
          <w:w w:val="130"/>
          <w:sz w:val="24"/>
        </w:rPr>
        <w:t>szerinti</w:t>
      </w:r>
      <w:r>
        <w:rPr>
          <w:spacing w:val="-13"/>
          <w:w w:val="130"/>
          <w:sz w:val="24"/>
        </w:rPr>
        <w:t> </w:t>
      </w:r>
      <w:r>
        <w:rPr>
          <w:w w:val="130"/>
          <w:sz w:val="24"/>
        </w:rPr>
        <w:t>engedélye</w:t>
      </w:r>
      <w:r>
        <w:rPr>
          <w:spacing w:val="-14"/>
          <w:w w:val="130"/>
          <w:sz w:val="24"/>
        </w:rPr>
        <w:t> </w:t>
      </w:r>
      <w:r>
        <w:rPr>
          <w:w w:val="130"/>
          <w:sz w:val="24"/>
        </w:rPr>
        <w:t>alapján</w:t>
      </w:r>
      <w:r>
        <w:rPr>
          <w:spacing w:val="-14"/>
          <w:w w:val="130"/>
          <w:sz w:val="24"/>
        </w:rPr>
        <w:t> </w:t>
      </w:r>
      <w:r>
        <w:rPr>
          <w:w w:val="130"/>
          <w:sz w:val="24"/>
        </w:rPr>
        <w:t>nem</w:t>
      </w:r>
      <w:r>
        <w:rPr>
          <w:spacing w:val="-12"/>
          <w:w w:val="130"/>
          <w:sz w:val="24"/>
        </w:rPr>
        <w:t> </w:t>
      </w:r>
      <w:r>
        <w:rPr>
          <w:w w:val="130"/>
          <w:sz w:val="24"/>
        </w:rPr>
        <w:t>csatlakozik</w:t>
      </w:r>
      <w:r>
        <w:rPr>
          <w:spacing w:val="-13"/>
          <w:w w:val="130"/>
          <w:sz w:val="24"/>
        </w:rPr>
        <w:t> </w:t>
      </w:r>
      <w:r>
        <w:rPr>
          <w:w w:val="130"/>
          <w:sz w:val="24"/>
        </w:rPr>
        <w:t>az</w:t>
      </w:r>
      <w:r>
        <w:rPr>
          <w:spacing w:val="-14"/>
          <w:w w:val="130"/>
          <w:sz w:val="24"/>
        </w:rPr>
        <w:t> </w:t>
      </w:r>
      <w:r>
        <w:rPr>
          <w:w w:val="130"/>
          <w:sz w:val="24"/>
        </w:rPr>
        <w:t>OBA-hoz,</w:t>
      </w:r>
    </w:p>
    <w:p>
      <w:pPr>
        <w:pStyle w:val="BodyText"/>
        <w:spacing w:line="225" w:lineRule="auto" w:before="1"/>
      </w:pPr>
      <w:r>
        <w:rPr>
          <w:i/>
          <w:w w:val="125"/>
        </w:rPr>
        <w:t>oa) </w:t>
      </w:r>
      <w:r>
        <w:rPr>
          <w:w w:val="125"/>
        </w:rPr>
        <w:t>az ügyfelek - biztosított betéti formákról történő - magyar nyelvű tájékoztatására vonatkozó kötelezettségvállalását,</w:t>
      </w: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328;mso-wrap-distance-left:0;mso-wrap-distance-right:0" from="56.693001pt,12.698098pt" to="538.583001pt,12.698098pt" stroked="true" strokeweight=".5pt" strokecolor="#000000">
            <v:stroke dashstyle="solid"/>
            <w10:wrap type="topAndBottom"/>
          </v:line>
        </w:pict>
      </w:r>
    </w:p>
    <w:p>
      <w:pPr>
        <w:pStyle w:val="ListParagraph"/>
        <w:numPr>
          <w:ilvl w:val="0"/>
          <w:numId w:val="94"/>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CXLV. törvény 123. §. Hatályos: 2017. XI.</w:t>
      </w:r>
      <w:r>
        <w:rPr>
          <w:i/>
          <w:spacing w:val="-22"/>
          <w:w w:val="125"/>
          <w:sz w:val="18"/>
        </w:rPr>
        <w:t> </w:t>
      </w:r>
      <w:r>
        <w:rPr>
          <w:i/>
          <w:w w:val="125"/>
          <w:sz w:val="18"/>
        </w:rPr>
        <w:t>21-től.</w:t>
      </w:r>
    </w:p>
    <w:p>
      <w:pPr>
        <w:pStyle w:val="ListParagraph"/>
        <w:numPr>
          <w:ilvl w:val="0"/>
          <w:numId w:val="94"/>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(4). Hatályos: 2014. IX.</w:t>
      </w:r>
      <w:r>
        <w:rPr>
          <w:i/>
          <w:spacing w:val="-31"/>
          <w:w w:val="125"/>
          <w:sz w:val="18"/>
        </w:rPr>
        <w:t> </w:t>
      </w:r>
      <w:r>
        <w:rPr>
          <w:i/>
          <w:w w:val="125"/>
          <w:sz w:val="18"/>
        </w:rPr>
        <w:t>16-tól.</w:t>
      </w:r>
    </w:p>
    <w:p>
      <w:pPr>
        <w:pStyle w:val="ListParagraph"/>
        <w:numPr>
          <w:ilvl w:val="0"/>
          <w:numId w:val="94"/>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61.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pPr>
      <w:r>
        <w:rPr>
          <w:i/>
          <w:w w:val="130"/>
        </w:rPr>
        <w:t>ob) </w:t>
      </w:r>
      <w:r>
        <w:rPr>
          <w:w w:val="130"/>
        </w:rPr>
        <w:t>a harmadik országbeli hitelintézetnek a betétesek Magyarországon történő kártalanítására vonatkozó kötelezettségvállalását, és</w:t>
      </w:r>
    </w:p>
    <w:p>
      <w:pPr>
        <w:pStyle w:val="BodyText"/>
        <w:spacing w:line="225" w:lineRule="auto" w:before="1"/>
      </w:pPr>
      <w:r>
        <w:rPr>
          <w:i/>
          <w:w w:val="130"/>
        </w:rPr>
        <w:t>oc) </w:t>
      </w:r>
      <w:r>
        <w:rPr>
          <w:w w:val="130"/>
        </w:rPr>
        <w:t>a kártalanítás feltételeit, módját, az eljárás menetének rendjét, és a kártalanítás kifizetését biztosító megállapodásokat,</w:t>
      </w:r>
    </w:p>
    <w:p>
      <w:pPr>
        <w:pStyle w:val="ListParagraph"/>
        <w:numPr>
          <w:ilvl w:val="0"/>
          <w:numId w:val="93"/>
        </w:numPr>
        <w:tabs>
          <w:tab w:pos="567" w:val="left" w:leader="none"/>
        </w:tabs>
        <w:spacing w:line="256" w:lineRule="exact" w:before="0" w:after="0"/>
        <w:ind w:left="566" w:right="0" w:hanging="249"/>
        <w:jc w:val="left"/>
        <w:rPr>
          <w:sz w:val="24"/>
        </w:rPr>
      </w:pPr>
      <w:r>
        <w:rPr>
          <w:i/>
          <w:w w:val="130"/>
          <w:position w:val="3"/>
          <w:sz w:val="18"/>
        </w:rPr>
        <w:t>1</w:t>
      </w:r>
      <w:r>
        <w:rPr>
          <w:i/>
          <w:spacing w:val="-4"/>
          <w:w w:val="130"/>
          <w:position w:val="3"/>
          <w:sz w:val="18"/>
        </w:rPr>
        <w:t> </w:t>
      </w:r>
      <w:r>
        <w:rPr>
          <w:w w:val="130"/>
          <w:sz w:val="24"/>
        </w:rPr>
        <w:t>a</w:t>
      </w:r>
      <w:r>
        <w:rPr>
          <w:spacing w:val="-24"/>
          <w:w w:val="130"/>
          <w:sz w:val="24"/>
        </w:rPr>
        <w:t> </w:t>
      </w:r>
      <w:r>
        <w:rPr>
          <w:w w:val="130"/>
          <w:sz w:val="24"/>
        </w:rPr>
        <w:t>Szanálási</w:t>
      </w:r>
      <w:r>
        <w:rPr>
          <w:spacing w:val="-14"/>
          <w:w w:val="130"/>
          <w:sz w:val="24"/>
        </w:rPr>
        <w:t> </w:t>
      </w:r>
      <w:r>
        <w:rPr>
          <w:w w:val="130"/>
          <w:sz w:val="24"/>
        </w:rPr>
        <w:t>Alaphoz</w:t>
      </w:r>
      <w:r>
        <w:rPr>
          <w:spacing w:val="-34"/>
          <w:w w:val="130"/>
          <w:sz w:val="24"/>
        </w:rPr>
        <w:t> </w:t>
      </w:r>
      <w:r>
        <w:rPr>
          <w:w w:val="130"/>
          <w:sz w:val="24"/>
        </w:rPr>
        <w:t>történő</w:t>
      </w:r>
      <w:r>
        <w:rPr>
          <w:spacing w:val="-24"/>
          <w:w w:val="130"/>
          <w:sz w:val="24"/>
        </w:rPr>
        <w:t> </w:t>
      </w:r>
      <w:r>
        <w:rPr>
          <w:w w:val="130"/>
          <w:sz w:val="24"/>
        </w:rPr>
        <w:t>csatlakozásáról</w:t>
      </w:r>
      <w:r>
        <w:rPr>
          <w:spacing w:val="-23"/>
          <w:w w:val="130"/>
          <w:sz w:val="24"/>
        </w:rPr>
        <w:t> </w:t>
      </w:r>
      <w:r>
        <w:rPr>
          <w:w w:val="130"/>
          <w:sz w:val="24"/>
        </w:rPr>
        <w:t>szóló</w:t>
      </w:r>
      <w:r>
        <w:rPr>
          <w:spacing w:val="-23"/>
          <w:w w:val="130"/>
          <w:sz w:val="24"/>
        </w:rPr>
        <w:t> </w:t>
      </w:r>
      <w:r>
        <w:rPr>
          <w:w w:val="130"/>
          <w:sz w:val="24"/>
        </w:rPr>
        <w:t>nyilatkozat</w:t>
      </w:r>
      <w:r>
        <w:rPr>
          <w:spacing w:val="-23"/>
          <w:w w:val="130"/>
          <w:sz w:val="24"/>
        </w:rPr>
        <w:t> </w:t>
      </w:r>
      <w:r>
        <w:rPr>
          <w:w w:val="130"/>
          <w:sz w:val="24"/>
        </w:rPr>
        <w:t>másolatát,</w:t>
      </w:r>
    </w:p>
    <w:p>
      <w:pPr>
        <w:pStyle w:val="ListParagraph"/>
        <w:numPr>
          <w:ilvl w:val="0"/>
          <w:numId w:val="93"/>
        </w:numPr>
        <w:tabs>
          <w:tab w:pos="567" w:val="left" w:leader="none"/>
        </w:tabs>
        <w:spacing w:line="260" w:lineRule="exact" w:before="0" w:after="0"/>
        <w:ind w:left="566" w:right="0" w:hanging="249"/>
        <w:jc w:val="left"/>
        <w:rPr>
          <w:sz w:val="24"/>
        </w:rPr>
      </w:pPr>
      <w:r>
        <w:rPr>
          <w:i/>
          <w:w w:val="130"/>
          <w:position w:val="3"/>
          <w:sz w:val="18"/>
        </w:rPr>
        <w:t>2 </w:t>
      </w:r>
      <w:r>
        <w:rPr>
          <w:w w:val="130"/>
          <w:sz w:val="24"/>
        </w:rPr>
        <w:t>a panaszkezelési</w:t>
      </w:r>
      <w:r>
        <w:rPr>
          <w:spacing w:val="9"/>
          <w:w w:val="130"/>
          <w:sz w:val="24"/>
        </w:rPr>
        <w:t> </w:t>
      </w:r>
      <w:r>
        <w:rPr>
          <w:w w:val="130"/>
          <w:sz w:val="24"/>
        </w:rPr>
        <w:t>szabályzatát.</w:t>
      </w:r>
    </w:p>
    <w:p>
      <w:pPr>
        <w:pStyle w:val="ListParagraph"/>
        <w:numPr>
          <w:ilvl w:val="0"/>
          <w:numId w:val="92"/>
        </w:numPr>
        <w:tabs>
          <w:tab w:pos="887" w:val="left" w:leader="none"/>
        </w:tabs>
        <w:spacing w:line="225" w:lineRule="auto" w:before="5" w:after="0"/>
        <w:ind w:left="113" w:right="127" w:firstLine="204"/>
        <w:jc w:val="both"/>
        <w:rPr>
          <w:sz w:val="24"/>
        </w:rPr>
      </w:pPr>
      <w:r>
        <w:rPr>
          <w:w w:val="130"/>
          <w:sz w:val="24"/>
        </w:rPr>
        <w:t>Már működő pénzügyi intézmény tevékenységi körének pénzügyi szolgáltatással történő bővítésére vonatkozó engedély iránti kérelméhez benyújtja a tevékenység végzéséhez szükséges személyi és tárgyi feltételek meglétét bizonyító igazolást, valamint a (2) bekezdés </w:t>
      </w:r>
      <w:r>
        <w:rPr>
          <w:i/>
          <w:w w:val="130"/>
          <w:sz w:val="24"/>
        </w:rPr>
        <w:t>d)-f)</w:t>
      </w:r>
      <w:r>
        <w:rPr>
          <w:w w:val="130"/>
          <w:sz w:val="24"/>
        </w:rPr>
        <w:t>, </w:t>
      </w:r>
      <w:r>
        <w:rPr>
          <w:i/>
          <w:w w:val="130"/>
          <w:sz w:val="24"/>
        </w:rPr>
        <w:t>h) és k)-m) </w:t>
      </w:r>
      <w:r>
        <w:rPr>
          <w:w w:val="130"/>
          <w:sz w:val="24"/>
        </w:rPr>
        <w:t>pontjában</w:t>
      </w:r>
      <w:r>
        <w:rPr>
          <w:spacing w:val="-11"/>
          <w:w w:val="130"/>
          <w:sz w:val="24"/>
        </w:rPr>
        <w:t> </w:t>
      </w:r>
      <w:r>
        <w:rPr>
          <w:w w:val="130"/>
          <w:sz w:val="24"/>
        </w:rPr>
        <w:t>foglaltakat,</w:t>
      </w:r>
      <w:r>
        <w:rPr>
          <w:spacing w:val="-10"/>
          <w:w w:val="130"/>
          <w:sz w:val="24"/>
        </w:rPr>
        <w:t> </w:t>
      </w:r>
      <w:r>
        <w:rPr>
          <w:w w:val="130"/>
          <w:sz w:val="24"/>
        </w:rPr>
        <w:t>ha</w:t>
      </w:r>
      <w:r>
        <w:rPr>
          <w:spacing w:val="-2"/>
          <w:w w:val="130"/>
          <w:sz w:val="24"/>
        </w:rPr>
        <w:t> </w:t>
      </w:r>
      <w:r>
        <w:rPr>
          <w:w w:val="130"/>
          <w:sz w:val="24"/>
        </w:rPr>
        <w:t>ezek</w:t>
      </w:r>
      <w:r>
        <w:rPr>
          <w:spacing w:val="-20"/>
          <w:w w:val="130"/>
          <w:sz w:val="24"/>
        </w:rPr>
        <w:t> </w:t>
      </w:r>
      <w:r>
        <w:rPr>
          <w:w w:val="130"/>
          <w:sz w:val="24"/>
        </w:rPr>
        <w:t>benyújtására</w:t>
      </w:r>
      <w:r>
        <w:rPr>
          <w:spacing w:val="-11"/>
          <w:w w:val="130"/>
          <w:sz w:val="24"/>
        </w:rPr>
        <w:t> </w:t>
      </w:r>
      <w:r>
        <w:rPr>
          <w:w w:val="130"/>
          <w:sz w:val="24"/>
        </w:rPr>
        <w:t>korábban</w:t>
      </w:r>
      <w:r>
        <w:rPr>
          <w:spacing w:val="-11"/>
          <w:w w:val="130"/>
          <w:sz w:val="24"/>
        </w:rPr>
        <w:t> </w:t>
      </w:r>
      <w:r>
        <w:rPr>
          <w:w w:val="130"/>
          <w:sz w:val="24"/>
        </w:rPr>
        <w:t>még</w:t>
      </w:r>
      <w:r>
        <w:rPr>
          <w:spacing w:val="-11"/>
          <w:w w:val="130"/>
          <w:sz w:val="24"/>
        </w:rPr>
        <w:t> </w:t>
      </w:r>
      <w:r>
        <w:rPr>
          <w:w w:val="130"/>
          <w:sz w:val="24"/>
        </w:rPr>
        <w:t>nem</w:t>
      </w:r>
      <w:r>
        <w:rPr>
          <w:spacing w:val="-10"/>
          <w:w w:val="130"/>
          <w:sz w:val="24"/>
        </w:rPr>
        <w:t> </w:t>
      </w:r>
      <w:r>
        <w:rPr>
          <w:w w:val="130"/>
          <w:sz w:val="24"/>
        </w:rPr>
        <w:t>került</w:t>
      </w:r>
      <w:r>
        <w:rPr>
          <w:spacing w:val="-11"/>
          <w:w w:val="130"/>
          <w:sz w:val="24"/>
        </w:rPr>
        <w:t> </w:t>
      </w:r>
      <w:r>
        <w:rPr>
          <w:w w:val="130"/>
          <w:sz w:val="24"/>
        </w:rPr>
        <w:t>sor.</w:t>
      </w:r>
    </w:p>
    <w:p>
      <w:pPr>
        <w:pStyle w:val="BodyText"/>
        <w:spacing w:before="230"/>
        <w:ind w:left="1242" w:firstLine="0"/>
      </w:pPr>
      <w:r>
        <w:rPr>
          <w:w w:val="130"/>
        </w:rPr>
        <w:t>13. Függő és független közvetítő engedélyezése, bejelentése</w:t>
      </w:r>
    </w:p>
    <w:p>
      <w:pPr>
        <w:pStyle w:val="BodyText"/>
        <w:spacing w:before="7"/>
        <w:ind w:left="0" w:firstLine="0"/>
        <w:rPr>
          <w:sz w:val="10"/>
        </w:rPr>
      </w:pPr>
    </w:p>
    <w:p>
      <w:pPr>
        <w:spacing w:after="0"/>
        <w:rPr>
          <w:sz w:val="10"/>
        </w:rPr>
        <w:sectPr>
          <w:pgSz w:w="11900" w:h="16820"/>
          <w:pgMar w:header="1104" w:footer="0" w:top="1840" w:bottom="280" w:left="1020" w:right="1000"/>
        </w:sectPr>
      </w:pPr>
    </w:p>
    <w:p>
      <w:pPr>
        <w:pStyle w:val="Heading1"/>
        <w:spacing w:before="101"/>
        <w:rPr>
          <w:rFonts w:ascii="Times New Roman" w:hAnsi="Times New Roman"/>
          <w:b w:val="0"/>
          <w:i/>
          <w:sz w:val="18"/>
        </w:rPr>
      </w:pPr>
      <w:r>
        <w:rPr>
          <w:w w:val="120"/>
        </w:rPr>
        <w:t>21. §</w:t>
      </w:r>
      <w:r>
        <w:rPr>
          <w:rFonts w:ascii="Times New Roman" w:hAnsi="Times New Roman"/>
          <w:b w:val="0"/>
          <w:i/>
          <w:w w:val="120"/>
          <w:position w:val="3"/>
          <w:sz w:val="18"/>
        </w:rPr>
        <w:t>3</w:t>
      </w:r>
    </w:p>
    <w:p>
      <w:pPr>
        <w:spacing w:line="261" w:lineRule="exact" w:before="102"/>
        <w:ind w:left="145" w:right="0" w:firstLine="0"/>
        <w:jc w:val="left"/>
        <w:rPr>
          <w:i/>
          <w:sz w:val="18"/>
        </w:rPr>
      </w:pPr>
      <w:r>
        <w:rPr/>
        <w:br w:type="column"/>
      </w:r>
      <w:r>
        <w:rPr>
          <w:w w:val="120"/>
          <w:sz w:val="24"/>
        </w:rPr>
        <w:t>(1)</w:t>
      </w:r>
      <w:r>
        <w:rPr>
          <w:i/>
          <w:w w:val="120"/>
          <w:position w:val="3"/>
          <w:sz w:val="18"/>
        </w:rPr>
        <w:t>4</w:t>
      </w:r>
    </w:p>
    <w:p>
      <w:pPr>
        <w:pStyle w:val="BodyText"/>
        <w:spacing w:line="261" w:lineRule="exact" w:before="102"/>
        <w:ind w:left="137" w:firstLine="0"/>
      </w:pPr>
      <w:r>
        <w:rPr/>
        <w:br w:type="column"/>
      </w:r>
      <w:r>
        <w:rPr>
          <w:w w:val="120"/>
        </w:rPr>
        <w:t>A függő ügynök -</w:t>
      </w:r>
      <w:r>
        <w:rPr>
          <w:spacing w:val="51"/>
          <w:w w:val="120"/>
        </w:rPr>
        <w:t> </w:t>
      </w:r>
      <w:r>
        <w:rPr>
          <w:w w:val="120"/>
        </w:rPr>
        <w:t>ide nem értve</w:t>
      </w:r>
      <w:r>
        <w:rPr>
          <w:spacing w:val="51"/>
          <w:w w:val="120"/>
        </w:rPr>
        <w:t> </w:t>
      </w:r>
      <w:r>
        <w:rPr>
          <w:w w:val="120"/>
        </w:rPr>
        <w:t>a jelzáloghitel közvetítői</w:t>
      </w:r>
    </w:p>
    <w:p>
      <w:pPr>
        <w:spacing w:after="0" w:line="261" w:lineRule="exact"/>
        <w:sectPr>
          <w:type w:val="continuous"/>
          <w:pgSz w:w="11900" w:h="16820"/>
          <w:pgMar w:top="1840" w:bottom="280" w:left="1020" w:right="1000"/>
          <w:cols w:num="3" w:equalWidth="0">
            <w:col w:w="1161" w:space="40"/>
            <w:col w:w="600" w:space="39"/>
            <w:col w:w="8040"/>
          </w:cols>
        </w:sectPr>
      </w:pPr>
    </w:p>
    <w:p>
      <w:pPr>
        <w:pStyle w:val="BodyText"/>
        <w:spacing w:line="225" w:lineRule="auto" w:before="12"/>
        <w:ind w:firstLine="0"/>
      </w:pPr>
      <w:r>
        <w:rPr>
          <w:w w:val="125"/>
        </w:rPr>
        <w:t>tevékenységet végző függő ügynököt - a Felügyelet engedélye nélkül, a 202. § szerinti nyilvántartásba vételt követően végezhet ügynöki tevékenységet.</w:t>
      </w:r>
    </w:p>
    <w:p>
      <w:pPr>
        <w:pStyle w:val="ListParagraph"/>
        <w:numPr>
          <w:ilvl w:val="0"/>
          <w:numId w:val="95"/>
        </w:numPr>
        <w:tabs>
          <w:tab w:pos="763" w:val="left" w:leader="none"/>
        </w:tabs>
        <w:spacing w:line="225" w:lineRule="auto" w:before="1" w:after="0"/>
        <w:ind w:left="113" w:right="129" w:firstLine="204"/>
        <w:jc w:val="both"/>
        <w:rPr>
          <w:sz w:val="24"/>
        </w:rPr>
      </w:pPr>
      <w:r>
        <w:rPr>
          <w:w w:val="125"/>
          <w:sz w:val="24"/>
        </w:rPr>
        <w:t>A pénzügyi intézmény az általa megbízott függő ügynök, többes ügynök és közvetítői alvállalkozó személyét, valamint az alkusz az általa megbízott közvetítői alvállalkozó személyét a Felügyelet által meghatározott módon és gyakorisággal bejelenti a</w:t>
      </w:r>
      <w:r>
        <w:rPr>
          <w:spacing w:val="4"/>
          <w:w w:val="125"/>
          <w:sz w:val="24"/>
        </w:rPr>
        <w:t> </w:t>
      </w:r>
      <w:r>
        <w:rPr>
          <w:w w:val="125"/>
          <w:sz w:val="24"/>
        </w:rPr>
        <w:t>Felügyeletnek.</w:t>
      </w:r>
    </w:p>
    <w:p>
      <w:pPr>
        <w:pStyle w:val="ListParagraph"/>
        <w:numPr>
          <w:ilvl w:val="0"/>
          <w:numId w:val="95"/>
        </w:numPr>
        <w:tabs>
          <w:tab w:pos="859" w:val="left" w:leader="none"/>
        </w:tabs>
        <w:spacing w:line="225" w:lineRule="auto" w:before="2" w:after="0"/>
        <w:ind w:left="113" w:right="129" w:firstLine="204"/>
        <w:jc w:val="both"/>
        <w:rPr>
          <w:sz w:val="24"/>
        </w:rPr>
      </w:pPr>
      <w:r>
        <w:rPr>
          <w:w w:val="125"/>
          <w:sz w:val="24"/>
        </w:rPr>
        <w:t>Független közvetítő, valamint jelzáloghitel közvetítői tevékenységet végző függő közvetítő - ide nem értve a hitelintézetet - csak olyan jogi személy, egyéni cég és egyéni vállalkozó</w:t>
      </w:r>
      <w:r>
        <w:rPr>
          <w:spacing w:val="2"/>
          <w:w w:val="125"/>
          <w:sz w:val="24"/>
        </w:rPr>
        <w:t> </w:t>
      </w:r>
      <w:r>
        <w:rPr>
          <w:w w:val="125"/>
          <w:sz w:val="24"/>
        </w:rPr>
        <w:t>lehet,</w:t>
      </w:r>
    </w:p>
    <w:p>
      <w:pPr>
        <w:pStyle w:val="ListParagraph"/>
        <w:numPr>
          <w:ilvl w:val="0"/>
          <w:numId w:val="96"/>
        </w:numPr>
        <w:tabs>
          <w:tab w:pos="631" w:val="left" w:leader="none"/>
        </w:tabs>
        <w:spacing w:line="256" w:lineRule="exact" w:before="0" w:after="0"/>
        <w:ind w:left="630" w:right="0" w:hanging="313"/>
        <w:jc w:val="left"/>
        <w:rPr>
          <w:sz w:val="24"/>
        </w:rPr>
      </w:pPr>
      <w:r>
        <w:rPr>
          <w:w w:val="120"/>
          <w:sz w:val="24"/>
        </w:rPr>
        <w:t>akinek</w:t>
      </w:r>
      <w:r>
        <w:rPr>
          <w:spacing w:val="11"/>
          <w:w w:val="120"/>
          <w:sz w:val="24"/>
        </w:rPr>
        <w:t> </w:t>
      </w:r>
      <w:r>
        <w:rPr>
          <w:w w:val="120"/>
          <w:sz w:val="24"/>
        </w:rPr>
        <w:t>vezető</w:t>
      </w:r>
      <w:r>
        <w:rPr>
          <w:spacing w:val="12"/>
          <w:w w:val="120"/>
          <w:sz w:val="24"/>
        </w:rPr>
        <w:t> </w:t>
      </w:r>
      <w:r>
        <w:rPr>
          <w:w w:val="120"/>
          <w:sz w:val="24"/>
        </w:rPr>
        <w:t>állású</w:t>
      </w:r>
      <w:r>
        <w:rPr>
          <w:spacing w:val="12"/>
          <w:w w:val="120"/>
          <w:sz w:val="24"/>
        </w:rPr>
        <w:t> </w:t>
      </w:r>
      <w:r>
        <w:rPr>
          <w:w w:val="120"/>
          <w:sz w:val="24"/>
        </w:rPr>
        <w:t>személye</w:t>
      </w:r>
      <w:r>
        <w:rPr>
          <w:spacing w:val="14"/>
          <w:w w:val="120"/>
          <w:sz w:val="24"/>
        </w:rPr>
        <w:t> </w:t>
      </w:r>
      <w:r>
        <w:rPr>
          <w:w w:val="120"/>
          <w:sz w:val="24"/>
        </w:rPr>
        <w:t>-</w:t>
      </w:r>
      <w:r>
        <w:rPr>
          <w:spacing w:val="12"/>
          <w:w w:val="120"/>
          <w:sz w:val="24"/>
        </w:rPr>
        <w:t> </w:t>
      </w:r>
      <w:r>
        <w:rPr>
          <w:w w:val="120"/>
          <w:sz w:val="24"/>
        </w:rPr>
        <w:t>ideértve</w:t>
      </w:r>
      <w:r>
        <w:rPr>
          <w:spacing w:val="11"/>
          <w:w w:val="120"/>
          <w:sz w:val="24"/>
        </w:rPr>
        <w:t> </w:t>
      </w:r>
      <w:r>
        <w:rPr>
          <w:w w:val="120"/>
          <w:sz w:val="24"/>
        </w:rPr>
        <w:t>az</w:t>
      </w:r>
      <w:r>
        <w:rPr>
          <w:spacing w:val="12"/>
          <w:w w:val="120"/>
          <w:sz w:val="24"/>
        </w:rPr>
        <w:t> </w:t>
      </w:r>
      <w:r>
        <w:rPr>
          <w:w w:val="120"/>
          <w:sz w:val="24"/>
        </w:rPr>
        <w:t>egyéni</w:t>
      </w:r>
      <w:r>
        <w:rPr>
          <w:spacing w:val="12"/>
          <w:w w:val="120"/>
          <w:sz w:val="24"/>
        </w:rPr>
        <w:t> </w:t>
      </w:r>
      <w:r>
        <w:rPr>
          <w:w w:val="120"/>
          <w:sz w:val="24"/>
        </w:rPr>
        <w:t>vállalkozót</w:t>
      </w:r>
      <w:r>
        <w:rPr>
          <w:spacing w:val="12"/>
          <w:w w:val="120"/>
          <w:sz w:val="24"/>
        </w:rPr>
        <w:t> </w:t>
      </w:r>
      <w:r>
        <w:rPr>
          <w:w w:val="120"/>
          <w:sz w:val="24"/>
        </w:rPr>
        <w:t>is</w:t>
      </w:r>
      <w:r>
        <w:rPr>
          <w:spacing w:val="12"/>
          <w:w w:val="120"/>
          <w:sz w:val="24"/>
        </w:rPr>
        <w:t> </w:t>
      </w:r>
      <w:r>
        <w:rPr>
          <w:w w:val="120"/>
          <w:sz w:val="24"/>
        </w:rPr>
        <w:t>-</w:t>
      </w:r>
    </w:p>
    <w:p>
      <w:pPr>
        <w:pStyle w:val="BodyText"/>
        <w:spacing w:line="260" w:lineRule="exact"/>
        <w:ind w:left="317" w:firstLine="0"/>
      </w:pPr>
      <w:r>
        <w:rPr>
          <w:i/>
          <w:w w:val="130"/>
        </w:rPr>
        <w:t>aa) </w:t>
      </w:r>
      <w:r>
        <w:rPr>
          <w:w w:val="130"/>
        </w:rPr>
        <w:t>büntetlen előéletű,</w:t>
      </w:r>
    </w:p>
    <w:p>
      <w:pPr>
        <w:pStyle w:val="BodyText"/>
        <w:spacing w:line="260" w:lineRule="exact"/>
        <w:ind w:left="317" w:firstLine="0"/>
      </w:pPr>
      <w:r>
        <w:rPr>
          <w:i/>
          <w:w w:val="125"/>
        </w:rPr>
        <w:t>ab) </w:t>
      </w:r>
      <w:r>
        <w:rPr>
          <w:w w:val="125"/>
        </w:rPr>
        <w:t>jó üzleti hírnévvel rendelkezik,</w:t>
      </w:r>
    </w:p>
    <w:p>
      <w:pPr>
        <w:pStyle w:val="BodyText"/>
        <w:spacing w:line="225" w:lineRule="auto" w:before="6"/>
        <w:ind w:right="130"/>
        <w:jc w:val="both"/>
      </w:pPr>
      <w:r>
        <w:rPr>
          <w:i/>
          <w:w w:val="125"/>
        </w:rPr>
        <w:t>ac) </w:t>
      </w:r>
      <w:r>
        <w:rPr>
          <w:w w:val="125"/>
        </w:rPr>
        <w:t>legalább három év szakirányú szakmai gyakorlattal, valamint a közvetítőkre előírt szakmai végzettséggel rendelkezik,</w:t>
      </w:r>
    </w:p>
    <w:p>
      <w:pPr>
        <w:pStyle w:val="ListParagraph"/>
        <w:numPr>
          <w:ilvl w:val="0"/>
          <w:numId w:val="96"/>
        </w:numPr>
        <w:tabs>
          <w:tab w:pos="735" w:val="left" w:leader="none"/>
        </w:tabs>
        <w:spacing w:line="225" w:lineRule="auto" w:before="1" w:after="0"/>
        <w:ind w:left="113" w:right="130" w:firstLine="204"/>
        <w:jc w:val="both"/>
        <w:rPr>
          <w:sz w:val="24"/>
        </w:rPr>
      </w:pPr>
      <w:r>
        <w:rPr>
          <w:w w:val="130"/>
          <w:sz w:val="24"/>
        </w:rPr>
        <w:t>akinek mindenkor rendelkezésére áll a tevékenységéből eredő károk</w:t>
      </w:r>
      <w:r>
        <w:rPr>
          <w:spacing w:val="78"/>
          <w:w w:val="130"/>
          <w:sz w:val="24"/>
        </w:rPr>
        <w:t> </w:t>
      </w:r>
      <w:r>
        <w:rPr>
          <w:w w:val="130"/>
          <w:sz w:val="24"/>
        </w:rPr>
        <w:t>biztosításához szükséges</w:t>
      </w:r>
      <w:r>
        <w:rPr>
          <w:spacing w:val="-10"/>
          <w:w w:val="130"/>
          <w:sz w:val="24"/>
        </w:rPr>
        <w:t> </w:t>
      </w:r>
      <w:r>
        <w:rPr>
          <w:w w:val="130"/>
          <w:sz w:val="24"/>
        </w:rPr>
        <w:t>felelősségbiztosítás.</w:t>
      </w:r>
    </w:p>
    <w:p>
      <w:pPr>
        <w:pStyle w:val="ListParagraph"/>
        <w:numPr>
          <w:ilvl w:val="0"/>
          <w:numId w:val="95"/>
        </w:numPr>
        <w:tabs>
          <w:tab w:pos="864" w:val="left" w:leader="none"/>
        </w:tabs>
        <w:spacing w:line="225" w:lineRule="auto" w:before="1" w:after="0"/>
        <w:ind w:left="113" w:right="135" w:firstLine="204"/>
        <w:jc w:val="both"/>
        <w:rPr>
          <w:sz w:val="24"/>
        </w:rPr>
      </w:pPr>
      <w:r>
        <w:rPr>
          <w:w w:val="125"/>
          <w:sz w:val="24"/>
        </w:rPr>
        <w:t>A közvetítő tevékenységéből eredő károk biztosításához szükséges felelősségbiztosítás összege jelzáloghitel közvetítői tevékenységet nem</w:t>
      </w:r>
      <w:r>
        <w:rPr>
          <w:spacing w:val="21"/>
          <w:w w:val="125"/>
          <w:sz w:val="24"/>
        </w:rPr>
        <w:t> </w:t>
      </w:r>
      <w:r>
        <w:rPr>
          <w:w w:val="125"/>
          <w:sz w:val="24"/>
        </w:rPr>
        <w:t>végző</w:t>
      </w:r>
    </w:p>
    <w:p>
      <w:pPr>
        <w:pStyle w:val="ListParagraph"/>
        <w:numPr>
          <w:ilvl w:val="0"/>
          <w:numId w:val="97"/>
        </w:numPr>
        <w:tabs>
          <w:tab w:pos="718" w:val="left" w:leader="none"/>
        </w:tabs>
        <w:spacing w:line="225" w:lineRule="auto" w:before="1" w:after="0"/>
        <w:ind w:left="113" w:right="136" w:firstLine="204"/>
        <w:jc w:val="both"/>
        <w:rPr>
          <w:sz w:val="24"/>
        </w:rPr>
      </w:pPr>
      <w:r>
        <w:rPr>
          <w:w w:val="130"/>
          <w:sz w:val="24"/>
        </w:rPr>
        <w:t>többes kiemelt közvetítőnél és többes ügynöknél mindenkor legalább káreseményenként ötmillió forint, illetve évente együttesen legalább ötvenmillió</w:t>
      </w:r>
      <w:r>
        <w:rPr>
          <w:spacing w:val="2"/>
          <w:w w:val="130"/>
          <w:sz w:val="24"/>
        </w:rPr>
        <w:t> </w:t>
      </w:r>
      <w:r>
        <w:rPr>
          <w:w w:val="130"/>
          <w:sz w:val="24"/>
        </w:rPr>
        <w:t>forint,</w:t>
      </w:r>
    </w:p>
    <w:p>
      <w:pPr>
        <w:pStyle w:val="ListParagraph"/>
        <w:numPr>
          <w:ilvl w:val="0"/>
          <w:numId w:val="97"/>
        </w:numPr>
        <w:tabs>
          <w:tab w:pos="696" w:val="left" w:leader="none"/>
        </w:tabs>
        <w:spacing w:line="225" w:lineRule="auto" w:before="2" w:after="0"/>
        <w:ind w:left="113" w:right="136" w:firstLine="204"/>
        <w:jc w:val="both"/>
        <w:rPr>
          <w:sz w:val="24"/>
        </w:rPr>
      </w:pPr>
      <w:r>
        <w:rPr>
          <w:w w:val="130"/>
          <w:sz w:val="24"/>
        </w:rPr>
        <w:t>alkusznál mindenkor legalább káreseményenként tízmillió forint, illetve évente együttesen legalább százmillió</w:t>
      </w:r>
      <w:r>
        <w:rPr>
          <w:spacing w:val="-20"/>
          <w:w w:val="130"/>
          <w:sz w:val="24"/>
        </w:rPr>
        <w:t> </w:t>
      </w:r>
      <w:r>
        <w:rPr>
          <w:w w:val="130"/>
          <w:sz w:val="24"/>
        </w:rPr>
        <w:t>forint.</w:t>
      </w:r>
    </w:p>
    <w:p>
      <w:pPr>
        <w:pStyle w:val="ListParagraph"/>
        <w:numPr>
          <w:ilvl w:val="0"/>
          <w:numId w:val="95"/>
        </w:numPr>
        <w:tabs>
          <w:tab w:pos="659" w:val="left" w:leader="none"/>
        </w:tabs>
        <w:spacing w:line="249" w:lineRule="exact" w:before="0" w:after="0"/>
        <w:ind w:left="658" w:right="0" w:hanging="341"/>
        <w:jc w:val="left"/>
        <w:rPr>
          <w:sz w:val="24"/>
        </w:rPr>
      </w:pPr>
      <w:r>
        <w:rPr>
          <w:i/>
          <w:w w:val="125"/>
          <w:position w:val="3"/>
          <w:sz w:val="18"/>
        </w:rPr>
        <w:t>5</w:t>
      </w:r>
      <w:r>
        <w:rPr>
          <w:i/>
          <w:spacing w:val="52"/>
          <w:w w:val="125"/>
          <w:position w:val="3"/>
          <w:sz w:val="18"/>
        </w:rPr>
        <w:t> </w:t>
      </w:r>
      <w:r>
        <w:rPr>
          <w:w w:val="125"/>
          <w:sz w:val="24"/>
        </w:rPr>
        <w:t>A</w:t>
      </w:r>
      <w:r>
        <w:rPr>
          <w:spacing w:val="33"/>
          <w:w w:val="125"/>
          <w:sz w:val="24"/>
        </w:rPr>
        <w:t> </w:t>
      </w:r>
      <w:r>
        <w:rPr>
          <w:w w:val="125"/>
          <w:sz w:val="24"/>
        </w:rPr>
        <w:t>(3)</w:t>
      </w:r>
      <w:r>
        <w:rPr>
          <w:spacing w:val="34"/>
          <w:w w:val="125"/>
          <w:sz w:val="24"/>
        </w:rPr>
        <w:t> </w:t>
      </w:r>
      <w:r>
        <w:rPr>
          <w:w w:val="125"/>
          <w:sz w:val="24"/>
        </w:rPr>
        <w:t>bekezdésben</w:t>
      </w:r>
      <w:r>
        <w:rPr>
          <w:spacing w:val="33"/>
          <w:w w:val="125"/>
          <w:sz w:val="24"/>
        </w:rPr>
        <w:t> </w:t>
      </w:r>
      <w:r>
        <w:rPr>
          <w:w w:val="125"/>
          <w:sz w:val="24"/>
        </w:rPr>
        <w:t>meghatározottakon</w:t>
      </w:r>
      <w:r>
        <w:rPr>
          <w:spacing w:val="34"/>
          <w:w w:val="125"/>
          <w:sz w:val="24"/>
        </w:rPr>
        <w:t> </w:t>
      </w:r>
      <w:r>
        <w:rPr>
          <w:w w:val="125"/>
          <w:sz w:val="24"/>
        </w:rPr>
        <w:t>kívül</w:t>
      </w:r>
      <w:r>
        <w:rPr>
          <w:spacing w:val="33"/>
          <w:w w:val="125"/>
          <w:sz w:val="24"/>
        </w:rPr>
        <w:t> </w:t>
      </w:r>
      <w:r>
        <w:rPr>
          <w:w w:val="125"/>
          <w:sz w:val="24"/>
        </w:rPr>
        <w:t>a</w:t>
      </w:r>
      <w:r>
        <w:rPr>
          <w:spacing w:val="34"/>
          <w:w w:val="125"/>
          <w:sz w:val="24"/>
        </w:rPr>
        <w:t> </w:t>
      </w:r>
      <w:r>
        <w:rPr>
          <w:w w:val="125"/>
          <w:sz w:val="24"/>
        </w:rPr>
        <w:t>többes</w:t>
      </w:r>
      <w:r>
        <w:rPr>
          <w:spacing w:val="33"/>
          <w:w w:val="125"/>
          <w:sz w:val="24"/>
        </w:rPr>
        <w:t> </w:t>
      </w:r>
      <w:r>
        <w:rPr>
          <w:w w:val="125"/>
          <w:sz w:val="24"/>
        </w:rPr>
        <w:t>kiemelt</w:t>
      </w:r>
      <w:r>
        <w:rPr>
          <w:spacing w:val="34"/>
          <w:w w:val="125"/>
          <w:sz w:val="24"/>
        </w:rPr>
        <w:t> </w:t>
      </w:r>
      <w:r>
        <w:rPr>
          <w:w w:val="125"/>
          <w:sz w:val="24"/>
        </w:rPr>
        <w:t>közvetítő</w:t>
      </w:r>
    </w:p>
    <w:p>
      <w:pPr>
        <w:pStyle w:val="BodyText"/>
        <w:spacing w:line="225" w:lineRule="auto" w:before="12"/>
        <w:ind w:right="128" w:firstLine="0"/>
        <w:jc w:val="both"/>
      </w:pPr>
      <w:r>
        <w:rPr>
          <w:w w:val="130"/>
        </w:rPr>
        <w:t>és az alkusz rendelkezik a pénzmosás és a terrorizmus finanszírozása megelőzésére és megakadályozására, valamint az Európai Unió és az ENSZ Biztonsági</w:t>
      </w:r>
      <w:r>
        <w:rPr>
          <w:spacing w:val="-26"/>
          <w:w w:val="130"/>
        </w:rPr>
        <w:t> </w:t>
      </w:r>
      <w:r>
        <w:rPr>
          <w:w w:val="130"/>
        </w:rPr>
        <w:t>Tanácsa</w:t>
      </w:r>
      <w:r>
        <w:rPr>
          <w:spacing w:val="-16"/>
          <w:w w:val="130"/>
        </w:rPr>
        <w:t> </w:t>
      </w:r>
      <w:r>
        <w:rPr>
          <w:w w:val="130"/>
        </w:rPr>
        <w:t>által</w:t>
      </w:r>
      <w:r>
        <w:rPr>
          <w:spacing w:val="-35"/>
          <w:w w:val="130"/>
        </w:rPr>
        <w:t> </w:t>
      </w:r>
      <w:r>
        <w:rPr>
          <w:w w:val="130"/>
        </w:rPr>
        <w:t>elrendelt</w:t>
      </w:r>
      <w:r>
        <w:rPr>
          <w:spacing w:val="-26"/>
          <w:w w:val="130"/>
        </w:rPr>
        <w:t> </w:t>
      </w:r>
      <w:r>
        <w:rPr>
          <w:w w:val="130"/>
        </w:rPr>
        <w:t>pénzügyi</w:t>
      </w:r>
      <w:r>
        <w:rPr>
          <w:spacing w:val="-25"/>
          <w:w w:val="130"/>
        </w:rPr>
        <w:t> </w:t>
      </w:r>
      <w:r>
        <w:rPr>
          <w:w w:val="130"/>
        </w:rPr>
        <w:t>és</w:t>
      </w:r>
      <w:r>
        <w:rPr>
          <w:spacing w:val="-26"/>
          <w:w w:val="130"/>
        </w:rPr>
        <w:t> </w:t>
      </w:r>
      <w:r>
        <w:rPr>
          <w:w w:val="130"/>
        </w:rPr>
        <w:t>vagyoni</w:t>
      </w:r>
      <w:r>
        <w:rPr>
          <w:spacing w:val="-25"/>
          <w:w w:val="130"/>
        </w:rPr>
        <w:t> </w:t>
      </w:r>
      <w:r>
        <w:rPr>
          <w:w w:val="130"/>
        </w:rPr>
        <w:t>korlátozó</w:t>
      </w:r>
      <w:r>
        <w:rPr>
          <w:spacing w:val="-26"/>
          <w:w w:val="130"/>
        </w:rPr>
        <w:t> </w:t>
      </w:r>
      <w:r>
        <w:rPr>
          <w:w w:val="130"/>
        </w:rPr>
        <w:t>intézkedések végrehajtására vonatkozó szabályzattal és</w:t>
      </w:r>
      <w:r>
        <w:rPr>
          <w:spacing w:val="-23"/>
          <w:w w:val="130"/>
        </w:rPr>
        <w:t> </w:t>
      </w:r>
      <w:r>
        <w:rPr>
          <w:w w:val="130"/>
        </w:rPr>
        <w:t>eljárásrenddel.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r>
        <w:rPr/>
        <w:pict>
          <v:line style="position:absolute;mso-position-horizontal-relative:page;mso-position-vertical-relative:paragraph;z-index:-304;mso-wrap-distance-left:0;mso-wrap-distance-right:0" from="56.693001pt,13.736961pt" to="538.583001pt,13.736961pt" stroked="true" strokeweight=".5pt" strokecolor="#000000">
            <v:stroke dashstyle="solid"/>
            <w10:wrap type="topAndBottom"/>
          </v:line>
        </w:pict>
      </w:r>
    </w:p>
    <w:p>
      <w:pPr>
        <w:pStyle w:val="ListParagraph"/>
        <w:numPr>
          <w:ilvl w:val="0"/>
          <w:numId w:val="98"/>
        </w:numPr>
        <w:tabs>
          <w:tab w:pos="686" w:val="left" w:leader="none"/>
          <w:tab w:pos="687" w:val="left" w:leader="none"/>
        </w:tabs>
        <w:spacing w:line="203" w:lineRule="exact" w:before="44" w:after="0"/>
        <w:ind w:left="686" w:right="0" w:hanging="344"/>
        <w:jc w:val="left"/>
        <w:rPr>
          <w:i/>
          <w:sz w:val="18"/>
        </w:rPr>
      </w:pPr>
      <w:r>
        <w:rPr>
          <w:i/>
          <w:w w:val="120"/>
          <w:sz w:val="18"/>
        </w:rPr>
        <w:t>Beiktatta: 2014. évi XXXVII. törvény 161. § (5). Hatályos: 2014. IX.</w:t>
      </w:r>
      <w:r>
        <w:rPr>
          <w:i/>
          <w:spacing w:val="53"/>
          <w:w w:val="120"/>
          <w:sz w:val="18"/>
        </w:rPr>
        <w:t> </w:t>
      </w:r>
      <w:r>
        <w:rPr>
          <w:i/>
          <w:w w:val="120"/>
          <w:sz w:val="18"/>
        </w:rPr>
        <w:t>16-tól.</w:t>
      </w:r>
    </w:p>
    <w:p>
      <w:pPr>
        <w:pStyle w:val="ListParagraph"/>
        <w:numPr>
          <w:ilvl w:val="0"/>
          <w:numId w:val="98"/>
        </w:numPr>
        <w:tabs>
          <w:tab w:pos="686" w:val="left" w:leader="none"/>
          <w:tab w:pos="687" w:val="left" w:leader="none"/>
        </w:tabs>
        <w:spacing w:line="200" w:lineRule="exact" w:before="0" w:after="0"/>
        <w:ind w:left="686" w:right="0" w:hanging="344"/>
        <w:jc w:val="left"/>
        <w:rPr>
          <w:i/>
          <w:sz w:val="18"/>
        </w:rPr>
      </w:pPr>
      <w:r>
        <w:rPr>
          <w:i/>
          <w:w w:val="120"/>
          <w:sz w:val="18"/>
        </w:rPr>
        <w:t>Beiktatta: 2015. évi LXXXV. törvény 192. §. Hatályos: 2015. VII.</w:t>
      </w:r>
      <w:r>
        <w:rPr>
          <w:i/>
          <w:spacing w:val="45"/>
          <w:w w:val="120"/>
          <w:sz w:val="18"/>
        </w:rPr>
        <w:t> </w:t>
      </w:r>
      <w:r>
        <w:rPr>
          <w:i/>
          <w:w w:val="120"/>
          <w:sz w:val="18"/>
        </w:rPr>
        <w:t>7-től.</w:t>
      </w:r>
    </w:p>
    <w:p>
      <w:pPr>
        <w:pStyle w:val="ListParagraph"/>
        <w:numPr>
          <w:ilvl w:val="0"/>
          <w:numId w:val="98"/>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119. §. Hatályos: 2016. III.</w:t>
      </w:r>
      <w:r>
        <w:rPr>
          <w:i/>
          <w:spacing w:val="-21"/>
          <w:w w:val="125"/>
          <w:sz w:val="18"/>
        </w:rPr>
        <w:t> </w:t>
      </w:r>
      <w:r>
        <w:rPr>
          <w:i/>
          <w:w w:val="125"/>
          <w:sz w:val="18"/>
        </w:rPr>
        <w:t>21-től.</w:t>
      </w:r>
    </w:p>
    <w:p>
      <w:pPr>
        <w:pStyle w:val="ListParagraph"/>
        <w:numPr>
          <w:ilvl w:val="0"/>
          <w:numId w:val="98"/>
        </w:numPr>
        <w:tabs>
          <w:tab w:pos="686" w:val="left" w:leader="none"/>
          <w:tab w:pos="687" w:val="left" w:leader="none"/>
        </w:tabs>
        <w:spacing w:line="232" w:lineRule="auto" w:before="2" w:after="0"/>
        <w:ind w:left="342" w:right="2655" w:firstLine="0"/>
        <w:jc w:val="left"/>
        <w:rPr>
          <w:i/>
          <w:sz w:val="18"/>
        </w:rPr>
      </w:pPr>
      <w:r>
        <w:rPr>
          <w:i/>
          <w:w w:val="125"/>
          <w:sz w:val="18"/>
        </w:rPr>
        <w:t>Megállapította:</w:t>
      </w:r>
      <w:r>
        <w:rPr>
          <w:i/>
          <w:spacing w:val="-10"/>
          <w:w w:val="125"/>
          <w:sz w:val="18"/>
        </w:rPr>
        <w:t> </w:t>
      </w:r>
      <w:r>
        <w:rPr>
          <w:i/>
          <w:w w:val="125"/>
          <w:sz w:val="18"/>
        </w:rPr>
        <w:t>2017.</w:t>
      </w:r>
      <w:r>
        <w:rPr>
          <w:i/>
          <w:spacing w:val="-10"/>
          <w:w w:val="125"/>
          <w:sz w:val="18"/>
        </w:rPr>
        <w:t> </w:t>
      </w:r>
      <w:r>
        <w:rPr>
          <w:i/>
          <w:w w:val="125"/>
          <w:sz w:val="18"/>
        </w:rPr>
        <w:t>évi</w:t>
      </w:r>
      <w:r>
        <w:rPr>
          <w:i/>
          <w:spacing w:val="-10"/>
          <w:w w:val="125"/>
          <w:sz w:val="18"/>
        </w:rPr>
        <w:t> </w:t>
      </w:r>
      <w:r>
        <w:rPr>
          <w:i/>
          <w:w w:val="125"/>
          <w:sz w:val="18"/>
        </w:rPr>
        <w:t>CXLV.</w:t>
      </w:r>
      <w:r>
        <w:rPr>
          <w:i/>
          <w:spacing w:val="-9"/>
          <w:w w:val="125"/>
          <w:sz w:val="18"/>
        </w:rPr>
        <w:t> </w:t>
      </w:r>
      <w:r>
        <w:rPr>
          <w:i/>
          <w:w w:val="125"/>
          <w:sz w:val="18"/>
        </w:rPr>
        <w:t>törvény</w:t>
      </w:r>
      <w:r>
        <w:rPr>
          <w:i/>
          <w:spacing w:val="-10"/>
          <w:w w:val="125"/>
          <w:sz w:val="18"/>
        </w:rPr>
        <w:t> </w:t>
      </w:r>
      <w:r>
        <w:rPr>
          <w:i/>
          <w:w w:val="125"/>
          <w:sz w:val="18"/>
        </w:rPr>
        <w:t>124.</w:t>
      </w:r>
      <w:r>
        <w:rPr>
          <w:i/>
          <w:spacing w:val="-10"/>
          <w:w w:val="125"/>
          <w:sz w:val="18"/>
        </w:rPr>
        <w:t> </w:t>
      </w:r>
      <w:r>
        <w:rPr>
          <w:i/>
          <w:w w:val="125"/>
          <w:sz w:val="18"/>
        </w:rPr>
        <w:t>§.</w:t>
      </w:r>
      <w:r>
        <w:rPr>
          <w:i/>
          <w:spacing w:val="-9"/>
          <w:w w:val="125"/>
          <w:sz w:val="18"/>
        </w:rPr>
        <w:t> </w:t>
      </w:r>
      <w:r>
        <w:rPr>
          <w:i/>
          <w:w w:val="125"/>
          <w:sz w:val="18"/>
        </w:rPr>
        <w:t>Hatályos:</w:t>
      </w:r>
      <w:r>
        <w:rPr>
          <w:i/>
          <w:spacing w:val="-9"/>
          <w:w w:val="125"/>
          <w:sz w:val="18"/>
        </w:rPr>
        <w:t> </w:t>
      </w:r>
      <w:r>
        <w:rPr>
          <w:i/>
          <w:w w:val="125"/>
          <w:sz w:val="18"/>
        </w:rPr>
        <w:t>2018.</w:t>
      </w:r>
      <w:r>
        <w:rPr>
          <w:i/>
          <w:spacing w:val="-10"/>
          <w:w w:val="125"/>
          <w:sz w:val="18"/>
        </w:rPr>
        <w:t> </w:t>
      </w:r>
      <w:r>
        <w:rPr>
          <w:i/>
          <w:w w:val="125"/>
          <w:sz w:val="18"/>
        </w:rPr>
        <w:t>I.</w:t>
      </w:r>
      <w:r>
        <w:rPr>
          <w:i/>
          <w:spacing w:val="-9"/>
          <w:w w:val="125"/>
          <w:sz w:val="18"/>
        </w:rPr>
        <w:t> </w:t>
      </w:r>
      <w:r>
        <w:rPr>
          <w:i/>
          <w:w w:val="125"/>
          <w:sz w:val="18"/>
        </w:rPr>
        <w:t>1-től. 5</w:t>
        <w:tab/>
        <w:t>Módosította: 2017. évi LII. törvény 22. § (7)</w:t>
      </w:r>
      <w:r>
        <w:rPr>
          <w:i/>
          <w:spacing w:val="-8"/>
          <w:w w:val="125"/>
          <w:sz w:val="18"/>
        </w:rPr>
        <w:t> </w:t>
      </w:r>
      <w:r>
        <w:rPr>
          <w:i/>
          <w:w w:val="125"/>
          <w:sz w:val="18"/>
        </w:rPr>
        <w:t>a).</w:t>
      </w:r>
    </w:p>
    <w:p>
      <w:pPr>
        <w:spacing w:after="0" w:line="232" w:lineRule="auto"/>
        <w:jc w:val="left"/>
        <w:rPr>
          <w:sz w:val="18"/>
        </w:rPr>
        <w:sectPr>
          <w:type w:val="continuous"/>
          <w:pgSz w:w="11900" w:h="16820"/>
          <w:pgMar w:top="1840" w:bottom="280" w:left="1020" w:right="1000"/>
        </w:sectPr>
      </w:pPr>
    </w:p>
    <w:p>
      <w:pPr>
        <w:pStyle w:val="ListParagraph"/>
        <w:numPr>
          <w:ilvl w:val="0"/>
          <w:numId w:val="95"/>
        </w:numPr>
        <w:tabs>
          <w:tab w:pos="887" w:val="left" w:leader="none"/>
        </w:tabs>
        <w:spacing w:line="225" w:lineRule="auto" w:before="173" w:after="0"/>
        <w:ind w:left="113" w:right="125" w:firstLine="204"/>
        <w:jc w:val="both"/>
        <w:rPr>
          <w:sz w:val="24"/>
        </w:rPr>
      </w:pPr>
      <w:r>
        <w:rPr>
          <w:w w:val="130"/>
          <w:sz w:val="24"/>
        </w:rPr>
        <w:t>A (3) bekezdés </w:t>
      </w:r>
      <w:r>
        <w:rPr>
          <w:i/>
          <w:w w:val="130"/>
          <w:sz w:val="24"/>
        </w:rPr>
        <w:t>a) </w:t>
      </w:r>
      <w:r>
        <w:rPr>
          <w:w w:val="130"/>
          <w:sz w:val="24"/>
        </w:rPr>
        <w:t>pont </w:t>
      </w:r>
      <w:r>
        <w:rPr>
          <w:i/>
          <w:w w:val="130"/>
          <w:sz w:val="24"/>
        </w:rPr>
        <w:t>ac) </w:t>
      </w:r>
      <w:r>
        <w:rPr>
          <w:w w:val="130"/>
          <w:sz w:val="24"/>
        </w:rPr>
        <w:t>alpontja alkalmazása szempontjából szakirányú szakmai gyakorlatként pénzügyi intézménynél, közvetítőnél tisztségviselőként vagy pénzügyi szolgáltatási, közvetítői szakterületen</w:t>
      </w:r>
      <w:r>
        <w:rPr>
          <w:spacing w:val="78"/>
          <w:w w:val="130"/>
          <w:sz w:val="24"/>
        </w:rPr>
        <w:t> </w:t>
      </w:r>
      <w:r>
        <w:rPr>
          <w:w w:val="130"/>
          <w:sz w:val="24"/>
        </w:rPr>
        <w:t>alkalmazottként, egyéni vállalkozóként vagy munkavégzésre irányuló egyéb jogviszonyban eltöltött gyakorlat vehető figyelembe. Külföldön szerzett szakmai gyakorlat akkor vehető figyelembe, ha megszerzésére pénzügyi intézménynek,</w:t>
      </w:r>
      <w:r>
        <w:rPr>
          <w:spacing w:val="-27"/>
          <w:w w:val="130"/>
          <w:sz w:val="24"/>
        </w:rPr>
        <w:t> </w:t>
      </w:r>
      <w:r>
        <w:rPr>
          <w:w w:val="130"/>
          <w:sz w:val="24"/>
        </w:rPr>
        <w:t>illetve</w:t>
      </w:r>
      <w:r>
        <w:rPr>
          <w:spacing w:val="-26"/>
          <w:w w:val="130"/>
          <w:sz w:val="24"/>
        </w:rPr>
        <w:t> </w:t>
      </w:r>
      <w:r>
        <w:rPr>
          <w:w w:val="130"/>
          <w:sz w:val="24"/>
        </w:rPr>
        <w:t>közvetítőnek</w:t>
      </w:r>
      <w:r>
        <w:rPr>
          <w:spacing w:val="-27"/>
          <w:w w:val="130"/>
          <w:sz w:val="24"/>
        </w:rPr>
        <w:t> </w:t>
      </w:r>
      <w:r>
        <w:rPr>
          <w:w w:val="130"/>
          <w:sz w:val="24"/>
        </w:rPr>
        <w:t>megfeleltethető</w:t>
      </w:r>
      <w:r>
        <w:rPr>
          <w:spacing w:val="-26"/>
          <w:w w:val="130"/>
          <w:sz w:val="24"/>
        </w:rPr>
        <w:t> </w:t>
      </w:r>
      <w:r>
        <w:rPr>
          <w:w w:val="130"/>
          <w:sz w:val="24"/>
        </w:rPr>
        <w:t>intézménynél</w:t>
      </w:r>
      <w:r>
        <w:rPr>
          <w:spacing w:val="-27"/>
          <w:w w:val="130"/>
          <w:sz w:val="24"/>
        </w:rPr>
        <w:t> </w:t>
      </w:r>
      <w:r>
        <w:rPr>
          <w:w w:val="130"/>
          <w:sz w:val="24"/>
        </w:rPr>
        <w:t>került</w:t>
      </w:r>
      <w:r>
        <w:rPr>
          <w:spacing w:val="-26"/>
          <w:w w:val="130"/>
          <w:sz w:val="24"/>
        </w:rPr>
        <w:t> </w:t>
      </w:r>
      <w:r>
        <w:rPr>
          <w:w w:val="130"/>
          <w:sz w:val="24"/>
        </w:rPr>
        <w:t>sor.</w:t>
      </w:r>
    </w:p>
    <w:p>
      <w:pPr>
        <w:pStyle w:val="ListParagraph"/>
        <w:numPr>
          <w:ilvl w:val="0"/>
          <w:numId w:val="95"/>
        </w:numPr>
        <w:tabs>
          <w:tab w:pos="777" w:val="left" w:leader="none"/>
        </w:tabs>
        <w:spacing w:line="225" w:lineRule="auto" w:before="4" w:after="0"/>
        <w:ind w:left="113" w:right="138" w:firstLine="204"/>
        <w:jc w:val="both"/>
        <w:rPr>
          <w:sz w:val="24"/>
        </w:rPr>
      </w:pPr>
      <w:r>
        <w:rPr>
          <w:w w:val="130"/>
          <w:sz w:val="24"/>
        </w:rPr>
        <w:t>Független közvetítőként és jelzáloghitel közvetítői tevékenységet</w:t>
      </w:r>
      <w:r>
        <w:rPr>
          <w:spacing w:val="-38"/>
          <w:w w:val="130"/>
          <w:sz w:val="24"/>
        </w:rPr>
        <w:t> </w:t>
      </w:r>
      <w:r>
        <w:rPr>
          <w:w w:val="130"/>
          <w:sz w:val="24"/>
        </w:rPr>
        <w:t>végző függő</w:t>
      </w:r>
      <w:r>
        <w:rPr>
          <w:spacing w:val="-9"/>
          <w:w w:val="130"/>
          <w:sz w:val="24"/>
        </w:rPr>
        <w:t> </w:t>
      </w:r>
      <w:r>
        <w:rPr>
          <w:w w:val="130"/>
          <w:sz w:val="24"/>
        </w:rPr>
        <w:t>közvetítőként</w:t>
      </w:r>
      <w:r>
        <w:rPr>
          <w:spacing w:val="-10"/>
          <w:w w:val="130"/>
          <w:sz w:val="24"/>
        </w:rPr>
        <w:t> </w:t>
      </w:r>
      <w:r>
        <w:rPr>
          <w:w w:val="130"/>
          <w:sz w:val="24"/>
        </w:rPr>
        <w:t>történő</w:t>
      </w:r>
      <w:r>
        <w:rPr>
          <w:spacing w:val="-6"/>
          <w:w w:val="130"/>
          <w:sz w:val="24"/>
        </w:rPr>
        <w:t> </w:t>
      </w:r>
      <w:r>
        <w:rPr>
          <w:w w:val="130"/>
          <w:sz w:val="24"/>
        </w:rPr>
        <w:t>működésre</w:t>
      </w:r>
      <w:r>
        <w:rPr>
          <w:spacing w:val="-12"/>
          <w:w w:val="130"/>
          <w:sz w:val="24"/>
        </w:rPr>
        <w:t> </w:t>
      </w:r>
      <w:r>
        <w:rPr>
          <w:w w:val="130"/>
          <w:sz w:val="24"/>
        </w:rPr>
        <w:t>jogosító</w:t>
      </w:r>
      <w:r>
        <w:rPr>
          <w:spacing w:val="-3"/>
          <w:w w:val="130"/>
          <w:sz w:val="24"/>
        </w:rPr>
        <w:t> </w:t>
      </w:r>
      <w:r>
        <w:rPr>
          <w:w w:val="130"/>
          <w:sz w:val="24"/>
        </w:rPr>
        <w:t>engedély</w:t>
      </w:r>
      <w:r>
        <w:rPr>
          <w:spacing w:val="-15"/>
          <w:w w:val="130"/>
          <w:sz w:val="24"/>
        </w:rPr>
        <w:t> </w:t>
      </w:r>
      <w:r>
        <w:rPr>
          <w:w w:val="130"/>
          <w:sz w:val="24"/>
        </w:rPr>
        <w:t>iránti</w:t>
      </w:r>
      <w:r>
        <w:rPr>
          <w:spacing w:val="-10"/>
          <w:w w:val="130"/>
          <w:sz w:val="24"/>
        </w:rPr>
        <w:t> </w:t>
      </w:r>
      <w:r>
        <w:rPr>
          <w:w w:val="130"/>
          <w:sz w:val="24"/>
        </w:rPr>
        <w:t>kérelemhez</w:t>
      </w:r>
      <w:r>
        <w:rPr>
          <w:spacing w:val="-9"/>
          <w:w w:val="130"/>
          <w:sz w:val="24"/>
        </w:rPr>
        <w:t> </w:t>
      </w:r>
      <w:r>
        <w:rPr>
          <w:w w:val="130"/>
          <w:sz w:val="24"/>
        </w:rPr>
        <w:t>a kérelmező</w:t>
      </w:r>
      <w:r>
        <w:rPr>
          <w:spacing w:val="-5"/>
          <w:w w:val="130"/>
          <w:sz w:val="24"/>
        </w:rPr>
        <w:t> </w:t>
      </w:r>
      <w:r>
        <w:rPr>
          <w:w w:val="130"/>
          <w:sz w:val="24"/>
        </w:rPr>
        <w:t>mellékeli</w:t>
      </w:r>
    </w:p>
    <w:p>
      <w:pPr>
        <w:pStyle w:val="ListParagraph"/>
        <w:numPr>
          <w:ilvl w:val="0"/>
          <w:numId w:val="99"/>
        </w:numPr>
        <w:tabs>
          <w:tab w:pos="631" w:val="left" w:leader="none"/>
        </w:tabs>
        <w:spacing w:line="256" w:lineRule="exact" w:before="0" w:after="0"/>
        <w:ind w:left="630" w:right="0" w:hanging="313"/>
        <w:jc w:val="left"/>
        <w:rPr>
          <w:sz w:val="24"/>
        </w:rPr>
      </w:pPr>
      <w:r>
        <w:rPr>
          <w:w w:val="130"/>
          <w:sz w:val="24"/>
        </w:rPr>
        <w:t>a </w:t>
      </w:r>
      <w:r>
        <w:rPr>
          <w:i/>
          <w:w w:val="130"/>
          <w:sz w:val="24"/>
        </w:rPr>
        <w:t>2. mellékletben </w:t>
      </w:r>
      <w:r>
        <w:rPr>
          <w:w w:val="130"/>
          <w:sz w:val="24"/>
        </w:rPr>
        <w:t>meghatározott azonosító</w:t>
      </w:r>
      <w:r>
        <w:rPr>
          <w:spacing w:val="-22"/>
          <w:w w:val="130"/>
          <w:sz w:val="24"/>
        </w:rPr>
        <w:t> </w:t>
      </w:r>
      <w:r>
        <w:rPr>
          <w:w w:val="130"/>
          <w:sz w:val="24"/>
        </w:rPr>
        <w:t>adatait,</w:t>
      </w:r>
    </w:p>
    <w:p>
      <w:pPr>
        <w:pStyle w:val="ListParagraph"/>
        <w:numPr>
          <w:ilvl w:val="0"/>
          <w:numId w:val="99"/>
        </w:numPr>
        <w:tabs>
          <w:tab w:pos="680" w:val="left" w:leader="none"/>
        </w:tabs>
        <w:spacing w:line="225" w:lineRule="auto" w:before="5" w:after="0"/>
        <w:ind w:left="113" w:right="125" w:firstLine="204"/>
        <w:jc w:val="both"/>
        <w:rPr>
          <w:sz w:val="24"/>
        </w:rPr>
      </w:pPr>
      <w:r>
        <w:rPr>
          <w:w w:val="125"/>
          <w:sz w:val="24"/>
        </w:rPr>
        <w:t>a kérelem benyújtásakor hatályos létesítő okiratát, harminc napnál nem régebbi okirati igazolást arról, hogy a személyes joga szerinti bejegyzése (nyilvántartásba vétele) megtörtént, nem áll csőd-, felszámolási vagy végelszámolási eljárás alatt, valamint vezető állású személye megfelel a (3) bekezdés </w:t>
      </w:r>
      <w:r>
        <w:rPr>
          <w:i/>
          <w:w w:val="125"/>
          <w:sz w:val="24"/>
        </w:rPr>
        <w:t>a) </w:t>
      </w:r>
      <w:r>
        <w:rPr>
          <w:w w:val="125"/>
          <w:sz w:val="24"/>
        </w:rPr>
        <w:t>pontjában foglalt</w:t>
      </w:r>
      <w:r>
        <w:rPr>
          <w:spacing w:val="4"/>
          <w:w w:val="125"/>
          <w:sz w:val="24"/>
        </w:rPr>
        <w:t> </w:t>
      </w:r>
      <w:r>
        <w:rPr>
          <w:w w:val="125"/>
          <w:sz w:val="24"/>
        </w:rPr>
        <w:t>követelményeknek,</w:t>
      </w:r>
    </w:p>
    <w:p>
      <w:pPr>
        <w:pStyle w:val="ListParagraph"/>
        <w:numPr>
          <w:ilvl w:val="0"/>
          <w:numId w:val="99"/>
        </w:numPr>
        <w:tabs>
          <w:tab w:pos="859" w:val="left" w:leader="none"/>
        </w:tabs>
        <w:spacing w:line="225" w:lineRule="auto" w:before="3" w:after="0"/>
        <w:ind w:left="113" w:right="131" w:firstLine="204"/>
        <w:jc w:val="both"/>
        <w:rPr>
          <w:sz w:val="24"/>
        </w:rPr>
      </w:pPr>
      <w:r>
        <w:rPr>
          <w:w w:val="130"/>
          <w:sz w:val="24"/>
        </w:rPr>
        <w:t>nyilatkozatát arról, hogy a közvetítői tevékenysége irányítása Magyarországon létesített főirodában</w:t>
      </w:r>
      <w:r>
        <w:rPr>
          <w:spacing w:val="-14"/>
          <w:w w:val="130"/>
          <w:sz w:val="24"/>
        </w:rPr>
        <w:t> </w:t>
      </w:r>
      <w:r>
        <w:rPr>
          <w:w w:val="130"/>
          <w:sz w:val="24"/>
        </w:rPr>
        <w:t>történik,</w:t>
      </w:r>
    </w:p>
    <w:p>
      <w:pPr>
        <w:pStyle w:val="ListParagraph"/>
        <w:numPr>
          <w:ilvl w:val="0"/>
          <w:numId w:val="99"/>
        </w:numPr>
        <w:tabs>
          <w:tab w:pos="705" w:val="left" w:leader="none"/>
        </w:tabs>
        <w:spacing w:line="225" w:lineRule="auto" w:before="1" w:after="0"/>
        <w:ind w:left="113" w:right="121" w:firstLine="204"/>
        <w:jc w:val="both"/>
        <w:rPr>
          <w:sz w:val="24"/>
        </w:rPr>
      </w:pPr>
      <w:r>
        <w:rPr>
          <w:w w:val="130"/>
          <w:sz w:val="24"/>
        </w:rPr>
        <w:t>a nyilatkozatát, hogy rendelkezik a szolgáltatás nyújtásához szükséges személyi és tárgyi</w:t>
      </w:r>
      <w:r>
        <w:rPr>
          <w:spacing w:val="-13"/>
          <w:w w:val="130"/>
          <w:sz w:val="24"/>
        </w:rPr>
        <w:t> </w:t>
      </w:r>
      <w:r>
        <w:rPr>
          <w:w w:val="130"/>
          <w:sz w:val="24"/>
        </w:rPr>
        <w:t>feltételekkel,</w:t>
      </w:r>
    </w:p>
    <w:p>
      <w:pPr>
        <w:pStyle w:val="ListParagraph"/>
        <w:numPr>
          <w:ilvl w:val="0"/>
          <w:numId w:val="99"/>
        </w:numPr>
        <w:tabs>
          <w:tab w:pos="703" w:val="left" w:leader="none"/>
        </w:tabs>
        <w:spacing w:line="225" w:lineRule="auto" w:before="1" w:after="0"/>
        <w:ind w:left="113" w:right="135" w:firstLine="204"/>
        <w:jc w:val="both"/>
        <w:rPr>
          <w:sz w:val="24"/>
        </w:rPr>
      </w:pPr>
      <w:r>
        <w:rPr>
          <w:w w:val="125"/>
          <w:sz w:val="24"/>
        </w:rPr>
        <w:t>az általa végezni kívánt tevékenységre vonatkozó általános szerződési feltételeket is tartalmazó</w:t>
      </w:r>
      <w:r>
        <w:rPr>
          <w:spacing w:val="6"/>
          <w:w w:val="125"/>
          <w:sz w:val="24"/>
        </w:rPr>
        <w:t> </w:t>
      </w:r>
      <w:r>
        <w:rPr>
          <w:w w:val="125"/>
          <w:sz w:val="24"/>
        </w:rPr>
        <w:t>üzletszabályzatot,</w:t>
      </w:r>
    </w:p>
    <w:p>
      <w:pPr>
        <w:pStyle w:val="ListParagraph"/>
        <w:numPr>
          <w:ilvl w:val="0"/>
          <w:numId w:val="99"/>
        </w:numPr>
        <w:tabs>
          <w:tab w:pos="646" w:val="left" w:leader="none"/>
        </w:tabs>
        <w:spacing w:line="225" w:lineRule="auto" w:before="2" w:after="0"/>
        <w:ind w:left="113" w:right="132" w:firstLine="204"/>
        <w:jc w:val="both"/>
        <w:rPr>
          <w:sz w:val="24"/>
        </w:rPr>
      </w:pPr>
      <w:r>
        <w:rPr>
          <w:w w:val="125"/>
          <w:sz w:val="24"/>
        </w:rPr>
        <w:t>a nyilatkozatát arra vonatkozóan, hogy a független közvetítőként vagy jelzáloghitel közvetítői tevékenységet végző függő közvetítőként történő működését mikor kívánja</w:t>
      </w:r>
      <w:r>
        <w:rPr>
          <w:spacing w:val="-1"/>
          <w:w w:val="125"/>
          <w:sz w:val="24"/>
        </w:rPr>
        <w:t> </w:t>
      </w:r>
      <w:r>
        <w:rPr>
          <w:w w:val="125"/>
          <w:sz w:val="24"/>
        </w:rPr>
        <w:t>megkezdeni,</w:t>
      </w:r>
    </w:p>
    <w:p>
      <w:pPr>
        <w:pStyle w:val="ListParagraph"/>
        <w:numPr>
          <w:ilvl w:val="0"/>
          <w:numId w:val="99"/>
        </w:numPr>
        <w:tabs>
          <w:tab w:pos="815" w:val="left" w:leader="none"/>
        </w:tabs>
        <w:spacing w:line="225" w:lineRule="auto" w:before="1" w:after="0"/>
        <w:ind w:left="113" w:right="124" w:firstLine="204"/>
        <w:jc w:val="both"/>
        <w:rPr>
          <w:sz w:val="24"/>
        </w:rPr>
      </w:pPr>
      <w:r>
        <w:rPr>
          <w:w w:val="130"/>
          <w:sz w:val="24"/>
        </w:rPr>
        <w:t>a nyilatkozatát arról, hogy a jogszabályban meghatározott vagy jogszabályon alapuló adatszolgáltatások teljesítésére</w:t>
      </w:r>
      <w:r>
        <w:rPr>
          <w:spacing w:val="-38"/>
          <w:w w:val="130"/>
          <w:sz w:val="24"/>
        </w:rPr>
        <w:t> </w:t>
      </w:r>
      <w:r>
        <w:rPr>
          <w:w w:val="130"/>
          <w:sz w:val="24"/>
        </w:rPr>
        <w:t>felkészült,</w:t>
      </w:r>
    </w:p>
    <w:p>
      <w:pPr>
        <w:pStyle w:val="ListParagraph"/>
        <w:numPr>
          <w:ilvl w:val="0"/>
          <w:numId w:val="99"/>
        </w:numPr>
        <w:tabs>
          <w:tab w:pos="809" w:val="left" w:leader="none"/>
        </w:tabs>
        <w:spacing w:line="225" w:lineRule="auto" w:before="1" w:after="0"/>
        <w:ind w:left="113" w:right="127" w:firstLine="204"/>
        <w:jc w:val="both"/>
        <w:rPr>
          <w:sz w:val="24"/>
        </w:rPr>
      </w:pPr>
      <w:r>
        <w:rPr>
          <w:w w:val="130"/>
          <w:sz w:val="24"/>
        </w:rPr>
        <w:t>a teljes bizonyító erejű magánokiratba foglalt nyilatkozatát arra vonatkozóan,</w:t>
      </w:r>
      <w:r>
        <w:rPr>
          <w:spacing w:val="-19"/>
          <w:w w:val="130"/>
          <w:sz w:val="24"/>
        </w:rPr>
        <w:t> </w:t>
      </w:r>
      <w:r>
        <w:rPr>
          <w:w w:val="130"/>
          <w:sz w:val="24"/>
        </w:rPr>
        <w:t>hogy</w:t>
      </w:r>
      <w:r>
        <w:rPr>
          <w:spacing w:val="-18"/>
          <w:w w:val="130"/>
          <w:sz w:val="24"/>
        </w:rPr>
        <w:t> </w:t>
      </w:r>
      <w:r>
        <w:rPr>
          <w:w w:val="130"/>
          <w:sz w:val="24"/>
        </w:rPr>
        <w:t>hozzájárul</w:t>
      </w:r>
      <w:r>
        <w:rPr>
          <w:spacing w:val="-18"/>
          <w:w w:val="130"/>
          <w:sz w:val="24"/>
        </w:rPr>
        <w:t> </w:t>
      </w:r>
      <w:r>
        <w:rPr>
          <w:w w:val="130"/>
          <w:sz w:val="24"/>
        </w:rPr>
        <w:t>az</w:t>
      </w:r>
      <w:r>
        <w:rPr>
          <w:spacing w:val="-19"/>
          <w:w w:val="130"/>
          <w:sz w:val="24"/>
        </w:rPr>
        <w:t> </w:t>
      </w:r>
      <w:r>
        <w:rPr>
          <w:w w:val="130"/>
          <w:sz w:val="24"/>
        </w:rPr>
        <w:t>engedély</w:t>
      </w:r>
      <w:r>
        <w:rPr>
          <w:spacing w:val="-18"/>
          <w:w w:val="130"/>
          <w:sz w:val="24"/>
        </w:rPr>
        <w:t> </w:t>
      </w:r>
      <w:r>
        <w:rPr>
          <w:w w:val="130"/>
          <w:sz w:val="24"/>
        </w:rPr>
        <w:t>iránti</w:t>
      </w:r>
      <w:r>
        <w:rPr>
          <w:spacing w:val="-18"/>
          <w:w w:val="130"/>
          <w:sz w:val="24"/>
        </w:rPr>
        <w:t> </w:t>
      </w:r>
      <w:r>
        <w:rPr>
          <w:w w:val="130"/>
          <w:sz w:val="24"/>
        </w:rPr>
        <w:t>kérelemhez</w:t>
      </w:r>
      <w:r>
        <w:rPr>
          <w:spacing w:val="-19"/>
          <w:w w:val="130"/>
          <w:sz w:val="24"/>
        </w:rPr>
        <w:t> </w:t>
      </w:r>
      <w:r>
        <w:rPr>
          <w:w w:val="130"/>
          <w:sz w:val="24"/>
        </w:rPr>
        <w:t>mellékelt</w:t>
      </w:r>
      <w:r>
        <w:rPr>
          <w:spacing w:val="-18"/>
          <w:w w:val="130"/>
          <w:sz w:val="24"/>
        </w:rPr>
        <w:t> </w:t>
      </w:r>
      <w:r>
        <w:rPr>
          <w:w w:val="130"/>
          <w:sz w:val="24"/>
        </w:rPr>
        <w:t>iratban foglaltak valódiságának a Felügyelet által megkeresett szervek útján történő ellenőrzéséhez,</w:t>
      </w:r>
      <w:r>
        <w:rPr>
          <w:spacing w:val="-4"/>
          <w:w w:val="130"/>
          <w:sz w:val="24"/>
        </w:rPr>
        <w:t> </w:t>
      </w:r>
      <w:r>
        <w:rPr>
          <w:w w:val="130"/>
          <w:sz w:val="24"/>
        </w:rPr>
        <w:t>valamint</w:t>
      </w:r>
    </w:p>
    <w:p>
      <w:pPr>
        <w:pStyle w:val="ListParagraph"/>
        <w:numPr>
          <w:ilvl w:val="0"/>
          <w:numId w:val="99"/>
        </w:numPr>
        <w:tabs>
          <w:tab w:pos="564" w:val="left" w:leader="none"/>
        </w:tabs>
        <w:spacing w:line="250" w:lineRule="exact" w:before="0" w:after="0"/>
        <w:ind w:left="563" w:right="0" w:hanging="246"/>
        <w:jc w:val="left"/>
        <w:rPr>
          <w:sz w:val="24"/>
        </w:rPr>
      </w:pPr>
      <w:r>
        <w:rPr>
          <w:w w:val="130"/>
          <w:sz w:val="24"/>
        </w:rPr>
        <w:t>a panaszkezelési</w:t>
      </w:r>
      <w:r>
        <w:rPr>
          <w:spacing w:val="-7"/>
          <w:w w:val="130"/>
          <w:sz w:val="24"/>
        </w:rPr>
        <w:t> </w:t>
      </w:r>
      <w:r>
        <w:rPr>
          <w:w w:val="130"/>
          <w:sz w:val="24"/>
        </w:rPr>
        <w:t>szabályzatát.</w:t>
      </w:r>
    </w:p>
    <w:p>
      <w:pPr>
        <w:pStyle w:val="ListParagraph"/>
        <w:numPr>
          <w:ilvl w:val="0"/>
          <w:numId w:val="95"/>
        </w:numPr>
        <w:tabs>
          <w:tab w:pos="659" w:val="left" w:leader="none"/>
        </w:tabs>
        <w:spacing w:line="261" w:lineRule="exact" w:before="0" w:after="0"/>
        <w:ind w:left="658" w:right="0" w:hanging="341"/>
        <w:jc w:val="left"/>
        <w:rPr>
          <w:sz w:val="24"/>
        </w:rPr>
      </w:pPr>
      <w:r>
        <w:rPr>
          <w:i/>
          <w:w w:val="125"/>
          <w:position w:val="3"/>
          <w:sz w:val="18"/>
        </w:rPr>
        <w:t>1 </w:t>
      </w:r>
      <w:r>
        <w:rPr>
          <w:w w:val="125"/>
          <w:sz w:val="24"/>
        </w:rPr>
        <w:t>Ha a kérelmező többes kiemelt közvetítőként kíván működni, a</w:t>
      </w:r>
      <w:r>
        <w:rPr>
          <w:spacing w:val="74"/>
          <w:w w:val="125"/>
          <w:sz w:val="24"/>
        </w:rPr>
        <w:t> </w:t>
      </w:r>
      <w:r>
        <w:rPr>
          <w:w w:val="125"/>
          <w:sz w:val="24"/>
        </w:rPr>
        <w:t>(7)</w:t>
      </w:r>
    </w:p>
    <w:p>
      <w:pPr>
        <w:pStyle w:val="BodyText"/>
        <w:spacing w:line="225" w:lineRule="auto" w:before="12"/>
        <w:ind w:right="130" w:firstLine="0"/>
        <w:jc w:val="both"/>
      </w:pPr>
      <w:r>
        <w:rPr>
          <w:w w:val="130"/>
        </w:rPr>
        <w:t>bekezdésben meghatározottakon kívül a kérelemben igazolja az induló tőke teljes összegének rendelkezésre állását. Ha a kérelmező többes kiemelt közvetítőként vagy alkuszként kíván működni, a kérelemhez mellékeli a pénzmosás</w:t>
      </w:r>
      <w:r>
        <w:rPr>
          <w:spacing w:val="78"/>
          <w:w w:val="130"/>
        </w:rPr>
        <w:t> </w:t>
      </w:r>
      <w:r>
        <w:rPr>
          <w:w w:val="130"/>
        </w:rPr>
        <w:t>és</w:t>
      </w:r>
      <w:r>
        <w:rPr>
          <w:spacing w:val="78"/>
          <w:w w:val="130"/>
        </w:rPr>
        <w:t> </w:t>
      </w:r>
      <w:r>
        <w:rPr>
          <w:w w:val="130"/>
        </w:rPr>
        <w:t>a</w:t>
      </w:r>
      <w:r>
        <w:rPr>
          <w:spacing w:val="78"/>
          <w:w w:val="130"/>
        </w:rPr>
        <w:t> </w:t>
      </w:r>
      <w:r>
        <w:rPr>
          <w:w w:val="130"/>
        </w:rPr>
        <w:t>terrorizmus</w:t>
      </w:r>
      <w:r>
        <w:rPr>
          <w:spacing w:val="78"/>
          <w:w w:val="130"/>
        </w:rPr>
        <w:t> </w:t>
      </w:r>
      <w:r>
        <w:rPr>
          <w:w w:val="130"/>
        </w:rPr>
        <w:t>finanszírozása</w:t>
      </w:r>
      <w:r>
        <w:rPr>
          <w:spacing w:val="78"/>
          <w:w w:val="130"/>
        </w:rPr>
        <w:t> </w:t>
      </w:r>
      <w:r>
        <w:rPr>
          <w:w w:val="130"/>
        </w:rPr>
        <w:t>megelőzésére</w:t>
      </w:r>
      <w:r>
        <w:rPr>
          <w:spacing w:val="78"/>
          <w:w w:val="130"/>
        </w:rPr>
        <w:t> </w:t>
      </w:r>
      <w:r>
        <w:rPr>
          <w:w w:val="130"/>
        </w:rPr>
        <w:t>és megakadályozására,</w:t>
      </w:r>
      <w:r>
        <w:rPr>
          <w:spacing w:val="-30"/>
          <w:w w:val="130"/>
        </w:rPr>
        <w:t> </w:t>
      </w:r>
      <w:r>
        <w:rPr>
          <w:w w:val="130"/>
        </w:rPr>
        <w:t>valamint</w:t>
      </w:r>
      <w:r>
        <w:rPr>
          <w:spacing w:val="-31"/>
          <w:w w:val="130"/>
        </w:rPr>
        <w:t> </w:t>
      </w:r>
      <w:r>
        <w:rPr>
          <w:w w:val="130"/>
        </w:rPr>
        <w:t>az</w:t>
      </w:r>
      <w:r>
        <w:rPr>
          <w:spacing w:val="-29"/>
          <w:w w:val="130"/>
        </w:rPr>
        <w:t> </w:t>
      </w:r>
      <w:r>
        <w:rPr>
          <w:w w:val="130"/>
        </w:rPr>
        <w:t>Európai</w:t>
      </w:r>
      <w:r>
        <w:rPr>
          <w:spacing w:val="-21"/>
          <w:w w:val="130"/>
        </w:rPr>
        <w:t> </w:t>
      </w:r>
      <w:r>
        <w:rPr>
          <w:w w:val="130"/>
        </w:rPr>
        <w:t>Unió</w:t>
      </w:r>
      <w:r>
        <w:rPr>
          <w:spacing w:val="-40"/>
          <w:w w:val="130"/>
        </w:rPr>
        <w:t> </w:t>
      </w:r>
      <w:r>
        <w:rPr>
          <w:w w:val="130"/>
        </w:rPr>
        <w:t>és</w:t>
      </w:r>
      <w:r>
        <w:rPr>
          <w:spacing w:val="-29"/>
          <w:w w:val="130"/>
        </w:rPr>
        <w:t> </w:t>
      </w:r>
      <w:r>
        <w:rPr>
          <w:w w:val="130"/>
        </w:rPr>
        <w:t>az</w:t>
      </w:r>
      <w:r>
        <w:rPr>
          <w:spacing w:val="-30"/>
          <w:w w:val="130"/>
        </w:rPr>
        <w:t> </w:t>
      </w:r>
      <w:r>
        <w:rPr>
          <w:w w:val="130"/>
        </w:rPr>
        <w:t>ENSZ</w:t>
      </w:r>
      <w:r>
        <w:rPr>
          <w:spacing w:val="-30"/>
          <w:w w:val="130"/>
        </w:rPr>
        <w:t> </w:t>
      </w:r>
      <w:r>
        <w:rPr>
          <w:w w:val="130"/>
        </w:rPr>
        <w:t>Biztonsági</w:t>
      </w:r>
      <w:r>
        <w:rPr>
          <w:spacing w:val="-31"/>
          <w:w w:val="130"/>
        </w:rPr>
        <w:t> </w:t>
      </w:r>
      <w:r>
        <w:rPr>
          <w:w w:val="130"/>
        </w:rPr>
        <w:t>Tanácsa által elrendelt pénzügyi és vagyoni korlátozó intézkedések végrehajtására vonatkozó szabályzatát és</w:t>
      </w:r>
      <w:r>
        <w:rPr>
          <w:spacing w:val="-13"/>
          <w:w w:val="130"/>
        </w:rPr>
        <w:t> </w:t>
      </w:r>
      <w:r>
        <w:rPr>
          <w:w w:val="130"/>
        </w:rPr>
        <w:t>eljárásrendjét.</w:t>
      </w:r>
    </w:p>
    <w:p>
      <w:pPr>
        <w:pStyle w:val="ListParagraph"/>
        <w:numPr>
          <w:ilvl w:val="0"/>
          <w:numId w:val="95"/>
        </w:numPr>
        <w:tabs>
          <w:tab w:pos="766" w:val="left" w:leader="none"/>
        </w:tabs>
        <w:spacing w:line="225" w:lineRule="auto" w:before="4" w:after="0"/>
        <w:ind w:left="113" w:right="126" w:firstLine="204"/>
        <w:jc w:val="both"/>
        <w:rPr>
          <w:sz w:val="24"/>
        </w:rPr>
      </w:pPr>
      <w:r>
        <w:rPr>
          <w:w w:val="130"/>
          <w:sz w:val="24"/>
        </w:rPr>
        <w:t>Ha a kérelmező a (7) bekezdés </w:t>
      </w:r>
      <w:r>
        <w:rPr>
          <w:i/>
          <w:w w:val="130"/>
          <w:sz w:val="24"/>
        </w:rPr>
        <w:t>b) </w:t>
      </w:r>
      <w:r>
        <w:rPr>
          <w:w w:val="130"/>
          <w:sz w:val="24"/>
        </w:rPr>
        <w:t>pontjában meghatározott adatot nem igazolja, a Felügyelet adatszolgáltatási kérelemmel fordul a szükséges adatokról</w:t>
      </w:r>
      <w:r>
        <w:rPr>
          <w:spacing w:val="-24"/>
          <w:w w:val="130"/>
          <w:sz w:val="24"/>
        </w:rPr>
        <w:t> </w:t>
      </w:r>
      <w:r>
        <w:rPr>
          <w:w w:val="130"/>
          <w:sz w:val="24"/>
        </w:rPr>
        <w:t>nyilvántartást</w:t>
      </w:r>
      <w:r>
        <w:rPr>
          <w:spacing w:val="-22"/>
          <w:w w:val="130"/>
          <w:sz w:val="24"/>
        </w:rPr>
        <w:t> </w:t>
      </w:r>
      <w:r>
        <w:rPr>
          <w:w w:val="130"/>
          <w:sz w:val="24"/>
        </w:rPr>
        <w:t>vezető</w:t>
      </w:r>
      <w:r>
        <w:rPr>
          <w:spacing w:val="-23"/>
          <w:w w:val="130"/>
          <w:sz w:val="24"/>
        </w:rPr>
        <w:t> </w:t>
      </w:r>
      <w:r>
        <w:rPr>
          <w:w w:val="130"/>
          <w:sz w:val="24"/>
        </w:rPr>
        <w:t>magyarországi</w:t>
      </w:r>
      <w:r>
        <w:rPr>
          <w:spacing w:val="-24"/>
          <w:w w:val="130"/>
          <w:sz w:val="24"/>
        </w:rPr>
        <w:t> </w:t>
      </w:r>
      <w:r>
        <w:rPr>
          <w:w w:val="130"/>
          <w:sz w:val="24"/>
        </w:rPr>
        <w:t>hatósághoz</w:t>
      </w:r>
      <w:r>
        <w:rPr>
          <w:spacing w:val="-22"/>
          <w:w w:val="130"/>
          <w:sz w:val="24"/>
        </w:rPr>
        <w:t> </w:t>
      </w:r>
      <w:r>
        <w:rPr>
          <w:w w:val="130"/>
          <w:sz w:val="24"/>
        </w:rPr>
        <w:t>vagy</w:t>
      </w:r>
      <w:r>
        <w:rPr>
          <w:spacing w:val="-23"/>
          <w:w w:val="130"/>
          <w:sz w:val="24"/>
        </w:rPr>
        <w:t> </w:t>
      </w:r>
      <w:r>
        <w:rPr>
          <w:w w:val="130"/>
          <w:sz w:val="24"/>
        </w:rPr>
        <w:t>bírósághoz.</w:t>
      </w:r>
    </w:p>
    <w:p>
      <w:pPr>
        <w:pStyle w:val="ListParagraph"/>
        <w:numPr>
          <w:ilvl w:val="0"/>
          <w:numId w:val="100"/>
        </w:numPr>
        <w:tabs>
          <w:tab w:pos="851" w:val="left" w:leader="none"/>
        </w:tabs>
        <w:spacing w:line="225" w:lineRule="auto" w:before="1" w:after="0"/>
        <w:ind w:left="113" w:right="126" w:firstLine="204"/>
        <w:jc w:val="both"/>
        <w:rPr>
          <w:sz w:val="24"/>
        </w:rPr>
      </w:pPr>
      <w:r>
        <w:rPr>
          <w:rFonts w:ascii="Arial" w:hAnsi="Arial"/>
          <w:b/>
          <w:w w:val="125"/>
          <w:sz w:val="24"/>
        </w:rPr>
        <w:t>§ </w:t>
      </w:r>
      <w:r>
        <w:rPr>
          <w:w w:val="125"/>
          <w:sz w:val="24"/>
        </w:rPr>
        <w:t>A 14. § (1) bekezdés </w:t>
      </w:r>
      <w:r>
        <w:rPr>
          <w:i/>
          <w:w w:val="125"/>
          <w:sz w:val="24"/>
        </w:rPr>
        <w:t>h) </w:t>
      </w:r>
      <w:r>
        <w:rPr>
          <w:w w:val="125"/>
          <w:sz w:val="24"/>
        </w:rPr>
        <w:t>pontjában és 15. § (1) bekezdés </w:t>
      </w:r>
      <w:r>
        <w:rPr>
          <w:i/>
          <w:w w:val="125"/>
          <w:sz w:val="24"/>
        </w:rPr>
        <w:t>f) </w:t>
      </w:r>
      <w:r>
        <w:rPr>
          <w:w w:val="125"/>
          <w:sz w:val="24"/>
        </w:rPr>
        <w:t>pontjában meghatározott esetben az engedély iránti kérelemhez a pénzügyi intézmény benyújtja az írásbeli szerződést, amely azt a szerződési kikötést is tartalmazza, hogy a Felügyelet, valamint a pénzügyi intézmény korlátozás nélkül ellenőrizheti a közvetítőnél a megbízás tárgyát képező tevékenységgel kapcsolatos gazdálkodást és az üzleti</w:t>
      </w:r>
      <w:r>
        <w:rPr>
          <w:spacing w:val="6"/>
          <w:w w:val="125"/>
          <w:sz w:val="24"/>
        </w:rPr>
        <w:t> </w:t>
      </w:r>
      <w:r>
        <w:rPr>
          <w:w w:val="125"/>
          <w:sz w:val="24"/>
        </w:rPr>
        <w:t>könyveket.</w:t>
      </w:r>
    </w:p>
    <w:p>
      <w:pPr>
        <w:pStyle w:val="BodyText"/>
        <w:ind w:left="0" w:firstLine="0"/>
        <w:rPr>
          <w:sz w:val="20"/>
        </w:rPr>
      </w:pPr>
    </w:p>
    <w:p>
      <w:pPr>
        <w:pStyle w:val="BodyText"/>
        <w:ind w:left="0" w:firstLine="0"/>
        <w:rPr>
          <w:sz w:val="20"/>
        </w:rPr>
      </w:pPr>
    </w:p>
    <w:p>
      <w:pPr>
        <w:pStyle w:val="BodyText"/>
        <w:spacing w:before="6"/>
        <w:ind w:left="0" w:firstLine="0"/>
        <w:rPr>
          <w:sz w:val="10"/>
        </w:rPr>
      </w:pPr>
      <w:r>
        <w:rPr/>
        <w:pict>
          <v:line style="position:absolute;mso-position-horizontal-relative:page;mso-position-vertical-relative:paragraph;z-index:-280;mso-wrap-distance-left:0;mso-wrap-distance-right:0" from="56.693001pt,8.280516pt" to="538.583001pt,8.28051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LII. törvény 22. § (7)</w:t>
      </w:r>
      <w:r>
        <w:rPr>
          <w:i/>
          <w:spacing w:val="-3"/>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1935" w:firstLine="0"/>
      </w:pPr>
      <w:r>
        <w:rPr>
          <w:w w:val="125"/>
        </w:rPr>
        <w:t>14. Az alapszabály módosításának engedélyezése</w:t>
      </w:r>
    </w:p>
    <w:p>
      <w:pPr>
        <w:pStyle w:val="ListParagraph"/>
        <w:numPr>
          <w:ilvl w:val="0"/>
          <w:numId w:val="100"/>
        </w:numPr>
        <w:tabs>
          <w:tab w:pos="884" w:val="left" w:leader="none"/>
        </w:tabs>
        <w:spacing w:line="225" w:lineRule="auto" w:before="237" w:after="0"/>
        <w:ind w:left="113" w:right="127" w:firstLine="204"/>
        <w:jc w:val="left"/>
        <w:rPr>
          <w:sz w:val="24"/>
        </w:rPr>
      </w:pPr>
      <w:r>
        <w:rPr>
          <w:rFonts w:ascii="Arial" w:hAnsi="Arial"/>
          <w:b/>
          <w:w w:val="125"/>
          <w:sz w:val="24"/>
        </w:rPr>
        <w:t>§ </w:t>
      </w:r>
      <w:r>
        <w:rPr>
          <w:w w:val="125"/>
          <w:sz w:val="24"/>
        </w:rPr>
        <w:t>A Felügyelet engedélye szükséges a hitelintézetek alapszabályának módosításához a következő</w:t>
      </w:r>
      <w:r>
        <w:rPr>
          <w:spacing w:val="1"/>
          <w:w w:val="125"/>
          <w:sz w:val="24"/>
        </w:rPr>
        <w:t> </w:t>
      </w:r>
      <w:r>
        <w:rPr>
          <w:w w:val="125"/>
          <w:sz w:val="24"/>
        </w:rPr>
        <w:t>esetekben:</w:t>
      </w:r>
    </w:p>
    <w:p>
      <w:pPr>
        <w:pStyle w:val="ListParagraph"/>
        <w:numPr>
          <w:ilvl w:val="0"/>
          <w:numId w:val="101"/>
        </w:numPr>
        <w:tabs>
          <w:tab w:pos="631" w:val="left" w:leader="none"/>
        </w:tabs>
        <w:spacing w:line="256" w:lineRule="exact" w:before="0" w:after="0"/>
        <w:ind w:left="630" w:right="0" w:hanging="313"/>
        <w:jc w:val="left"/>
        <w:rPr>
          <w:sz w:val="24"/>
        </w:rPr>
      </w:pPr>
      <w:r>
        <w:rPr>
          <w:w w:val="130"/>
          <w:sz w:val="24"/>
        </w:rPr>
        <w:t>a cég nevének és székhelyének</w:t>
      </w:r>
      <w:r>
        <w:rPr>
          <w:spacing w:val="-25"/>
          <w:w w:val="130"/>
          <w:sz w:val="24"/>
        </w:rPr>
        <w:t> </w:t>
      </w:r>
      <w:r>
        <w:rPr>
          <w:w w:val="130"/>
          <w:sz w:val="24"/>
        </w:rPr>
        <w:t>megváltoztatása,</w:t>
      </w:r>
    </w:p>
    <w:p>
      <w:pPr>
        <w:pStyle w:val="ListParagraph"/>
        <w:numPr>
          <w:ilvl w:val="0"/>
          <w:numId w:val="101"/>
        </w:numPr>
        <w:tabs>
          <w:tab w:pos="653" w:val="left" w:leader="none"/>
        </w:tabs>
        <w:spacing w:line="260" w:lineRule="exact" w:before="0" w:after="0"/>
        <w:ind w:left="652" w:right="0" w:hanging="335"/>
        <w:jc w:val="left"/>
        <w:rPr>
          <w:sz w:val="24"/>
        </w:rPr>
      </w:pPr>
      <w:r>
        <w:rPr>
          <w:w w:val="130"/>
          <w:sz w:val="24"/>
        </w:rPr>
        <w:t>a tevékenységi kör</w:t>
      </w:r>
      <w:r>
        <w:rPr>
          <w:spacing w:val="-23"/>
          <w:w w:val="130"/>
          <w:sz w:val="24"/>
        </w:rPr>
        <w:t> </w:t>
      </w:r>
      <w:r>
        <w:rPr>
          <w:w w:val="130"/>
          <w:sz w:val="24"/>
        </w:rPr>
        <w:t>módosítása,</w:t>
      </w:r>
    </w:p>
    <w:p>
      <w:pPr>
        <w:pStyle w:val="ListParagraph"/>
        <w:numPr>
          <w:ilvl w:val="0"/>
          <w:numId w:val="101"/>
        </w:numPr>
        <w:tabs>
          <w:tab w:pos="623" w:val="left" w:leader="none"/>
        </w:tabs>
        <w:spacing w:line="260" w:lineRule="exact" w:before="0" w:after="0"/>
        <w:ind w:left="622" w:right="0" w:hanging="305"/>
        <w:jc w:val="left"/>
        <w:rPr>
          <w:sz w:val="24"/>
        </w:rPr>
      </w:pPr>
      <w:r>
        <w:rPr>
          <w:w w:val="130"/>
          <w:sz w:val="24"/>
        </w:rPr>
        <w:t>a jegyzett tőke</w:t>
      </w:r>
      <w:r>
        <w:rPr>
          <w:spacing w:val="-11"/>
          <w:w w:val="130"/>
          <w:sz w:val="24"/>
        </w:rPr>
        <w:t> </w:t>
      </w:r>
      <w:r>
        <w:rPr>
          <w:w w:val="130"/>
          <w:sz w:val="24"/>
        </w:rPr>
        <w:t>leszállítása,</w:t>
      </w:r>
    </w:p>
    <w:p>
      <w:pPr>
        <w:pStyle w:val="ListParagraph"/>
        <w:numPr>
          <w:ilvl w:val="0"/>
          <w:numId w:val="101"/>
        </w:numPr>
        <w:tabs>
          <w:tab w:pos="781" w:val="left" w:leader="none"/>
          <w:tab w:pos="783" w:val="left" w:leader="none"/>
          <w:tab w:pos="2618" w:val="left" w:leader="none"/>
          <w:tab w:pos="4903" w:val="left" w:leader="none"/>
          <w:tab w:pos="5347" w:val="left" w:leader="none"/>
          <w:tab w:pos="7198" w:val="left" w:leader="none"/>
          <w:tab w:pos="8822" w:val="left" w:leader="none"/>
          <w:tab w:pos="9605" w:val="left" w:leader="none"/>
        </w:tabs>
        <w:spacing w:line="225" w:lineRule="auto" w:before="5" w:after="0"/>
        <w:ind w:left="113" w:right="129" w:firstLine="204"/>
        <w:jc w:val="left"/>
        <w:rPr>
          <w:sz w:val="24"/>
        </w:rPr>
      </w:pPr>
      <w:r>
        <w:rPr>
          <w:w w:val="130"/>
          <w:sz w:val="24"/>
        </w:rPr>
        <w:t>részvényfajta</w:t>
        <w:tab/>
        <w:t>megváltoztatása,</w:t>
        <w:tab/>
        <w:t>új</w:t>
        <w:tab/>
        <w:t>részvényfajta</w:t>
        <w:tab/>
        <w:t>kibocsátása</w:t>
        <w:tab/>
        <w:t>vagy</w:t>
        <w:tab/>
      </w:r>
      <w:r>
        <w:rPr>
          <w:spacing w:val="-18"/>
          <w:w w:val="130"/>
          <w:sz w:val="24"/>
        </w:rPr>
        <w:t>a </w:t>
      </w:r>
      <w:r>
        <w:rPr>
          <w:w w:val="130"/>
          <w:sz w:val="24"/>
        </w:rPr>
        <w:t>korábban kibocsátott részvények típusainak</w:t>
      </w:r>
      <w:r>
        <w:rPr>
          <w:spacing w:val="-27"/>
          <w:w w:val="130"/>
          <w:sz w:val="24"/>
        </w:rPr>
        <w:t> </w:t>
      </w:r>
      <w:r>
        <w:rPr>
          <w:w w:val="130"/>
          <w:sz w:val="24"/>
        </w:rPr>
        <w:t>módosítása,</w:t>
      </w:r>
    </w:p>
    <w:p>
      <w:pPr>
        <w:pStyle w:val="ListParagraph"/>
        <w:numPr>
          <w:ilvl w:val="0"/>
          <w:numId w:val="101"/>
        </w:numPr>
        <w:tabs>
          <w:tab w:pos="629" w:val="left" w:leader="none"/>
        </w:tabs>
        <w:spacing w:line="256" w:lineRule="exact" w:before="0" w:after="0"/>
        <w:ind w:left="628" w:right="0" w:hanging="311"/>
        <w:jc w:val="left"/>
        <w:rPr>
          <w:sz w:val="24"/>
        </w:rPr>
      </w:pPr>
      <w:r>
        <w:rPr>
          <w:w w:val="125"/>
          <w:sz w:val="24"/>
        </w:rPr>
        <w:t>az igazgatóság jogkörének</w:t>
      </w:r>
      <w:r>
        <w:rPr>
          <w:spacing w:val="3"/>
          <w:w w:val="125"/>
          <w:sz w:val="24"/>
        </w:rPr>
        <w:t> </w:t>
      </w:r>
      <w:r>
        <w:rPr>
          <w:w w:val="125"/>
          <w:sz w:val="24"/>
        </w:rPr>
        <w:t>módosítása,</w:t>
      </w:r>
    </w:p>
    <w:p>
      <w:pPr>
        <w:pStyle w:val="ListParagraph"/>
        <w:numPr>
          <w:ilvl w:val="0"/>
          <w:numId w:val="101"/>
        </w:numPr>
        <w:tabs>
          <w:tab w:pos="731" w:val="left" w:leader="none"/>
          <w:tab w:pos="733" w:val="left" w:leader="none"/>
          <w:tab w:pos="2875" w:val="left" w:leader="none"/>
          <w:tab w:pos="4213" w:val="left" w:leader="none"/>
          <w:tab w:pos="5010" w:val="left" w:leader="none"/>
          <w:tab w:pos="6680" w:val="left" w:leader="none"/>
          <w:tab w:pos="7525" w:val="left" w:leader="none"/>
          <w:tab w:pos="8795" w:val="left" w:leader="none"/>
        </w:tabs>
        <w:spacing w:line="225" w:lineRule="auto" w:before="6" w:after="0"/>
        <w:ind w:left="113" w:right="129" w:firstLine="204"/>
        <w:jc w:val="left"/>
        <w:rPr>
          <w:sz w:val="24"/>
        </w:rPr>
      </w:pPr>
      <w:r>
        <w:rPr>
          <w:w w:val="130"/>
          <w:sz w:val="24"/>
        </w:rPr>
        <w:t>átváltoztatható,</w:t>
        <w:tab/>
        <w:t>átváltozó</w:t>
        <w:tab/>
        <w:t>vagy</w:t>
        <w:tab/>
        <w:t>elővásárlási</w:t>
        <w:tab/>
        <w:t>jogot</w:t>
        <w:tab/>
        <w:t>biztosító</w:t>
        <w:tab/>
      </w:r>
      <w:r>
        <w:rPr>
          <w:spacing w:val="-3"/>
          <w:w w:val="125"/>
          <w:sz w:val="24"/>
        </w:rPr>
        <w:t>kötvény </w:t>
      </w:r>
      <w:r>
        <w:rPr>
          <w:w w:val="130"/>
          <w:sz w:val="24"/>
        </w:rPr>
        <w:t>kibocsátása és az azokra vonatkozó szabályok</w:t>
      </w:r>
      <w:r>
        <w:rPr>
          <w:spacing w:val="-51"/>
          <w:w w:val="130"/>
          <w:sz w:val="24"/>
        </w:rPr>
        <w:t> </w:t>
      </w:r>
      <w:r>
        <w:rPr>
          <w:w w:val="130"/>
          <w:sz w:val="24"/>
        </w:rPr>
        <w:t>módosítása,</w:t>
      </w:r>
    </w:p>
    <w:p>
      <w:pPr>
        <w:pStyle w:val="ListParagraph"/>
        <w:numPr>
          <w:ilvl w:val="0"/>
          <w:numId w:val="101"/>
        </w:numPr>
        <w:tabs>
          <w:tab w:pos="763" w:val="left" w:leader="none"/>
        </w:tabs>
        <w:spacing w:line="225" w:lineRule="auto" w:before="1" w:after="0"/>
        <w:ind w:left="113" w:right="131" w:firstLine="204"/>
        <w:jc w:val="left"/>
        <w:rPr>
          <w:sz w:val="24"/>
        </w:rPr>
      </w:pPr>
      <w:r>
        <w:rPr>
          <w:w w:val="130"/>
          <w:sz w:val="24"/>
        </w:rPr>
        <w:t>részvényre vonatkozó elővásárlási jog alapítása és megváltoztatása, valamint</w:t>
      </w:r>
    </w:p>
    <w:p>
      <w:pPr>
        <w:pStyle w:val="ListParagraph"/>
        <w:numPr>
          <w:ilvl w:val="0"/>
          <w:numId w:val="101"/>
        </w:numPr>
        <w:tabs>
          <w:tab w:pos="775" w:val="left" w:leader="none"/>
          <w:tab w:pos="776" w:val="left" w:leader="none"/>
          <w:tab w:pos="2490" w:val="left" w:leader="none"/>
          <w:tab w:pos="4446" w:val="left" w:leader="none"/>
          <w:tab w:pos="4925" w:val="left" w:leader="none"/>
          <w:tab w:pos="5565" w:val="left" w:leader="none"/>
          <w:tab w:pos="6166" w:val="left" w:leader="none"/>
          <w:tab w:pos="7397" w:val="left" w:leader="none"/>
          <w:tab w:pos="8697" w:val="left" w:leader="none"/>
        </w:tabs>
        <w:spacing w:line="225" w:lineRule="auto" w:before="1" w:after="0"/>
        <w:ind w:left="113" w:right="128" w:firstLine="204"/>
        <w:jc w:val="left"/>
        <w:rPr>
          <w:sz w:val="24"/>
        </w:rPr>
      </w:pPr>
      <w:r>
        <w:rPr>
          <w:w w:val="130"/>
          <w:sz w:val="24"/>
        </w:rPr>
        <w:t>szövetkezeti</w:t>
        <w:tab/>
        <w:t>hitelintézetnél</w:t>
        <w:tab/>
        <w:t>az</w:t>
        <w:tab/>
        <w:t>egy</w:t>
        <w:tab/>
        <w:t>tag</w:t>
        <w:tab/>
        <w:t>számára</w:t>
        <w:tab/>
        <w:t>kötelező,</w:t>
        <w:tab/>
      </w:r>
      <w:r>
        <w:rPr>
          <w:spacing w:val="-3"/>
          <w:w w:val="125"/>
          <w:sz w:val="24"/>
        </w:rPr>
        <w:t>valamint </w:t>
      </w:r>
      <w:r>
        <w:rPr>
          <w:w w:val="130"/>
          <w:sz w:val="24"/>
        </w:rPr>
        <w:t>lehetséges vagyoni hozzájárulás mértékének</w:t>
      </w:r>
      <w:r>
        <w:rPr>
          <w:spacing w:val="-31"/>
          <w:w w:val="130"/>
          <w:sz w:val="24"/>
        </w:rPr>
        <w:t> </w:t>
      </w:r>
      <w:r>
        <w:rPr>
          <w:w w:val="130"/>
          <w:sz w:val="24"/>
        </w:rPr>
        <w:t>megváltoztatása.</w:t>
      </w:r>
    </w:p>
    <w:p>
      <w:pPr>
        <w:pStyle w:val="BodyText"/>
        <w:spacing w:before="228"/>
        <w:ind w:left="1735" w:firstLine="0"/>
      </w:pPr>
      <w:r>
        <w:rPr>
          <w:w w:val="130"/>
        </w:rPr>
        <w:t>15. Átalakítás, egyesülés és szétválás engedélyezése</w:t>
      </w:r>
    </w:p>
    <w:p>
      <w:pPr>
        <w:pStyle w:val="ListParagraph"/>
        <w:numPr>
          <w:ilvl w:val="0"/>
          <w:numId w:val="100"/>
        </w:numPr>
        <w:tabs>
          <w:tab w:pos="915" w:val="left" w:leader="none"/>
        </w:tabs>
        <w:spacing w:line="225" w:lineRule="auto" w:before="236" w:after="0"/>
        <w:ind w:left="113" w:right="125" w:firstLine="204"/>
        <w:jc w:val="both"/>
        <w:rPr>
          <w:sz w:val="24"/>
        </w:rPr>
      </w:pPr>
      <w:r>
        <w:rPr>
          <w:rFonts w:ascii="Arial" w:hAnsi="Arial"/>
          <w:b/>
          <w:w w:val="125"/>
          <w:sz w:val="24"/>
        </w:rPr>
        <w:t>§ </w:t>
      </w:r>
      <w:r>
        <w:rPr>
          <w:w w:val="125"/>
          <w:sz w:val="24"/>
        </w:rPr>
        <w:t>(1) Hitelintézet más típusú hitelintézetté, pénzügyi vállalkozássá, továbbá pénzügyi vállalkozás hitelintézetté történő átalakítása esetén az alapításra vonatkozó szabályokat alkalmazza. Hitelintézet befektetési vállalkozássá történő átalakítása esetén - a (2) bekezdésben meghatározott eltéréssel - a Bszt. engedélyezésre vonatkozó szabályait</w:t>
      </w:r>
      <w:r>
        <w:rPr>
          <w:spacing w:val="16"/>
          <w:w w:val="125"/>
          <w:sz w:val="24"/>
        </w:rPr>
        <w:t> </w:t>
      </w:r>
      <w:r>
        <w:rPr>
          <w:w w:val="125"/>
          <w:sz w:val="24"/>
        </w:rPr>
        <w:t>alkalmazza.</w:t>
      </w:r>
    </w:p>
    <w:p>
      <w:pPr>
        <w:pStyle w:val="ListParagraph"/>
        <w:numPr>
          <w:ilvl w:val="0"/>
          <w:numId w:val="102"/>
        </w:numPr>
        <w:tabs>
          <w:tab w:pos="744" w:val="left" w:leader="none"/>
        </w:tabs>
        <w:spacing w:line="225" w:lineRule="auto" w:before="3" w:after="0"/>
        <w:ind w:left="113" w:right="127" w:firstLine="204"/>
        <w:jc w:val="both"/>
        <w:rPr>
          <w:sz w:val="24"/>
        </w:rPr>
      </w:pPr>
      <w:r>
        <w:rPr>
          <w:w w:val="125"/>
          <w:sz w:val="24"/>
        </w:rPr>
        <w:t>A Bszt. engedélyezésre vonatkozó szabályait nem szükséges alkalmazni a befektetési vállalkozássá átalakítandó hitelintézet által folytatott és már engedélyezett befektetési szolgáltatási tevékenység, befektetési szolgáltatási tevékenységet kiegészítő szolgáltatás</w:t>
      </w:r>
      <w:r>
        <w:rPr>
          <w:spacing w:val="25"/>
          <w:w w:val="125"/>
          <w:sz w:val="24"/>
        </w:rPr>
        <w:t> </w:t>
      </w:r>
      <w:r>
        <w:rPr>
          <w:w w:val="125"/>
          <w:sz w:val="24"/>
        </w:rPr>
        <w:t>vonatkozásában.</w:t>
      </w:r>
    </w:p>
    <w:p>
      <w:pPr>
        <w:pStyle w:val="ListParagraph"/>
        <w:numPr>
          <w:ilvl w:val="0"/>
          <w:numId w:val="102"/>
        </w:numPr>
        <w:tabs>
          <w:tab w:pos="768" w:val="left" w:leader="none"/>
        </w:tabs>
        <w:spacing w:line="225" w:lineRule="auto" w:before="2" w:after="0"/>
        <w:ind w:left="113" w:right="127" w:firstLine="204"/>
        <w:jc w:val="both"/>
        <w:rPr>
          <w:sz w:val="24"/>
        </w:rPr>
      </w:pPr>
      <w:r>
        <w:rPr>
          <w:w w:val="130"/>
          <w:sz w:val="24"/>
        </w:rPr>
        <w:t>Hitelintézet csak abban az esetben alakítható át pénzügyi vállalkozássá vagy befektetési vállalkozássá, ha betétállományát az átalakítást eldöntő közgyűlési határozatot megelőzően teljes egészében</w:t>
      </w:r>
      <w:r>
        <w:rPr>
          <w:spacing w:val="-36"/>
          <w:w w:val="130"/>
          <w:sz w:val="24"/>
        </w:rPr>
        <w:t> </w:t>
      </w:r>
      <w:r>
        <w:rPr>
          <w:w w:val="130"/>
          <w:sz w:val="24"/>
        </w:rPr>
        <w:t>átruházta.</w:t>
      </w:r>
    </w:p>
    <w:p>
      <w:pPr>
        <w:pStyle w:val="ListParagraph"/>
        <w:numPr>
          <w:ilvl w:val="0"/>
          <w:numId w:val="100"/>
        </w:numPr>
        <w:tabs>
          <w:tab w:pos="956" w:val="left" w:leader="none"/>
        </w:tabs>
        <w:spacing w:line="225" w:lineRule="auto" w:before="1" w:after="0"/>
        <w:ind w:left="113" w:right="124" w:firstLine="204"/>
        <w:jc w:val="both"/>
        <w:rPr>
          <w:sz w:val="24"/>
        </w:rPr>
      </w:pPr>
      <w:r>
        <w:rPr>
          <w:rFonts w:ascii="Arial" w:hAnsi="Arial"/>
          <w:b/>
          <w:w w:val="125"/>
          <w:sz w:val="24"/>
        </w:rPr>
        <w:t>§ </w:t>
      </w:r>
      <w:r>
        <w:rPr>
          <w:w w:val="125"/>
          <w:sz w:val="24"/>
        </w:rPr>
        <w:t>(1) Pénzügyi vállalkozás kizárólag más pénzügyi vállalkozással egyesülhet, illetve beolvadhat hitelintézetbe. Hitelintézetbe más hitelintézet, pénzügyi vállalkozás, járulékos vállalkozás befektetési vállalkozás és központi szerződő</w:t>
      </w:r>
      <w:r>
        <w:rPr>
          <w:spacing w:val="11"/>
          <w:w w:val="125"/>
          <w:sz w:val="24"/>
        </w:rPr>
        <w:t> </w:t>
      </w:r>
      <w:r>
        <w:rPr>
          <w:w w:val="125"/>
          <w:sz w:val="24"/>
        </w:rPr>
        <w:t>fél</w:t>
      </w:r>
      <w:r>
        <w:rPr>
          <w:spacing w:val="11"/>
          <w:w w:val="125"/>
          <w:sz w:val="24"/>
        </w:rPr>
        <w:t> </w:t>
      </w:r>
      <w:r>
        <w:rPr>
          <w:w w:val="125"/>
          <w:sz w:val="24"/>
        </w:rPr>
        <w:t>olvadhat</w:t>
      </w:r>
      <w:r>
        <w:rPr>
          <w:spacing w:val="12"/>
          <w:w w:val="125"/>
          <w:sz w:val="24"/>
        </w:rPr>
        <w:t> </w:t>
      </w:r>
      <w:r>
        <w:rPr>
          <w:w w:val="125"/>
          <w:sz w:val="24"/>
        </w:rPr>
        <w:t>be,</w:t>
      </w:r>
      <w:r>
        <w:rPr>
          <w:spacing w:val="11"/>
          <w:w w:val="125"/>
          <w:sz w:val="24"/>
        </w:rPr>
        <w:t> </w:t>
      </w:r>
      <w:r>
        <w:rPr>
          <w:w w:val="125"/>
          <w:sz w:val="24"/>
        </w:rPr>
        <w:t>illetve</w:t>
      </w:r>
      <w:r>
        <w:rPr>
          <w:spacing w:val="11"/>
          <w:w w:val="125"/>
          <w:sz w:val="24"/>
        </w:rPr>
        <w:t> </w:t>
      </w:r>
      <w:r>
        <w:rPr>
          <w:w w:val="125"/>
          <w:sz w:val="24"/>
        </w:rPr>
        <w:t>hitelintézet</w:t>
      </w:r>
      <w:r>
        <w:rPr>
          <w:spacing w:val="11"/>
          <w:w w:val="125"/>
          <w:sz w:val="24"/>
        </w:rPr>
        <w:t> </w:t>
      </w:r>
      <w:r>
        <w:rPr>
          <w:w w:val="125"/>
          <w:sz w:val="24"/>
        </w:rPr>
        <w:t>más</w:t>
      </w:r>
      <w:r>
        <w:rPr>
          <w:spacing w:val="10"/>
          <w:w w:val="125"/>
          <w:sz w:val="24"/>
        </w:rPr>
        <w:t> </w:t>
      </w:r>
      <w:r>
        <w:rPr>
          <w:w w:val="125"/>
          <w:sz w:val="24"/>
        </w:rPr>
        <w:t>hitelintézettel</w:t>
      </w:r>
      <w:r>
        <w:rPr>
          <w:spacing w:val="12"/>
          <w:w w:val="125"/>
          <w:sz w:val="24"/>
        </w:rPr>
        <w:t> </w:t>
      </w:r>
      <w:r>
        <w:rPr>
          <w:w w:val="125"/>
          <w:sz w:val="24"/>
        </w:rPr>
        <w:t>olvadhat</w:t>
      </w:r>
      <w:r>
        <w:rPr>
          <w:spacing w:val="11"/>
          <w:w w:val="125"/>
          <w:sz w:val="24"/>
        </w:rPr>
        <w:t> </w:t>
      </w:r>
      <w:r>
        <w:rPr>
          <w:w w:val="125"/>
          <w:sz w:val="24"/>
        </w:rPr>
        <w:t>össze.</w:t>
      </w:r>
    </w:p>
    <w:p>
      <w:pPr>
        <w:pStyle w:val="ListParagraph"/>
        <w:numPr>
          <w:ilvl w:val="0"/>
          <w:numId w:val="103"/>
        </w:numPr>
        <w:tabs>
          <w:tab w:pos="734" w:val="left" w:leader="none"/>
        </w:tabs>
        <w:spacing w:line="257" w:lineRule="exact" w:before="0" w:after="0"/>
        <w:ind w:left="733" w:right="0" w:hanging="416"/>
        <w:jc w:val="left"/>
        <w:rPr>
          <w:sz w:val="24"/>
        </w:rPr>
      </w:pPr>
      <w:r>
        <w:rPr>
          <w:w w:val="125"/>
          <w:sz w:val="24"/>
        </w:rPr>
        <w:t>Nem</w:t>
      </w:r>
      <w:r>
        <w:rPr>
          <w:spacing w:val="1"/>
          <w:w w:val="125"/>
          <w:sz w:val="24"/>
        </w:rPr>
        <w:t> </w:t>
      </w:r>
      <w:r>
        <w:rPr>
          <w:w w:val="125"/>
          <w:sz w:val="24"/>
        </w:rPr>
        <w:t>egyesülhet</w:t>
      </w:r>
    </w:p>
    <w:p>
      <w:pPr>
        <w:pStyle w:val="ListParagraph"/>
        <w:numPr>
          <w:ilvl w:val="0"/>
          <w:numId w:val="104"/>
        </w:numPr>
        <w:tabs>
          <w:tab w:pos="556" w:val="left" w:leader="none"/>
        </w:tabs>
        <w:spacing w:line="260" w:lineRule="exact" w:before="0" w:after="0"/>
        <w:ind w:left="555" w:right="0" w:hanging="238"/>
        <w:jc w:val="left"/>
        <w:rPr>
          <w:sz w:val="18"/>
        </w:rPr>
      </w:pPr>
      <w:r>
        <w:rPr>
          <w:i/>
          <w:w w:val="127"/>
          <w:position w:val="3"/>
          <w:sz w:val="18"/>
        </w:rPr>
        <w:t>1</w:t>
      </w:r>
      <w:r>
        <w:rPr>
          <w:sz w:val="18"/>
        </w:rPr>
      </w:r>
    </w:p>
    <w:p>
      <w:pPr>
        <w:pStyle w:val="ListParagraph"/>
        <w:numPr>
          <w:ilvl w:val="0"/>
          <w:numId w:val="104"/>
        </w:numPr>
        <w:tabs>
          <w:tab w:pos="567" w:val="left" w:leader="none"/>
        </w:tabs>
        <w:spacing w:line="260" w:lineRule="exact" w:before="0" w:after="0"/>
        <w:ind w:left="566" w:right="0" w:hanging="249"/>
        <w:jc w:val="left"/>
        <w:rPr>
          <w:sz w:val="24"/>
        </w:rPr>
      </w:pPr>
      <w:r>
        <w:rPr>
          <w:i/>
          <w:w w:val="125"/>
          <w:position w:val="3"/>
          <w:sz w:val="18"/>
        </w:rPr>
        <w:t>2 </w:t>
      </w:r>
      <w:r>
        <w:rPr>
          <w:w w:val="125"/>
          <w:sz w:val="24"/>
        </w:rPr>
        <w:t>fióktelep formájában működő pénzügyi intézmény és jogi</w:t>
      </w:r>
      <w:r>
        <w:rPr>
          <w:spacing w:val="-49"/>
          <w:w w:val="125"/>
          <w:sz w:val="24"/>
        </w:rPr>
        <w:t> </w:t>
      </w:r>
      <w:r>
        <w:rPr>
          <w:w w:val="125"/>
          <w:sz w:val="24"/>
        </w:rPr>
        <w:t>személy.</w:t>
      </w:r>
    </w:p>
    <w:p>
      <w:pPr>
        <w:pStyle w:val="ListParagraph"/>
        <w:numPr>
          <w:ilvl w:val="0"/>
          <w:numId w:val="103"/>
        </w:numPr>
        <w:tabs>
          <w:tab w:pos="987" w:val="left" w:leader="none"/>
          <w:tab w:pos="988" w:val="left" w:leader="none"/>
          <w:tab w:pos="2739" w:val="left" w:leader="none"/>
          <w:tab w:pos="3628" w:val="left" w:leader="none"/>
          <w:tab w:pos="5047" w:val="left" w:leader="none"/>
          <w:tab w:pos="6700" w:val="left" w:leader="none"/>
          <w:tab w:pos="8354" w:val="left" w:leader="none"/>
          <w:tab w:pos="9475" w:val="left" w:leader="none"/>
        </w:tabs>
        <w:spacing w:line="225" w:lineRule="auto" w:before="5" w:after="0"/>
        <w:ind w:left="113" w:right="133" w:firstLine="204"/>
        <w:jc w:val="left"/>
        <w:rPr>
          <w:sz w:val="24"/>
        </w:rPr>
      </w:pPr>
      <w:r>
        <w:rPr>
          <w:w w:val="130"/>
          <w:sz w:val="24"/>
        </w:rPr>
        <w:t>Hitelintézet</w:t>
        <w:tab/>
        <w:t>vagy</w:t>
        <w:tab/>
        <w:t>pénzügyi</w:t>
        <w:tab/>
        <w:t>vállalkozás</w:t>
        <w:tab/>
        <w:t>egyesülése</w:t>
        <w:tab/>
        <w:t>esetén</w:t>
        <w:tab/>
      </w:r>
      <w:r>
        <w:rPr>
          <w:spacing w:val="-9"/>
          <w:w w:val="130"/>
          <w:sz w:val="24"/>
        </w:rPr>
        <w:t>az </w:t>
      </w:r>
      <w:r>
        <w:rPr>
          <w:w w:val="130"/>
          <w:sz w:val="24"/>
        </w:rPr>
        <w:t>engedélyezésre irányuló kérelemhez</w:t>
      </w:r>
      <w:r>
        <w:rPr>
          <w:spacing w:val="-18"/>
          <w:w w:val="130"/>
          <w:sz w:val="24"/>
        </w:rPr>
        <w:t> </w:t>
      </w:r>
      <w:r>
        <w:rPr>
          <w:w w:val="130"/>
          <w:sz w:val="24"/>
        </w:rPr>
        <w:t>benyújtja:</w:t>
      </w:r>
    </w:p>
    <w:p>
      <w:pPr>
        <w:pStyle w:val="ListParagraph"/>
        <w:numPr>
          <w:ilvl w:val="0"/>
          <w:numId w:val="105"/>
        </w:numPr>
        <w:tabs>
          <w:tab w:pos="631" w:val="left" w:leader="none"/>
        </w:tabs>
        <w:spacing w:line="256" w:lineRule="exact" w:before="0" w:after="0"/>
        <w:ind w:left="630" w:right="0" w:hanging="313"/>
        <w:jc w:val="left"/>
        <w:rPr>
          <w:sz w:val="24"/>
        </w:rPr>
      </w:pPr>
      <w:r>
        <w:rPr>
          <w:w w:val="130"/>
          <w:sz w:val="24"/>
        </w:rPr>
        <w:t>az egyesülési</w:t>
      </w:r>
      <w:r>
        <w:rPr>
          <w:spacing w:val="-3"/>
          <w:w w:val="130"/>
          <w:sz w:val="24"/>
        </w:rPr>
        <w:t> </w:t>
      </w:r>
      <w:r>
        <w:rPr>
          <w:w w:val="130"/>
          <w:sz w:val="24"/>
        </w:rPr>
        <w:t>szerződést,</w:t>
      </w:r>
    </w:p>
    <w:p>
      <w:pPr>
        <w:pStyle w:val="ListParagraph"/>
        <w:numPr>
          <w:ilvl w:val="0"/>
          <w:numId w:val="105"/>
        </w:numPr>
        <w:tabs>
          <w:tab w:pos="938" w:val="left" w:leader="none"/>
          <w:tab w:pos="939" w:val="left" w:leader="none"/>
          <w:tab w:pos="1455" w:val="left" w:leader="none"/>
          <w:tab w:pos="3518" w:val="left" w:leader="none"/>
          <w:tab w:pos="4427" w:val="left" w:leader="none"/>
          <w:tab w:pos="6120" w:val="left" w:leader="none"/>
          <w:tab w:pos="9598" w:val="left" w:leader="none"/>
        </w:tabs>
        <w:spacing w:line="225" w:lineRule="auto" w:before="6" w:after="0"/>
        <w:ind w:left="113" w:right="135" w:firstLine="204"/>
        <w:jc w:val="left"/>
        <w:rPr>
          <w:sz w:val="24"/>
        </w:rPr>
      </w:pPr>
      <w:r>
        <w:rPr>
          <w:w w:val="130"/>
          <w:sz w:val="24"/>
        </w:rPr>
        <w:t>a</w:t>
        <w:tab/>
      </w:r>
      <w:r>
        <w:rPr>
          <w:w w:val="125"/>
          <w:sz w:val="24"/>
        </w:rPr>
        <w:t>könyvvizsgáló</w:t>
        <w:tab/>
      </w:r>
      <w:r>
        <w:rPr>
          <w:w w:val="130"/>
          <w:sz w:val="24"/>
        </w:rPr>
        <w:t>által</w:t>
        <w:tab/>
        <w:t>hitelesített</w:t>
        <w:tab/>
        <w:t>vagyonmérleg-tervezetet,</w:t>
        <w:tab/>
      </w:r>
      <w:r>
        <w:rPr>
          <w:spacing w:val="-17"/>
          <w:w w:val="130"/>
          <w:sz w:val="24"/>
        </w:rPr>
        <w:t>a </w:t>
      </w:r>
      <w:r>
        <w:rPr>
          <w:w w:val="130"/>
          <w:sz w:val="24"/>
        </w:rPr>
        <w:t>kötelezettségek és a követelések</w:t>
      </w:r>
      <w:r>
        <w:rPr>
          <w:spacing w:val="-20"/>
          <w:w w:val="130"/>
          <w:sz w:val="24"/>
        </w:rPr>
        <w:t> </w:t>
      </w:r>
      <w:r>
        <w:rPr>
          <w:w w:val="130"/>
          <w:sz w:val="24"/>
        </w:rPr>
        <w:t>állományát,</w:t>
      </w:r>
    </w:p>
    <w:p>
      <w:pPr>
        <w:pStyle w:val="ListParagraph"/>
        <w:numPr>
          <w:ilvl w:val="0"/>
          <w:numId w:val="105"/>
        </w:numPr>
        <w:tabs>
          <w:tab w:pos="888" w:val="left" w:leader="none"/>
          <w:tab w:pos="889" w:val="left" w:leader="none"/>
          <w:tab w:pos="2410" w:val="left" w:leader="none"/>
          <w:tab w:pos="3502" w:val="left" w:leader="none"/>
          <w:tab w:pos="4564" w:val="left" w:leader="none"/>
          <w:tab w:pos="5050" w:val="left" w:leader="none"/>
          <w:tab w:pos="6320" w:val="left" w:leader="none"/>
          <w:tab w:pos="7411" w:val="left" w:leader="none"/>
          <w:tab w:pos="9338" w:val="left" w:leader="none"/>
        </w:tabs>
        <w:spacing w:line="225" w:lineRule="auto" w:before="1" w:after="0"/>
        <w:ind w:left="113" w:right="135" w:firstLine="204"/>
        <w:jc w:val="left"/>
        <w:rPr>
          <w:sz w:val="24"/>
        </w:rPr>
      </w:pPr>
      <w:r>
        <w:rPr>
          <w:w w:val="130"/>
          <w:sz w:val="24"/>
        </w:rPr>
        <w:t>mindazon</w:t>
        <w:tab/>
        <w:t>iratot,</w:t>
        <w:tab/>
        <w:t>amely</w:t>
        <w:tab/>
        <w:t>a</w:t>
        <w:tab/>
        <w:t>végezni</w:t>
        <w:tab/>
        <w:t>kívánt</w:t>
        <w:tab/>
        <w:t>tevékenységi</w:t>
        <w:tab/>
      </w:r>
      <w:r>
        <w:rPr>
          <w:spacing w:val="-6"/>
          <w:w w:val="130"/>
          <w:sz w:val="24"/>
        </w:rPr>
        <w:t>kör </w:t>
      </w:r>
      <w:r>
        <w:rPr>
          <w:w w:val="130"/>
          <w:sz w:val="24"/>
        </w:rPr>
        <w:t>engedélyezéséhez szükséges,</w:t>
      </w:r>
      <w:r>
        <w:rPr>
          <w:spacing w:val="-9"/>
          <w:w w:val="130"/>
          <w:sz w:val="24"/>
        </w:rPr>
        <w:t> </w:t>
      </w:r>
      <w:r>
        <w:rPr>
          <w:w w:val="130"/>
          <w:sz w:val="24"/>
        </w:rPr>
        <w:t>valamint</w:t>
      </w:r>
    </w:p>
    <w:p>
      <w:pPr>
        <w:pStyle w:val="ListParagraph"/>
        <w:numPr>
          <w:ilvl w:val="0"/>
          <w:numId w:val="105"/>
        </w:numPr>
        <w:tabs>
          <w:tab w:pos="688" w:val="left" w:leader="none"/>
        </w:tabs>
        <w:spacing w:line="225" w:lineRule="auto" w:before="1" w:after="0"/>
        <w:ind w:left="113" w:right="127" w:firstLine="204"/>
        <w:jc w:val="left"/>
        <w:rPr>
          <w:sz w:val="24"/>
        </w:rPr>
      </w:pPr>
      <w:r>
        <w:rPr>
          <w:w w:val="130"/>
          <w:sz w:val="24"/>
        </w:rPr>
        <w:t>hitelintézetek egyesülése esetén olyan adatokat, amelyekből a 79. § (5) bekezdésében foglalt feltétel fennállása</w:t>
      </w:r>
      <w:r>
        <w:rPr>
          <w:spacing w:val="-10"/>
          <w:w w:val="130"/>
          <w:sz w:val="24"/>
        </w:rPr>
        <w:t> </w:t>
      </w:r>
      <w:r>
        <w:rPr>
          <w:w w:val="130"/>
          <w:sz w:val="24"/>
        </w:rPr>
        <w:t>megállapítható.</w:t>
      </w:r>
    </w:p>
    <w:p>
      <w:pPr>
        <w:pStyle w:val="ListParagraph"/>
        <w:numPr>
          <w:ilvl w:val="0"/>
          <w:numId w:val="100"/>
        </w:numPr>
        <w:tabs>
          <w:tab w:pos="967" w:val="left" w:leader="none"/>
          <w:tab w:pos="968" w:val="left" w:leader="none"/>
          <w:tab w:pos="1326" w:val="left" w:leader="none"/>
          <w:tab w:pos="1725" w:val="left" w:leader="none"/>
          <w:tab w:pos="3674" w:val="left" w:leader="none"/>
          <w:tab w:pos="4043" w:val="left" w:leader="none"/>
          <w:tab w:pos="5365" w:val="left" w:leader="none"/>
          <w:tab w:pos="7130" w:val="left" w:leader="none"/>
          <w:tab w:pos="9109" w:val="left" w:leader="none"/>
        </w:tabs>
        <w:spacing w:line="225" w:lineRule="auto" w:before="0" w:after="0"/>
        <w:ind w:left="113" w:right="134" w:firstLine="204"/>
        <w:jc w:val="left"/>
        <w:rPr>
          <w:sz w:val="24"/>
        </w:rPr>
      </w:pPr>
      <w:r>
        <w:rPr>
          <w:rFonts w:ascii="Arial" w:hAnsi="Arial"/>
          <w:b/>
          <w:w w:val="120"/>
          <w:sz w:val="24"/>
        </w:rPr>
        <w:t>§</w:t>
        <w:tab/>
      </w:r>
      <w:r>
        <w:rPr>
          <w:w w:val="120"/>
          <w:sz w:val="24"/>
        </w:rPr>
        <w:t>A</w:t>
        <w:tab/>
        <w:t>Felügyeletnek</w:t>
        <w:tab/>
        <w:t>a</w:t>
        <w:tab/>
        <w:t>pénzügyi</w:t>
        <w:tab/>
        <w:t>intézmények</w:t>
        <w:tab/>
        <w:t>egyesüléséhez</w:t>
        <w:tab/>
      </w:r>
      <w:r>
        <w:rPr>
          <w:spacing w:val="-4"/>
          <w:w w:val="120"/>
          <w:sz w:val="24"/>
        </w:rPr>
        <w:t>adott </w:t>
      </w:r>
      <w:r>
        <w:rPr>
          <w:w w:val="120"/>
          <w:sz w:val="24"/>
        </w:rPr>
        <w:t>engedélye nem pótolja a Gazdasági Versenyhivatal</w:t>
      </w:r>
      <w:r>
        <w:rPr>
          <w:spacing w:val="8"/>
          <w:w w:val="120"/>
          <w:sz w:val="24"/>
        </w:rPr>
        <w:t> </w:t>
      </w:r>
      <w:r>
        <w:rPr>
          <w:w w:val="120"/>
          <w:sz w:val="24"/>
        </w:rPr>
        <w:t>engedélyét.</w:t>
      </w:r>
    </w:p>
    <w:p>
      <w:pPr>
        <w:pStyle w:val="BodyText"/>
        <w:spacing w:before="4"/>
        <w:ind w:left="0" w:firstLine="0"/>
        <w:rPr>
          <w:sz w:val="17"/>
        </w:rPr>
      </w:pPr>
      <w:r>
        <w:rPr/>
        <w:pict>
          <v:line style="position:absolute;mso-position-horizontal-relative:page;mso-position-vertical-relative:paragraph;z-index:-256;mso-wrap-distance-left:0;mso-wrap-distance-right:0" from="56.693001pt,12.194426pt" to="538.583001pt,12.194426pt" stroked="true" strokeweight=".5pt" strokecolor="#000000">
            <v:stroke dashstyle="solid"/>
            <w10:wrap type="topAndBottom"/>
          </v:line>
        </w:pict>
      </w:r>
    </w:p>
    <w:p>
      <w:pPr>
        <w:pStyle w:val="ListParagraph"/>
        <w:numPr>
          <w:ilvl w:val="0"/>
          <w:numId w:val="106"/>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7"/>
          <w:w w:val="120"/>
          <w:sz w:val="18"/>
        </w:rPr>
        <w:t> </w:t>
      </w:r>
      <w:r>
        <w:rPr>
          <w:i/>
          <w:w w:val="120"/>
          <w:sz w:val="18"/>
        </w:rPr>
        <w:t>évi</w:t>
      </w:r>
      <w:r>
        <w:rPr>
          <w:i/>
          <w:spacing w:val="8"/>
          <w:w w:val="120"/>
          <w:sz w:val="18"/>
        </w:rPr>
        <w:t> </w:t>
      </w:r>
      <w:r>
        <w:rPr>
          <w:i/>
          <w:w w:val="120"/>
          <w:sz w:val="18"/>
        </w:rPr>
        <w:t>XXXIX.</w:t>
      </w:r>
      <w:r>
        <w:rPr>
          <w:i/>
          <w:spacing w:val="7"/>
          <w:w w:val="120"/>
          <w:sz w:val="18"/>
        </w:rPr>
        <w:t> </w:t>
      </w:r>
      <w:r>
        <w:rPr>
          <w:i/>
          <w:w w:val="120"/>
          <w:sz w:val="18"/>
        </w:rPr>
        <w:t>törvény</w:t>
      </w:r>
      <w:r>
        <w:rPr>
          <w:i/>
          <w:spacing w:val="7"/>
          <w:w w:val="120"/>
          <w:sz w:val="18"/>
        </w:rPr>
        <w:t> </w:t>
      </w:r>
      <w:r>
        <w:rPr>
          <w:i/>
          <w:w w:val="120"/>
          <w:sz w:val="18"/>
        </w:rPr>
        <w:t>108.</w:t>
      </w:r>
      <w:r>
        <w:rPr>
          <w:i/>
          <w:spacing w:val="7"/>
          <w:w w:val="120"/>
          <w:sz w:val="18"/>
        </w:rPr>
        <w:t> </w:t>
      </w:r>
      <w:r>
        <w:rPr>
          <w:i/>
          <w:w w:val="120"/>
          <w:sz w:val="18"/>
        </w:rPr>
        <w:t>§.</w:t>
      </w:r>
      <w:r>
        <w:rPr>
          <w:i/>
          <w:spacing w:val="8"/>
          <w:w w:val="120"/>
          <w:sz w:val="18"/>
        </w:rPr>
        <w:t> </w:t>
      </w:r>
      <w:r>
        <w:rPr>
          <w:i/>
          <w:w w:val="120"/>
          <w:sz w:val="18"/>
        </w:rPr>
        <w:t>Hatálytalan:</w:t>
      </w:r>
      <w:r>
        <w:rPr>
          <w:i/>
          <w:spacing w:val="9"/>
          <w:w w:val="120"/>
          <w:sz w:val="18"/>
        </w:rPr>
        <w:t> </w:t>
      </w:r>
      <w:r>
        <w:rPr>
          <w:i/>
          <w:w w:val="120"/>
          <w:sz w:val="18"/>
        </w:rPr>
        <w:t>2014.</w:t>
      </w:r>
      <w:r>
        <w:rPr>
          <w:i/>
          <w:spacing w:val="7"/>
          <w:w w:val="120"/>
          <w:sz w:val="18"/>
        </w:rPr>
        <w:t> </w:t>
      </w:r>
      <w:r>
        <w:rPr>
          <w:i/>
          <w:w w:val="120"/>
          <w:sz w:val="18"/>
        </w:rPr>
        <w:t>IX.</w:t>
      </w:r>
      <w:r>
        <w:rPr>
          <w:i/>
          <w:spacing w:val="8"/>
          <w:w w:val="120"/>
          <w:sz w:val="18"/>
        </w:rPr>
        <w:t> </w:t>
      </w:r>
      <w:r>
        <w:rPr>
          <w:i/>
          <w:w w:val="120"/>
          <w:sz w:val="18"/>
        </w:rPr>
        <w:t>30-tól.</w:t>
      </w:r>
    </w:p>
    <w:p>
      <w:pPr>
        <w:pStyle w:val="ListParagraph"/>
        <w:numPr>
          <w:ilvl w:val="0"/>
          <w:numId w:val="106"/>
        </w:numPr>
        <w:tabs>
          <w:tab w:pos="686" w:val="left" w:leader="none"/>
          <w:tab w:pos="687" w:val="left" w:leader="none"/>
        </w:tabs>
        <w:spacing w:line="203" w:lineRule="exact" w:before="0" w:after="0"/>
        <w:ind w:left="686" w:right="0" w:hanging="344"/>
        <w:jc w:val="left"/>
        <w:rPr>
          <w:i/>
          <w:sz w:val="18"/>
        </w:rPr>
      </w:pPr>
      <w:r>
        <w:rPr>
          <w:i/>
          <w:w w:val="125"/>
          <w:sz w:val="18"/>
        </w:rPr>
        <w:t>Módosította: ugyane törvény 308. § (2)</w:t>
      </w:r>
      <w:r>
        <w:rPr>
          <w:i/>
          <w:spacing w:val="-1"/>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100"/>
        </w:numPr>
        <w:tabs>
          <w:tab w:pos="1084" w:val="left" w:leader="none"/>
        </w:tabs>
        <w:spacing w:line="225" w:lineRule="auto" w:before="172" w:after="0"/>
        <w:ind w:left="113" w:right="129" w:firstLine="204"/>
        <w:jc w:val="both"/>
        <w:rPr>
          <w:sz w:val="24"/>
        </w:rPr>
      </w:pPr>
      <w:r>
        <w:rPr>
          <w:rFonts w:ascii="Arial" w:hAnsi="Arial"/>
          <w:b/>
          <w:w w:val="125"/>
          <w:sz w:val="24"/>
        </w:rPr>
        <w:t>§ </w:t>
      </w:r>
      <w:r>
        <w:rPr>
          <w:w w:val="125"/>
          <w:sz w:val="24"/>
        </w:rPr>
        <w:t>Pénzügyi intézmények átalakulása, egyesülése (beolvadás, összeolvadás) esetén a Felügyelet az alapítás és a működés megkezdésének engedélyezésével kapcsolatos határozatot egy eljárásban is</w:t>
      </w:r>
      <w:r>
        <w:rPr>
          <w:spacing w:val="56"/>
          <w:w w:val="125"/>
          <w:sz w:val="24"/>
        </w:rPr>
        <w:t> </w:t>
      </w:r>
      <w:r>
        <w:rPr>
          <w:w w:val="125"/>
          <w:sz w:val="24"/>
        </w:rPr>
        <w:t>meghozhatja.</w:t>
      </w:r>
    </w:p>
    <w:p>
      <w:pPr>
        <w:pStyle w:val="ListParagraph"/>
        <w:numPr>
          <w:ilvl w:val="0"/>
          <w:numId w:val="100"/>
        </w:numPr>
        <w:tabs>
          <w:tab w:pos="836" w:val="left" w:leader="none"/>
        </w:tabs>
        <w:spacing w:line="225" w:lineRule="auto" w:before="0" w:after="0"/>
        <w:ind w:left="113" w:right="128" w:firstLine="204"/>
        <w:jc w:val="both"/>
        <w:rPr>
          <w:sz w:val="24"/>
        </w:rPr>
      </w:pPr>
      <w:r>
        <w:rPr>
          <w:rFonts w:ascii="Arial" w:hAnsi="Arial"/>
          <w:b/>
          <w:w w:val="125"/>
          <w:sz w:val="24"/>
        </w:rPr>
        <w:t>§ </w:t>
      </w:r>
      <w:r>
        <w:rPr>
          <w:w w:val="125"/>
          <w:sz w:val="24"/>
        </w:rPr>
        <w:t>(1) Hitelintézetek és pénzügyi vállalkozások szétválására az alapításra vonatkozó szabályokat szükséges</w:t>
      </w:r>
      <w:r>
        <w:rPr>
          <w:spacing w:val="1"/>
          <w:w w:val="125"/>
          <w:sz w:val="24"/>
        </w:rPr>
        <w:t> </w:t>
      </w:r>
      <w:r>
        <w:rPr>
          <w:w w:val="125"/>
          <w:sz w:val="24"/>
        </w:rPr>
        <w:t>alkalmazni.</w:t>
      </w:r>
    </w:p>
    <w:p>
      <w:pPr>
        <w:pStyle w:val="BodyText"/>
        <w:spacing w:line="225" w:lineRule="auto" w:before="1"/>
        <w:ind w:right="132"/>
        <w:jc w:val="both"/>
      </w:pPr>
      <w:r>
        <w:rPr>
          <w:w w:val="130"/>
        </w:rPr>
        <w:t>(2) Az alapszabály módosításának engedélyezése iránti eljárásban e törvénynek az alapítás és működés engedélyezésére megállapított szabályait szükséges alkalmazni.</w:t>
      </w:r>
    </w:p>
    <w:p>
      <w:pPr>
        <w:pStyle w:val="BodyText"/>
        <w:spacing w:before="229"/>
        <w:ind w:left="1906" w:firstLine="0"/>
      </w:pPr>
      <w:r>
        <w:rPr>
          <w:w w:val="125"/>
        </w:rPr>
        <w:t>16. Az engedély megadásának általános szabályai</w:t>
      </w:r>
    </w:p>
    <w:p>
      <w:pPr>
        <w:pStyle w:val="ListParagraph"/>
        <w:numPr>
          <w:ilvl w:val="0"/>
          <w:numId w:val="100"/>
        </w:numPr>
        <w:tabs>
          <w:tab w:pos="945" w:val="left" w:leader="none"/>
        </w:tabs>
        <w:spacing w:line="225" w:lineRule="auto" w:before="236" w:after="0"/>
        <w:ind w:left="113" w:right="126" w:firstLine="204"/>
        <w:jc w:val="both"/>
        <w:rPr>
          <w:sz w:val="24"/>
        </w:rPr>
      </w:pPr>
      <w:r>
        <w:rPr>
          <w:rFonts w:ascii="Arial" w:hAnsi="Arial"/>
          <w:b/>
          <w:w w:val="125"/>
          <w:sz w:val="24"/>
        </w:rPr>
        <w:t>§ </w:t>
      </w:r>
      <w:r>
        <w:rPr>
          <w:w w:val="125"/>
          <w:sz w:val="24"/>
        </w:rPr>
        <w:t>(1) Az engedélyezési eljárás során a Felügyelet a kérelemmel összefüggő és rendelkezésre álló okiratokat és információkat gondosan mérlegeli, és meggyőződik arról, hogy az engedély kiadása nem ütközik jogszabályba. A Felügyelet az engedélyezési eljárás során az egyes engedélyezési feltételek meglétét a helyszínen is</w:t>
      </w:r>
      <w:r>
        <w:rPr>
          <w:spacing w:val="20"/>
          <w:w w:val="125"/>
          <w:sz w:val="24"/>
        </w:rPr>
        <w:t> </w:t>
      </w:r>
      <w:r>
        <w:rPr>
          <w:w w:val="125"/>
          <w:sz w:val="24"/>
        </w:rPr>
        <w:t>megvizsgálhatja.</w:t>
      </w:r>
    </w:p>
    <w:p>
      <w:pPr>
        <w:pStyle w:val="BodyText"/>
        <w:spacing w:line="225" w:lineRule="auto" w:before="3"/>
        <w:ind w:right="129"/>
        <w:jc w:val="both"/>
      </w:pPr>
      <w:r>
        <w:rPr>
          <w:w w:val="130"/>
        </w:rPr>
        <w:t>(2) A Felügyelet a hitelintézet alapítási engedélyének megadásához előzetesen kikéri a másik EGT-állam illetékes felügyeleti hatóságának véleményét, ha az alapítani kívánt hitelintézet</w:t>
      </w:r>
    </w:p>
    <w:p>
      <w:pPr>
        <w:pStyle w:val="ListParagraph"/>
        <w:numPr>
          <w:ilvl w:val="0"/>
          <w:numId w:val="107"/>
        </w:numPr>
        <w:tabs>
          <w:tab w:pos="775" w:val="left" w:leader="none"/>
        </w:tabs>
        <w:spacing w:line="225" w:lineRule="auto" w:before="2" w:after="0"/>
        <w:ind w:left="113" w:right="128" w:firstLine="204"/>
        <w:jc w:val="both"/>
        <w:rPr>
          <w:sz w:val="24"/>
        </w:rPr>
      </w:pPr>
      <w:r>
        <w:rPr>
          <w:w w:val="125"/>
          <w:sz w:val="24"/>
        </w:rPr>
        <w:t>másik EGT-államban székhellyel rendelkező befektetési vállalkozás, hitelintézet vagy biztosító</w:t>
      </w:r>
      <w:r>
        <w:rPr>
          <w:spacing w:val="3"/>
          <w:w w:val="125"/>
          <w:sz w:val="24"/>
        </w:rPr>
        <w:t> </w:t>
      </w:r>
      <w:r>
        <w:rPr>
          <w:w w:val="125"/>
          <w:sz w:val="24"/>
        </w:rPr>
        <w:t>leányvállalata,</w:t>
      </w:r>
    </w:p>
    <w:p>
      <w:pPr>
        <w:pStyle w:val="ListParagraph"/>
        <w:numPr>
          <w:ilvl w:val="0"/>
          <w:numId w:val="107"/>
        </w:numPr>
        <w:tabs>
          <w:tab w:pos="784" w:val="left" w:leader="none"/>
        </w:tabs>
        <w:spacing w:line="225" w:lineRule="auto" w:before="1" w:after="0"/>
        <w:ind w:left="113" w:right="128" w:firstLine="204"/>
        <w:jc w:val="both"/>
        <w:rPr>
          <w:sz w:val="24"/>
        </w:rPr>
      </w:pPr>
      <w:r>
        <w:rPr>
          <w:w w:val="125"/>
          <w:sz w:val="24"/>
        </w:rPr>
        <w:t>másik EGT-államban székhellyel rendelkező befektetési vállalkozás, hitelintézet vagy biztosító anyavállalatának leányvállalata,</w:t>
      </w:r>
      <w:r>
        <w:rPr>
          <w:spacing w:val="6"/>
          <w:w w:val="125"/>
          <w:sz w:val="24"/>
        </w:rPr>
        <w:t> </w:t>
      </w:r>
      <w:r>
        <w:rPr>
          <w:w w:val="125"/>
          <w:sz w:val="24"/>
        </w:rPr>
        <w:t>vagy</w:t>
      </w:r>
    </w:p>
    <w:p>
      <w:pPr>
        <w:pStyle w:val="ListParagraph"/>
        <w:numPr>
          <w:ilvl w:val="0"/>
          <w:numId w:val="107"/>
        </w:numPr>
        <w:tabs>
          <w:tab w:pos="838" w:val="left" w:leader="none"/>
        </w:tabs>
        <w:spacing w:line="225" w:lineRule="auto" w:before="1" w:after="0"/>
        <w:ind w:left="113" w:right="130" w:firstLine="204"/>
        <w:jc w:val="both"/>
        <w:rPr>
          <w:sz w:val="24"/>
        </w:rPr>
      </w:pPr>
      <w:r>
        <w:rPr>
          <w:w w:val="125"/>
          <w:sz w:val="24"/>
        </w:rPr>
        <w:t>ellenőrző befolyással rendelkező természetes vagy jogi személy tulajdonosa másik EGT-államban székhellyel rendelkező befektetési vállalkozásban, hitelintézetben vagy biztosítóban ellenőrző befolyással rendelkezik.</w:t>
      </w:r>
    </w:p>
    <w:p>
      <w:pPr>
        <w:pStyle w:val="ListParagraph"/>
        <w:numPr>
          <w:ilvl w:val="0"/>
          <w:numId w:val="100"/>
        </w:numPr>
        <w:tabs>
          <w:tab w:pos="818" w:val="left" w:leader="none"/>
        </w:tabs>
        <w:spacing w:line="257" w:lineRule="exact" w:before="0" w:after="0"/>
        <w:ind w:left="817" w:right="0" w:hanging="500"/>
        <w:jc w:val="left"/>
        <w:rPr>
          <w:sz w:val="24"/>
        </w:rPr>
      </w:pPr>
      <w:r>
        <w:rPr>
          <w:rFonts w:ascii="Arial" w:hAnsi="Arial"/>
          <w:b/>
          <w:w w:val="125"/>
          <w:sz w:val="24"/>
        </w:rPr>
        <w:t>§ </w:t>
      </w:r>
      <w:r>
        <w:rPr>
          <w:w w:val="125"/>
          <w:sz w:val="24"/>
        </w:rPr>
        <w:t>(1) A Felügyelet az alapítás iránti kérelmet elutasítja, ha a</w:t>
      </w:r>
      <w:r>
        <w:rPr>
          <w:spacing w:val="47"/>
          <w:w w:val="125"/>
          <w:sz w:val="24"/>
        </w:rPr>
        <w:t> </w:t>
      </w:r>
      <w:r>
        <w:rPr>
          <w:w w:val="125"/>
          <w:sz w:val="24"/>
        </w:rPr>
        <w:t>kérelmező</w:t>
      </w:r>
    </w:p>
    <w:p>
      <w:pPr>
        <w:pStyle w:val="ListParagraph"/>
        <w:numPr>
          <w:ilvl w:val="0"/>
          <w:numId w:val="108"/>
        </w:numPr>
        <w:tabs>
          <w:tab w:pos="631" w:val="left" w:leader="none"/>
        </w:tabs>
        <w:spacing w:line="260" w:lineRule="exact" w:before="0" w:after="0"/>
        <w:ind w:left="630" w:right="0" w:hanging="313"/>
        <w:jc w:val="left"/>
        <w:rPr>
          <w:sz w:val="24"/>
        </w:rPr>
      </w:pPr>
      <w:r>
        <w:rPr>
          <w:w w:val="125"/>
          <w:sz w:val="24"/>
        </w:rPr>
        <w:t>az engedélyezési eljárásban megtévesztő vagy valótlan adatot</w:t>
      </w:r>
      <w:r>
        <w:rPr>
          <w:spacing w:val="23"/>
          <w:w w:val="125"/>
          <w:sz w:val="24"/>
        </w:rPr>
        <w:t> </w:t>
      </w:r>
      <w:r>
        <w:rPr>
          <w:w w:val="125"/>
          <w:sz w:val="24"/>
        </w:rPr>
        <w:t>közöl,</w:t>
      </w:r>
    </w:p>
    <w:p>
      <w:pPr>
        <w:pStyle w:val="ListParagraph"/>
        <w:numPr>
          <w:ilvl w:val="0"/>
          <w:numId w:val="108"/>
        </w:numPr>
        <w:tabs>
          <w:tab w:pos="659" w:val="left" w:leader="none"/>
        </w:tabs>
        <w:spacing w:line="225" w:lineRule="auto" w:before="6" w:after="0"/>
        <w:ind w:left="113" w:right="124" w:firstLine="204"/>
        <w:jc w:val="both"/>
        <w:rPr>
          <w:sz w:val="24"/>
        </w:rPr>
      </w:pPr>
      <w:r>
        <w:rPr>
          <w:w w:val="125"/>
          <w:sz w:val="24"/>
        </w:rPr>
        <w:t>által alapítani kívánt pénzügyi intézmény nem felel meg az induló tőkére,  a társasági formára, cégformára, a tulajdonlásra, és az irányító testületekre vonatkozó törvényi</w:t>
      </w:r>
      <w:r>
        <w:rPr>
          <w:spacing w:val="-2"/>
          <w:w w:val="125"/>
          <w:sz w:val="24"/>
        </w:rPr>
        <w:t> </w:t>
      </w:r>
      <w:r>
        <w:rPr>
          <w:w w:val="125"/>
          <w:sz w:val="24"/>
        </w:rPr>
        <w:t>követelményeknek,</w:t>
      </w:r>
    </w:p>
    <w:p>
      <w:pPr>
        <w:pStyle w:val="ListParagraph"/>
        <w:numPr>
          <w:ilvl w:val="0"/>
          <w:numId w:val="108"/>
        </w:numPr>
        <w:tabs>
          <w:tab w:pos="623" w:val="left" w:leader="none"/>
        </w:tabs>
        <w:spacing w:line="256" w:lineRule="exact" w:before="0" w:after="0"/>
        <w:ind w:left="622" w:right="0" w:hanging="305"/>
        <w:jc w:val="left"/>
        <w:rPr>
          <w:sz w:val="24"/>
        </w:rPr>
      </w:pPr>
      <w:r>
        <w:rPr>
          <w:w w:val="125"/>
          <w:sz w:val="24"/>
        </w:rPr>
        <w:t>devizakülföldi, és nincs kézbesítési megbízottja,</w:t>
      </w:r>
      <w:r>
        <w:rPr>
          <w:spacing w:val="-1"/>
          <w:w w:val="125"/>
          <w:sz w:val="24"/>
        </w:rPr>
        <w:t> </w:t>
      </w:r>
      <w:r>
        <w:rPr>
          <w:w w:val="125"/>
          <w:sz w:val="24"/>
        </w:rPr>
        <w:t>vagy</w:t>
      </w:r>
    </w:p>
    <w:p>
      <w:pPr>
        <w:pStyle w:val="ListParagraph"/>
        <w:numPr>
          <w:ilvl w:val="0"/>
          <w:numId w:val="108"/>
        </w:numPr>
        <w:tabs>
          <w:tab w:pos="678" w:val="left" w:leader="none"/>
        </w:tabs>
        <w:spacing w:line="225" w:lineRule="auto" w:before="5" w:after="0"/>
        <w:ind w:left="113" w:right="126" w:firstLine="204"/>
        <w:jc w:val="both"/>
        <w:rPr>
          <w:sz w:val="24"/>
        </w:rPr>
      </w:pPr>
      <w:r>
        <w:rPr>
          <w:w w:val="130"/>
          <w:sz w:val="24"/>
        </w:rPr>
        <w:t>a hitelintézettel szoros kapcsolatban álló személyre vonatkozó harmadik országbeli</w:t>
      </w:r>
      <w:r>
        <w:rPr>
          <w:spacing w:val="-21"/>
          <w:w w:val="130"/>
          <w:sz w:val="24"/>
        </w:rPr>
        <w:t> </w:t>
      </w:r>
      <w:r>
        <w:rPr>
          <w:w w:val="130"/>
          <w:sz w:val="24"/>
        </w:rPr>
        <w:t>jogrend</w:t>
      </w:r>
      <w:r>
        <w:rPr>
          <w:spacing w:val="-20"/>
          <w:w w:val="130"/>
          <w:sz w:val="24"/>
        </w:rPr>
        <w:t> </w:t>
      </w:r>
      <w:r>
        <w:rPr>
          <w:w w:val="130"/>
          <w:sz w:val="24"/>
        </w:rPr>
        <w:t>nem</w:t>
      </w:r>
      <w:r>
        <w:rPr>
          <w:spacing w:val="-20"/>
          <w:w w:val="130"/>
          <w:sz w:val="24"/>
        </w:rPr>
        <w:t> </w:t>
      </w:r>
      <w:r>
        <w:rPr>
          <w:w w:val="130"/>
          <w:sz w:val="24"/>
        </w:rPr>
        <w:t>teszi</w:t>
      </w:r>
      <w:r>
        <w:rPr>
          <w:spacing w:val="-20"/>
          <w:w w:val="130"/>
          <w:sz w:val="24"/>
        </w:rPr>
        <w:t> </w:t>
      </w:r>
      <w:r>
        <w:rPr>
          <w:w w:val="130"/>
          <w:sz w:val="24"/>
        </w:rPr>
        <w:t>lehetővé</w:t>
      </w:r>
      <w:r>
        <w:rPr>
          <w:spacing w:val="-20"/>
          <w:w w:val="130"/>
          <w:sz w:val="24"/>
        </w:rPr>
        <w:t> </w:t>
      </w:r>
      <w:r>
        <w:rPr>
          <w:w w:val="130"/>
          <w:sz w:val="24"/>
        </w:rPr>
        <w:t>az</w:t>
      </w:r>
      <w:r>
        <w:rPr>
          <w:spacing w:val="-20"/>
          <w:w w:val="130"/>
          <w:sz w:val="24"/>
        </w:rPr>
        <w:t> </w:t>
      </w:r>
      <w:r>
        <w:rPr>
          <w:w w:val="130"/>
          <w:sz w:val="24"/>
        </w:rPr>
        <w:t>összevont</w:t>
      </w:r>
      <w:r>
        <w:rPr>
          <w:spacing w:val="-20"/>
          <w:w w:val="130"/>
          <w:sz w:val="24"/>
        </w:rPr>
        <w:t> </w:t>
      </w:r>
      <w:r>
        <w:rPr>
          <w:w w:val="130"/>
          <w:sz w:val="24"/>
        </w:rPr>
        <w:t>alapú</w:t>
      </w:r>
      <w:r>
        <w:rPr>
          <w:spacing w:val="-21"/>
          <w:w w:val="130"/>
          <w:sz w:val="24"/>
        </w:rPr>
        <w:t> </w:t>
      </w:r>
      <w:r>
        <w:rPr>
          <w:w w:val="130"/>
          <w:sz w:val="24"/>
        </w:rPr>
        <w:t>felügyeleti</w:t>
      </w:r>
      <w:r>
        <w:rPr>
          <w:spacing w:val="-20"/>
          <w:w w:val="130"/>
          <w:sz w:val="24"/>
        </w:rPr>
        <w:t> </w:t>
      </w:r>
      <w:r>
        <w:rPr>
          <w:w w:val="130"/>
          <w:sz w:val="24"/>
        </w:rPr>
        <w:t>feladatok ellátását,</w:t>
      </w:r>
    </w:p>
    <w:p>
      <w:pPr>
        <w:pStyle w:val="ListParagraph"/>
        <w:numPr>
          <w:ilvl w:val="0"/>
          <w:numId w:val="108"/>
        </w:numPr>
        <w:tabs>
          <w:tab w:pos="555" w:val="left" w:leader="none"/>
        </w:tabs>
        <w:spacing w:line="250" w:lineRule="exact" w:before="0" w:after="0"/>
        <w:ind w:left="554" w:right="0" w:hanging="237"/>
        <w:jc w:val="left"/>
        <w:rPr>
          <w:sz w:val="24"/>
        </w:rPr>
      </w:pPr>
      <w:r>
        <w:rPr>
          <w:i/>
          <w:w w:val="125"/>
          <w:position w:val="3"/>
          <w:sz w:val="18"/>
        </w:rPr>
        <w:t>1 </w:t>
      </w:r>
      <w:r>
        <w:rPr>
          <w:w w:val="125"/>
          <w:sz w:val="24"/>
        </w:rPr>
        <w:t>tevékenységével kapcsolatosan feltételezhető, hogy az erre</w:t>
      </w:r>
      <w:r>
        <w:rPr>
          <w:spacing w:val="9"/>
          <w:w w:val="125"/>
          <w:sz w:val="24"/>
        </w:rPr>
        <w:t> </w:t>
      </w:r>
      <w:r>
        <w:rPr>
          <w:w w:val="125"/>
          <w:sz w:val="24"/>
        </w:rPr>
        <w:t>vonatkozó</w:t>
      </w:r>
    </w:p>
    <w:p>
      <w:pPr>
        <w:pStyle w:val="BodyText"/>
        <w:spacing w:line="225" w:lineRule="auto" w:before="12"/>
        <w:ind w:right="132" w:firstLine="0"/>
        <w:jc w:val="both"/>
      </w:pPr>
      <w:r>
        <w:rPr>
          <w:w w:val="125"/>
        </w:rPr>
        <w:t>jogszabályok értelmében pénzmosást  vagy  terrorizmus-finanszírozást követnek vagy követtek el, vagy kísérelnek vagy kíséreltek meg  elkövetni, vagy hogy a szándékolt tevékenység növelheti ennek</w:t>
      </w:r>
      <w:r>
        <w:rPr>
          <w:spacing w:val="20"/>
          <w:w w:val="125"/>
        </w:rPr>
        <w:t> </w:t>
      </w:r>
      <w:r>
        <w:rPr>
          <w:w w:val="125"/>
        </w:rPr>
        <w:t>kockázatát.</w:t>
      </w:r>
    </w:p>
    <w:p>
      <w:pPr>
        <w:pStyle w:val="ListParagraph"/>
        <w:numPr>
          <w:ilvl w:val="0"/>
          <w:numId w:val="109"/>
        </w:numPr>
        <w:tabs>
          <w:tab w:pos="747" w:val="left" w:leader="none"/>
        </w:tabs>
        <w:spacing w:line="225" w:lineRule="auto" w:before="2" w:after="0"/>
        <w:ind w:left="113" w:right="125" w:firstLine="204"/>
        <w:jc w:val="both"/>
        <w:rPr>
          <w:sz w:val="24"/>
        </w:rPr>
      </w:pPr>
      <w:r>
        <w:rPr>
          <w:w w:val="125"/>
          <w:sz w:val="24"/>
        </w:rPr>
        <w:t>A Felügyelet a fióktelep alapítására irányuló kérelmet akkor is elutasítja, ha a 18. § (1) bekezdésében, vagy a 19. §-ban felsorolt feltételek valamelyike nem</w:t>
      </w:r>
      <w:r>
        <w:rPr>
          <w:spacing w:val="1"/>
          <w:w w:val="125"/>
          <w:sz w:val="24"/>
        </w:rPr>
        <w:t> </w:t>
      </w:r>
      <w:r>
        <w:rPr>
          <w:w w:val="125"/>
          <w:sz w:val="24"/>
        </w:rPr>
        <w:t>teljesül.</w:t>
      </w:r>
    </w:p>
    <w:p>
      <w:pPr>
        <w:pStyle w:val="ListParagraph"/>
        <w:numPr>
          <w:ilvl w:val="0"/>
          <w:numId w:val="109"/>
        </w:numPr>
        <w:tabs>
          <w:tab w:pos="800" w:val="left" w:leader="none"/>
        </w:tabs>
        <w:spacing w:line="225" w:lineRule="auto" w:before="1" w:after="0"/>
        <w:ind w:left="113" w:right="140" w:firstLine="204"/>
        <w:jc w:val="both"/>
        <w:rPr>
          <w:sz w:val="24"/>
        </w:rPr>
      </w:pPr>
      <w:r>
        <w:rPr>
          <w:w w:val="125"/>
          <w:sz w:val="24"/>
        </w:rPr>
        <w:t>A tevékenységi engedély iránti kérelmet a Felügyelet elutasítja, ha a kérelmező</w:t>
      </w:r>
    </w:p>
    <w:p>
      <w:pPr>
        <w:pStyle w:val="ListParagraph"/>
        <w:numPr>
          <w:ilvl w:val="0"/>
          <w:numId w:val="110"/>
        </w:numPr>
        <w:tabs>
          <w:tab w:pos="631" w:val="left" w:leader="none"/>
        </w:tabs>
        <w:spacing w:line="256" w:lineRule="exact" w:before="0" w:after="0"/>
        <w:ind w:left="630" w:right="0" w:hanging="313"/>
        <w:jc w:val="left"/>
        <w:rPr>
          <w:sz w:val="24"/>
        </w:rPr>
      </w:pPr>
      <w:r>
        <w:rPr>
          <w:w w:val="130"/>
          <w:sz w:val="24"/>
        </w:rPr>
        <w:t>esetében az</w:t>
      </w:r>
      <w:r>
        <w:rPr>
          <w:spacing w:val="-24"/>
          <w:w w:val="130"/>
          <w:sz w:val="24"/>
        </w:rPr>
        <w:t> </w:t>
      </w:r>
      <w:r>
        <w:rPr>
          <w:w w:val="130"/>
          <w:sz w:val="24"/>
        </w:rPr>
        <w:t>(1)</w:t>
      </w:r>
      <w:r>
        <w:rPr>
          <w:spacing w:val="-11"/>
          <w:w w:val="130"/>
          <w:sz w:val="24"/>
        </w:rPr>
        <w:t> </w:t>
      </w:r>
      <w:r>
        <w:rPr>
          <w:w w:val="130"/>
          <w:sz w:val="24"/>
        </w:rPr>
        <w:t>bekezdésben</w:t>
      </w:r>
      <w:r>
        <w:rPr>
          <w:spacing w:val="-12"/>
          <w:w w:val="130"/>
          <w:sz w:val="24"/>
        </w:rPr>
        <w:t> </w:t>
      </w:r>
      <w:r>
        <w:rPr>
          <w:w w:val="130"/>
          <w:sz w:val="24"/>
        </w:rPr>
        <w:t>említett</w:t>
      </w:r>
      <w:r>
        <w:rPr>
          <w:spacing w:val="-12"/>
          <w:w w:val="130"/>
          <w:sz w:val="24"/>
        </w:rPr>
        <w:t> </w:t>
      </w:r>
      <w:r>
        <w:rPr>
          <w:w w:val="130"/>
          <w:sz w:val="24"/>
        </w:rPr>
        <w:t>valamely</w:t>
      </w:r>
      <w:r>
        <w:rPr>
          <w:spacing w:val="-6"/>
          <w:w w:val="130"/>
          <w:sz w:val="24"/>
        </w:rPr>
        <w:t> </w:t>
      </w:r>
      <w:r>
        <w:rPr>
          <w:w w:val="130"/>
          <w:sz w:val="24"/>
        </w:rPr>
        <w:t>elutasítási</w:t>
      </w:r>
      <w:r>
        <w:rPr>
          <w:spacing w:val="-18"/>
          <w:w w:val="130"/>
          <w:sz w:val="24"/>
        </w:rPr>
        <w:t> </w:t>
      </w:r>
      <w:r>
        <w:rPr>
          <w:w w:val="130"/>
          <w:sz w:val="24"/>
        </w:rPr>
        <w:t>ok</w:t>
      </w:r>
      <w:r>
        <w:rPr>
          <w:spacing w:val="-11"/>
          <w:w w:val="130"/>
          <w:sz w:val="24"/>
        </w:rPr>
        <w:t> </w:t>
      </w:r>
      <w:r>
        <w:rPr>
          <w:w w:val="130"/>
          <w:sz w:val="24"/>
        </w:rPr>
        <w:t>fennáll,</w:t>
      </w:r>
    </w:p>
    <w:p>
      <w:pPr>
        <w:pStyle w:val="ListParagraph"/>
        <w:numPr>
          <w:ilvl w:val="0"/>
          <w:numId w:val="110"/>
        </w:numPr>
        <w:tabs>
          <w:tab w:pos="653" w:val="left" w:leader="none"/>
        </w:tabs>
        <w:spacing w:line="260" w:lineRule="exact" w:before="0" w:after="0"/>
        <w:ind w:left="652" w:right="0" w:hanging="335"/>
        <w:jc w:val="left"/>
        <w:rPr>
          <w:sz w:val="24"/>
        </w:rPr>
      </w:pPr>
      <w:r>
        <w:rPr>
          <w:w w:val="130"/>
          <w:sz w:val="24"/>
        </w:rPr>
        <w:t>a</w:t>
      </w:r>
      <w:r>
        <w:rPr>
          <w:spacing w:val="-16"/>
          <w:w w:val="130"/>
          <w:sz w:val="24"/>
        </w:rPr>
        <w:t> </w:t>
      </w:r>
      <w:r>
        <w:rPr>
          <w:w w:val="130"/>
          <w:sz w:val="24"/>
        </w:rPr>
        <w:t>szükséges</w:t>
      </w:r>
      <w:r>
        <w:rPr>
          <w:spacing w:val="-12"/>
          <w:w w:val="130"/>
          <w:sz w:val="24"/>
        </w:rPr>
        <w:t> </w:t>
      </w:r>
      <w:r>
        <w:rPr>
          <w:w w:val="130"/>
          <w:sz w:val="24"/>
        </w:rPr>
        <w:t>személyi</w:t>
      </w:r>
      <w:r>
        <w:rPr>
          <w:spacing w:val="-8"/>
          <w:w w:val="130"/>
          <w:sz w:val="24"/>
        </w:rPr>
        <w:t> </w:t>
      </w:r>
      <w:r>
        <w:rPr>
          <w:w w:val="130"/>
          <w:sz w:val="24"/>
        </w:rPr>
        <w:t>és</w:t>
      </w:r>
      <w:r>
        <w:rPr>
          <w:spacing w:val="-9"/>
          <w:w w:val="130"/>
          <w:sz w:val="24"/>
        </w:rPr>
        <w:t> </w:t>
      </w:r>
      <w:r>
        <w:rPr>
          <w:w w:val="130"/>
          <w:sz w:val="24"/>
        </w:rPr>
        <w:t>tárgyi</w:t>
      </w:r>
      <w:r>
        <w:rPr>
          <w:spacing w:val="-9"/>
          <w:w w:val="130"/>
          <w:sz w:val="24"/>
        </w:rPr>
        <w:t> </w:t>
      </w:r>
      <w:r>
        <w:rPr>
          <w:w w:val="130"/>
          <w:sz w:val="24"/>
        </w:rPr>
        <w:t>feltételekkel</w:t>
      </w:r>
      <w:r>
        <w:rPr>
          <w:spacing w:val="-8"/>
          <w:w w:val="130"/>
          <w:sz w:val="24"/>
        </w:rPr>
        <w:t> </w:t>
      </w:r>
      <w:r>
        <w:rPr>
          <w:w w:val="130"/>
          <w:sz w:val="24"/>
        </w:rPr>
        <w:t>nem</w:t>
      </w:r>
      <w:r>
        <w:rPr>
          <w:spacing w:val="-8"/>
          <w:w w:val="130"/>
          <w:sz w:val="24"/>
        </w:rPr>
        <w:t> </w:t>
      </w:r>
      <w:r>
        <w:rPr>
          <w:w w:val="130"/>
          <w:sz w:val="24"/>
        </w:rPr>
        <w:t>rendelkezik,</w:t>
      </w:r>
    </w:p>
    <w:p>
      <w:pPr>
        <w:pStyle w:val="ListParagraph"/>
        <w:numPr>
          <w:ilvl w:val="0"/>
          <w:numId w:val="110"/>
        </w:numPr>
        <w:tabs>
          <w:tab w:pos="630" w:val="left" w:leader="none"/>
        </w:tabs>
        <w:spacing w:line="225" w:lineRule="auto" w:before="6" w:after="0"/>
        <w:ind w:left="113" w:right="129" w:firstLine="204"/>
        <w:jc w:val="both"/>
        <w:rPr>
          <w:sz w:val="24"/>
        </w:rPr>
      </w:pPr>
      <w:r>
        <w:rPr>
          <w:w w:val="130"/>
          <w:sz w:val="24"/>
        </w:rPr>
        <w:t>üzleti</w:t>
      </w:r>
      <w:r>
        <w:rPr>
          <w:spacing w:val="-12"/>
          <w:w w:val="130"/>
          <w:sz w:val="24"/>
        </w:rPr>
        <w:t> </w:t>
      </w:r>
      <w:r>
        <w:rPr>
          <w:w w:val="130"/>
          <w:sz w:val="24"/>
        </w:rPr>
        <w:t>terve,</w:t>
      </w:r>
      <w:r>
        <w:rPr>
          <w:spacing w:val="-12"/>
          <w:w w:val="130"/>
          <w:sz w:val="24"/>
        </w:rPr>
        <w:t> </w:t>
      </w:r>
      <w:r>
        <w:rPr>
          <w:w w:val="130"/>
          <w:sz w:val="24"/>
        </w:rPr>
        <w:t>az</w:t>
      </w:r>
      <w:r>
        <w:rPr>
          <w:spacing w:val="-12"/>
          <w:w w:val="130"/>
          <w:sz w:val="24"/>
        </w:rPr>
        <w:t> </w:t>
      </w:r>
      <w:r>
        <w:rPr>
          <w:w w:val="130"/>
          <w:sz w:val="24"/>
        </w:rPr>
        <w:t>engedély</w:t>
      </w:r>
      <w:r>
        <w:rPr>
          <w:spacing w:val="-12"/>
          <w:w w:val="130"/>
          <w:sz w:val="24"/>
        </w:rPr>
        <w:t> </w:t>
      </w:r>
      <w:r>
        <w:rPr>
          <w:w w:val="130"/>
          <w:sz w:val="24"/>
        </w:rPr>
        <w:t>iránti</w:t>
      </w:r>
      <w:r>
        <w:rPr>
          <w:spacing w:val="-12"/>
          <w:w w:val="130"/>
          <w:sz w:val="24"/>
        </w:rPr>
        <w:t> </w:t>
      </w:r>
      <w:r>
        <w:rPr>
          <w:w w:val="130"/>
          <w:sz w:val="24"/>
        </w:rPr>
        <w:t>kérelemhez</w:t>
      </w:r>
      <w:r>
        <w:rPr>
          <w:spacing w:val="-13"/>
          <w:w w:val="130"/>
          <w:sz w:val="24"/>
        </w:rPr>
        <w:t> </w:t>
      </w:r>
      <w:r>
        <w:rPr>
          <w:w w:val="130"/>
          <w:sz w:val="24"/>
        </w:rPr>
        <w:t>mellékelt</w:t>
      </w:r>
      <w:r>
        <w:rPr>
          <w:spacing w:val="-11"/>
          <w:w w:val="130"/>
          <w:sz w:val="24"/>
        </w:rPr>
        <w:t> </w:t>
      </w:r>
      <w:r>
        <w:rPr>
          <w:w w:val="130"/>
          <w:sz w:val="24"/>
        </w:rPr>
        <w:t>egyéb</w:t>
      </w:r>
      <w:r>
        <w:rPr>
          <w:spacing w:val="-13"/>
          <w:w w:val="130"/>
          <w:sz w:val="24"/>
        </w:rPr>
        <w:t> </w:t>
      </w:r>
      <w:r>
        <w:rPr>
          <w:w w:val="130"/>
          <w:sz w:val="24"/>
        </w:rPr>
        <w:t>irat,</w:t>
      </w:r>
      <w:r>
        <w:rPr>
          <w:spacing w:val="-12"/>
          <w:w w:val="130"/>
          <w:sz w:val="24"/>
        </w:rPr>
        <w:t> </w:t>
      </w:r>
      <w:r>
        <w:rPr>
          <w:w w:val="130"/>
          <w:sz w:val="24"/>
        </w:rPr>
        <w:t>továbbá</w:t>
      </w:r>
      <w:r>
        <w:rPr>
          <w:spacing w:val="-12"/>
          <w:w w:val="130"/>
          <w:sz w:val="24"/>
        </w:rPr>
        <w:t> </w:t>
      </w:r>
      <w:r>
        <w:rPr>
          <w:w w:val="130"/>
          <w:sz w:val="24"/>
        </w:rPr>
        <w:t>a Felügyelet rendelkezésére álló bármely okirat, adat vagy információ alapján megállapítható, hogy a kérelmező nem tud megfelelni a prudens működésre vonatkozó jogszabályi</w:t>
      </w:r>
      <w:r>
        <w:rPr>
          <w:spacing w:val="-11"/>
          <w:w w:val="130"/>
          <w:sz w:val="24"/>
        </w:rPr>
        <w:t> </w:t>
      </w:r>
      <w:r>
        <w:rPr>
          <w:w w:val="130"/>
          <w:sz w:val="24"/>
        </w:rPr>
        <w:t>előírásoknak.</w:t>
      </w:r>
    </w:p>
    <w:p>
      <w:pPr>
        <w:pStyle w:val="BodyText"/>
        <w:spacing w:before="8"/>
        <w:ind w:left="0" w:firstLine="0"/>
        <w:rPr>
          <w:sz w:val="8"/>
        </w:rPr>
      </w:pPr>
      <w:r>
        <w:rPr/>
        <w:pict>
          <v:line style="position:absolute;mso-position-horizontal-relative:page;mso-position-vertical-relative:paragraph;z-index:-232;mso-wrap-distance-left:0;mso-wrap-distance-right:0" from="56.693001pt,7.229457pt" to="538.583001pt,7.229457pt" stroked="true" strokeweight=".5pt" strokecolor="#000000">
            <v:stroke dashstyle="solid"/>
            <w10:wrap type="topAndBottom"/>
          </v:line>
        </w:pict>
      </w:r>
    </w:p>
    <w:p>
      <w:pPr>
        <w:pStyle w:val="ListParagraph"/>
        <w:numPr>
          <w:ilvl w:val="0"/>
          <w:numId w:val="111"/>
        </w:numPr>
        <w:tabs>
          <w:tab w:pos="686" w:val="left" w:leader="none"/>
          <w:tab w:pos="687" w:val="left" w:leader="none"/>
        </w:tabs>
        <w:spacing w:line="240" w:lineRule="auto" w:before="44" w:after="0"/>
        <w:ind w:left="686" w:right="0" w:hanging="344"/>
        <w:jc w:val="left"/>
        <w:rPr>
          <w:i/>
          <w:sz w:val="18"/>
        </w:rPr>
      </w:pPr>
      <w:r>
        <w:rPr>
          <w:i/>
          <w:w w:val="125"/>
          <w:sz w:val="18"/>
        </w:rPr>
        <w:t>Beiktatta: 2017. évi LXIX. törvény 164. §. Hatályos: 2017. VII.</w:t>
      </w:r>
      <w:r>
        <w:rPr>
          <w:i/>
          <w:spacing w:val="-13"/>
          <w:w w:val="125"/>
          <w:sz w:val="18"/>
        </w:rPr>
        <w:t> </w:t>
      </w:r>
      <w:r>
        <w:rPr>
          <w:i/>
          <w:w w:val="125"/>
          <w:sz w:val="18"/>
        </w:rPr>
        <w:t>1-től.</w:t>
      </w:r>
    </w:p>
    <w:p>
      <w:pPr>
        <w:spacing w:after="0" w:line="240" w:lineRule="auto"/>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935" w:firstLine="0"/>
      </w:pPr>
      <w:r>
        <w:rPr>
          <w:w w:val="125"/>
        </w:rPr>
        <w:t>17. A hitelintézet alapítási engedélye érvényességének határideje</w:t>
      </w:r>
    </w:p>
    <w:p>
      <w:pPr>
        <w:pStyle w:val="ListParagraph"/>
        <w:numPr>
          <w:ilvl w:val="0"/>
          <w:numId w:val="100"/>
        </w:numPr>
        <w:tabs>
          <w:tab w:pos="863" w:val="left" w:leader="none"/>
        </w:tabs>
        <w:spacing w:line="225" w:lineRule="auto" w:before="237" w:after="0"/>
        <w:ind w:left="113" w:right="120" w:firstLine="204"/>
        <w:jc w:val="both"/>
        <w:rPr>
          <w:sz w:val="24"/>
        </w:rPr>
      </w:pPr>
      <w:r>
        <w:rPr>
          <w:rFonts w:ascii="Arial" w:hAnsi="Arial"/>
          <w:b/>
          <w:w w:val="125"/>
          <w:sz w:val="24"/>
        </w:rPr>
        <w:t>§ </w:t>
      </w:r>
      <w:r>
        <w:rPr>
          <w:w w:val="125"/>
          <w:sz w:val="24"/>
        </w:rPr>
        <w:t>A hitelintézet alapítását engedélyező határozat érvényét veszti, ha a tevékenységi engedély iránti kérelmet a  határozat  kézhezvételétől  számított hat hónapon belül a hitelintézet nem nyújtja be a Felügyelethez. A határidő elmulasztása miatt igazolásnak helye</w:t>
      </w:r>
      <w:r>
        <w:rPr>
          <w:spacing w:val="5"/>
          <w:w w:val="125"/>
          <w:sz w:val="24"/>
        </w:rPr>
        <w:t> </w:t>
      </w:r>
      <w:r>
        <w:rPr>
          <w:w w:val="125"/>
          <w:sz w:val="24"/>
        </w:rPr>
        <w:t>nincs.</w:t>
      </w:r>
    </w:p>
    <w:p>
      <w:pPr>
        <w:pStyle w:val="BodyText"/>
        <w:spacing w:before="228"/>
        <w:ind w:left="2217" w:firstLine="0"/>
      </w:pPr>
      <w:r>
        <w:rPr>
          <w:w w:val="125"/>
        </w:rPr>
        <w:t>18. Az engedély visszavonása és visszaadása</w:t>
      </w:r>
    </w:p>
    <w:p>
      <w:pPr>
        <w:pStyle w:val="ListParagraph"/>
        <w:numPr>
          <w:ilvl w:val="0"/>
          <w:numId w:val="100"/>
        </w:numPr>
        <w:tabs>
          <w:tab w:pos="1012" w:val="left" w:leader="none"/>
        </w:tabs>
        <w:spacing w:line="225" w:lineRule="auto" w:before="237" w:after="0"/>
        <w:ind w:left="113" w:right="133" w:firstLine="204"/>
        <w:jc w:val="both"/>
        <w:rPr>
          <w:sz w:val="24"/>
        </w:rPr>
      </w:pPr>
      <w:r>
        <w:rPr>
          <w:rFonts w:ascii="Arial" w:hAnsi="Arial"/>
          <w:b/>
          <w:w w:val="120"/>
          <w:sz w:val="24"/>
        </w:rPr>
        <w:t>§ </w:t>
      </w:r>
      <w:r>
        <w:rPr>
          <w:w w:val="120"/>
          <w:sz w:val="24"/>
        </w:rPr>
        <w:t>(1) A Felügyelet az alapítási vagy tevékenységi engedélyt visszavonhatja,</w:t>
      </w:r>
      <w:r>
        <w:rPr>
          <w:spacing w:val="3"/>
          <w:w w:val="120"/>
          <w:sz w:val="24"/>
        </w:rPr>
        <w:t> </w:t>
      </w:r>
      <w:r>
        <w:rPr>
          <w:w w:val="120"/>
          <w:sz w:val="24"/>
        </w:rPr>
        <w:t>ha</w:t>
      </w:r>
    </w:p>
    <w:p>
      <w:pPr>
        <w:pStyle w:val="ListParagraph"/>
        <w:numPr>
          <w:ilvl w:val="0"/>
          <w:numId w:val="112"/>
        </w:numPr>
        <w:tabs>
          <w:tab w:pos="706" w:val="left" w:leader="none"/>
        </w:tabs>
        <w:spacing w:line="225" w:lineRule="auto" w:before="1" w:after="0"/>
        <w:ind w:left="113" w:right="130" w:firstLine="204"/>
        <w:jc w:val="both"/>
        <w:rPr>
          <w:sz w:val="24"/>
        </w:rPr>
      </w:pPr>
      <w:r>
        <w:rPr>
          <w:w w:val="130"/>
          <w:sz w:val="24"/>
        </w:rPr>
        <w:t>az engedélyt a Felügyelet megtévesztésével vagy más jogszabálysértő módon szerezték</w:t>
      </w:r>
      <w:r>
        <w:rPr>
          <w:spacing w:val="-7"/>
          <w:w w:val="130"/>
          <w:sz w:val="24"/>
        </w:rPr>
        <w:t> </w:t>
      </w:r>
      <w:r>
        <w:rPr>
          <w:w w:val="130"/>
          <w:sz w:val="24"/>
        </w:rPr>
        <w:t>meg,</w:t>
      </w:r>
    </w:p>
    <w:p>
      <w:pPr>
        <w:pStyle w:val="ListParagraph"/>
        <w:numPr>
          <w:ilvl w:val="0"/>
          <w:numId w:val="112"/>
        </w:numPr>
        <w:tabs>
          <w:tab w:pos="653" w:val="left" w:leader="none"/>
        </w:tabs>
        <w:spacing w:line="256" w:lineRule="exact" w:before="0" w:after="0"/>
        <w:ind w:left="652" w:right="0" w:hanging="335"/>
        <w:jc w:val="left"/>
        <w:rPr>
          <w:sz w:val="24"/>
        </w:rPr>
      </w:pPr>
      <w:r>
        <w:rPr>
          <w:w w:val="125"/>
          <w:sz w:val="24"/>
        </w:rPr>
        <w:t>a pénzügyi intézmény - törvény által - tiltott tevékenységet</w:t>
      </w:r>
      <w:r>
        <w:rPr>
          <w:spacing w:val="4"/>
          <w:w w:val="125"/>
          <w:sz w:val="24"/>
        </w:rPr>
        <w:t> </w:t>
      </w:r>
      <w:r>
        <w:rPr>
          <w:w w:val="125"/>
          <w:sz w:val="24"/>
        </w:rPr>
        <w:t>folytat,</w:t>
      </w:r>
    </w:p>
    <w:p>
      <w:pPr>
        <w:pStyle w:val="ListParagraph"/>
        <w:numPr>
          <w:ilvl w:val="0"/>
          <w:numId w:val="112"/>
        </w:numPr>
        <w:tabs>
          <w:tab w:pos="657" w:val="left" w:leader="none"/>
        </w:tabs>
        <w:spacing w:line="225" w:lineRule="auto" w:before="6" w:after="0"/>
        <w:ind w:left="113" w:right="134" w:firstLine="204"/>
        <w:jc w:val="both"/>
        <w:rPr>
          <w:sz w:val="24"/>
        </w:rPr>
      </w:pPr>
      <w:r>
        <w:rPr>
          <w:w w:val="125"/>
          <w:sz w:val="24"/>
        </w:rPr>
        <w:t>az alapítási engedély tekintetében valamennyi pénzügyi intézmény, ezen kívül a hitelintézet a tevékenységi engedély tekintetében a kézhezvételétől számított tizenkét hónapon belül a tevékenységét nem kezdi</w:t>
      </w:r>
      <w:r>
        <w:rPr>
          <w:spacing w:val="32"/>
          <w:w w:val="125"/>
          <w:sz w:val="24"/>
        </w:rPr>
        <w:t> </w:t>
      </w:r>
      <w:r>
        <w:rPr>
          <w:w w:val="125"/>
          <w:sz w:val="24"/>
        </w:rPr>
        <w:t>meg,</w:t>
      </w:r>
    </w:p>
    <w:p>
      <w:pPr>
        <w:pStyle w:val="ListParagraph"/>
        <w:numPr>
          <w:ilvl w:val="0"/>
          <w:numId w:val="112"/>
        </w:numPr>
        <w:tabs>
          <w:tab w:pos="758" w:val="left" w:leader="none"/>
        </w:tabs>
        <w:spacing w:line="225" w:lineRule="auto" w:before="1" w:after="0"/>
        <w:ind w:left="113" w:right="129" w:firstLine="204"/>
        <w:jc w:val="both"/>
        <w:rPr>
          <w:sz w:val="24"/>
        </w:rPr>
      </w:pPr>
      <w:r>
        <w:rPr>
          <w:w w:val="130"/>
          <w:sz w:val="24"/>
        </w:rPr>
        <w:t>a pénzügyi intézmény hat hónapon keresztül nem folytat pénzügyi szolgáltatási</w:t>
      </w:r>
      <w:r>
        <w:rPr>
          <w:spacing w:val="-3"/>
          <w:w w:val="130"/>
          <w:sz w:val="24"/>
        </w:rPr>
        <w:t> </w:t>
      </w:r>
      <w:r>
        <w:rPr>
          <w:w w:val="130"/>
          <w:sz w:val="24"/>
        </w:rPr>
        <w:t>tevékenységet,</w:t>
      </w:r>
    </w:p>
    <w:p>
      <w:pPr>
        <w:pStyle w:val="ListParagraph"/>
        <w:numPr>
          <w:ilvl w:val="0"/>
          <w:numId w:val="112"/>
        </w:numPr>
        <w:tabs>
          <w:tab w:pos="692" w:val="left" w:leader="none"/>
        </w:tabs>
        <w:spacing w:line="225" w:lineRule="auto" w:before="1" w:after="0"/>
        <w:ind w:left="113" w:right="131" w:firstLine="204"/>
        <w:jc w:val="both"/>
        <w:rPr>
          <w:sz w:val="24"/>
        </w:rPr>
      </w:pPr>
      <w:r>
        <w:rPr>
          <w:w w:val="125"/>
          <w:sz w:val="24"/>
        </w:rPr>
        <w:t>a pénzügyi intézmény már nem felel meg e törvény vagy - a prudens működésre vonatkozó - más jogszabályban foglalt</w:t>
      </w:r>
      <w:r>
        <w:rPr>
          <w:spacing w:val="12"/>
          <w:w w:val="125"/>
          <w:sz w:val="24"/>
        </w:rPr>
        <w:t> </w:t>
      </w:r>
      <w:r>
        <w:rPr>
          <w:w w:val="125"/>
          <w:sz w:val="24"/>
        </w:rPr>
        <w:t>rendelkezéseknek,</w:t>
      </w:r>
    </w:p>
    <w:p>
      <w:pPr>
        <w:pStyle w:val="ListParagraph"/>
        <w:numPr>
          <w:ilvl w:val="0"/>
          <w:numId w:val="112"/>
        </w:numPr>
        <w:tabs>
          <w:tab w:pos="767" w:val="left" w:leader="none"/>
        </w:tabs>
        <w:spacing w:line="225" w:lineRule="auto" w:before="2" w:after="0"/>
        <w:ind w:left="113" w:right="129" w:firstLine="204"/>
        <w:jc w:val="both"/>
        <w:rPr>
          <w:sz w:val="24"/>
        </w:rPr>
      </w:pPr>
      <w:r>
        <w:rPr>
          <w:w w:val="125"/>
          <w:sz w:val="24"/>
        </w:rPr>
        <w:t>a pénzügyi intézmény több alkalommal súlyosan megsértette a számvitelre, a független és megbízható irányításra, illetve ellenőrzésre vonatkozó, továbbá az e törvényben, valamint a prudens működésre vonatkozó más jogszabályokban, illetve a Felügyelet határozataiban foglalt</w:t>
      </w:r>
      <w:r>
        <w:rPr>
          <w:spacing w:val="57"/>
          <w:w w:val="125"/>
          <w:sz w:val="24"/>
        </w:rPr>
        <w:t> </w:t>
      </w:r>
      <w:r>
        <w:rPr>
          <w:w w:val="125"/>
          <w:sz w:val="24"/>
        </w:rPr>
        <w:t>előírásokat,</w:t>
      </w:r>
    </w:p>
    <w:p>
      <w:pPr>
        <w:pStyle w:val="ListParagraph"/>
        <w:numPr>
          <w:ilvl w:val="0"/>
          <w:numId w:val="112"/>
        </w:numPr>
        <w:tabs>
          <w:tab w:pos="689" w:val="left" w:leader="none"/>
        </w:tabs>
        <w:spacing w:line="225" w:lineRule="auto" w:before="2" w:after="0"/>
        <w:ind w:left="113" w:right="130" w:firstLine="204"/>
        <w:jc w:val="both"/>
        <w:rPr>
          <w:sz w:val="24"/>
        </w:rPr>
      </w:pPr>
      <w:r>
        <w:rPr>
          <w:w w:val="125"/>
          <w:sz w:val="24"/>
        </w:rPr>
        <w:t>olyan körülmény áll fenn, amely miatt a pénzügyi intézmény működése súlyosan veszélyezteti vagy sérti az ügyfelek érdekeit, akadályozhatja a pénzforgalmat, illetve a pénz- és tőkepiac megfelelő</w:t>
      </w:r>
      <w:r>
        <w:rPr>
          <w:spacing w:val="11"/>
          <w:w w:val="125"/>
          <w:sz w:val="24"/>
        </w:rPr>
        <w:t> </w:t>
      </w:r>
      <w:r>
        <w:rPr>
          <w:w w:val="125"/>
          <w:sz w:val="24"/>
        </w:rPr>
        <w:t>működését,</w:t>
      </w:r>
    </w:p>
    <w:p>
      <w:pPr>
        <w:pStyle w:val="ListParagraph"/>
        <w:numPr>
          <w:ilvl w:val="0"/>
          <w:numId w:val="112"/>
        </w:numPr>
        <w:tabs>
          <w:tab w:pos="669" w:val="left" w:leader="none"/>
        </w:tabs>
        <w:spacing w:line="225" w:lineRule="auto" w:before="2" w:after="0"/>
        <w:ind w:left="113" w:right="135" w:firstLine="204"/>
        <w:jc w:val="both"/>
        <w:rPr>
          <w:sz w:val="24"/>
        </w:rPr>
      </w:pPr>
      <w:r>
        <w:rPr>
          <w:w w:val="130"/>
          <w:sz w:val="24"/>
        </w:rPr>
        <w:t>a</w:t>
      </w:r>
      <w:r>
        <w:rPr>
          <w:spacing w:val="-16"/>
          <w:w w:val="130"/>
          <w:sz w:val="24"/>
        </w:rPr>
        <w:t> </w:t>
      </w:r>
      <w:r>
        <w:rPr>
          <w:w w:val="130"/>
          <w:sz w:val="24"/>
        </w:rPr>
        <w:t>fióktelep</w:t>
      </w:r>
      <w:r>
        <w:rPr>
          <w:spacing w:val="-8"/>
          <w:w w:val="130"/>
          <w:sz w:val="24"/>
        </w:rPr>
        <w:t> </w:t>
      </w:r>
      <w:r>
        <w:rPr>
          <w:w w:val="130"/>
          <w:sz w:val="24"/>
        </w:rPr>
        <w:t>engedélyezéséhez</w:t>
      </w:r>
      <w:r>
        <w:rPr>
          <w:spacing w:val="-21"/>
          <w:w w:val="130"/>
          <w:sz w:val="24"/>
        </w:rPr>
        <w:t> </w:t>
      </w:r>
      <w:r>
        <w:rPr>
          <w:w w:val="130"/>
          <w:sz w:val="24"/>
        </w:rPr>
        <w:t>kapcsolódó</w:t>
      </w:r>
      <w:r>
        <w:rPr>
          <w:spacing w:val="-17"/>
          <w:w w:val="130"/>
          <w:sz w:val="24"/>
        </w:rPr>
        <w:t> </w:t>
      </w:r>
      <w:r>
        <w:rPr>
          <w:w w:val="130"/>
          <w:sz w:val="24"/>
        </w:rPr>
        <w:t>feltételek</w:t>
      </w:r>
      <w:r>
        <w:rPr>
          <w:spacing w:val="-16"/>
          <w:w w:val="130"/>
          <w:sz w:val="24"/>
        </w:rPr>
        <w:t> </w:t>
      </w:r>
      <w:r>
        <w:rPr>
          <w:w w:val="130"/>
          <w:sz w:val="24"/>
        </w:rPr>
        <w:t>valamelyike</w:t>
      </w:r>
      <w:r>
        <w:rPr>
          <w:spacing w:val="-7"/>
          <w:w w:val="130"/>
          <w:sz w:val="24"/>
        </w:rPr>
        <w:t> </w:t>
      </w:r>
      <w:r>
        <w:rPr>
          <w:w w:val="130"/>
          <w:sz w:val="24"/>
        </w:rPr>
        <w:t>már</w:t>
      </w:r>
      <w:r>
        <w:rPr>
          <w:spacing w:val="-24"/>
          <w:w w:val="130"/>
          <w:sz w:val="24"/>
        </w:rPr>
        <w:t> </w:t>
      </w:r>
      <w:r>
        <w:rPr>
          <w:w w:val="130"/>
          <w:sz w:val="24"/>
        </w:rPr>
        <w:t>nem teljesül,</w:t>
      </w:r>
      <w:r>
        <w:rPr>
          <w:spacing w:val="-4"/>
          <w:w w:val="130"/>
          <w:sz w:val="24"/>
        </w:rPr>
        <w:t> </w:t>
      </w:r>
      <w:r>
        <w:rPr>
          <w:w w:val="130"/>
          <w:sz w:val="24"/>
        </w:rPr>
        <w:t>vagy</w:t>
      </w:r>
    </w:p>
    <w:p>
      <w:pPr>
        <w:pStyle w:val="ListParagraph"/>
        <w:numPr>
          <w:ilvl w:val="0"/>
          <w:numId w:val="112"/>
        </w:numPr>
        <w:tabs>
          <w:tab w:pos="616" w:val="left" w:leader="none"/>
        </w:tabs>
        <w:spacing w:line="225" w:lineRule="auto" w:before="1" w:after="0"/>
        <w:ind w:left="113" w:right="131" w:firstLine="204"/>
        <w:jc w:val="both"/>
        <w:rPr>
          <w:sz w:val="24"/>
        </w:rPr>
      </w:pPr>
      <w:r>
        <w:rPr>
          <w:w w:val="125"/>
          <w:sz w:val="24"/>
        </w:rPr>
        <w:t>a 18. § (1) bekezdés </w:t>
      </w:r>
      <w:r>
        <w:rPr>
          <w:i/>
          <w:w w:val="125"/>
          <w:sz w:val="24"/>
        </w:rPr>
        <w:t>g) </w:t>
      </w:r>
      <w:r>
        <w:rPr>
          <w:w w:val="125"/>
          <w:sz w:val="24"/>
        </w:rPr>
        <w:t>pontjában meghatározott információátadás nem biztosított.</w:t>
      </w:r>
    </w:p>
    <w:p>
      <w:pPr>
        <w:pStyle w:val="ListParagraph"/>
        <w:numPr>
          <w:ilvl w:val="0"/>
          <w:numId w:val="113"/>
        </w:numPr>
        <w:tabs>
          <w:tab w:pos="767" w:val="left" w:leader="none"/>
        </w:tabs>
        <w:spacing w:line="225" w:lineRule="auto" w:before="1" w:after="0"/>
        <w:ind w:left="113" w:right="135" w:firstLine="204"/>
        <w:jc w:val="both"/>
        <w:rPr>
          <w:sz w:val="24"/>
        </w:rPr>
      </w:pPr>
      <w:r>
        <w:rPr>
          <w:w w:val="125"/>
          <w:sz w:val="24"/>
        </w:rPr>
        <w:t>A Felügyelet az alapítási vagy tevékenységi engedélyt visszavonja, ha a pénzügyi intézmény az alapítási vagy tevékenységi engedélyét e törvénynek megfelelően</w:t>
      </w:r>
      <w:r>
        <w:rPr>
          <w:spacing w:val="-1"/>
          <w:w w:val="125"/>
          <w:sz w:val="24"/>
        </w:rPr>
        <w:t> </w:t>
      </w:r>
      <w:r>
        <w:rPr>
          <w:w w:val="125"/>
          <w:sz w:val="24"/>
        </w:rPr>
        <w:t>visszaadja.</w:t>
      </w:r>
    </w:p>
    <w:p>
      <w:pPr>
        <w:pStyle w:val="ListParagraph"/>
        <w:numPr>
          <w:ilvl w:val="0"/>
          <w:numId w:val="113"/>
        </w:numPr>
        <w:tabs>
          <w:tab w:pos="798" w:val="left" w:leader="none"/>
        </w:tabs>
        <w:spacing w:line="225" w:lineRule="auto" w:before="2" w:after="0"/>
        <w:ind w:left="113" w:right="118" w:firstLine="204"/>
        <w:jc w:val="both"/>
        <w:rPr>
          <w:sz w:val="24"/>
        </w:rPr>
      </w:pPr>
      <w:r>
        <w:rPr>
          <w:w w:val="125"/>
          <w:sz w:val="24"/>
        </w:rPr>
        <w:t>A Felügyelet a fióktelep engedélyét visszavonja, ha a székhely szerinti illetékes felügyeleti hatóság a külföldi pénzügyi intézmény engedélyét visszavonta.</w:t>
      </w:r>
    </w:p>
    <w:p>
      <w:pPr>
        <w:pStyle w:val="ListParagraph"/>
        <w:numPr>
          <w:ilvl w:val="0"/>
          <w:numId w:val="113"/>
        </w:numPr>
        <w:tabs>
          <w:tab w:pos="659" w:val="left" w:leader="none"/>
          <w:tab w:pos="1037" w:val="left" w:leader="none"/>
          <w:tab w:pos="1475" w:val="left" w:leader="none"/>
          <w:tab w:pos="2837" w:val="left" w:leader="none"/>
          <w:tab w:pos="4796" w:val="left" w:leader="none"/>
          <w:tab w:pos="5585" w:val="left" w:leader="none"/>
          <w:tab w:pos="6952" w:val="left" w:leader="none"/>
          <w:tab w:pos="8601" w:val="left" w:leader="none"/>
        </w:tabs>
        <w:spacing w:line="250" w:lineRule="exact" w:before="0" w:after="0"/>
        <w:ind w:left="658" w:right="0" w:hanging="341"/>
        <w:jc w:val="left"/>
        <w:rPr>
          <w:sz w:val="24"/>
        </w:rPr>
      </w:pPr>
      <w:r>
        <w:rPr>
          <w:i/>
          <w:w w:val="125"/>
          <w:position w:val="3"/>
          <w:sz w:val="18"/>
        </w:rPr>
        <w:t>1</w:t>
        <w:tab/>
      </w:r>
      <w:r>
        <w:rPr>
          <w:w w:val="125"/>
          <w:sz w:val="24"/>
        </w:rPr>
        <w:t>A</w:t>
        <w:tab/>
        <w:t>pénzügyi</w:t>
        <w:tab/>
        <w:t>intézménynek</w:t>
        <w:tab/>
        <w:t>nem</w:t>
        <w:tab/>
        <w:t>minősülő</w:t>
        <w:tab/>
        <w:t>gazdálkodó</w:t>
        <w:tab/>
        <w:t>szervezet</w:t>
      </w:r>
    </w:p>
    <w:p>
      <w:pPr>
        <w:pStyle w:val="BodyText"/>
        <w:tabs>
          <w:tab w:pos="1651" w:val="left" w:leader="none"/>
          <w:tab w:pos="1996" w:val="left" w:leader="none"/>
          <w:tab w:pos="3481" w:val="left" w:leader="none"/>
          <w:tab w:pos="3952" w:val="left" w:leader="none"/>
          <w:tab w:pos="4494" w:val="left" w:leader="none"/>
          <w:tab w:pos="4961" w:val="left" w:leader="none"/>
          <w:tab w:pos="5503" w:val="left" w:leader="none"/>
          <w:tab w:pos="7283" w:val="left" w:leader="none"/>
          <w:tab w:pos="8554" w:val="left" w:leader="none"/>
        </w:tabs>
        <w:spacing w:line="225" w:lineRule="auto" w:before="12"/>
        <w:ind w:right="130" w:firstLine="0"/>
      </w:pPr>
      <w:r>
        <w:rPr>
          <w:w w:val="125"/>
        </w:rPr>
        <w:t>engedélyét</w:t>
        <w:tab/>
        <w:t>a</w:t>
        <w:tab/>
        <w:t>Felügyelet</w:t>
        <w:tab/>
        <w:t>az</w:t>
        <w:tab/>
        <w:t>(1)</w:t>
        <w:tab/>
        <w:t>és</w:t>
        <w:tab/>
        <w:t>(2)</w:t>
        <w:tab/>
        <w:t>bekezdésben</w:t>
        <w:tab/>
        <w:t>foglaltak</w:t>
        <w:tab/>
      </w:r>
      <w:r>
        <w:rPr>
          <w:spacing w:val="-1"/>
          <w:w w:val="125"/>
        </w:rPr>
        <w:t>megfelelő </w:t>
      </w:r>
      <w:r>
        <w:rPr>
          <w:w w:val="125"/>
        </w:rPr>
        <w:t>alkalmazásával vonhatja</w:t>
      </w:r>
      <w:r>
        <w:rPr>
          <w:spacing w:val="-1"/>
          <w:w w:val="125"/>
        </w:rPr>
        <w:t> </w:t>
      </w:r>
      <w:r>
        <w:rPr>
          <w:w w:val="125"/>
        </w:rPr>
        <w:t>vissza.</w:t>
      </w:r>
    </w:p>
    <w:p>
      <w:pPr>
        <w:pStyle w:val="ListParagraph"/>
        <w:numPr>
          <w:ilvl w:val="0"/>
          <w:numId w:val="113"/>
        </w:numPr>
        <w:tabs>
          <w:tab w:pos="659" w:val="left" w:leader="none"/>
        </w:tabs>
        <w:spacing w:line="249" w:lineRule="exact" w:before="0" w:after="0"/>
        <w:ind w:left="658" w:right="0" w:hanging="341"/>
        <w:jc w:val="left"/>
        <w:rPr>
          <w:sz w:val="24"/>
        </w:rPr>
      </w:pPr>
      <w:r>
        <w:rPr>
          <w:i/>
          <w:w w:val="125"/>
          <w:position w:val="3"/>
          <w:sz w:val="18"/>
        </w:rPr>
        <w:t>2 </w:t>
      </w:r>
      <w:r>
        <w:rPr>
          <w:w w:val="125"/>
          <w:sz w:val="24"/>
        </w:rPr>
        <w:t>A pénzügyi közvetítőrendszer egyes szereplőinek biztonságát</w:t>
      </w:r>
      <w:r>
        <w:rPr>
          <w:spacing w:val="21"/>
          <w:w w:val="125"/>
          <w:sz w:val="24"/>
        </w:rPr>
        <w:t> </w:t>
      </w:r>
      <w:r>
        <w:rPr>
          <w:w w:val="125"/>
          <w:sz w:val="24"/>
        </w:rPr>
        <w:t>erősítő</w:t>
      </w:r>
    </w:p>
    <w:p>
      <w:pPr>
        <w:pStyle w:val="BodyText"/>
        <w:spacing w:line="225" w:lineRule="auto" w:before="12"/>
        <w:ind w:right="129" w:firstLine="0"/>
        <w:jc w:val="both"/>
      </w:pPr>
      <w:r>
        <w:rPr>
          <w:w w:val="125"/>
        </w:rPr>
        <w:t>intézményrendszer továbbfejlesztéséről szóló 2014. évi XXXVII. törvényben (a továbbiakban: Szantv.) meghatározott szanálás alatt álló pénzügyi intézmény tevékenységi engedélye a szanálási eljárás megszüntetéséig nem vonható vissza.</w:t>
      </w:r>
    </w:p>
    <w:p>
      <w:pPr>
        <w:pStyle w:val="ListParagraph"/>
        <w:numPr>
          <w:ilvl w:val="0"/>
          <w:numId w:val="100"/>
        </w:numPr>
        <w:tabs>
          <w:tab w:pos="916" w:val="left" w:leader="none"/>
        </w:tabs>
        <w:spacing w:line="225" w:lineRule="auto" w:before="1" w:after="0"/>
        <w:ind w:left="113" w:right="132" w:firstLine="204"/>
        <w:jc w:val="left"/>
        <w:rPr>
          <w:sz w:val="24"/>
        </w:rPr>
      </w:pPr>
      <w:r>
        <w:rPr>
          <w:rFonts w:ascii="Arial" w:hAnsi="Arial"/>
          <w:b/>
          <w:w w:val="120"/>
          <w:sz w:val="24"/>
        </w:rPr>
        <w:t>§ </w:t>
      </w:r>
      <w:r>
        <w:rPr>
          <w:w w:val="120"/>
          <w:sz w:val="24"/>
        </w:rPr>
        <w:t>(1) A Felügyelet a hitelintézet tevékenységi engedélyét akkor is visszavonhatja, ha a</w:t>
      </w:r>
      <w:r>
        <w:rPr>
          <w:spacing w:val="17"/>
          <w:w w:val="120"/>
          <w:sz w:val="24"/>
        </w:rPr>
        <w:t> </w:t>
      </w:r>
      <w:r>
        <w:rPr>
          <w:w w:val="120"/>
          <w:sz w:val="24"/>
        </w:rPr>
        <w:t>hitelintézet</w:t>
      </w:r>
    </w:p>
    <w:p>
      <w:pPr>
        <w:pStyle w:val="BodyText"/>
        <w:ind w:left="0" w:firstLine="0"/>
        <w:rPr>
          <w:sz w:val="20"/>
        </w:rPr>
      </w:pPr>
    </w:p>
    <w:p>
      <w:pPr>
        <w:pStyle w:val="BodyText"/>
        <w:spacing w:before="11"/>
        <w:ind w:left="0" w:firstLine="0"/>
        <w:rPr>
          <w:sz w:val="19"/>
        </w:rPr>
      </w:pPr>
      <w:r>
        <w:rPr/>
        <w:pict>
          <v:line style="position:absolute;mso-position-horizontal-relative:page;mso-position-vertical-relative:paragraph;z-index:-208;mso-wrap-distance-left:0;mso-wrap-distance-right:0" from="56.693001pt,13.688523pt" to="538.583001pt,13.68852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2014. évi XVI. törvény 294. §</w:t>
      </w:r>
      <w:r>
        <w:rPr>
          <w:i/>
          <w:spacing w:val="-5"/>
          <w:w w:val="125"/>
          <w:sz w:val="18"/>
        </w:rPr>
        <w:t> </w:t>
      </w:r>
      <w:r>
        <w:rPr>
          <w:i/>
          <w:w w:val="125"/>
          <w:sz w:val="18"/>
        </w:rPr>
        <w:t>(3).</w:t>
      </w:r>
    </w:p>
    <w:p>
      <w:pPr>
        <w:pStyle w:val="ListParagraph"/>
        <w:numPr>
          <w:ilvl w:val="0"/>
          <w:numId w:val="111"/>
        </w:numPr>
        <w:tabs>
          <w:tab w:pos="686" w:val="left" w:leader="none"/>
          <w:tab w:pos="687" w:val="left" w:leader="none"/>
        </w:tabs>
        <w:spacing w:line="203" w:lineRule="exact" w:before="0" w:after="0"/>
        <w:ind w:left="686" w:right="0" w:hanging="344"/>
        <w:jc w:val="left"/>
        <w:rPr>
          <w:i/>
          <w:sz w:val="18"/>
        </w:rPr>
      </w:pPr>
      <w:r>
        <w:rPr>
          <w:i/>
          <w:w w:val="120"/>
          <w:sz w:val="18"/>
        </w:rPr>
        <w:t>Beiktatta: 2014. évi XXXVII. törvény 161. § (6). Hatályos: 2014. IX.</w:t>
      </w:r>
      <w:r>
        <w:rPr>
          <w:i/>
          <w:spacing w:val="53"/>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114"/>
        </w:numPr>
        <w:tabs>
          <w:tab w:pos="793" w:val="left" w:leader="none"/>
          <w:tab w:pos="794" w:val="left" w:leader="none"/>
          <w:tab w:pos="2125" w:val="left" w:leader="none"/>
          <w:tab w:pos="3201" w:val="left" w:leader="none"/>
          <w:tab w:pos="3583" w:val="left" w:leader="none"/>
          <w:tab w:pos="4842" w:val="left" w:leader="none"/>
          <w:tab w:pos="5898" w:val="left" w:leader="none"/>
          <w:tab w:pos="6726" w:val="left" w:leader="none"/>
          <w:tab w:pos="7489" w:val="left" w:leader="none"/>
          <w:tab w:pos="8132" w:val="left" w:leader="none"/>
          <w:tab w:pos="9122" w:val="left" w:leader="none"/>
        </w:tabs>
        <w:spacing w:line="225" w:lineRule="auto" w:before="173" w:after="0"/>
        <w:ind w:left="113" w:right="132" w:firstLine="204"/>
        <w:jc w:val="left"/>
        <w:rPr>
          <w:sz w:val="24"/>
        </w:rPr>
      </w:pPr>
      <w:r>
        <w:rPr>
          <w:w w:val="130"/>
          <w:sz w:val="24"/>
        </w:rPr>
        <w:t>esetében</w:t>
        <w:tab/>
        <w:t>fennáll</w:t>
        <w:tab/>
        <w:t>a</w:t>
        <w:tab/>
        <w:t>veszélye</w:t>
        <w:tab/>
        <w:t>annak,</w:t>
        <w:tab/>
        <w:t>hogy</w:t>
        <w:tab/>
        <w:t>nem</w:t>
        <w:tab/>
        <w:t>tud</w:t>
        <w:tab/>
        <w:t>eleget</w:t>
        <w:tab/>
      </w:r>
      <w:r>
        <w:rPr>
          <w:spacing w:val="-4"/>
          <w:w w:val="130"/>
          <w:sz w:val="24"/>
        </w:rPr>
        <w:t>tenni </w:t>
      </w:r>
      <w:r>
        <w:rPr>
          <w:w w:val="130"/>
          <w:sz w:val="24"/>
        </w:rPr>
        <w:t>kötelezettségeinek,</w:t>
      </w:r>
    </w:p>
    <w:p>
      <w:pPr>
        <w:pStyle w:val="ListParagraph"/>
        <w:numPr>
          <w:ilvl w:val="0"/>
          <w:numId w:val="114"/>
        </w:numPr>
        <w:tabs>
          <w:tab w:pos="697" w:val="left" w:leader="none"/>
        </w:tabs>
        <w:spacing w:line="225" w:lineRule="auto" w:before="1" w:after="0"/>
        <w:ind w:left="113" w:right="117" w:firstLine="204"/>
        <w:jc w:val="both"/>
        <w:rPr>
          <w:sz w:val="24"/>
        </w:rPr>
      </w:pPr>
      <w:r>
        <w:rPr>
          <w:w w:val="130"/>
          <w:sz w:val="24"/>
        </w:rPr>
        <w:t>a nem vitatott tartozását az esedékességét követő öt napon belül nem egyenlítette ki, és vagyona (eszközei) az ismert hitelezők követelésének kielégítésére sem nyújtana</w:t>
      </w:r>
      <w:r>
        <w:rPr>
          <w:spacing w:val="-11"/>
          <w:w w:val="130"/>
          <w:sz w:val="24"/>
        </w:rPr>
        <w:t> </w:t>
      </w:r>
      <w:r>
        <w:rPr>
          <w:w w:val="130"/>
          <w:sz w:val="24"/>
        </w:rPr>
        <w:t>fedezetet.</w:t>
      </w:r>
    </w:p>
    <w:p>
      <w:pPr>
        <w:pStyle w:val="ListParagraph"/>
        <w:numPr>
          <w:ilvl w:val="0"/>
          <w:numId w:val="115"/>
        </w:numPr>
        <w:tabs>
          <w:tab w:pos="734" w:val="left" w:leader="none"/>
        </w:tabs>
        <w:spacing w:line="256" w:lineRule="exact" w:before="0" w:after="0"/>
        <w:ind w:left="733" w:right="0" w:hanging="416"/>
        <w:jc w:val="left"/>
        <w:rPr>
          <w:sz w:val="24"/>
        </w:rPr>
      </w:pPr>
      <w:r>
        <w:rPr>
          <w:w w:val="125"/>
          <w:sz w:val="24"/>
        </w:rPr>
        <w:t>A Felügyelet visszavonja a hitelintézet tevékenységi engedélyét,</w:t>
      </w:r>
      <w:r>
        <w:rPr>
          <w:spacing w:val="16"/>
          <w:w w:val="125"/>
          <w:sz w:val="24"/>
        </w:rPr>
        <w:t> </w:t>
      </w:r>
      <w:r>
        <w:rPr>
          <w:w w:val="125"/>
          <w:sz w:val="24"/>
        </w:rPr>
        <w:t>ha</w:t>
      </w:r>
    </w:p>
    <w:p>
      <w:pPr>
        <w:pStyle w:val="ListParagraph"/>
        <w:numPr>
          <w:ilvl w:val="0"/>
          <w:numId w:val="116"/>
        </w:numPr>
        <w:tabs>
          <w:tab w:pos="631" w:val="left" w:leader="none"/>
        </w:tabs>
        <w:spacing w:line="260" w:lineRule="exact" w:before="0" w:after="0"/>
        <w:ind w:left="630" w:right="0" w:hanging="313"/>
        <w:jc w:val="left"/>
        <w:rPr>
          <w:sz w:val="24"/>
        </w:rPr>
      </w:pPr>
      <w:r>
        <w:rPr>
          <w:w w:val="130"/>
          <w:sz w:val="24"/>
        </w:rPr>
        <w:t>a bíróság elrendeli a hitelintézet</w:t>
      </w:r>
      <w:r>
        <w:rPr>
          <w:spacing w:val="-23"/>
          <w:w w:val="130"/>
          <w:sz w:val="24"/>
        </w:rPr>
        <w:t> </w:t>
      </w:r>
      <w:r>
        <w:rPr>
          <w:w w:val="130"/>
          <w:sz w:val="24"/>
        </w:rPr>
        <w:t>felszámolását,</w:t>
      </w:r>
    </w:p>
    <w:p>
      <w:pPr>
        <w:pStyle w:val="ListParagraph"/>
        <w:numPr>
          <w:ilvl w:val="0"/>
          <w:numId w:val="116"/>
        </w:numPr>
        <w:tabs>
          <w:tab w:pos="804" w:val="left" w:leader="none"/>
          <w:tab w:pos="805" w:val="left" w:leader="none"/>
          <w:tab w:pos="1187" w:val="left" w:leader="none"/>
          <w:tab w:pos="2808" w:val="left" w:leader="none"/>
          <w:tab w:pos="3317" w:val="left" w:leader="none"/>
          <w:tab w:pos="4537" w:val="left" w:leader="none"/>
          <w:tab w:pos="5757" w:val="left" w:leader="none"/>
          <w:tab w:pos="6884" w:val="left" w:leader="none"/>
          <w:tab w:pos="8535" w:val="left" w:leader="none"/>
        </w:tabs>
        <w:spacing w:line="225" w:lineRule="auto" w:before="5" w:after="0"/>
        <w:ind w:left="113" w:right="128" w:firstLine="204"/>
        <w:jc w:val="left"/>
        <w:rPr>
          <w:sz w:val="24"/>
        </w:rPr>
      </w:pPr>
      <w:r>
        <w:rPr>
          <w:w w:val="125"/>
          <w:sz w:val="24"/>
        </w:rPr>
        <w:t>a</w:t>
        <w:tab/>
        <w:t>hitelintézet</w:t>
        <w:tab/>
        <w:t>az</w:t>
        <w:tab/>
      </w:r>
      <w:r>
        <w:rPr>
          <w:w w:val="120"/>
          <w:sz w:val="24"/>
        </w:rPr>
        <w:t>OBA-val</w:t>
        <w:tab/>
      </w:r>
      <w:r>
        <w:rPr>
          <w:w w:val="125"/>
          <w:sz w:val="24"/>
        </w:rPr>
        <w:t>fennálló</w:t>
        <w:tab/>
        <w:t>tagsági</w:t>
        <w:tab/>
        <w:t>jogviszonya</w:t>
        <w:tab/>
      </w:r>
      <w:r>
        <w:rPr>
          <w:spacing w:val="-1"/>
          <w:w w:val="125"/>
          <w:sz w:val="24"/>
        </w:rPr>
        <w:t>kizárással </w:t>
      </w:r>
      <w:r>
        <w:rPr>
          <w:w w:val="125"/>
          <w:sz w:val="24"/>
        </w:rPr>
        <w:t>megszűnt,</w:t>
      </w:r>
    </w:p>
    <w:p>
      <w:pPr>
        <w:pStyle w:val="ListParagraph"/>
        <w:numPr>
          <w:ilvl w:val="0"/>
          <w:numId w:val="116"/>
        </w:numPr>
        <w:tabs>
          <w:tab w:pos="547" w:val="left" w:leader="none"/>
        </w:tabs>
        <w:spacing w:line="250" w:lineRule="exact" w:before="0" w:after="0"/>
        <w:ind w:left="546" w:right="0" w:hanging="229"/>
        <w:jc w:val="left"/>
        <w:rPr>
          <w:sz w:val="24"/>
        </w:rPr>
      </w:pPr>
      <w:r>
        <w:rPr>
          <w:i/>
          <w:w w:val="130"/>
          <w:position w:val="3"/>
          <w:sz w:val="18"/>
        </w:rPr>
        <w:t>1 </w:t>
      </w:r>
      <w:r>
        <w:rPr>
          <w:w w:val="130"/>
          <w:sz w:val="24"/>
        </w:rPr>
        <w:t>a nem vitatott betétből eredő tartozását az esedékességét követő</w:t>
      </w:r>
      <w:r>
        <w:rPr>
          <w:spacing w:val="-27"/>
          <w:w w:val="130"/>
          <w:sz w:val="24"/>
        </w:rPr>
        <w:t> </w:t>
      </w:r>
      <w:r>
        <w:rPr>
          <w:w w:val="130"/>
          <w:sz w:val="24"/>
        </w:rPr>
        <w:t>öt</w:t>
      </w:r>
    </w:p>
    <w:p>
      <w:pPr>
        <w:pStyle w:val="BodyText"/>
        <w:spacing w:line="225" w:lineRule="auto" w:before="12"/>
        <w:ind w:right="133" w:firstLine="0"/>
      </w:pPr>
      <w:r>
        <w:rPr>
          <w:w w:val="125"/>
        </w:rPr>
        <w:t>napon belül képtelen visszafizetni, és nem valószínű a későbbi visszafizetés sem.</w:t>
      </w:r>
    </w:p>
    <w:p>
      <w:pPr>
        <w:pStyle w:val="ListParagraph"/>
        <w:numPr>
          <w:ilvl w:val="0"/>
          <w:numId w:val="115"/>
        </w:numPr>
        <w:tabs>
          <w:tab w:pos="831" w:val="left" w:leader="none"/>
        </w:tabs>
        <w:spacing w:line="225" w:lineRule="auto" w:before="1" w:after="0"/>
        <w:ind w:left="113" w:right="125" w:firstLine="204"/>
        <w:jc w:val="both"/>
        <w:rPr>
          <w:sz w:val="24"/>
        </w:rPr>
      </w:pPr>
      <w:r>
        <w:rPr>
          <w:w w:val="130"/>
          <w:sz w:val="24"/>
        </w:rPr>
        <w:t>Hitelintézet tevékenységi engedélyét a Felügyelet a pénz-, tőke- és biztosítási piac szabályozásáért felelős miniszter jóváhagyásával vonhatja vissza.</w:t>
      </w:r>
    </w:p>
    <w:p>
      <w:pPr>
        <w:pStyle w:val="ListParagraph"/>
        <w:numPr>
          <w:ilvl w:val="0"/>
          <w:numId w:val="100"/>
        </w:numPr>
        <w:tabs>
          <w:tab w:pos="877" w:val="left" w:leader="none"/>
        </w:tabs>
        <w:spacing w:line="250" w:lineRule="exact" w:before="0" w:after="0"/>
        <w:ind w:left="876" w:right="0" w:hanging="559"/>
        <w:jc w:val="left"/>
        <w:rPr>
          <w:sz w:val="24"/>
        </w:rPr>
      </w:pPr>
      <w:r>
        <w:rPr>
          <w:rFonts w:ascii="Arial" w:hAnsi="Arial"/>
          <w:b/>
          <w:w w:val="120"/>
          <w:sz w:val="24"/>
        </w:rPr>
        <w:t>§</w:t>
      </w:r>
      <w:r>
        <w:rPr>
          <w:i/>
          <w:w w:val="120"/>
          <w:position w:val="3"/>
          <w:sz w:val="18"/>
        </w:rPr>
        <w:t>2 </w:t>
      </w:r>
      <w:r>
        <w:rPr>
          <w:w w:val="120"/>
          <w:sz w:val="24"/>
        </w:rPr>
        <w:t>(1) A Felügyelet a független közvetítő és a jelzáloghitel</w:t>
      </w:r>
      <w:r>
        <w:rPr>
          <w:spacing w:val="14"/>
          <w:w w:val="120"/>
          <w:sz w:val="24"/>
        </w:rPr>
        <w:t> </w:t>
      </w:r>
      <w:r>
        <w:rPr>
          <w:w w:val="120"/>
          <w:sz w:val="24"/>
        </w:rPr>
        <w:t>közvetítői</w:t>
      </w:r>
    </w:p>
    <w:p>
      <w:pPr>
        <w:pStyle w:val="BodyText"/>
        <w:spacing w:line="225" w:lineRule="auto" w:before="12"/>
        <w:ind w:right="253" w:firstLine="0"/>
      </w:pPr>
      <w:r>
        <w:rPr>
          <w:w w:val="125"/>
        </w:rPr>
        <w:t>tevékenységet végző függő közvetítő tevékenységi engedélyét visszavonja, ha  a</w:t>
      </w:r>
      <w:r>
        <w:rPr>
          <w:spacing w:val="-1"/>
          <w:w w:val="125"/>
        </w:rPr>
        <w:t> </w:t>
      </w:r>
      <w:r>
        <w:rPr>
          <w:w w:val="125"/>
        </w:rPr>
        <w:t>közvetítő</w:t>
      </w:r>
    </w:p>
    <w:p>
      <w:pPr>
        <w:pStyle w:val="ListParagraph"/>
        <w:numPr>
          <w:ilvl w:val="0"/>
          <w:numId w:val="117"/>
        </w:numPr>
        <w:tabs>
          <w:tab w:pos="631" w:val="left" w:leader="none"/>
        </w:tabs>
        <w:spacing w:line="256" w:lineRule="exact" w:before="0" w:after="0"/>
        <w:ind w:left="630" w:right="0" w:hanging="313"/>
        <w:jc w:val="left"/>
        <w:rPr>
          <w:sz w:val="24"/>
        </w:rPr>
      </w:pPr>
      <w:r>
        <w:rPr>
          <w:i/>
          <w:w w:val="125"/>
          <w:sz w:val="24"/>
        </w:rPr>
        <w:t>az e </w:t>
      </w:r>
      <w:r>
        <w:rPr>
          <w:w w:val="125"/>
          <w:sz w:val="24"/>
        </w:rPr>
        <w:t>törvényben előírt működési feltételek bármelyikének nem felel</w:t>
      </w:r>
      <w:r>
        <w:rPr>
          <w:spacing w:val="41"/>
          <w:w w:val="125"/>
          <w:sz w:val="24"/>
        </w:rPr>
        <w:t> </w:t>
      </w:r>
      <w:r>
        <w:rPr>
          <w:w w:val="125"/>
          <w:sz w:val="24"/>
        </w:rPr>
        <w:t>meg,</w:t>
      </w:r>
    </w:p>
    <w:p>
      <w:pPr>
        <w:pStyle w:val="ListParagraph"/>
        <w:numPr>
          <w:ilvl w:val="0"/>
          <w:numId w:val="117"/>
        </w:numPr>
        <w:tabs>
          <w:tab w:pos="653" w:val="left" w:leader="none"/>
        </w:tabs>
        <w:spacing w:line="260" w:lineRule="exact" w:before="0" w:after="0"/>
        <w:ind w:left="652" w:right="0" w:hanging="335"/>
        <w:jc w:val="left"/>
        <w:rPr>
          <w:sz w:val="24"/>
        </w:rPr>
      </w:pPr>
      <w:r>
        <w:rPr>
          <w:w w:val="130"/>
          <w:sz w:val="24"/>
        </w:rPr>
        <w:t>nyilvántartása,</w:t>
      </w:r>
      <w:r>
        <w:rPr>
          <w:spacing w:val="-28"/>
          <w:w w:val="130"/>
          <w:sz w:val="24"/>
        </w:rPr>
        <w:t> </w:t>
      </w:r>
      <w:r>
        <w:rPr>
          <w:w w:val="130"/>
          <w:sz w:val="24"/>
        </w:rPr>
        <w:t>illetve</w:t>
      </w:r>
      <w:r>
        <w:rPr>
          <w:spacing w:val="-19"/>
          <w:w w:val="130"/>
          <w:sz w:val="24"/>
        </w:rPr>
        <w:t> </w:t>
      </w:r>
      <w:r>
        <w:rPr>
          <w:w w:val="130"/>
          <w:sz w:val="24"/>
        </w:rPr>
        <w:t>az</w:t>
      </w:r>
      <w:r>
        <w:rPr>
          <w:spacing w:val="-19"/>
          <w:w w:val="130"/>
          <w:sz w:val="24"/>
        </w:rPr>
        <w:t> </w:t>
      </w:r>
      <w:r>
        <w:rPr>
          <w:w w:val="130"/>
          <w:sz w:val="24"/>
        </w:rPr>
        <w:t>éves</w:t>
      </w:r>
      <w:r>
        <w:rPr>
          <w:spacing w:val="-20"/>
          <w:w w:val="130"/>
          <w:sz w:val="24"/>
        </w:rPr>
        <w:t> </w:t>
      </w:r>
      <w:r>
        <w:rPr>
          <w:w w:val="130"/>
          <w:sz w:val="24"/>
        </w:rPr>
        <w:t>beszámolója</w:t>
      </w:r>
      <w:r>
        <w:rPr>
          <w:spacing w:val="-18"/>
          <w:w w:val="130"/>
          <w:sz w:val="24"/>
        </w:rPr>
        <w:t> </w:t>
      </w:r>
      <w:r>
        <w:rPr>
          <w:w w:val="130"/>
          <w:sz w:val="24"/>
        </w:rPr>
        <w:t>nem</w:t>
      </w:r>
      <w:r>
        <w:rPr>
          <w:spacing w:val="-19"/>
          <w:w w:val="130"/>
          <w:sz w:val="24"/>
        </w:rPr>
        <w:t> </w:t>
      </w:r>
      <w:r>
        <w:rPr>
          <w:w w:val="130"/>
          <w:sz w:val="24"/>
        </w:rPr>
        <w:t>felel</w:t>
      </w:r>
      <w:r>
        <w:rPr>
          <w:spacing w:val="-18"/>
          <w:w w:val="130"/>
          <w:sz w:val="24"/>
        </w:rPr>
        <w:t> </w:t>
      </w:r>
      <w:r>
        <w:rPr>
          <w:w w:val="130"/>
          <w:sz w:val="24"/>
        </w:rPr>
        <w:t>meg</w:t>
      </w:r>
      <w:r>
        <w:rPr>
          <w:spacing w:val="-19"/>
          <w:w w:val="130"/>
          <w:sz w:val="24"/>
        </w:rPr>
        <w:t> </w:t>
      </w:r>
      <w:r>
        <w:rPr>
          <w:w w:val="130"/>
          <w:sz w:val="24"/>
        </w:rPr>
        <w:t>a</w:t>
      </w:r>
      <w:r>
        <w:rPr>
          <w:spacing w:val="-20"/>
          <w:w w:val="130"/>
          <w:sz w:val="24"/>
        </w:rPr>
        <w:t> </w:t>
      </w:r>
      <w:r>
        <w:rPr>
          <w:w w:val="130"/>
          <w:sz w:val="24"/>
        </w:rPr>
        <w:t>valóságnak,</w:t>
      </w:r>
    </w:p>
    <w:p>
      <w:pPr>
        <w:pStyle w:val="ListParagraph"/>
        <w:numPr>
          <w:ilvl w:val="0"/>
          <w:numId w:val="117"/>
        </w:numPr>
        <w:tabs>
          <w:tab w:pos="689" w:val="left" w:leader="none"/>
        </w:tabs>
        <w:spacing w:line="225" w:lineRule="auto" w:before="5" w:after="0"/>
        <w:ind w:left="113" w:right="132" w:firstLine="204"/>
        <w:jc w:val="left"/>
        <w:rPr>
          <w:sz w:val="24"/>
        </w:rPr>
      </w:pPr>
      <w:r>
        <w:rPr>
          <w:w w:val="130"/>
          <w:sz w:val="24"/>
        </w:rPr>
        <w:t>az engedély megadásától számított egy éven belül tevékenységét nem kezdte meg vagy a tevékenységet hat hónapon túl</w:t>
      </w:r>
      <w:r>
        <w:rPr>
          <w:spacing w:val="-35"/>
          <w:w w:val="130"/>
          <w:sz w:val="24"/>
        </w:rPr>
        <w:t> </w:t>
      </w:r>
      <w:r>
        <w:rPr>
          <w:w w:val="130"/>
          <w:sz w:val="24"/>
        </w:rPr>
        <w:t>szünetelteti,</w:t>
      </w:r>
    </w:p>
    <w:p>
      <w:pPr>
        <w:pStyle w:val="ListParagraph"/>
        <w:numPr>
          <w:ilvl w:val="0"/>
          <w:numId w:val="117"/>
        </w:numPr>
        <w:tabs>
          <w:tab w:pos="728" w:val="left" w:leader="none"/>
        </w:tabs>
        <w:spacing w:line="225" w:lineRule="auto" w:before="1" w:after="0"/>
        <w:ind w:left="113" w:right="129" w:firstLine="204"/>
        <w:jc w:val="both"/>
        <w:rPr>
          <w:sz w:val="24"/>
        </w:rPr>
      </w:pPr>
      <w:r>
        <w:rPr>
          <w:w w:val="130"/>
          <w:sz w:val="24"/>
        </w:rPr>
        <w:t>a tevékenysége felfüggesztésének időtartama alatt a jogsértő helyzet megszüntetése érdekében tett felügyeleti intézkedések nem vezettek eredményre,</w:t>
      </w:r>
      <w:r>
        <w:rPr>
          <w:spacing w:val="-4"/>
          <w:w w:val="130"/>
          <w:sz w:val="24"/>
        </w:rPr>
        <w:t> </w:t>
      </w:r>
      <w:r>
        <w:rPr>
          <w:w w:val="130"/>
          <w:sz w:val="24"/>
        </w:rPr>
        <w:t>vagy</w:t>
      </w:r>
    </w:p>
    <w:p>
      <w:pPr>
        <w:pStyle w:val="ListParagraph"/>
        <w:numPr>
          <w:ilvl w:val="0"/>
          <w:numId w:val="117"/>
        </w:numPr>
        <w:tabs>
          <w:tab w:pos="629" w:val="left" w:leader="none"/>
        </w:tabs>
        <w:spacing w:line="250" w:lineRule="exact" w:before="0" w:after="0"/>
        <w:ind w:left="628" w:right="0" w:hanging="311"/>
        <w:jc w:val="left"/>
        <w:rPr>
          <w:sz w:val="24"/>
        </w:rPr>
      </w:pPr>
      <w:r>
        <w:rPr>
          <w:w w:val="130"/>
          <w:sz w:val="24"/>
        </w:rPr>
        <w:t>a tevékenységi engedélyét</w:t>
      </w:r>
      <w:r>
        <w:rPr>
          <w:spacing w:val="-14"/>
          <w:w w:val="130"/>
          <w:sz w:val="24"/>
        </w:rPr>
        <w:t> </w:t>
      </w:r>
      <w:r>
        <w:rPr>
          <w:w w:val="130"/>
          <w:sz w:val="24"/>
        </w:rPr>
        <w:t>visszaadta.</w:t>
      </w:r>
    </w:p>
    <w:p>
      <w:pPr>
        <w:pStyle w:val="BodyText"/>
        <w:tabs>
          <w:tab w:pos="998" w:val="left" w:leader="none"/>
          <w:tab w:pos="1397" w:val="left" w:leader="none"/>
          <w:tab w:pos="2906" w:val="left" w:leader="none"/>
          <w:tab w:pos="3275" w:val="left" w:leader="none"/>
          <w:tab w:pos="4664" w:val="left" w:leader="none"/>
          <w:tab w:pos="5994" w:val="left" w:leader="none"/>
          <w:tab w:pos="6485" w:val="left" w:leader="none"/>
          <w:tab w:pos="6854" w:val="left" w:leader="none"/>
          <w:tab w:pos="8564" w:val="left" w:leader="none"/>
        </w:tabs>
        <w:spacing w:line="261" w:lineRule="exact"/>
        <w:ind w:left="317" w:firstLine="0"/>
      </w:pPr>
      <w:r>
        <w:rPr>
          <w:w w:val="125"/>
        </w:rPr>
        <w:t>(2)</w:t>
      </w:r>
      <w:r>
        <w:rPr>
          <w:i/>
          <w:w w:val="125"/>
          <w:position w:val="3"/>
          <w:sz w:val="18"/>
        </w:rPr>
        <w:t>3</w:t>
        <w:tab/>
      </w:r>
      <w:r>
        <w:rPr>
          <w:w w:val="125"/>
        </w:rPr>
        <w:t>A</w:t>
        <w:tab/>
        <w:t>Felügyelet</w:t>
        <w:tab/>
        <w:t>a</w:t>
        <w:tab/>
        <w:t>független</w:t>
        <w:tab/>
        <w:t>közvetítő</w:t>
        <w:tab/>
        <w:t>és</w:t>
        <w:tab/>
        <w:t>a</w:t>
        <w:tab/>
        <w:t>jelzáloghitel</w:t>
        <w:tab/>
        <w:t>közvetítői</w:t>
      </w:r>
    </w:p>
    <w:p>
      <w:pPr>
        <w:pStyle w:val="BodyText"/>
        <w:spacing w:line="225" w:lineRule="auto" w:before="12"/>
        <w:ind w:right="133" w:firstLine="0"/>
      </w:pPr>
      <w:r>
        <w:rPr>
          <w:w w:val="125"/>
        </w:rPr>
        <w:t>tevékenységet végző függő közvetítő tevékenységi engedélyét visszavonhatja, ha</w:t>
      </w:r>
    </w:p>
    <w:p>
      <w:pPr>
        <w:pStyle w:val="ListParagraph"/>
        <w:numPr>
          <w:ilvl w:val="0"/>
          <w:numId w:val="118"/>
        </w:numPr>
        <w:tabs>
          <w:tab w:pos="692" w:val="left" w:leader="none"/>
        </w:tabs>
        <w:spacing w:line="225" w:lineRule="auto" w:before="1" w:after="0"/>
        <w:ind w:left="113" w:right="132" w:firstLine="204"/>
        <w:jc w:val="both"/>
        <w:rPr>
          <w:sz w:val="24"/>
        </w:rPr>
      </w:pPr>
      <w:r>
        <w:rPr>
          <w:w w:val="125"/>
          <w:sz w:val="24"/>
        </w:rPr>
        <w:t>a közvetítő működése súlyosan vagy ismétlődően megsérti az ügyfelek érdekeit;</w:t>
      </w:r>
    </w:p>
    <w:p>
      <w:pPr>
        <w:pStyle w:val="ListParagraph"/>
        <w:numPr>
          <w:ilvl w:val="0"/>
          <w:numId w:val="118"/>
        </w:numPr>
        <w:tabs>
          <w:tab w:pos="730" w:val="left" w:leader="none"/>
        </w:tabs>
        <w:spacing w:line="225" w:lineRule="auto" w:before="1" w:after="0"/>
        <w:ind w:left="113" w:right="137" w:firstLine="204"/>
        <w:jc w:val="both"/>
        <w:rPr>
          <w:sz w:val="24"/>
        </w:rPr>
      </w:pPr>
      <w:r>
        <w:rPr>
          <w:w w:val="125"/>
          <w:sz w:val="24"/>
        </w:rPr>
        <w:t>a közvetítő tevékenységére vonatkozó jogszabályokat ismételten vagy súlyosan megsérti;</w:t>
      </w:r>
      <w:r>
        <w:rPr>
          <w:spacing w:val="1"/>
          <w:w w:val="125"/>
          <w:sz w:val="24"/>
        </w:rPr>
        <w:t> </w:t>
      </w:r>
      <w:r>
        <w:rPr>
          <w:w w:val="125"/>
          <w:sz w:val="24"/>
        </w:rPr>
        <w:t>vagy</w:t>
      </w:r>
    </w:p>
    <w:p>
      <w:pPr>
        <w:pStyle w:val="ListParagraph"/>
        <w:numPr>
          <w:ilvl w:val="0"/>
          <w:numId w:val="118"/>
        </w:numPr>
        <w:tabs>
          <w:tab w:pos="769" w:val="left" w:leader="none"/>
        </w:tabs>
        <w:spacing w:line="225" w:lineRule="auto" w:before="1" w:after="0"/>
        <w:ind w:left="113" w:right="128" w:firstLine="204"/>
        <w:jc w:val="both"/>
        <w:rPr>
          <w:i/>
          <w:sz w:val="24"/>
        </w:rPr>
      </w:pPr>
      <w:r>
        <w:rPr>
          <w:w w:val="125"/>
          <w:sz w:val="24"/>
        </w:rPr>
        <w:t>megállapítja, hogy a közvetítő tevékenységi engedély nélkül vagy bejelentés hiányában végez az MNB tv. 39. § (1) bekezdés </w:t>
      </w:r>
      <w:r>
        <w:rPr>
          <w:i/>
          <w:w w:val="125"/>
          <w:sz w:val="24"/>
        </w:rPr>
        <w:t>a), f), </w:t>
      </w:r>
      <w:r>
        <w:rPr>
          <w:i/>
          <w:spacing w:val="3"/>
          <w:w w:val="125"/>
          <w:sz w:val="24"/>
        </w:rPr>
        <w:t>h),</w:t>
      </w:r>
      <w:r>
        <w:rPr>
          <w:i/>
          <w:spacing w:val="45"/>
          <w:w w:val="125"/>
          <w:sz w:val="24"/>
        </w:rPr>
        <w:t> </w:t>
      </w:r>
      <w:r>
        <w:rPr>
          <w:i/>
          <w:w w:val="125"/>
          <w:sz w:val="24"/>
        </w:rPr>
        <w:t>i), k) vagy</w:t>
      </w:r>
    </w:p>
    <w:p>
      <w:pPr>
        <w:pStyle w:val="BodyText"/>
        <w:tabs>
          <w:tab w:pos="487" w:val="left" w:leader="none"/>
          <w:tab w:pos="1908" w:val="left" w:leader="none"/>
          <w:tab w:pos="3894" w:val="left" w:leader="none"/>
          <w:tab w:pos="5305" w:val="left" w:leader="none"/>
          <w:tab w:pos="6401" w:val="left" w:leader="none"/>
          <w:tab w:pos="6968" w:val="left" w:leader="none"/>
          <w:tab w:pos="8035" w:val="left" w:leader="none"/>
          <w:tab w:pos="9212" w:val="left" w:leader="none"/>
        </w:tabs>
        <w:spacing w:line="225" w:lineRule="auto" w:before="2"/>
        <w:ind w:right="129" w:firstLine="0"/>
      </w:pPr>
      <w:r>
        <w:rPr>
          <w:i/>
          <w:w w:val="130"/>
        </w:rPr>
        <w:t>l)</w:t>
        <w:tab/>
      </w:r>
      <w:r>
        <w:rPr>
          <w:w w:val="130"/>
        </w:rPr>
        <w:t>pontjában</w:t>
        <w:tab/>
        <w:t>meghatározott</w:t>
        <w:tab/>
        <w:t>törvények</w:t>
        <w:tab/>
        <w:t>hatálya</w:t>
        <w:tab/>
        <w:t>alá</w:t>
        <w:tab/>
        <w:t>tartozó</w:t>
        <w:tab/>
        <w:t>személy</w:t>
        <w:tab/>
      </w:r>
      <w:r>
        <w:rPr>
          <w:spacing w:val="-4"/>
          <w:w w:val="130"/>
        </w:rPr>
        <w:t>által </w:t>
      </w:r>
      <w:r>
        <w:rPr>
          <w:w w:val="130"/>
        </w:rPr>
        <w:t>végezhető tevékenységet</w:t>
      </w:r>
      <w:r>
        <w:rPr>
          <w:spacing w:val="-8"/>
          <w:w w:val="130"/>
        </w:rPr>
        <w:t> </w:t>
      </w:r>
      <w:r>
        <w:rPr>
          <w:w w:val="130"/>
        </w:rPr>
        <w:t>és</w:t>
      </w:r>
    </w:p>
    <w:p>
      <w:pPr>
        <w:pStyle w:val="BodyText"/>
        <w:spacing w:line="256" w:lineRule="exact"/>
        <w:ind w:left="317" w:firstLine="0"/>
      </w:pPr>
      <w:r>
        <w:rPr>
          <w:i/>
          <w:w w:val="125"/>
        </w:rPr>
        <w:t>ca) </w:t>
      </w:r>
      <w:r>
        <w:rPr>
          <w:w w:val="125"/>
        </w:rPr>
        <w:t>e tevékenységével előidézett jogsértés súlya indokolja, vagy</w:t>
      </w:r>
    </w:p>
    <w:p>
      <w:pPr>
        <w:pStyle w:val="BodyText"/>
        <w:spacing w:line="225" w:lineRule="auto" w:before="5"/>
        <w:ind w:right="130"/>
        <w:jc w:val="both"/>
      </w:pPr>
      <w:r>
        <w:rPr>
          <w:i/>
          <w:w w:val="130"/>
        </w:rPr>
        <w:t>cb) </w:t>
      </w:r>
      <w:r>
        <w:rPr>
          <w:w w:val="130"/>
        </w:rPr>
        <w:t>azon személyek érdekeinek a megóvása indokolja, amelyek számára e tevékenységet végezte.</w:t>
      </w:r>
    </w:p>
    <w:p>
      <w:pPr>
        <w:pStyle w:val="ListParagraph"/>
        <w:numPr>
          <w:ilvl w:val="0"/>
          <w:numId w:val="100"/>
        </w:numPr>
        <w:tabs>
          <w:tab w:pos="1028" w:val="left" w:leader="none"/>
        </w:tabs>
        <w:spacing w:line="225" w:lineRule="auto" w:before="0" w:after="0"/>
        <w:ind w:left="113" w:right="128" w:firstLine="204"/>
        <w:jc w:val="both"/>
        <w:rPr>
          <w:sz w:val="24"/>
        </w:rPr>
      </w:pPr>
      <w:r>
        <w:rPr>
          <w:rFonts w:ascii="Arial" w:hAnsi="Arial"/>
          <w:b/>
          <w:w w:val="125"/>
          <w:sz w:val="24"/>
        </w:rPr>
        <w:t>§ </w:t>
      </w:r>
      <w:r>
        <w:rPr>
          <w:w w:val="125"/>
          <w:sz w:val="24"/>
        </w:rPr>
        <w:t>(1) A pénzügyi intézmény - ide nem értve a kizárólag csoportfinanszírozást végző pénzügyi vállalkozást - a tevékenységi engedélyét  a Felügyeletnek akkor adhatja vissza, ha bizonyítja, hogy pénzügyi szolgáltatásból, kiegészítő pénzügyi szolgáltatásból származó kötelezettsége nincs. A Felügyelet meghatározhatja azokat a feltételeket és előírásokat, amelyek teljesítéséig a pénzügyi intézmény és a szolgáltató  működését -  az arra vonatkozó szabályok szerint - köteles</w:t>
      </w:r>
      <w:r>
        <w:rPr>
          <w:spacing w:val="4"/>
          <w:w w:val="125"/>
          <w:sz w:val="24"/>
        </w:rPr>
        <w:t> </w:t>
      </w:r>
      <w:r>
        <w:rPr>
          <w:w w:val="125"/>
          <w:sz w:val="24"/>
        </w:rPr>
        <w:t>folytatni.</w:t>
      </w:r>
    </w:p>
    <w:p>
      <w:pPr>
        <w:pStyle w:val="BodyText"/>
        <w:ind w:left="0" w:firstLine="0"/>
        <w:rPr>
          <w:sz w:val="20"/>
        </w:rPr>
      </w:pPr>
    </w:p>
    <w:p>
      <w:pPr>
        <w:pStyle w:val="BodyText"/>
        <w:ind w:left="0" w:firstLine="0"/>
        <w:rPr>
          <w:sz w:val="20"/>
        </w:rPr>
      </w:pPr>
    </w:p>
    <w:p>
      <w:pPr>
        <w:pStyle w:val="BodyText"/>
        <w:spacing w:before="1"/>
        <w:ind w:left="0" w:firstLine="0"/>
        <w:rPr>
          <w:sz w:val="21"/>
        </w:rPr>
      </w:pPr>
      <w:r>
        <w:rPr/>
        <w:pict>
          <v:line style="position:absolute;mso-position-horizontal-relative:page;mso-position-vertical-relative:paragraph;z-index:-184;mso-wrap-distance-left:0;mso-wrap-distance-right:0" from="56.693001pt,14.332406pt" to="538.583001pt,14.332406pt" stroked="true" strokeweight=".5pt" strokecolor="#000000">
            <v:stroke dashstyle="solid"/>
            <w10:wrap type="topAndBottom"/>
          </v:line>
        </w:pict>
      </w:r>
    </w:p>
    <w:p>
      <w:pPr>
        <w:pStyle w:val="ListParagraph"/>
        <w:numPr>
          <w:ilvl w:val="0"/>
          <w:numId w:val="119"/>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100. §. Hatályos: 2018. XII.</w:t>
      </w:r>
      <w:r>
        <w:rPr>
          <w:i/>
          <w:spacing w:val="-25"/>
          <w:w w:val="125"/>
          <w:sz w:val="18"/>
        </w:rPr>
        <w:t> </w:t>
      </w:r>
      <w:r>
        <w:rPr>
          <w:i/>
          <w:w w:val="125"/>
          <w:sz w:val="18"/>
        </w:rPr>
        <w:t>29-től.</w:t>
      </w:r>
    </w:p>
    <w:p>
      <w:pPr>
        <w:pStyle w:val="ListParagraph"/>
        <w:numPr>
          <w:ilvl w:val="0"/>
          <w:numId w:val="119"/>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120. §. Hatályos: 2016. III.</w:t>
      </w:r>
      <w:r>
        <w:rPr>
          <w:i/>
          <w:spacing w:val="-21"/>
          <w:w w:val="125"/>
          <w:sz w:val="18"/>
        </w:rPr>
        <w:t> </w:t>
      </w:r>
      <w:r>
        <w:rPr>
          <w:i/>
          <w:w w:val="125"/>
          <w:sz w:val="18"/>
        </w:rPr>
        <w:t>21-től.</w:t>
      </w:r>
    </w:p>
    <w:p>
      <w:pPr>
        <w:pStyle w:val="ListParagraph"/>
        <w:numPr>
          <w:ilvl w:val="0"/>
          <w:numId w:val="119"/>
        </w:numPr>
        <w:tabs>
          <w:tab w:pos="686" w:val="left" w:leader="none"/>
          <w:tab w:pos="687" w:val="left" w:leader="none"/>
        </w:tabs>
        <w:spacing w:line="203" w:lineRule="exact" w:before="0" w:after="0"/>
        <w:ind w:left="686" w:right="0" w:hanging="344"/>
        <w:jc w:val="left"/>
        <w:rPr>
          <w:i/>
          <w:sz w:val="18"/>
        </w:rPr>
      </w:pPr>
      <w:r>
        <w:rPr>
          <w:i/>
          <w:w w:val="125"/>
          <w:sz w:val="18"/>
        </w:rPr>
        <w:t>Megállapította: 2016. évi LIII. törvény 119. §. Hatályos: 2016. VII.</w:t>
      </w:r>
      <w:r>
        <w:rPr>
          <w:i/>
          <w:spacing w:val="-17"/>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20"/>
        </w:numPr>
        <w:tabs>
          <w:tab w:pos="765" w:val="left" w:leader="none"/>
        </w:tabs>
        <w:spacing w:line="225" w:lineRule="auto" w:before="173" w:after="0"/>
        <w:ind w:left="113" w:right="129" w:firstLine="204"/>
        <w:jc w:val="both"/>
        <w:rPr>
          <w:sz w:val="24"/>
        </w:rPr>
      </w:pPr>
      <w:r>
        <w:rPr>
          <w:w w:val="130"/>
          <w:sz w:val="24"/>
        </w:rPr>
        <w:t>Pénzügyi holding társaság az engedélyét a Felügyeletnek akkor adhatja vissza, ha bizonyítja, hogy pénzügyi szolgáltatásból, kiegészítő pénzügyi szolgáltatásból származó kötelezettségén kívül a korábbi leányvállalatai tekintében sincs semmilyen</w:t>
      </w:r>
      <w:r>
        <w:rPr>
          <w:spacing w:val="-3"/>
          <w:w w:val="130"/>
          <w:sz w:val="24"/>
        </w:rPr>
        <w:t> </w:t>
      </w:r>
      <w:r>
        <w:rPr>
          <w:w w:val="130"/>
          <w:sz w:val="24"/>
        </w:rPr>
        <w:t>kötelezettsége.</w:t>
      </w:r>
    </w:p>
    <w:p>
      <w:pPr>
        <w:pStyle w:val="ListParagraph"/>
        <w:numPr>
          <w:ilvl w:val="0"/>
          <w:numId w:val="120"/>
        </w:numPr>
        <w:tabs>
          <w:tab w:pos="779" w:val="left" w:leader="none"/>
        </w:tabs>
        <w:spacing w:line="225" w:lineRule="auto" w:before="2" w:after="0"/>
        <w:ind w:left="113" w:right="131" w:firstLine="204"/>
        <w:jc w:val="both"/>
        <w:rPr>
          <w:sz w:val="24"/>
        </w:rPr>
      </w:pPr>
      <w:r>
        <w:rPr>
          <w:w w:val="130"/>
          <w:sz w:val="24"/>
        </w:rPr>
        <w:t>Pénzügyi</w:t>
      </w:r>
      <w:r>
        <w:rPr>
          <w:spacing w:val="-11"/>
          <w:w w:val="130"/>
          <w:sz w:val="24"/>
        </w:rPr>
        <w:t> </w:t>
      </w:r>
      <w:r>
        <w:rPr>
          <w:w w:val="130"/>
          <w:sz w:val="24"/>
        </w:rPr>
        <w:t>vállalkozás</w:t>
      </w:r>
      <w:r>
        <w:rPr>
          <w:spacing w:val="-10"/>
          <w:w w:val="130"/>
          <w:sz w:val="24"/>
        </w:rPr>
        <w:t> </w:t>
      </w:r>
      <w:r>
        <w:rPr>
          <w:w w:val="130"/>
          <w:sz w:val="24"/>
        </w:rPr>
        <w:t>tevékenységi</w:t>
      </w:r>
      <w:r>
        <w:rPr>
          <w:spacing w:val="-10"/>
          <w:w w:val="130"/>
          <w:sz w:val="24"/>
        </w:rPr>
        <w:t> </w:t>
      </w:r>
      <w:r>
        <w:rPr>
          <w:w w:val="130"/>
          <w:sz w:val="24"/>
        </w:rPr>
        <w:t>engedélyét</w:t>
      </w:r>
      <w:r>
        <w:rPr>
          <w:spacing w:val="-11"/>
          <w:w w:val="130"/>
          <w:sz w:val="24"/>
        </w:rPr>
        <w:t> </w:t>
      </w:r>
      <w:r>
        <w:rPr>
          <w:w w:val="130"/>
          <w:sz w:val="24"/>
        </w:rPr>
        <w:t>a</w:t>
      </w:r>
      <w:r>
        <w:rPr>
          <w:spacing w:val="-9"/>
          <w:w w:val="130"/>
          <w:sz w:val="24"/>
        </w:rPr>
        <w:t> </w:t>
      </w:r>
      <w:r>
        <w:rPr>
          <w:w w:val="130"/>
          <w:sz w:val="24"/>
        </w:rPr>
        <w:t>Felügyelet</w:t>
      </w:r>
      <w:r>
        <w:rPr>
          <w:spacing w:val="-11"/>
          <w:w w:val="130"/>
          <w:sz w:val="24"/>
        </w:rPr>
        <w:t> </w:t>
      </w:r>
      <w:r>
        <w:rPr>
          <w:w w:val="130"/>
          <w:sz w:val="24"/>
        </w:rPr>
        <w:t>visszavonja, ha</w:t>
      </w:r>
      <w:r>
        <w:rPr>
          <w:spacing w:val="-11"/>
          <w:w w:val="130"/>
          <w:sz w:val="24"/>
        </w:rPr>
        <w:t> </w:t>
      </w:r>
      <w:r>
        <w:rPr>
          <w:w w:val="130"/>
          <w:sz w:val="24"/>
        </w:rPr>
        <w:t>a</w:t>
      </w:r>
      <w:r>
        <w:rPr>
          <w:spacing w:val="-10"/>
          <w:w w:val="130"/>
          <w:sz w:val="24"/>
        </w:rPr>
        <w:t> </w:t>
      </w:r>
      <w:r>
        <w:rPr>
          <w:w w:val="130"/>
          <w:sz w:val="24"/>
        </w:rPr>
        <w:t>pénzügyi</w:t>
      </w:r>
      <w:r>
        <w:rPr>
          <w:spacing w:val="-11"/>
          <w:w w:val="130"/>
          <w:sz w:val="24"/>
        </w:rPr>
        <w:t> </w:t>
      </w:r>
      <w:r>
        <w:rPr>
          <w:w w:val="130"/>
          <w:sz w:val="24"/>
        </w:rPr>
        <w:t>vállalkozás</w:t>
      </w:r>
      <w:r>
        <w:rPr>
          <w:spacing w:val="-11"/>
          <w:w w:val="130"/>
          <w:sz w:val="24"/>
        </w:rPr>
        <w:t> </w:t>
      </w:r>
      <w:r>
        <w:rPr>
          <w:w w:val="130"/>
          <w:sz w:val="24"/>
        </w:rPr>
        <w:t>a</w:t>
      </w:r>
      <w:r>
        <w:rPr>
          <w:spacing w:val="-10"/>
          <w:w w:val="130"/>
          <w:sz w:val="24"/>
        </w:rPr>
        <w:t> </w:t>
      </w:r>
      <w:r>
        <w:rPr>
          <w:w w:val="130"/>
          <w:sz w:val="24"/>
        </w:rPr>
        <w:t>nem</w:t>
      </w:r>
      <w:r>
        <w:rPr>
          <w:spacing w:val="-11"/>
          <w:w w:val="130"/>
          <w:sz w:val="24"/>
        </w:rPr>
        <w:t> </w:t>
      </w:r>
      <w:r>
        <w:rPr>
          <w:w w:val="130"/>
          <w:sz w:val="24"/>
        </w:rPr>
        <w:t>vitatott</w:t>
      </w:r>
      <w:r>
        <w:rPr>
          <w:spacing w:val="-11"/>
          <w:w w:val="130"/>
          <w:sz w:val="24"/>
        </w:rPr>
        <w:t> </w:t>
      </w:r>
      <w:r>
        <w:rPr>
          <w:w w:val="130"/>
          <w:sz w:val="24"/>
        </w:rPr>
        <w:t>tartozását</w:t>
      </w:r>
      <w:r>
        <w:rPr>
          <w:spacing w:val="-11"/>
          <w:w w:val="130"/>
          <w:sz w:val="24"/>
        </w:rPr>
        <w:t> </w:t>
      </w:r>
      <w:r>
        <w:rPr>
          <w:w w:val="130"/>
          <w:sz w:val="24"/>
        </w:rPr>
        <w:t>az</w:t>
      </w:r>
      <w:r>
        <w:rPr>
          <w:spacing w:val="-11"/>
          <w:w w:val="130"/>
          <w:sz w:val="24"/>
        </w:rPr>
        <w:t> </w:t>
      </w:r>
      <w:r>
        <w:rPr>
          <w:w w:val="130"/>
          <w:sz w:val="24"/>
        </w:rPr>
        <w:t>esedékességét</w:t>
      </w:r>
      <w:r>
        <w:rPr>
          <w:spacing w:val="-2"/>
          <w:w w:val="130"/>
          <w:sz w:val="24"/>
        </w:rPr>
        <w:t> </w:t>
      </w:r>
      <w:r>
        <w:rPr>
          <w:w w:val="130"/>
          <w:sz w:val="24"/>
        </w:rPr>
        <w:t>követő</w:t>
      </w:r>
      <w:r>
        <w:rPr>
          <w:spacing w:val="-20"/>
          <w:w w:val="130"/>
          <w:sz w:val="24"/>
        </w:rPr>
        <w:t> </w:t>
      </w:r>
      <w:r>
        <w:rPr>
          <w:w w:val="130"/>
          <w:sz w:val="24"/>
        </w:rPr>
        <w:t>öt napon belül nem egyenlítette ki, és vagyona (eszközei) az ismert hitelezők követelésének kielégítésére sem nyújtana</w:t>
      </w:r>
      <w:r>
        <w:rPr>
          <w:spacing w:val="-19"/>
          <w:w w:val="130"/>
          <w:sz w:val="24"/>
        </w:rPr>
        <w:t> </w:t>
      </w:r>
      <w:r>
        <w:rPr>
          <w:w w:val="130"/>
          <w:sz w:val="24"/>
        </w:rPr>
        <w:t>fedezetet.</w:t>
      </w:r>
    </w:p>
    <w:p>
      <w:pPr>
        <w:pStyle w:val="Heading2"/>
        <w:numPr>
          <w:ilvl w:val="0"/>
          <w:numId w:val="1"/>
        </w:numPr>
        <w:tabs>
          <w:tab w:pos="4703" w:val="left" w:leader="none"/>
        </w:tabs>
        <w:spacing w:line="240" w:lineRule="auto" w:before="233" w:after="0"/>
        <w:ind w:left="4702" w:right="0" w:hanging="498"/>
        <w:jc w:val="left"/>
      </w:pPr>
      <w:r>
        <w:rPr>
          <w:w w:val="110"/>
        </w:rPr>
        <w:t>Fejezet</w:t>
      </w:r>
    </w:p>
    <w:p>
      <w:pPr>
        <w:pStyle w:val="BodyText"/>
        <w:spacing w:before="1"/>
        <w:ind w:left="0" w:firstLine="0"/>
        <w:rPr>
          <w:rFonts w:ascii="Georgia-BoldItalic"/>
          <w:b/>
          <w:i/>
          <w:sz w:val="41"/>
        </w:rPr>
      </w:pPr>
    </w:p>
    <w:p>
      <w:pPr>
        <w:spacing w:before="0"/>
        <w:ind w:left="2450" w:right="0" w:firstLine="0"/>
        <w:jc w:val="left"/>
        <w:rPr>
          <w:rFonts w:ascii="Georgia-BoldItalic" w:hAnsi="Georgia-BoldItalic"/>
          <w:b/>
          <w:i/>
          <w:sz w:val="24"/>
        </w:rPr>
      </w:pPr>
      <w:r>
        <w:rPr>
          <w:rFonts w:ascii="Georgia-BoldItalic" w:hAnsi="Georgia-BoldItalic"/>
          <w:b/>
          <w:i/>
          <w:w w:val="105"/>
          <w:sz w:val="24"/>
        </w:rPr>
        <w:t>Szolgáltatás nyújtásának szabadsága</w:t>
      </w:r>
    </w:p>
    <w:p>
      <w:pPr>
        <w:pStyle w:val="BodyText"/>
        <w:spacing w:before="9"/>
        <w:ind w:left="0" w:firstLine="0"/>
        <w:rPr>
          <w:rFonts w:ascii="Georgia-BoldItalic"/>
          <w:b/>
          <w:i/>
          <w:sz w:val="40"/>
        </w:rPr>
      </w:pPr>
    </w:p>
    <w:p>
      <w:pPr>
        <w:pStyle w:val="BodyText"/>
        <w:ind w:left="1236" w:firstLine="0"/>
      </w:pPr>
      <w:r>
        <w:rPr>
          <w:w w:val="125"/>
        </w:rPr>
        <w:t>19. Másik EGT-államban történő fióktelep létesítés szabályai</w:t>
      </w:r>
    </w:p>
    <w:p>
      <w:pPr>
        <w:pStyle w:val="ListParagraph"/>
        <w:numPr>
          <w:ilvl w:val="0"/>
          <w:numId w:val="100"/>
        </w:numPr>
        <w:tabs>
          <w:tab w:pos="867" w:val="left" w:leader="none"/>
        </w:tabs>
        <w:spacing w:line="225" w:lineRule="auto" w:before="237" w:after="0"/>
        <w:ind w:left="113" w:right="128" w:firstLine="204"/>
        <w:jc w:val="both"/>
        <w:rPr>
          <w:sz w:val="24"/>
        </w:rPr>
      </w:pPr>
      <w:r>
        <w:rPr>
          <w:rFonts w:ascii="Arial" w:hAnsi="Arial"/>
          <w:b/>
          <w:w w:val="120"/>
          <w:sz w:val="24"/>
        </w:rPr>
        <w:t>§ </w:t>
      </w:r>
      <w:r>
        <w:rPr>
          <w:w w:val="120"/>
          <w:sz w:val="24"/>
        </w:rPr>
        <w:t>(1) A hitelintézet bejelenti a Felügyeletnek, ha másik EGT-államban fióktelepet kíván</w:t>
      </w:r>
      <w:r>
        <w:rPr>
          <w:spacing w:val="10"/>
          <w:w w:val="120"/>
          <w:sz w:val="24"/>
        </w:rPr>
        <w:t> </w:t>
      </w:r>
      <w:r>
        <w:rPr>
          <w:w w:val="120"/>
          <w:sz w:val="24"/>
        </w:rPr>
        <w:t>létesíteni.</w:t>
      </w:r>
    </w:p>
    <w:p>
      <w:pPr>
        <w:pStyle w:val="ListParagraph"/>
        <w:numPr>
          <w:ilvl w:val="0"/>
          <w:numId w:val="121"/>
        </w:numPr>
        <w:tabs>
          <w:tab w:pos="734" w:val="left" w:leader="none"/>
        </w:tabs>
        <w:spacing w:line="256" w:lineRule="exact" w:before="0" w:after="0"/>
        <w:ind w:left="733" w:right="0" w:hanging="416"/>
        <w:jc w:val="left"/>
        <w:rPr>
          <w:sz w:val="24"/>
        </w:rPr>
      </w:pPr>
      <w:r>
        <w:rPr>
          <w:w w:val="125"/>
          <w:sz w:val="24"/>
        </w:rPr>
        <w:t>Az (1) bekezdés szerinti bejelentés</w:t>
      </w:r>
      <w:r>
        <w:rPr>
          <w:spacing w:val="11"/>
          <w:w w:val="125"/>
          <w:sz w:val="24"/>
        </w:rPr>
        <w:t> </w:t>
      </w:r>
      <w:r>
        <w:rPr>
          <w:w w:val="125"/>
          <w:sz w:val="24"/>
        </w:rPr>
        <w:t>tartalmazza</w:t>
      </w:r>
    </w:p>
    <w:p>
      <w:pPr>
        <w:pStyle w:val="ListParagraph"/>
        <w:numPr>
          <w:ilvl w:val="0"/>
          <w:numId w:val="122"/>
        </w:numPr>
        <w:tabs>
          <w:tab w:pos="760" w:val="left" w:leader="none"/>
        </w:tabs>
        <w:spacing w:line="225" w:lineRule="auto" w:before="5" w:after="0"/>
        <w:ind w:left="113" w:right="127" w:firstLine="204"/>
        <w:jc w:val="both"/>
        <w:rPr>
          <w:sz w:val="24"/>
        </w:rPr>
      </w:pPr>
      <w:r>
        <w:rPr>
          <w:w w:val="130"/>
          <w:sz w:val="24"/>
        </w:rPr>
        <w:t>annak az EGT-államnak a megnevezését, amelyben a hitelintézet a fióktelepet létesíteni</w:t>
      </w:r>
      <w:r>
        <w:rPr>
          <w:spacing w:val="-8"/>
          <w:w w:val="130"/>
          <w:sz w:val="24"/>
        </w:rPr>
        <w:t> </w:t>
      </w:r>
      <w:r>
        <w:rPr>
          <w:w w:val="130"/>
          <w:sz w:val="24"/>
        </w:rPr>
        <w:t>kívánja,</w:t>
      </w:r>
    </w:p>
    <w:p>
      <w:pPr>
        <w:pStyle w:val="ListParagraph"/>
        <w:numPr>
          <w:ilvl w:val="0"/>
          <w:numId w:val="122"/>
        </w:numPr>
        <w:tabs>
          <w:tab w:pos="758" w:val="left" w:leader="none"/>
        </w:tabs>
        <w:spacing w:line="225" w:lineRule="auto" w:before="1" w:after="0"/>
        <w:ind w:left="113" w:right="129" w:firstLine="204"/>
        <w:jc w:val="both"/>
        <w:rPr>
          <w:sz w:val="24"/>
        </w:rPr>
      </w:pPr>
      <w:r>
        <w:rPr>
          <w:w w:val="130"/>
          <w:sz w:val="24"/>
        </w:rPr>
        <w:t>a fióktelep szervezeti felépítésére, irányítására, ellenőrzési rendjére vonatkozó</w:t>
      </w:r>
      <w:r>
        <w:rPr>
          <w:spacing w:val="-5"/>
          <w:w w:val="130"/>
          <w:sz w:val="24"/>
        </w:rPr>
        <w:t> </w:t>
      </w:r>
      <w:r>
        <w:rPr>
          <w:w w:val="130"/>
          <w:sz w:val="24"/>
        </w:rPr>
        <w:t>dokumentumokat,</w:t>
      </w:r>
    </w:p>
    <w:p>
      <w:pPr>
        <w:pStyle w:val="ListParagraph"/>
        <w:numPr>
          <w:ilvl w:val="0"/>
          <w:numId w:val="122"/>
        </w:numPr>
        <w:tabs>
          <w:tab w:pos="623" w:val="left" w:leader="none"/>
        </w:tabs>
        <w:spacing w:line="256" w:lineRule="exact" w:before="0" w:after="0"/>
        <w:ind w:left="622" w:right="0" w:hanging="305"/>
        <w:jc w:val="left"/>
        <w:rPr>
          <w:sz w:val="24"/>
        </w:rPr>
      </w:pPr>
      <w:r>
        <w:rPr>
          <w:w w:val="130"/>
          <w:sz w:val="24"/>
        </w:rPr>
        <w:t>a végezni kívánt tevékenységek</w:t>
      </w:r>
      <w:r>
        <w:rPr>
          <w:spacing w:val="-24"/>
          <w:w w:val="130"/>
          <w:sz w:val="24"/>
        </w:rPr>
        <w:t> </w:t>
      </w:r>
      <w:r>
        <w:rPr>
          <w:w w:val="130"/>
          <w:sz w:val="24"/>
        </w:rPr>
        <w:t>megnevezését,</w:t>
      </w:r>
    </w:p>
    <w:p>
      <w:pPr>
        <w:pStyle w:val="ListParagraph"/>
        <w:numPr>
          <w:ilvl w:val="0"/>
          <w:numId w:val="122"/>
        </w:numPr>
        <w:tabs>
          <w:tab w:pos="653" w:val="left" w:leader="none"/>
        </w:tabs>
        <w:spacing w:line="260" w:lineRule="exact" w:before="0" w:after="0"/>
        <w:ind w:left="652" w:right="0" w:hanging="335"/>
        <w:jc w:val="left"/>
        <w:rPr>
          <w:sz w:val="24"/>
        </w:rPr>
      </w:pPr>
      <w:r>
        <w:rPr>
          <w:w w:val="130"/>
          <w:sz w:val="24"/>
        </w:rPr>
        <w:t>az üzleti</w:t>
      </w:r>
      <w:r>
        <w:rPr>
          <w:spacing w:val="-16"/>
          <w:w w:val="130"/>
          <w:sz w:val="24"/>
        </w:rPr>
        <w:t> </w:t>
      </w:r>
      <w:r>
        <w:rPr>
          <w:w w:val="130"/>
          <w:sz w:val="24"/>
        </w:rPr>
        <w:t>tervet,</w:t>
      </w:r>
    </w:p>
    <w:p>
      <w:pPr>
        <w:pStyle w:val="ListParagraph"/>
        <w:numPr>
          <w:ilvl w:val="0"/>
          <w:numId w:val="122"/>
        </w:numPr>
        <w:tabs>
          <w:tab w:pos="629" w:val="left" w:leader="none"/>
        </w:tabs>
        <w:spacing w:line="260" w:lineRule="exact" w:before="0" w:after="0"/>
        <w:ind w:left="628" w:right="0" w:hanging="311"/>
        <w:jc w:val="left"/>
        <w:rPr>
          <w:sz w:val="24"/>
        </w:rPr>
      </w:pPr>
      <w:r>
        <w:rPr>
          <w:w w:val="130"/>
          <w:sz w:val="24"/>
        </w:rPr>
        <w:t>a</w:t>
      </w:r>
      <w:r>
        <w:rPr>
          <w:spacing w:val="-20"/>
          <w:w w:val="130"/>
          <w:sz w:val="24"/>
        </w:rPr>
        <w:t> </w:t>
      </w:r>
      <w:r>
        <w:rPr>
          <w:w w:val="130"/>
          <w:sz w:val="24"/>
        </w:rPr>
        <w:t>fióktelep</w:t>
      </w:r>
      <w:r>
        <w:rPr>
          <w:spacing w:val="-18"/>
          <w:w w:val="130"/>
          <w:sz w:val="24"/>
        </w:rPr>
        <w:t> </w:t>
      </w:r>
      <w:r>
        <w:rPr>
          <w:w w:val="130"/>
          <w:sz w:val="24"/>
        </w:rPr>
        <w:t>irányítását</w:t>
      </w:r>
      <w:r>
        <w:rPr>
          <w:spacing w:val="-19"/>
          <w:w w:val="130"/>
          <w:sz w:val="24"/>
        </w:rPr>
        <w:t> </w:t>
      </w:r>
      <w:r>
        <w:rPr>
          <w:w w:val="130"/>
          <w:sz w:val="24"/>
        </w:rPr>
        <w:t>ellátó</w:t>
      </w:r>
      <w:r>
        <w:rPr>
          <w:spacing w:val="-19"/>
          <w:w w:val="130"/>
          <w:sz w:val="24"/>
        </w:rPr>
        <w:t> </w:t>
      </w:r>
      <w:r>
        <w:rPr>
          <w:w w:val="130"/>
          <w:sz w:val="24"/>
        </w:rPr>
        <w:t>felelős</w:t>
      </w:r>
      <w:r>
        <w:rPr>
          <w:spacing w:val="-19"/>
          <w:w w:val="130"/>
          <w:sz w:val="24"/>
        </w:rPr>
        <w:t> </w:t>
      </w:r>
      <w:r>
        <w:rPr>
          <w:w w:val="130"/>
          <w:sz w:val="24"/>
        </w:rPr>
        <w:t>személyek</w:t>
      </w:r>
      <w:r>
        <w:rPr>
          <w:spacing w:val="-18"/>
          <w:w w:val="130"/>
          <w:sz w:val="24"/>
        </w:rPr>
        <w:t> </w:t>
      </w:r>
      <w:r>
        <w:rPr>
          <w:w w:val="130"/>
          <w:sz w:val="24"/>
        </w:rPr>
        <w:t>megnevezését,</w:t>
      </w:r>
      <w:r>
        <w:rPr>
          <w:spacing w:val="-19"/>
          <w:w w:val="130"/>
          <w:sz w:val="24"/>
        </w:rPr>
        <w:t> </w:t>
      </w:r>
      <w:r>
        <w:rPr>
          <w:w w:val="130"/>
          <w:sz w:val="24"/>
        </w:rPr>
        <w:t>valamint</w:t>
      </w:r>
    </w:p>
    <w:p>
      <w:pPr>
        <w:pStyle w:val="ListParagraph"/>
        <w:numPr>
          <w:ilvl w:val="0"/>
          <w:numId w:val="122"/>
        </w:numPr>
        <w:tabs>
          <w:tab w:pos="577" w:val="left" w:leader="none"/>
        </w:tabs>
        <w:spacing w:line="260" w:lineRule="exact" w:before="0" w:after="0"/>
        <w:ind w:left="576" w:right="0" w:hanging="259"/>
        <w:jc w:val="left"/>
        <w:rPr>
          <w:sz w:val="24"/>
        </w:rPr>
      </w:pPr>
      <w:r>
        <w:rPr>
          <w:w w:val="125"/>
          <w:sz w:val="24"/>
        </w:rPr>
        <w:t>a fióktelep</w:t>
      </w:r>
      <w:r>
        <w:rPr>
          <w:spacing w:val="1"/>
          <w:w w:val="125"/>
          <w:sz w:val="24"/>
        </w:rPr>
        <w:t> </w:t>
      </w:r>
      <w:r>
        <w:rPr>
          <w:w w:val="125"/>
          <w:sz w:val="24"/>
        </w:rPr>
        <w:t>címét.</w:t>
      </w:r>
    </w:p>
    <w:p>
      <w:pPr>
        <w:pStyle w:val="ListParagraph"/>
        <w:numPr>
          <w:ilvl w:val="0"/>
          <w:numId w:val="121"/>
        </w:numPr>
        <w:tabs>
          <w:tab w:pos="790" w:val="left" w:leader="none"/>
        </w:tabs>
        <w:spacing w:line="225" w:lineRule="auto" w:before="6" w:after="0"/>
        <w:ind w:left="113" w:right="110" w:firstLine="204"/>
        <w:jc w:val="both"/>
        <w:rPr>
          <w:sz w:val="24"/>
        </w:rPr>
      </w:pPr>
      <w:r>
        <w:rPr>
          <w:w w:val="125"/>
          <w:sz w:val="24"/>
        </w:rPr>
        <w:t>Ha a Felügyelet a rendelkezésére álló információk szerint a bejelentő hitelintézet irányítási struktúrája és pénzügyi helyzete megfelel a jogszabályi előírásoknak, a Felügyelet a bejelentés kézhezvételétől számított három hónapon belül írásban tájékoztatja az érintett, másik EGT-állam illetékes felügyeleti hatóságát. A tájékoztatást egyidejűleg közli a bejelentő hitelintézettel</w:t>
      </w:r>
      <w:r>
        <w:rPr>
          <w:spacing w:val="1"/>
          <w:w w:val="125"/>
          <w:sz w:val="24"/>
        </w:rPr>
        <w:t> </w:t>
      </w:r>
      <w:r>
        <w:rPr>
          <w:w w:val="125"/>
          <w:sz w:val="24"/>
        </w:rPr>
        <w:t>is.</w:t>
      </w:r>
    </w:p>
    <w:p>
      <w:pPr>
        <w:pStyle w:val="ListParagraph"/>
        <w:numPr>
          <w:ilvl w:val="0"/>
          <w:numId w:val="121"/>
        </w:numPr>
        <w:tabs>
          <w:tab w:pos="835" w:val="left" w:leader="none"/>
        </w:tabs>
        <w:spacing w:line="225" w:lineRule="auto" w:before="3" w:after="0"/>
        <w:ind w:left="113" w:right="128" w:firstLine="204"/>
        <w:jc w:val="both"/>
        <w:rPr>
          <w:sz w:val="24"/>
        </w:rPr>
      </w:pPr>
      <w:r>
        <w:rPr>
          <w:w w:val="125"/>
          <w:sz w:val="24"/>
        </w:rPr>
        <w:t>A (3) bekezdés szerinti tájékoztatásban a Felügyelet közli a másik EGT-állam illetékes felügyeleti hatóságával a fióktelepet létesítő hitelintézet szavatoló tőkéjét és tőkekövetelményét, valamint a fióktelep által gyűjtött betétekre vonatkozó betétbiztosítás részletes</w:t>
      </w:r>
      <w:r>
        <w:rPr>
          <w:spacing w:val="28"/>
          <w:w w:val="125"/>
          <w:sz w:val="24"/>
        </w:rPr>
        <w:t> </w:t>
      </w:r>
      <w:r>
        <w:rPr>
          <w:w w:val="125"/>
          <w:sz w:val="24"/>
        </w:rPr>
        <w:t>szabályait.</w:t>
      </w:r>
    </w:p>
    <w:p>
      <w:pPr>
        <w:pStyle w:val="ListParagraph"/>
        <w:numPr>
          <w:ilvl w:val="0"/>
          <w:numId w:val="121"/>
        </w:numPr>
        <w:tabs>
          <w:tab w:pos="888" w:val="left" w:leader="none"/>
        </w:tabs>
        <w:spacing w:line="225" w:lineRule="auto" w:before="2" w:after="0"/>
        <w:ind w:left="113" w:right="128" w:firstLine="204"/>
        <w:jc w:val="both"/>
        <w:rPr>
          <w:sz w:val="24"/>
        </w:rPr>
      </w:pPr>
      <w:r>
        <w:rPr>
          <w:w w:val="130"/>
          <w:sz w:val="24"/>
        </w:rPr>
        <w:t>Ha a Felügyelet a (3) bekezdés szerinti tájékoztatás elküldését megtagadja, ezt a bejelentéstől számított legkésőbb három hónapon belül határozatban közli a bejelentő</w:t>
      </w:r>
      <w:r>
        <w:rPr>
          <w:spacing w:val="-16"/>
          <w:w w:val="130"/>
          <w:sz w:val="24"/>
        </w:rPr>
        <w:t> </w:t>
      </w:r>
      <w:r>
        <w:rPr>
          <w:w w:val="130"/>
          <w:sz w:val="24"/>
        </w:rPr>
        <w:t>hitelintézettel.</w:t>
      </w:r>
    </w:p>
    <w:p>
      <w:pPr>
        <w:pStyle w:val="ListParagraph"/>
        <w:numPr>
          <w:ilvl w:val="0"/>
          <w:numId w:val="121"/>
        </w:numPr>
        <w:tabs>
          <w:tab w:pos="771" w:val="left" w:leader="none"/>
        </w:tabs>
        <w:spacing w:line="225" w:lineRule="auto" w:before="2" w:after="0"/>
        <w:ind w:left="113" w:right="132" w:firstLine="204"/>
        <w:jc w:val="both"/>
        <w:rPr>
          <w:sz w:val="24"/>
        </w:rPr>
      </w:pPr>
      <w:r>
        <w:rPr>
          <w:w w:val="130"/>
          <w:sz w:val="24"/>
        </w:rPr>
        <w:t>A fióktelep a (3) bekezdés szerinti tájékoztatás kézhezvételét követően, illetve a tájékoztatásra rendelkezésre álló két hónapos időtartam eltelte után létrehozható és megkezdheti</w:t>
      </w:r>
      <w:r>
        <w:rPr>
          <w:spacing w:val="-5"/>
          <w:w w:val="130"/>
          <w:sz w:val="24"/>
        </w:rPr>
        <w:t> </w:t>
      </w:r>
      <w:r>
        <w:rPr>
          <w:w w:val="130"/>
          <w:sz w:val="24"/>
        </w:rPr>
        <w:t>működését.</w:t>
      </w:r>
    </w:p>
    <w:p>
      <w:pPr>
        <w:pStyle w:val="ListParagraph"/>
        <w:numPr>
          <w:ilvl w:val="0"/>
          <w:numId w:val="121"/>
        </w:numPr>
        <w:tabs>
          <w:tab w:pos="829" w:val="left" w:leader="none"/>
        </w:tabs>
        <w:spacing w:line="225" w:lineRule="auto" w:before="2" w:after="0"/>
        <w:ind w:left="113" w:right="126" w:firstLine="204"/>
        <w:jc w:val="both"/>
        <w:rPr>
          <w:sz w:val="24"/>
        </w:rPr>
      </w:pPr>
      <w:r>
        <w:rPr>
          <w:w w:val="130"/>
          <w:sz w:val="24"/>
        </w:rPr>
        <w:t>Ha a működés során a (2) bekezdés </w:t>
      </w:r>
      <w:r>
        <w:rPr>
          <w:i/>
          <w:w w:val="130"/>
          <w:sz w:val="24"/>
        </w:rPr>
        <w:t>b)-f) </w:t>
      </w:r>
      <w:r>
        <w:rPr>
          <w:w w:val="130"/>
          <w:sz w:val="24"/>
        </w:rPr>
        <w:t>pontjában meghatározott információkban vagy a fióktelep által gyűjtött betétekre vonatkozó betétbiztosítási feltételekben változás következik be, a hitelintézet legalább egy</w:t>
      </w:r>
      <w:r>
        <w:rPr>
          <w:spacing w:val="-8"/>
          <w:w w:val="130"/>
          <w:sz w:val="24"/>
        </w:rPr>
        <w:t> </w:t>
      </w:r>
      <w:r>
        <w:rPr>
          <w:w w:val="130"/>
          <w:sz w:val="24"/>
        </w:rPr>
        <w:t>hónappal</w:t>
      </w:r>
      <w:r>
        <w:rPr>
          <w:spacing w:val="-7"/>
          <w:w w:val="130"/>
          <w:sz w:val="24"/>
        </w:rPr>
        <w:t> </w:t>
      </w:r>
      <w:r>
        <w:rPr>
          <w:w w:val="130"/>
          <w:sz w:val="24"/>
        </w:rPr>
        <w:t>a</w:t>
      </w:r>
      <w:r>
        <w:rPr>
          <w:spacing w:val="5"/>
          <w:w w:val="130"/>
          <w:sz w:val="24"/>
        </w:rPr>
        <w:t> </w:t>
      </w:r>
      <w:r>
        <w:rPr>
          <w:w w:val="130"/>
          <w:sz w:val="24"/>
        </w:rPr>
        <w:t>változást</w:t>
      </w:r>
      <w:r>
        <w:rPr>
          <w:spacing w:val="-20"/>
          <w:w w:val="130"/>
          <w:sz w:val="24"/>
        </w:rPr>
        <w:t> </w:t>
      </w:r>
      <w:r>
        <w:rPr>
          <w:w w:val="130"/>
          <w:sz w:val="24"/>
        </w:rPr>
        <w:t>megelőzően</w:t>
      </w:r>
      <w:r>
        <w:rPr>
          <w:spacing w:val="-7"/>
          <w:w w:val="130"/>
          <w:sz w:val="24"/>
        </w:rPr>
        <w:t> </w:t>
      </w:r>
      <w:r>
        <w:rPr>
          <w:w w:val="130"/>
          <w:sz w:val="24"/>
        </w:rPr>
        <w:t>írásban</w:t>
      </w:r>
      <w:r>
        <w:rPr>
          <w:spacing w:val="-8"/>
          <w:w w:val="130"/>
          <w:sz w:val="24"/>
        </w:rPr>
        <w:t> </w:t>
      </w:r>
      <w:r>
        <w:rPr>
          <w:w w:val="130"/>
          <w:sz w:val="24"/>
        </w:rPr>
        <w:t>erről</w:t>
      </w:r>
      <w:r>
        <w:rPr>
          <w:spacing w:val="-1"/>
          <w:w w:val="130"/>
          <w:sz w:val="24"/>
        </w:rPr>
        <w:t> </w:t>
      </w:r>
      <w:r>
        <w:rPr>
          <w:w w:val="130"/>
          <w:sz w:val="24"/>
        </w:rPr>
        <w:t>tájékoztatja</w:t>
      </w:r>
      <w:r>
        <w:rPr>
          <w:spacing w:val="-14"/>
          <w:w w:val="130"/>
          <w:sz w:val="24"/>
        </w:rPr>
        <w:t> </w:t>
      </w:r>
      <w:r>
        <w:rPr>
          <w:w w:val="130"/>
          <w:sz w:val="24"/>
        </w:rPr>
        <w:t>a</w:t>
      </w:r>
      <w:r>
        <w:rPr>
          <w:spacing w:val="-7"/>
          <w:w w:val="130"/>
          <w:sz w:val="24"/>
        </w:rPr>
        <w:t> </w:t>
      </w:r>
      <w:r>
        <w:rPr>
          <w:w w:val="130"/>
          <w:sz w:val="24"/>
        </w:rPr>
        <w:t>Felügyeletet és a másik EGT-állam illetékes felügyeleti</w:t>
      </w:r>
      <w:r>
        <w:rPr>
          <w:spacing w:val="-46"/>
          <w:w w:val="130"/>
          <w:sz w:val="24"/>
        </w:rPr>
        <w:t> </w:t>
      </w:r>
      <w:r>
        <w:rPr>
          <w:w w:val="130"/>
          <w:sz w:val="24"/>
        </w:rPr>
        <w:t>hatóságát.</w:t>
      </w:r>
    </w:p>
    <w:p>
      <w:pPr>
        <w:pStyle w:val="ListParagraph"/>
        <w:numPr>
          <w:ilvl w:val="0"/>
          <w:numId w:val="121"/>
        </w:numPr>
        <w:tabs>
          <w:tab w:pos="880" w:val="left" w:leader="none"/>
        </w:tabs>
        <w:spacing w:line="225" w:lineRule="auto" w:before="3" w:after="0"/>
        <w:ind w:left="113" w:right="125" w:firstLine="204"/>
        <w:jc w:val="both"/>
        <w:rPr>
          <w:sz w:val="24"/>
        </w:rPr>
      </w:pPr>
      <w:r>
        <w:rPr>
          <w:w w:val="125"/>
          <w:sz w:val="24"/>
        </w:rPr>
        <w:t>A Felügyelet tájékoztatja a másik EGT-állam illetékes felügyeleti hatóságát, ha az EGT-államban fiókteleppel rendelkező hitelintézet tevékenységi engedélyét visszavonta.</w:t>
      </w:r>
    </w:p>
    <w:p>
      <w:pPr>
        <w:spacing w:after="0" w:line="225" w:lineRule="auto"/>
        <w:jc w:val="both"/>
        <w:rPr>
          <w:sz w:val="24"/>
        </w:rPr>
        <w:sectPr>
          <w:pgSz w:w="11900" w:h="16820"/>
          <w:pgMar w:header="1104" w:footer="0" w:top="1840" w:bottom="280" w:left="1020" w:right="1000"/>
        </w:sectPr>
      </w:pPr>
    </w:p>
    <w:p>
      <w:pPr>
        <w:pStyle w:val="ListParagraph"/>
        <w:numPr>
          <w:ilvl w:val="0"/>
          <w:numId w:val="121"/>
        </w:numPr>
        <w:tabs>
          <w:tab w:pos="764" w:val="left" w:leader="none"/>
        </w:tabs>
        <w:spacing w:line="225" w:lineRule="auto" w:before="173" w:after="0"/>
        <w:ind w:left="113" w:right="132" w:firstLine="204"/>
        <w:jc w:val="both"/>
        <w:rPr>
          <w:sz w:val="24"/>
        </w:rPr>
      </w:pPr>
      <w:r>
        <w:rPr>
          <w:w w:val="125"/>
          <w:sz w:val="24"/>
        </w:rPr>
        <w:t>E § alkalmazásában a központi szervhez tartósan kapcsolt hitelintézet a központi szervével egy hitelintézetnek</w:t>
      </w:r>
      <w:r>
        <w:rPr>
          <w:spacing w:val="6"/>
          <w:w w:val="125"/>
          <w:sz w:val="24"/>
        </w:rPr>
        <w:t> </w:t>
      </w:r>
      <w:r>
        <w:rPr>
          <w:w w:val="125"/>
          <w:sz w:val="24"/>
        </w:rPr>
        <w:t>tekintendő.</w:t>
      </w:r>
    </w:p>
    <w:p>
      <w:pPr>
        <w:pStyle w:val="ListParagraph"/>
        <w:numPr>
          <w:ilvl w:val="0"/>
          <w:numId w:val="100"/>
        </w:numPr>
        <w:tabs>
          <w:tab w:pos="873" w:val="left" w:leader="none"/>
        </w:tabs>
        <w:spacing w:line="225" w:lineRule="auto" w:before="0" w:after="0"/>
        <w:ind w:left="113" w:right="123" w:firstLine="204"/>
        <w:jc w:val="both"/>
        <w:rPr>
          <w:sz w:val="24"/>
        </w:rPr>
      </w:pPr>
      <w:r>
        <w:rPr>
          <w:rFonts w:ascii="Arial" w:hAnsi="Arial"/>
          <w:b/>
          <w:w w:val="120"/>
          <w:sz w:val="24"/>
        </w:rPr>
        <w:t>§ </w:t>
      </w:r>
      <w:r>
        <w:rPr>
          <w:w w:val="120"/>
          <w:sz w:val="24"/>
        </w:rPr>
        <w:t>(1) A 15. § (4) bekezdésben meghatározott feltételeknek megfelelő, magyarországi székhelyű pénzügyi vállalkozás bejelenti a Felügyeletnek, ha a másik EGT-államban fióktelepet kíván</w:t>
      </w:r>
      <w:r>
        <w:rPr>
          <w:spacing w:val="26"/>
          <w:w w:val="120"/>
          <w:sz w:val="24"/>
        </w:rPr>
        <w:t> </w:t>
      </w:r>
      <w:r>
        <w:rPr>
          <w:w w:val="120"/>
          <w:sz w:val="24"/>
        </w:rPr>
        <w:t>létesíteni.</w:t>
      </w:r>
    </w:p>
    <w:p>
      <w:pPr>
        <w:pStyle w:val="ListParagraph"/>
        <w:numPr>
          <w:ilvl w:val="0"/>
          <w:numId w:val="123"/>
        </w:numPr>
        <w:tabs>
          <w:tab w:pos="734" w:val="left" w:leader="none"/>
        </w:tabs>
        <w:spacing w:line="256" w:lineRule="exact" w:before="0" w:after="0"/>
        <w:ind w:left="733" w:right="0" w:hanging="416"/>
        <w:jc w:val="left"/>
        <w:rPr>
          <w:sz w:val="24"/>
        </w:rPr>
      </w:pPr>
      <w:r>
        <w:rPr>
          <w:w w:val="125"/>
          <w:sz w:val="24"/>
        </w:rPr>
        <w:t>Az (1) bekezdés szerinti bejelentés</w:t>
      </w:r>
      <w:r>
        <w:rPr>
          <w:spacing w:val="11"/>
          <w:w w:val="125"/>
          <w:sz w:val="24"/>
        </w:rPr>
        <w:t> </w:t>
      </w:r>
      <w:r>
        <w:rPr>
          <w:w w:val="125"/>
          <w:sz w:val="24"/>
        </w:rPr>
        <w:t>tartalmazza</w:t>
      </w:r>
    </w:p>
    <w:p>
      <w:pPr>
        <w:pStyle w:val="ListParagraph"/>
        <w:numPr>
          <w:ilvl w:val="0"/>
          <w:numId w:val="124"/>
        </w:numPr>
        <w:tabs>
          <w:tab w:pos="652" w:val="left" w:leader="none"/>
        </w:tabs>
        <w:spacing w:line="225" w:lineRule="auto" w:before="5" w:after="0"/>
        <w:ind w:left="113" w:right="130" w:firstLine="204"/>
        <w:jc w:val="both"/>
        <w:rPr>
          <w:sz w:val="24"/>
        </w:rPr>
      </w:pPr>
      <w:r>
        <w:rPr>
          <w:w w:val="130"/>
          <w:sz w:val="24"/>
        </w:rPr>
        <w:t>annak</w:t>
      </w:r>
      <w:r>
        <w:rPr>
          <w:spacing w:val="-41"/>
          <w:w w:val="130"/>
          <w:sz w:val="24"/>
        </w:rPr>
        <w:t> </w:t>
      </w:r>
      <w:r>
        <w:rPr>
          <w:w w:val="130"/>
          <w:sz w:val="24"/>
        </w:rPr>
        <w:t>az</w:t>
      </w:r>
      <w:r>
        <w:rPr>
          <w:spacing w:val="-35"/>
          <w:w w:val="130"/>
          <w:sz w:val="24"/>
        </w:rPr>
        <w:t> </w:t>
      </w:r>
      <w:r>
        <w:rPr>
          <w:w w:val="130"/>
          <w:sz w:val="24"/>
        </w:rPr>
        <w:t>EGT-államnak</w:t>
      </w:r>
      <w:r>
        <w:rPr>
          <w:spacing w:val="-36"/>
          <w:w w:val="130"/>
          <w:sz w:val="24"/>
        </w:rPr>
        <w:t> </w:t>
      </w:r>
      <w:r>
        <w:rPr>
          <w:w w:val="130"/>
          <w:sz w:val="24"/>
        </w:rPr>
        <w:t>a</w:t>
      </w:r>
      <w:r>
        <w:rPr>
          <w:spacing w:val="-35"/>
          <w:w w:val="130"/>
          <w:sz w:val="24"/>
        </w:rPr>
        <w:t> </w:t>
      </w:r>
      <w:r>
        <w:rPr>
          <w:w w:val="130"/>
          <w:sz w:val="24"/>
        </w:rPr>
        <w:t>megnevezését,</w:t>
      </w:r>
      <w:r>
        <w:rPr>
          <w:spacing w:val="-36"/>
          <w:w w:val="130"/>
          <w:sz w:val="24"/>
        </w:rPr>
        <w:t> </w:t>
      </w:r>
      <w:r>
        <w:rPr>
          <w:w w:val="130"/>
          <w:sz w:val="24"/>
        </w:rPr>
        <w:t>amelyben</w:t>
      </w:r>
      <w:r>
        <w:rPr>
          <w:spacing w:val="-35"/>
          <w:w w:val="130"/>
          <w:sz w:val="24"/>
        </w:rPr>
        <w:t> </w:t>
      </w:r>
      <w:r>
        <w:rPr>
          <w:w w:val="130"/>
          <w:sz w:val="24"/>
        </w:rPr>
        <w:t>a</w:t>
      </w:r>
      <w:r>
        <w:rPr>
          <w:spacing w:val="-36"/>
          <w:w w:val="130"/>
          <w:sz w:val="24"/>
        </w:rPr>
        <w:t> </w:t>
      </w:r>
      <w:r>
        <w:rPr>
          <w:w w:val="130"/>
          <w:sz w:val="24"/>
        </w:rPr>
        <w:t>pénzügyi</w:t>
      </w:r>
      <w:r>
        <w:rPr>
          <w:spacing w:val="-36"/>
          <w:w w:val="130"/>
          <w:sz w:val="24"/>
        </w:rPr>
        <w:t> </w:t>
      </w:r>
      <w:r>
        <w:rPr>
          <w:w w:val="130"/>
          <w:sz w:val="24"/>
        </w:rPr>
        <w:t>vállalkozás a fióktelepet létesíteni</w:t>
      </w:r>
      <w:r>
        <w:rPr>
          <w:spacing w:val="-12"/>
          <w:w w:val="130"/>
          <w:sz w:val="24"/>
        </w:rPr>
        <w:t> </w:t>
      </w:r>
      <w:r>
        <w:rPr>
          <w:w w:val="130"/>
          <w:sz w:val="24"/>
        </w:rPr>
        <w:t>kívánja,</w:t>
      </w:r>
    </w:p>
    <w:p>
      <w:pPr>
        <w:pStyle w:val="ListParagraph"/>
        <w:numPr>
          <w:ilvl w:val="0"/>
          <w:numId w:val="124"/>
        </w:numPr>
        <w:tabs>
          <w:tab w:pos="758" w:val="left" w:leader="none"/>
        </w:tabs>
        <w:spacing w:line="225" w:lineRule="auto" w:before="1" w:after="0"/>
        <w:ind w:left="113" w:right="129" w:firstLine="204"/>
        <w:jc w:val="both"/>
        <w:rPr>
          <w:sz w:val="24"/>
        </w:rPr>
      </w:pPr>
      <w:r>
        <w:rPr>
          <w:w w:val="130"/>
          <w:sz w:val="24"/>
        </w:rPr>
        <w:t>a fióktelep szervezeti felépítésére, irányítására, ellenőrzési rendjére vonatkozó</w:t>
      </w:r>
      <w:r>
        <w:rPr>
          <w:spacing w:val="-5"/>
          <w:w w:val="130"/>
          <w:sz w:val="24"/>
        </w:rPr>
        <w:t> </w:t>
      </w:r>
      <w:r>
        <w:rPr>
          <w:w w:val="130"/>
          <w:sz w:val="24"/>
        </w:rPr>
        <w:t>dokumentumokat,</w:t>
      </w:r>
    </w:p>
    <w:p>
      <w:pPr>
        <w:pStyle w:val="ListParagraph"/>
        <w:numPr>
          <w:ilvl w:val="0"/>
          <w:numId w:val="124"/>
        </w:numPr>
        <w:tabs>
          <w:tab w:pos="623" w:val="left" w:leader="none"/>
        </w:tabs>
        <w:spacing w:line="256" w:lineRule="exact" w:before="0" w:after="0"/>
        <w:ind w:left="622" w:right="0" w:hanging="305"/>
        <w:jc w:val="left"/>
        <w:rPr>
          <w:sz w:val="24"/>
        </w:rPr>
      </w:pPr>
      <w:r>
        <w:rPr>
          <w:w w:val="130"/>
          <w:sz w:val="24"/>
        </w:rPr>
        <w:t>a végezni kívánt tevékenységek</w:t>
      </w:r>
      <w:r>
        <w:rPr>
          <w:spacing w:val="-24"/>
          <w:w w:val="130"/>
          <w:sz w:val="24"/>
        </w:rPr>
        <w:t> </w:t>
      </w:r>
      <w:r>
        <w:rPr>
          <w:w w:val="130"/>
          <w:sz w:val="24"/>
        </w:rPr>
        <w:t>megnevezését,</w:t>
      </w:r>
    </w:p>
    <w:p>
      <w:pPr>
        <w:pStyle w:val="ListParagraph"/>
        <w:numPr>
          <w:ilvl w:val="0"/>
          <w:numId w:val="124"/>
        </w:numPr>
        <w:tabs>
          <w:tab w:pos="653" w:val="left" w:leader="none"/>
        </w:tabs>
        <w:spacing w:line="260" w:lineRule="exact" w:before="0" w:after="0"/>
        <w:ind w:left="652" w:right="0" w:hanging="335"/>
        <w:jc w:val="left"/>
        <w:rPr>
          <w:sz w:val="24"/>
        </w:rPr>
      </w:pPr>
      <w:r>
        <w:rPr>
          <w:w w:val="130"/>
          <w:sz w:val="24"/>
        </w:rPr>
        <w:t>az üzleti</w:t>
      </w:r>
      <w:r>
        <w:rPr>
          <w:spacing w:val="-16"/>
          <w:w w:val="130"/>
          <w:sz w:val="24"/>
        </w:rPr>
        <w:t> </w:t>
      </w:r>
      <w:r>
        <w:rPr>
          <w:w w:val="130"/>
          <w:sz w:val="24"/>
        </w:rPr>
        <w:t>tervet,</w:t>
      </w:r>
    </w:p>
    <w:p>
      <w:pPr>
        <w:pStyle w:val="ListParagraph"/>
        <w:numPr>
          <w:ilvl w:val="0"/>
          <w:numId w:val="124"/>
        </w:numPr>
        <w:tabs>
          <w:tab w:pos="629" w:val="left" w:leader="none"/>
        </w:tabs>
        <w:spacing w:line="260" w:lineRule="exact" w:before="0" w:after="0"/>
        <w:ind w:left="628" w:right="0" w:hanging="311"/>
        <w:jc w:val="left"/>
        <w:rPr>
          <w:sz w:val="24"/>
        </w:rPr>
      </w:pPr>
      <w:r>
        <w:rPr>
          <w:w w:val="130"/>
          <w:sz w:val="24"/>
        </w:rPr>
        <w:t>a</w:t>
      </w:r>
      <w:r>
        <w:rPr>
          <w:spacing w:val="-20"/>
          <w:w w:val="130"/>
          <w:sz w:val="24"/>
        </w:rPr>
        <w:t> </w:t>
      </w:r>
      <w:r>
        <w:rPr>
          <w:w w:val="130"/>
          <w:sz w:val="24"/>
        </w:rPr>
        <w:t>fióktelep</w:t>
      </w:r>
      <w:r>
        <w:rPr>
          <w:spacing w:val="-18"/>
          <w:w w:val="130"/>
          <w:sz w:val="24"/>
        </w:rPr>
        <w:t> </w:t>
      </w:r>
      <w:r>
        <w:rPr>
          <w:w w:val="130"/>
          <w:sz w:val="24"/>
        </w:rPr>
        <w:t>irányítását</w:t>
      </w:r>
      <w:r>
        <w:rPr>
          <w:spacing w:val="-19"/>
          <w:w w:val="130"/>
          <w:sz w:val="24"/>
        </w:rPr>
        <w:t> </w:t>
      </w:r>
      <w:r>
        <w:rPr>
          <w:w w:val="130"/>
          <w:sz w:val="24"/>
        </w:rPr>
        <w:t>ellátó</w:t>
      </w:r>
      <w:r>
        <w:rPr>
          <w:spacing w:val="-19"/>
          <w:w w:val="130"/>
          <w:sz w:val="24"/>
        </w:rPr>
        <w:t> </w:t>
      </w:r>
      <w:r>
        <w:rPr>
          <w:w w:val="130"/>
          <w:sz w:val="24"/>
        </w:rPr>
        <w:t>felelős</w:t>
      </w:r>
      <w:r>
        <w:rPr>
          <w:spacing w:val="-19"/>
          <w:w w:val="130"/>
          <w:sz w:val="24"/>
        </w:rPr>
        <w:t> </w:t>
      </w:r>
      <w:r>
        <w:rPr>
          <w:w w:val="130"/>
          <w:sz w:val="24"/>
        </w:rPr>
        <w:t>személyek</w:t>
      </w:r>
      <w:r>
        <w:rPr>
          <w:spacing w:val="-18"/>
          <w:w w:val="130"/>
          <w:sz w:val="24"/>
        </w:rPr>
        <w:t> </w:t>
      </w:r>
      <w:r>
        <w:rPr>
          <w:w w:val="130"/>
          <w:sz w:val="24"/>
        </w:rPr>
        <w:t>megnevezését,</w:t>
      </w:r>
      <w:r>
        <w:rPr>
          <w:spacing w:val="-19"/>
          <w:w w:val="130"/>
          <w:sz w:val="24"/>
        </w:rPr>
        <w:t> </w:t>
      </w:r>
      <w:r>
        <w:rPr>
          <w:w w:val="130"/>
          <w:sz w:val="24"/>
        </w:rPr>
        <w:t>valamint</w:t>
      </w:r>
    </w:p>
    <w:p>
      <w:pPr>
        <w:pStyle w:val="ListParagraph"/>
        <w:numPr>
          <w:ilvl w:val="0"/>
          <w:numId w:val="124"/>
        </w:numPr>
        <w:tabs>
          <w:tab w:pos="577" w:val="left" w:leader="none"/>
        </w:tabs>
        <w:spacing w:line="260" w:lineRule="exact" w:before="0" w:after="0"/>
        <w:ind w:left="576" w:right="0" w:hanging="259"/>
        <w:jc w:val="left"/>
        <w:rPr>
          <w:sz w:val="24"/>
        </w:rPr>
      </w:pPr>
      <w:r>
        <w:rPr>
          <w:w w:val="125"/>
          <w:sz w:val="24"/>
        </w:rPr>
        <w:t>a fióktelep</w:t>
      </w:r>
      <w:r>
        <w:rPr>
          <w:spacing w:val="1"/>
          <w:w w:val="125"/>
          <w:sz w:val="24"/>
        </w:rPr>
        <w:t> </w:t>
      </w:r>
      <w:r>
        <w:rPr>
          <w:w w:val="125"/>
          <w:sz w:val="24"/>
        </w:rPr>
        <w:t>címét.</w:t>
      </w:r>
    </w:p>
    <w:p>
      <w:pPr>
        <w:pStyle w:val="ListParagraph"/>
        <w:numPr>
          <w:ilvl w:val="0"/>
          <w:numId w:val="123"/>
        </w:numPr>
        <w:tabs>
          <w:tab w:pos="836" w:val="left" w:leader="none"/>
        </w:tabs>
        <w:spacing w:line="225" w:lineRule="auto" w:before="6" w:after="0"/>
        <w:ind w:left="113" w:right="116" w:firstLine="204"/>
        <w:jc w:val="both"/>
        <w:rPr>
          <w:sz w:val="24"/>
        </w:rPr>
      </w:pPr>
      <w:r>
        <w:rPr>
          <w:w w:val="125"/>
          <w:sz w:val="24"/>
        </w:rPr>
        <w:t>Ha a Felügyelet rendelkezésére álló információk szerint a bejelentő pénzügyi vállalkozás irányítási struktúrája és pénzügyi helyzete megfelel a jogszabályi előírásoknak, a Felügyelet a bejelentés kézhezvételétől számított három hónapon belül írásban tájékoztatja az érintett EGT-állam illetékes felügyeleti hatóságát. A tájékoztatást egyidejűleg közli a bejelentő pénzügyi vállalkozással</w:t>
      </w:r>
      <w:r>
        <w:rPr>
          <w:spacing w:val="-1"/>
          <w:w w:val="125"/>
          <w:sz w:val="24"/>
        </w:rPr>
        <w:t> </w:t>
      </w:r>
      <w:r>
        <w:rPr>
          <w:w w:val="125"/>
          <w:sz w:val="24"/>
        </w:rPr>
        <w:t>is.</w:t>
      </w:r>
    </w:p>
    <w:p>
      <w:pPr>
        <w:pStyle w:val="ListParagraph"/>
        <w:numPr>
          <w:ilvl w:val="0"/>
          <w:numId w:val="123"/>
        </w:numPr>
        <w:tabs>
          <w:tab w:pos="835" w:val="left" w:leader="none"/>
        </w:tabs>
        <w:spacing w:line="225" w:lineRule="auto" w:before="3" w:after="0"/>
        <w:ind w:left="113" w:right="129" w:firstLine="204"/>
        <w:jc w:val="both"/>
        <w:rPr>
          <w:sz w:val="24"/>
        </w:rPr>
      </w:pPr>
      <w:r>
        <w:rPr>
          <w:w w:val="125"/>
          <w:sz w:val="24"/>
        </w:rPr>
        <w:t>A (3) bekezdés szerinti tájékoztatásban a Felügyelet közli a másik EGT-állam illetékes felügyeleti hatóságával a fióktelepet létesítő pénzügyi vállalkozás és az anyavállalatának összevont alapú tőkekövetelményét. A Felügyelet a tájékoztatáshoz mellékeli az igazolást a 15. § (4) bekezdésben foglalt feltételek</w:t>
      </w:r>
      <w:r>
        <w:rPr>
          <w:spacing w:val="2"/>
          <w:w w:val="125"/>
          <w:sz w:val="24"/>
        </w:rPr>
        <w:t> </w:t>
      </w:r>
      <w:r>
        <w:rPr>
          <w:w w:val="125"/>
          <w:sz w:val="24"/>
        </w:rPr>
        <w:t>fennállásáról.</w:t>
      </w:r>
    </w:p>
    <w:p>
      <w:pPr>
        <w:pStyle w:val="ListParagraph"/>
        <w:numPr>
          <w:ilvl w:val="0"/>
          <w:numId w:val="123"/>
        </w:numPr>
        <w:tabs>
          <w:tab w:pos="888" w:val="left" w:leader="none"/>
        </w:tabs>
        <w:spacing w:line="225" w:lineRule="auto" w:before="3" w:after="0"/>
        <w:ind w:left="113" w:right="129" w:firstLine="204"/>
        <w:jc w:val="both"/>
        <w:rPr>
          <w:sz w:val="24"/>
        </w:rPr>
      </w:pPr>
      <w:r>
        <w:rPr>
          <w:w w:val="125"/>
          <w:sz w:val="24"/>
        </w:rPr>
        <w:t>Ha a Felügyelet a (3) bekezdés szerinti tájékoztatás elküldését megtagadja, ezt a bejelentés kézhezvételétől számított legkésőbb három hónapon belül határozatban közli a bejelentő pénzügyi</w:t>
      </w:r>
      <w:r>
        <w:rPr>
          <w:spacing w:val="19"/>
          <w:w w:val="125"/>
          <w:sz w:val="24"/>
        </w:rPr>
        <w:t> </w:t>
      </w:r>
      <w:r>
        <w:rPr>
          <w:w w:val="125"/>
          <w:sz w:val="24"/>
        </w:rPr>
        <w:t>vállalkozással.</w:t>
      </w:r>
    </w:p>
    <w:p>
      <w:pPr>
        <w:pStyle w:val="ListParagraph"/>
        <w:numPr>
          <w:ilvl w:val="0"/>
          <w:numId w:val="123"/>
        </w:numPr>
        <w:tabs>
          <w:tab w:pos="820" w:val="left" w:leader="none"/>
        </w:tabs>
        <w:spacing w:line="225" w:lineRule="auto" w:before="2" w:after="0"/>
        <w:ind w:left="113" w:right="130" w:firstLine="204"/>
        <w:jc w:val="both"/>
        <w:rPr>
          <w:sz w:val="24"/>
        </w:rPr>
      </w:pPr>
      <w:r>
        <w:rPr>
          <w:w w:val="130"/>
          <w:sz w:val="24"/>
        </w:rPr>
        <w:t>A fióktelep az érintett EGT-állam illetékes felügyeleti hatósága által adott,</w:t>
      </w:r>
      <w:r>
        <w:rPr>
          <w:spacing w:val="-29"/>
          <w:w w:val="130"/>
          <w:sz w:val="24"/>
        </w:rPr>
        <w:t> </w:t>
      </w:r>
      <w:r>
        <w:rPr>
          <w:w w:val="130"/>
          <w:sz w:val="24"/>
        </w:rPr>
        <w:t>a</w:t>
      </w:r>
      <w:r>
        <w:rPr>
          <w:spacing w:val="-29"/>
          <w:w w:val="130"/>
          <w:sz w:val="24"/>
        </w:rPr>
        <w:t> </w:t>
      </w:r>
      <w:r>
        <w:rPr>
          <w:w w:val="130"/>
          <w:sz w:val="24"/>
        </w:rPr>
        <w:t>folytatni</w:t>
      </w:r>
      <w:r>
        <w:rPr>
          <w:spacing w:val="-29"/>
          <w:w w:val="130"/>
          <w:sz w:val="24"/>
        </w:rPr>
        <w:t> </w:t>
      </w:r>
      <w:r>
        <w:rPr>
          <w:w w:val="130"/>
          <w:sz w:val="24"/>
        </w:rPr>
        <w:t>kívánt</w:t>
      </w:r>
      <w:r>
        <w:rPr>
          <w:spacing w:val="-29"/>
          <w:w w:val="130"/>
          <w:sz w:val="24"/>
        </w:rPr>
        <w:t> </w:t>
      </w:r>
      <w:r>
        <w:rPr>
          <w:w w:val="130"/>
          <w:sz w:val="24"/>
        </w:rPr>
        <w:t>tevékenység</w:t>
      </w:r>
      <w:r>
        <w:rPr>
          <w:spacing w:val="-29"/>
          <w:w w:val="130"/>
          <w:sz w:val="24"/>
        </w:rPr>
        <w:t> </w:t>
      </w:r>
      <w:r>
        <w:rPr>
          <w:w w:val="130"/>
          <w:sz w:val="24"/>
        </w:rPr>
        <w:t>végzésével</w:t>
      </w:r>
      <w:r>
        <w:rPr>
          <w:spacing w:val="-29"/>
          <w:w w:val="130"/>
          <w:sz w:val="24"/>
        </w:rPr>
        <w:t> </w:t>
      </w:r>
      <w:r>
        <w:rPr>
          <w:w w:val="130"/>
          <w:sz w:val="24"/>
        </w:rPr>
        <w:t>kapcsolatos</w:t>
      </w:r>
      <w:r>
        <w:rPr>
          <w:spacing w:val="-28"/>
          <w:w w:val="130"/>
          <w:sz w:val="24"/>
        </w:rPr>
        <w:t> </w:t>
      </w:r>
      <w:r>
        <w:rPr>
          <w:w w:val="130"/>
          <w:sz w:val="24"/>
        </w:rPr>
        <w:t>feltételekről</w:t>
      </w:r>
      <w:r>
        <w:rPr>
          <w:spacing w:val="-29"/>
          <w:w w:val="130"/>
          <w:sz w:val="24"/>
        </w:rPr>
        <w:t> </w:t>
      </w:r>
      <w:r>
        <w:rPr>
          <w:w w:val="130"/>
          <w:sz w:val="24"/>
        </w:rPr>
        <w:t>szóló tájékoztatás kézhezvételét követően, a tájékoztatásra rendelkezésre álló két hónapos időtartam eltelte után létrehozható és</w:t>
      </w:r>
      <w:r>
        <w:rPr>
          <w:spacing w:val="-62"/>
          <w:w w:val="130"/>
          <w:sz w:val="24"/>
        </w:rPr>
        <w:t> </w:t>
      </w:r>
      <w:r>
        <w:rPr>
          <w:w w:val="130"/>
          <w:sz w:val="24"/>
        </w:rPr>
        <w:t>megkezdheti működését.</w:t>
      </w:r>
    </w:p>
    <w:p>
      <w:pPr>
        <w:pStyle w:val="ListParagraph"/>
        <w:numPr>
          <w:ilvl w:val="0"/>
          <w:numId w:val="123"/>
        </w:numPr>
        <w:tabs>
          <w:tab w:pos="829" w:val="left" w:leader="none"/>
        </w:tabs>
        <w:spacing w:line="225" w:lineRule="auto" w:before="2" w:after="0"/>
        <w:ind w:left="113" w:right="126" w:firstLine="204"/>
        <w:jc w:val="both"/>
        <w:rPr>
          <w:sz w:val="24"/>
        </w:rPr>
      </w:pPr>
      <w:r>
        <w:rPr>
          <w:w w:val="125"/>
          <w:sz w:val="24"/>
        </w:rPr>
        <w:t>Ha a működés során a (2) bekezdés </w:t>
      </w:r>
      <w:r>
        <w:rPr>
          <w:i/>
          <w:w w:val="125"/>
          <w:sz w:val="24"/>
        </w:rPr>
        <w:t>b)-f) </w:t>
      </w:r>
      <w:r>
        <w:rPr>
          <w:w w:val="125"/>
          <w:sz w:val="24"/>
        </w:rPr>
        <w:t>pontjában meghatározott információkban változás következik be, a pénzügyi vállalkozás legalább egy hónappal a változást megelőzően írásban erről tájékoztatja a Felügyeletet és a másik EGT-államban illetékes felügyeleti</w:t>
      </w:r>
      <w:r>
        <w:rPr>
          <w:spacing w:val="-1"/>
          <w:w w:val="125"/>
          <w:sz w:val="24"/>
        </w:rPr>
        <w:t> </w:t>
      </w:r>
      <w:r>
        <w:rPr>
          <w:w w:val="125"/>
          <w:sz w:val="24"/>
        </w:rPr>
        <w:t>hatóságot.</w:t>
      </w:r>
    </w:p>
    <w:p>
      <w:pPr>
        <w:pStyle w:val="ListParagraph"/>
        <w:numPr>
          <w:ilvl w:val="0"/>
          <w:numId w:val="123"/>
        </w:numPr>
        <w:tabs>
          <w:tab w:pos="734" w:val="left" w:leader="none"/>
        </w:tabs>
        <w:spacing w:line="225" w:lineRule="auto" w:before="3" w:after="0"/>
        <w:ind w:left="113" w:right="134" w:firstLine="204"/>
        <w:jc w:val="both"/>
        <w:rPr>
          <w:sz w:val="24"/>
        </w:rPr>
      </w:pPr>
      <w:r>
        <w:rPr>
          <w:w w:val="125"/>
          <w:sz w:val="24"/>
        </w:rPr>
        <w:t>A Felügyelet értesíti a másik EGT-állam illetékes felügyeleti hatóságát, ha az EGT-államban fiókteleppel rendelkező pénzügyi</w:t>
      </w:r>
      <w:r>
        <w:rPr>
          <w:spacing w:val="-11"/>
          <w:w w:val="125"/>
          <w:sz w:val="24"/>
        </w:rPr>
        <w:t> </w:t>
      </w:r>
      <w:r>
        <w:rPr>
          <w:w w:val="125"/>
          <w:sz w:val="24"/>
        </w:rPr>
        <w:t>vállalkozás</w:t>
      </w:r>
    </w:p>
    <w:p>
      <w:pPr>
        <w:pStyle w:val="ListParagraph"/>
        <w:numPr>
          <w:ilvl w:val="0"/>
          <w:numId w:val="125"/>
        </w:numPr>
        <w:tabs>
          <w:tab w:pos="631" w:val="left" w:leader="none"/>
        </w:tabs>
        <w:spacing w:line="256" w:lineRule="exact" w:before="0" w:after="0"/>
        <w:ind w:left="630" w:right="0" w:hanging="313"/>
        <w:jc w:val="left"/>
        <w:rPr>
          <w:sz w:val="24"/>
        </w:rPr>
      </w:pPr>
      <w:r>
        <w:rPr>
          <w:w w:val="125"/>
          <w:sz w:val="24"/>
        </w:rPr>
        <w:t>már nem felel meg a 15. § (4) bekezdésében foglalt feltételeknek,</w:t>
      </w:r>
      <w:r>
        <w:rPr>
          <w:spacing w:val="25"/>
          <w:w w:val="125"/>
          <w:sz w:val="24"/>
        </w:rPr>
        <w:t> </w:t>
      </w:r>
      <w:r>
        <w:rPr>
          <w:w w:val="125"/>
          <w:sz w:val="24"/>
        </w:rPr>
        <w:t>vagy</w:t>
      </w:r>
    </w:p>
    <w:p>
      <w:pPr>
        <w:pStyle w:val="ListParagraph"/>
        <w:numPr>
          <w:ilvl w:val="0"/>
          <w:numId w:val="125"/>
        </w:numPr>
        <w:tabs>
          <w:tab w:pos="653" w:val="left" w:leader="none"/>
        </w:tabs>
        <w:spacing w:line="259" w:lineRule="exact" w:before="0" w:after="0"/>
        <w:ind w:left="652" w:right="0" w:hanging="335"/>
        <w:jc w:val="left"/>
        <w:rPr>
          <w:sz w:val="24"/>
        </w:rPr>
      </w:pPr>
      <w:r>
        <w:rPr>
          <w:w w:val="125"/>
          <w:sz w:val="24"/>
        </w:rPr>
        <w:t>tevékenységi engedélyét</w:t>
      </w:r>
      <w:r>
        <w:rPr>
          <w:spacing w:val="-10"/>
          <w:w w:val="125"/>
          <w:sz w:val="24"/>
        </w:rPr>
        <w:t> </w:t>
      </w:r>
      <w:r>
        <w:rPr>
          <w:w w:val="125"/>
          <w:sz w:val="24"/>
        </w:rPr>
        <w:t>visszavonta.</w:t>
      </w:r>
    </w:p>
    <w:p>
      <w:pPr>
        <w:pStyle w:val="BodyText"/>
        <w:spacing w:line="225" w:lineRule="auto" w:before="5"/>
        <w:ind w:right="128"/>
        <w:jc w:val="both"/>
      </w:pPr>
      <w:r>
        <w:rPr>
          <w:rFonts w:ascii="Arial" w:hAnsi="Arial"/>
          <w:b/>
          <w:w w:val="125"/>
        </w:rPr>
        <w:t>37/A.</w:t>
      </w:r>
      <w:r>
        <w:rPr>
          <w:rFonts w:ascii="Arial" w:hAnsi="Arial"/>
          <w:b/>
          <w:spacing w:val="-15"/>
          <w:w w:val="125"/>
        </w:rPr>
        <w:t> </w:t>
      </w:r>
      <w:r>
        <w:rPr>
          <w:rFonts w:ascii="Arial" w:hAnsi="Arial"/>
          <w:b/>
          <w:w w:val="125"/>
        </w:rPr>
        <w:t>§</w:t>
      </w:r>
      <w:r>
        <w:rPr>
          <w:i/>
          <w:w w:val="125"/>
          <w:position w:val="3"/>
          <w:sz w:val="18"/>
        </w:rPr>
        <w:t>1</w:t>
      </w:r>
      <w:r>
        <w:rPr>
          <w:i/>
          <w:spacing w:val="13"/>
          <w:w w:val="125"/>
          <w:position w:val="3"/>
          <w:sz w:val="18"/>
        </w:rPr>
        <w:t> </w:t>
      </w:r>
      <w:r>
        <w:rPr>
          <w:w w:val="125"/>
        </w:rPr>
        <w:t>(1)</w:t>
      </w:r>
      <w:r>
        <w:rPr>
          <w:spacing w:val="-12"/>
          <w:w w:val="125"/>
        </w:rPr>
        <w:t> </w:t>
      </w:r>
      <w:r>
        <w:rPr>
          <w:w w:val="125"/>
        </w:rPr>
        <w:t>A</w:t>
      </w:r>
      <w:r>
        <w:rPr>
          <w:spacing w:val="-12"/>
          <w:w w:val="125"/>
        </w:rPr>
        <w:t> </w:t>
      </w:r>
      <w:r>
        <w:rPr>
          <w:w w:val="125"/>
        </w:rPr>
        <w:t>jelzáloghitel</w:t>
      </w:r>
      <w:r>
        <w:rPr>
          <w:spacing w:val="-11"/>
          <w:w w:val="125"/>
        </w:rPr>
        <w:t> </w:t>
      </w:r>
      <w:r>
        <w:rPr>
          <w:w w:val="125"/>
        </w:rPr>
        <w:t>közvetítői</w:t>
      </w:r>
      <w:r>
        <w:rPr>
          <w:spacing w:val="-13"/>
          <w:w w:val="125"/>
        </w:rPr>
        <w:t> </w:t>
      </w:r>
      <w:r>
        <w:rPr>
          <w:w w:val="125"/>
        </w:rPr>
        <w:t>tevékenységet</w:t>
      </w:r>
      <w:r>
        <w:rPr>
          <w:spacing w:val="-12"/>
          <w:w w:val="125"/>
        </w:rPr>
        <w:t> </w:t>
      </w:r>
      <w:r>
        <w:rPr>
          <w:w w:val="125"/>
        </w:rPr>
        <w:t>végző</w:t>
      </w:r>
      <w:r>
        <w:rPr>
          <w:spacing w:val="-13"/>
          <w:w w:val="125"/>
        </w:rPr>
        <w:t> </w:t>
      </w:r>
      <w:r>
        <w:rPr>
          <w:w w:val="125"/>
        </w:rPr>
        <w:t>közvetítő</w:t>
      </w:r>
      <w:r>
        <w:rPr>
          <w:spacing w:val="-12"/>
          <w:w w:val="125"/>
        </w:rPr>
        <w:t> </w:t>
      </w:r>
      <w:r>
        <w:rPr>
          <w:w w:val="125"/>
        </w:rPr>
        <w:t>bejelenti a Felügyeletnek, ha másik EGT-államban jelzáloghitel közvetítői tevékenység végzésére fióktelepet kíván</w:t>
      </w:r>
      <w:r>
        <w:rPr>
          <w:spacing w:val="7"/>
          <w:w w:val="125"/>
        </w:rPr>
        <w:t> </w:t>
      </w:r>
      <w:r>
        <w:rPr>
          <w:w w:val="125"/>
        </w:rPr>
        <w:t>létesíteni.</w:t>
      </w:r>
    </w:p>
    <w:p>
      <w:pPr>
        <w:pStyle w:val="ListParagraph"/>
        <w:numPr>
          <w:ilvl w:val="0"/>
          <w:numId w:val="126"/>
        </w:numPr>
        <w:tabs>
          <w:tab w:pos="839" w:val="left" w:leader="none"/>
        </w:tabs>
        <w:spacing w:line="225" w:lineRule="auto" w:before="1" w:after="0"/>
        <w:ind w:left="113" w:right="128" w:firstLine="204"/>
        <w:jc w:val="both"/>
        <w:rPr>
          <w:sz w:val="24"/>
        </w:rPr>
      </w:pPr>
      <w:r>
        <w:rPr>
          <w:w w:val="125"/>
          <w:sz w:val="24"/>
        </w:rPr>
        <w:t>A közvetítő pénzügyi vállalkozásnak kizárólag akkor jogosult másik EGT-államban fióktelepen keresztül közvetítői tevékenységet végezni, ha a pénzügyi vállalkozás megfelel a 15. § (4) bekezdésben meghatározott feltételeknek.</w:t>
      </w:r>
    </w:p>
    <w:p>
      <w:pPr>
        <w:pStyle w:val="ListParagraph"/>
        <w:numPr>
          <w:ilvl w:val="0"/>
          <w:numId w:val="126"/>
        </w:numPr>
        <w:tabs>
          <w:tab w:pos="734" w:val="left" w:leader="none"/>
        </w:tabs>
        <w:spacing w:line="257" w:lineRule="exact" w:before="0" w:after="0"/>
        <w:ind w:left="733" w:right="0" w:hanging="416"/>
        <w:jc w:val="left"/>
        <w:rPr>
          <w:sz w:val="24"/>
        </w:rPr>
      </w:pPr>
      <w:r>
        <w:rPr>
          <w:w w:val="125"/>
          <w:sz w:val="24"/>
        </w:rPr>
        <w:t>Az (1) bekezdés szerinti bejelentés</w:t>
      </w:r>
      <w:r>
        <w:rPr>
          <w:spacing w:val="11"/>
          <w:w w:val="125"/>
          <w:sz w:val="24"/>
        </w:rPr>
        <w:t> </w:t>
      </w:r>
      <w:r>
        <w:rPr>
          <w:w w:val="125"/>
          <w:sz w:val="24"/>
        </w:rPr>
        <w:t>tartalmazza</w:t>
      </w:r>
    </w:p>
    <w:p>
      <w:pPr>
        <w:pStyle w:val="ListParagraph"/>
        <w:numPr>
          <w:ilvl w:val="0"/>
          <w:numId w:val="127"/>
        </w:numPr>
        <w:tabs>
          <w:tab w:pos="773" w:val="left" w:leader="none"/>
        </w:tabs>
        <w:spacing w:line="225" w:lineRule="auto" w:before="6" w:after="0"/>
        <w:ind w:left="113" w:right="132" w:firstLine="204"/>
        <w:jc w:val="both"/>
        <w:rPr>
          <w:sz w:val="24"/>
        </w:rPr>
      </w:pPr>
      <w:r>
        <w:rPr>
          <w:w w:val="130"/>
          <w:sz w:val="24"/>
        </w:rPr>
        <w:t>annak az EGT-államnak a megnevezését, amelyben a közvetítő a fióktelepet létesíteni</w:t>
      </w:r>
      <w:r>
        <w:rPr>
          <w:spacing w:val="-8"/>
          <w:w w:val="130"/>
          <w:sz w:val="24"/>
        </w:rPr>
        <w:t> </w:t>
      </w:r>
      <w:r>
        <w:rPr>
          <w:w w:val="130"/>
          <w:sz w:val="24"/>
        </w:rPr>
        <w:t>kívánja,</w:t>
      </w:r>
    </w:p>
    <w:p>
      <w:pPr>
        <w:pStyle w:val="BodyText"/>
        <w:spacing w:before="8"/>
        <w:ind w:left="0" w:firstLine="0"/>
        <w:rPr>
          <w:sz w:val="27"/>
        </w:rPr>
      </w:pPr>
      <w:r>
        <w:rPr/>
        <w:pict>
          <v:line style="position:absolute;mso-position-horizontal-relative:page;mso-position-vertical-relative:paragraph;z-index:-160;mso-wrap-distance-left:0;mso-wrap-distance-right:0" from="56.693001pt,18.168148pt" to="538.583001pt,18.16814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CCXV. törvény 121. §. Hatályos: 2016. III.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0"/>
          <w:numId w:val="127"/>
        </w:numPr>
        <w:tabs>
          <w:tab w:pos="758" w:val="left" w:leader="none"/>
        </w:tabs>
        <w:spacing w:line="225" w:lineRule="auto" w:before="173" w:after="0"/>
        <w:ind w:left="113" w:right="129" w:firstLine="204"/>
        <w:jc w:val="both"/>
        <w:rPr>
          <w:sz w:val="24"/>
        </w:rPr>
      </w:pPr>
      <w:r>
        <w:rPr>
          <w:w w:val="130"/>
          <w:sz w:val="24"/>
        </w:rPr>
        <w:t>a fióktelep szervezeti felépítésére, irányítására, ellenőrzési rendjére vonatkozó</w:t>
      </w:r>
      <w:r>
        <w:rPr>
          <w:spacing w:val="-5"/>
          <w:w w:val="130"/>
          <w:sz w:val="24"/>
        </w:rPr>
        <w:t> </w:t>
      </w:r>
      <w:r>
        <w:rPr>
          <w:w w:val="130"/>
          <w:sz w:val="24"/>
        </w:rPr>
        <w:t>dokumentumokat,</w:t>
      </w:r>
    </w:p>
    <w:p>
      <w:pPr>
        <w:pStyle w:val="ListParagraph"/>
        <w:numPr>
          <w:ilvl w:val="0"/>
          <w:numId w:val="127"/>
        </w:numPr>
        <w:tabs>
          <w:tab w:pos="623" w:val="left" w:leader="none"/>
        </w:tabs>
        <w:spacing w:line="256" w:lineRule="exact" w:before="0" w:after="0"/>
        <w:ind w:left="622" w:right="0" w:hanging="305"/>
        <w:jc w:val="left"/>
        <w:rPr>
          <w:sz w:val="24"/>
        </w:rPr>
      </w:pPr>
      <w:r>
        <w:rPr>
          <w:w w:val="125"/>
          <w:sz w:val="24"/>
        </w:rPr>
        <w:t>a megbízó pénzügyi intézmények</w:t>
      </w:r>
      <w:r>
        <w:rPr>
          <w:spacing w:val="2"/>
          <w:w w:val="125"/>
          <w:sz w:val="24"/>
        </w:rPr>
        <w:t> </w:t>
      </w:r>
      <w:r>
        <w:rPr>
          <w:w w:val="125"/>
          <w:sz w:val="24"/>
        </w:rPr>
        <w:t>nevét,</w:t>
      </w:r>
    </w:p>
    <w:p>
      <w:pPr>
        <w:pStyle w:val="ListParagraph"/>
        <w:numPr>
          <w:ilvl w:val="0"/>
          <w:numId w:val="127"/>
        </w:numPr>
        <w:tabs>
          <w:tab w:pos="770" w:val="left" w:leader="none"/>
        </w:tabs>
        <w:spacing w:line="225" w:lineRule="auto" w:before="5" w:after="0"/>
        <w:ind w:left="113" w:right="131" w:firstLine="204"/>
        <w:jc w:val="both"/>
        <w:rPr>
          <w:sz w:val="24"/>
        </w:rPr>
      </w:pPr>
      <w:r>
        <w:rPr>
          <w:w w:val="130"/>
          <w:sz w:val="24"/>
        </w:rPr>
        <w:t>a megbízó pénzügyi intézmény felelősségének körét a közvetítő e tevékenysége keretében okozott</w:t>
      </w:r>
      <w:r>
        <w:rPr>
          <w:spacing w:val="-12"/>
          <w:w w:val="130"/>
          <w:sz w:val="24"/>
        </w:rPr>
        <w:t> </w:t>
      </w:r>
      <w:r>
        <w:rPr>
          <w:w w:val="130"/>
          <w:sz w:val="24"/>
        </w:rPr>
        <w:t>károkért,</w:t>
      </w:r>
    </w:p>
    <w:p>
      <w:pPr>
        <w:pStyle w:val="ListParagraph"/>
        <w:numPr>
          <w:ilvl w:val="0"/>
          <w:numId w:val="127"/>
        </w:numPr>
        <w:tabs>
          <w:tab w:pos="629" w:val="left" w:leader="none"/>
        </w:tabs>
        <w:spacing w:line="256" w:lineRule="exact" w:before="0" w:after="0"/>
        <w:ind w:left="628" w:right="0" w:hanging="311"/>
        <w:jc w:val="left"/>
        <w:rPr>
          <w:sz w:val="24"/>
        </w:rPr>
      </w:pPr>
      <w:r>
        <w:rPr>
          <w:w w:val="130"/>
          <w:sz w:val="24"/>
        </w:rPr>
        <w:t>az üzleti</w:t>
      </w:r>
      <w:r>
        <w:rPr>
          <w:spacing w:val="-6"/>
          <w:w w:val="130"/>
          <w:sz w:val="24"/>
        </w:rPr>
        <w:t> </w:t>
      </w:r>
      <w:r>
        <w:rPr>
          <w:w w:val="130"/>
          <w:sz w:val="24"/>
        </w:rPr>
        <w:t>tervet,</w:t>
      </w:r>
    </w:p>
    <w:p>
      <w:pPr>
        <w:pStyle w:val="ListParagraph"/>
        <w:numPr>
          <w:ilvl w:val="0"/>
          <w:numId w:val="127"/>
        </w:numPr>
        <w:tabs>
          <w:tab w:pos="577" w:val="left" w:leader="none"/>
        </w:tabs>
        <w:spacing w:line="260" w:lineRule="exact" w:before="0" w:after="0"/>
        <w:ind w:left="576" w:right="0" w:hanging="259"/>
        <w:jc w:val="left"/>
        <w:rPr>
          <w:sz w:val="24"/>
        </w:rPr>
      </w:pPr>
      <w:r>
        <w:rPr>
          <w:w w:val="130"/>
          <w:sz w:val="24"/>
        </w:rPr>
        <w:t>a</w:t>
      </w:r>
      <w:r>
        <w:rPr>
          <w:spacing w:val="-19"/>
          <w:w w:val="130"/>
          <w:sz w:val="24"/>
        </w:rPr>
        <w:t> </w:t>
      </w:r>
      <w:r>
        <w:rPr>
          <w:w w:val="130"/>
          <w:sz w:val="24"/>
        </w:rPr>
        <w:t>fióktelep</w:t>
      </w:r>
      <w:r>
        <w:rPr>
          <w:spacing w:val="-18"/>
          <w:w w:val="130"/>
          <w:sz w:val="24"/>
        </w:rPr>
        <w:t> </w:t>
      </w:r>
      <w:r>
        <w:rPr>
          <w:w w:val="130"/>
          <w:sz w:val="24"/>
        </w:rPr>
        <w:t>irányítását</w:t>
      </w:r>
      <w:r>
        <w:rPr>
          <w:spacing w:val="-18"/>
          <w:w w:val="130"/>
          <w:sz w:val="24"/>
        </w:rPr>
        <w:t> </w:t>
      </w:r>
      <w:r>
        <w:rPr>
          <w:w w:val="130"/>
          <w:sz w:val="24"/>
        </w:rPr>
        <w:t>ellátó</w:t>
      </w:r>
      <w:r>
        <w:rPr>
          <w:spacing w:val="-19"/>
          <w:w w:val="130"/>
          <w:sz w:val="24"/>
        </w:rPr>
        <w:t> </w:t>
      </w:r>
      <w:r>
        <w:rPr>
          <w:w w:val="130"/>
          <w:sz w:val="24"/>
        </w:rPr>
        <w:t>felelős</w:t>
      </w:r>
      <w:r>
        <w:rPr>
          <w:spacing w:val="-17"/>
          <w:w w:val="130"/>
          <w:sz w:val="24"/>
        </w:rPr>
        <w:t> </w:t>
      </w:r>
      <w:r>
        <w:rPr>
          <w:w w:val="130"/>
          <w:sz w:val="24"/>
        </w:rPr>
        <w:t>személyek</w:t>
      </w:r>
      <w:r>
        <w:rPr>
          <w:spacing w:val="-18"/>
          <w:w w:val="130"/>
          <w:sz w:val="24"/>
        </w:rPr>
        <w:t> </w:t>
      </w:r>
      <w:r>
        <w:rPr>
          <w:w w:val="130"/>
          <w:sz w:val="24"/>
        </w:rPr>
        <w:t>megnevezését,</w:t>
      </w:r>
      <w:r>
        <w:rPr>
          <w:spacing w:val="-18"/>
          <w:w w:val="130"/>
          <w:sz w:val="24"/>
        </w:rPr>
        <w:t> </w:t>
      </w:r>
      <w:r>
        <w:rPr>
          <w:w w:val="130"/>
          <w:sz w:val="24"/>
        </w:rPr>
        <w:t>valamint</w:t>
      </w:r>
    </w:p>
    <w:p>
      <w:pPr>
        <w:pStyle w:val="ListParagraph"/>
        <w:numPr>
          <w:ilvl w:val="0"/>
          <w:numId w:val="127"/>
        </w:numPr>
        <w:tabs>
          <w:tab w:pos="653" w:val="left" w:leader="none"/>
        </w:tabs>
        <w:spacing w:line="260" w:lineRule="exact" w:before="0" w:after="0"/>
        <w:ind w:left="652" w:right="0" w:hanging="335"/>
        <w:jc w:val="left"/>
        <w:rPr>
          <w:sz w:val="24"/>
        </w:rPr>
      </w:pPr>
      <w:r>
        <w:rPr>
          <w:w w:val="125"/>
          <w:sz w:val="24"/>
        </w:rPr>
        <w:t>a fióktelep</w:t>
      </w:r>
      <w:r>
        <w:rPr>
          <w:spacing w:val="4"/>
          <w:w w:val="125"/>
          <w:sz w:val="24"/>
        </w:rPr>
        <w:t> </w:t>
      </w:r>
      <w:r>
        <w:rPr>
          <w:w w:val="125"/>
          <w:sz w:val="24"/>
        </w:rPr>
        <w:t>címét.</w:t>
      </w:r>
    </w:p>
    <w:p>
      <w:pPr>
        <w:pStyle w:val="ListParagraph"/>
        <w:numPr>
          <w:ilvl w:val="0"/>
          <w:numId w:val="126"/>
        </w:numPr>
        <w:tabs>
          <w:tab w:pos="836" w:val="left" w:leader="none"/>
        </w:tabs>
        <w:spacing w:line="225" w:lineRule="auto" w:before="6" w:after="0"/>
        <w:ind w:left="113" w:right="129" w:firstLine="204"/>
        <w:jc w:val="both"/>
        <w:rPr>
          <w:sz w:val="24"/>
        </w:rPr>
      </w:pPr>
      <w:r>
        <w:rPr>
          <w:w w:val="125"/>
          <w:sz w:val="24"/>
        </w:rPr>
        <w:t>Ha a Felügyelet rendelkezésére álló információk szerint a bejelentő közvetítő megfelel a jogszabályi előírásoknak, a Felügyelet a bejelentést  követő egy hónapon belül írásban tájékoztatja az érintett EGT-állam illetékes felügyeleti hatóságát a közvetítő szándékáról. A tájékoztatásnak ki kell térnie arra is, hogy a közvetítő mely pénzügyi intézményekkel kötött megbízási szerződést. A Felügyelet a tájékoztatást egyidejűleg közli a bejelentő közvetítővel.</w:t>
      </w:r>
    </w:p>
    <w:p>
      <w:pPr>
        <w:pStyle w:val="ListParagraph"/>
        <w:numPr>
          <w:ilvl w:val="0"/>
          <w:numId w:val="126"/>
        </w:numPr>
        <w:tabs>
          <w:tab w:pos="739" w:val="left" w:leader="none"/>
        </w:tabs>
        <w:spacing w:line="225" w:lineRule="auto" w:before="4" w:after="0"/>
        <w:ind w:left="113" w:right="139" w:firstLine="204"/>
        <w:jc w:val="both"/>
        <w:rPr>
          <w:sz w:val="24"/>
        </w:rPr>
      </w:pPr>
      <w:r>
        <w:rPr>
          <w:w w:val="125"/>
          <w:sz w:val="24"/>
        </w:rPr>
        <w:t>A közvetítő fióktelepe a Felügyelet tájékoztatásának kézhezvételét követő egy hónapot követően létrehozható és megkezdheti</w:t>
      </w:r>
      <w:r>
        <w:rPr>
          <w:spacing w:val="21"/>
          <w:w w:val="125"/>
          <w:sz w:val="24"/>
        </w:rPr>
        <w:t> </w:t>
      </w:r>
      <w:r>
        <w:rPr>
          <w:w w:val="125"/>
          <w:sz w:val="24"/>
        </w:rPr>
        <w:t>működését.</w:t>
      </w:r>
    </w:p>
    <w:p>
      <w:pPr>
        <w:pStyle w:val="ListParagraph"/>
        <w:numPr>
          <w:ilvl w:val="0"/>
          <w:numId w:val="126"/>
        </w:numPr>
        <w:tabs>
          <w:tab w:pos="870" w:val="left" w:leader="none"/>
        </w:tabs>
        <w:spacing w:line="225" w:lineRule="auto" w:before="1" w:after="0"/>
        <w:ind w:left="113" w:right="132" w:firstLine="204"/>
        <w:jc w:val="both"/>
        <w:rPr>
          <w:sz w:val="24"/>
        </w:rPr>
      </w:pPr>
      <w:r>
        <w:rPr>
          <w:w w:val="125"/>
          <w:sz w:val="24"/>
        </w:rPr>
        <w:t>A Felügyelet tizennégy napon belül írásban tájékoztatja a másik EGT-állam illetékes felügyeleti hatóságát, ha az EGT-államban fiókteleppel rendelkező jelzáloghitel közvetítői tevékenységet végző közvetítő tevékenységi engedélyét visszavonta.</w:t>
      </w:r>
    </w:p>
    <w:p>
      <w:pPr>
        <w:pStyle w:val="BodyText"/>
        <w:spacing w:before="229"/>
        <w:ind w:left="2614" w:firstLine="0"/>
      </w:pPr>
      <w:r>
        <w:rPr>
          <w:w w:val="125"/>
        </w:rPr>
        <w:t>20. Rendszerszinten jelentős fióktelep</w:t>
      </w:r>
    </w:p>
    <w:p>
      <w:pPr>
        <w:pStyle w:val="ListParagraph"/>
        <w:numPr>
          <w:ilvl w:val="0"/>
          <w:numId w:val="100"/>
        </w:numPr>
        <w:tabs>
          <w:tab w:pos="990" w:val="left" w:leader="none"/>
        </w:tabs>
        <w:spacing w:line="225" w:lineRule="auto" w:before="236" w:after="0"/>
        <w:ind w:left="113" w:right="122" w:firstLine="204"/>
        <w:jc w:val="both"/>
        <w:rPr>
          <w:sz w:val="24"/>
        </w:rPr>
      </w:pPr>
      <w:r>
        <w:rPr>
          <w:rFonts w:ascii="Arial" w:hAnsi="Arial"/>
          <w:b/>
          <w:w w:val="125"/>
          <w:sz w:val="24"/>
        </w:rPr>
        <w:t>§ </w:t>
      </w:r>
      <w:r>
        <w:rPr>
          <w:w w:val="125"/>
          <w:sz w:val="24"/>
        </w:rPr>
        <w:t>(1) Ha egy magyarországi székhelyű hitelintézet egy másik EGT-államban fióktelepet létesített vagy a Felügyelet a fióktelepet létesítő hitelintézet összevont alapú felügyeletet ellátó felügyeleti hatósága, akkor a másik EGT-állam illetékes felügyeleti hatósága kérelmére a Felügyelet a kérelmező felügyeleti hatósággal közösen a fióktelepet  rendszerszinten  jelentős fióktelepnek</w:t>
      </w:r>
      <w:r>
        <w:rPr>
          <w:spacing w:val="2"/>
          <w:w w:val="125"/>
          <w:sz w:val="24"/>
        </w:rPr>
        <w:t> </w:t>
      </w:r>
      <w:r>
        <w:rPr>
          <w:w w:val="125"/>
          <w:sz w:val="24"/>
        </w:rPr>
        <w:t>minősítheti.</w:t>
      </w:r>
    </w:p>
    <w:p>
      <w:pPr>
        <w:pStyle w:val="ListParagraph"/>
        <w:numPr>
          <w:ilvl w:val="0"/>
          <w:numId w:val="128"/>
        </w:numPr>
        <w:tabs>
          <w:tab w:pos="940" w:val="left" w:leader="none"/>
        </w:tabs>
        <w:spacing w:line="225" w:lineRule="auto" w:before="4" w:after="0"/>
        <w:ind w:left="113" w:right="125" w:firstLine="204"/>
        <w:jc w:val="both"/>
        <w:rPr>
          <w:sz w:val="24"/>
        </w:rPr>
      </w:pPr>
      <w:r>
        <w:rPr>
          <w:w w:val="125"/>
          <w:sz w:val="24"/>
        </w:rPr>
        <w:t>A Felügyelet - a (3) bekezdésben meghatározott szempontok figyelembevétele mellett alapos indoknak minősíthető érvek alapján - kérelmezheti a másik EGT-államnak összevont alapú felügyeletet ellátó illetékes felügyeleti hatóságánál vagy ennek hiányában  a  hitelintézet  székhelye szerinti EGT-állam illetékes felügyeleti hatóságánál, hogy közösen rendszerszinten jelentős fióktelepnek minősítsék egy másik EGT-államban székhellyel rendelkező hitelintézet magyarországi</w:t>
      </w:r>
      <w:r>
        <w:rPr>
          <w:spacing w:val="11"/>
          <w:w w:val="125"/>
          <w:sz w:val="24"/>
        </w:rPr>
        <w:t> </w:t>
      </w:r>
      <w:r>
        <w:rPr>
          <w:w w:val="125"/>
          <w:sz w:val="24"/>
        </w:rPr>
        <w:t>fióktelepét.</w:t>
      </w:r>
    </w:p>
    <w:p>
      <w:pPr>
        <w:pStyle w:val="ListParagraph"/>
        <w:numPr>
          <w:ilvl w:val="0"/>
          <w:numId w:val="128"/>
        </w:numPr>
        <w:tabs>
          <w:tab w:pos="850" w:val="left" w:leader="none"/>
        </w:tabs>
        <w:spacing w:line="225" w:lineRule="auto" w:before="4" w:after="0"/>
        <w:ind w:left="113" w:right="125" w:firstLine="204"/>
        <w:jc w:val="both"/>
        <w:rPr>
          <w:sz w:val="24"/>
        </w:rPr>
      </w:pPr>
      <w:r>
        <w:rPr>
          <w:w w:val="130"/>
          <w:sz w:val="24"/>
        </w:rPr>
        <w:t>A rendszerszinten jelentős fióktelepnek való minősítésnél az indok alaposságának megállapításakor legalább az alábbi szempontokat szükséges figyelembe</w:t>
      </w:r>
      <w:r>
        <w:rPr>
          <w:spacing w:val="-4"/>
          <w:w w:val="130"/>
          <w:sz w:val="24"/>
        </w:rPr>
        <w:t> </w:t>
      </w:r>
      <w:r>
        <w:rPr>
          <w:w w:val="130"/>
          <w:sz w:val="24"/>
        </w:rPr>
        <w:t>venni:</w:t>
      </w:r>
    </w:p>
    <w:p>
      <w:pPr>
        <w:pStyle w:val="ListParagraph"/>
        <w:numPr>
          <w:ilvl w:val="0"/>
          <w:numId w:val="129"/>
        </w:numPr>
        <w:tabs>
          <w:tab w:pos="756" w:val="left" w:leader="none"/>
        </w:tabs>
        <w:spacing w:line="225" w:lineRule="auto" w:before="1" w:after="0"/>
        <w:ind w:left="113" w:right="126" w:firstLine="204"/>
        <w:jc w:val="both"/>
        <w:rPr>
          <w:sz w:val="24"/>
        </w:rPr>
      </w:pPr>
      <w:r>
        <w:rPr>
          <w:w w:val="130"/>
          <w:sz w:val="24"/>
        </w:rPr>
        <w:t>a fióktelep adott EGT-állambeli piaci részesedése a betétállományt tekintve meghaladja-e a kettő</w:t>
      </w:r>
      <w:r>
        <w:rPr>
          <w:spacing w:val="-20"/>
          <w:w w:val="130"/>
          <w:sz w:val="24"/>
        </w:rPr>
        <w:t> </w:t>
      </w:r>
      <w:r>
        <w:rPr>
          <w:w w:val="130"/>
          <w:sz w:val="24"/>
        </w:rPr>
        <w:t>százalékot,</w:t>
      </w:r>
    </w:p>
    <w:p>
      <w:pPr>
        <w:pStyle w:val="ListParagraph"/>
        <w:numPr>
          <w:ilvl w:val="0"/>
          <w:numId w:val="129"/>
        </w:numPr>
        <w:tabs>
          <w:tab w:pos="698" w:val="left" w:leader="none"/>
        </w:tabs>
        <w:spacing w:line="225" w:lineRule="auto" w:before="2" w:after="0"/>
        <w:ind w:left="113" w:right="129" w:firstLine="204"/>
        <w:jc w:val="both"/>
        <w:rPr>
          <w:sz w:val="24"/>
        </w:rPr>
      </w:pPr>
      <w:r>
        <w:rPr>
          <w:w w:val="130"/>
          <w:sz w:val="24"/>
        </w:rPr>
        <w:t>a fióktelep tevékenységének felfüggesztése vagy megszüntetése milyen hatást gyakorolna az adott EGT-állam piacának likviditására és fizetési, elszámolási és kiegyenlítési rendszerére,</w:t>
      </w:r>
      <w:r>
        <w:rPr>
          <w:spacing w:val="-23"/>
          <w:w w:val="130"/>
          <w:sz w:val="24"/>
        </w:rPr>
        <w:t> </w:t>
      </w:r>
      <w:r>
        <w:rPr>
          <w:w w:val="130"/>
          <w:sz w:val="24"/>
        </w:rPr>
        <w:t>valamint</w:t>
      </w:r>
    </w:p>
    <w:p>
      <w:pPr>
        <w:pStyle w:val="ListParagraph"/>
        <w:numPr>
          <w:ilvl w:val="0"/>
          <w:numId w:val="129"/>
        </w:numPr>
        <w:tabs>
          <w:tab w:pos="674" w:val="left" w:leader="none"/>
        </w:tabs>
        <w:spacing w:line="225" w:lineRule="auto" w:before="1" w:after="0"/>
        <w:ind w:left="113" w:right="125" w:firstLine="204"/>
        <w:jc w:val="both"/>
        <w:rPr>
          <w:sz w:val="24"/>
        </w:rPr>
      </w:pPr>
      <w:r>
        <w:rPr>
          <w:w w:val="130"/>
          <w:sz w:val="24"/>
        </w:rPr>
        <w:t>az ügyfélszámot tekintve mekkora a fióktelep mérete és jelentősége az adott EGT-állam banki vagy pénzügyi</w:t>
      </w:r>
      <w:r>
        <w:rPr>
          <w:spacing w:val="-37"/>
          <w:w w:val="130"/>
          <w:sz w:val="24"/>
        </w:rPr>
        <w:t> </w:t>
      </w:r>
      <w:r>
        <w:rPr>
          <w:w w:val="130"/>
          <w:sz w:val="24"/>
        </w:rPr>
        <w:t>rendszerében.</w:t>
      </w:r>
    </w:p>
    <w:p>
      <w:pPr>
        <w:pStyle w:val="ListParagraph"/>
        <w:numPr>
          <w:ilvl w:val="0"/>
          <w:numId w:val="128"/>
        </w:numPr>
        <w:tabs>
          <w:tab w:pos="831" w:val="left" w:leader="none"/>
        </w:tabs>
        <w:spacing w:line="225" w:lineRule="auto" w:before="1" w:after="0"/>
        <w:ind w:left="113" w:right="123" w:firstLine="204"/>
        <w:jc w:val="both"/>
        <w:rPr>
          <w:sz w:val="24"/>
        </w:rPr>
      </w:pPr>
      <w:r>
        <w:rPr>
          <w:w w:val="125"/>
          <w:sz w:val="24"/>
        </w:rPr>
        <w:t>A Felügyelet intézkedik annak érdekében, hogy a másik EGT-állam illetékes felügyeleti hatóságával a rendszerszinten jelentős fiókteleppé minősítésről többoldalú eljárás keretében határozatot</w:t>
      </w:r>
      <w:r>
        <w:rPr>
          <w:spacing w:val="41"/>
          <w:w w:val="125"/>
          <w:sz w:val="24"/>
        </w:rPr>
        <w:t> </w:t>
      </w:r>
      <w:r>
        <w:rPr>
          <w:w w:val="125"/>
          <w:sz w:val="24"/>
        </w:rPr>
        <w:t>hozzanak.</w:t>
      </w:r>
    </w:p>
    <w:p>
      <w:pPr>
        <w:spacing w:after="0" w:line="225" w:lineRule="auto"/>
        <w:jc w:val="both"/>
        <w:rPr>
          <w:sz w:val="24"/>
        </w:rPr>
        <w:sectPr>
          <w:pgSz w:w="11900" w:h="16820"/>
          <w:pgMar w:header="1104" w:footer="0" w:top="1840" w:bottom="280" w:left="1020" w:right="1000"/>
        </w:sectPr>
      </w:pPr>
    </w:p>
    <w:p>
      <w:pPr>
        <w:pStyle w:val="ListParagraph"/>
        <w:numPr>
          <w:ilvl w:val="0"/>
          <w:numId w:val="128"/>
        </w:numPr>
        <w:tabs>
          <w:tab w:pos="791" w:val="left" w:leader="none"/>
        </w:tabs>
        <w:spacing w:line="225" w:lineRule="auto" w:before="173" w:after="0"/>
        <w:ind w:left="113" w:right="127" w:firstLine="204"/>
        <w:jc w:val="both"/>
        <w:rPr>
          <w:sz w:val="24"/>
        </w:rPr>
      </w:pPr>
      <w:r>
        <w:rPr>
          <w:w w:val="125"/>
          <w:sz w:val="24"/>
        </w:rPr>
        <w:t>Ha a fióktelepet Magyarországon létesítették és a kérelemről - annak kézhezvételétől számított két hónapon belül - többoldalú  eljárás  keretében  nem</w:t>
      </w:r>
      <w:r>
        <w:rPr>
          <w:spacing w:val="18"/>
          <w:w w:val="125"/>
          <w:sz w:val="24"/>
        </w:rPr>
        <w:t> </w:t>
      </w:r>
      <w:r>
        <w:rPr>
          <w:w w:val="125"/>
          <w:sz w:val="24"/>
        </w:rPr>
        <w:t>hoznak</w:t>
      </w:r>
      <w:r>
        <w:rPr>
          <w:spacing w:val="19"/>
          <w:w w:val="125"/>
          <w:sz w:val="24"/>
        </w:rPr>
        <w:t> </w:t>
      </w:r>
      <w:r>
        <w:rPr>
          <w:w w:val="125"/>
          <w:sz w:val="24"/>
        </w:rPr>
        <w:t>határozatot,</w:t>
      </w:r>
      <w:r>
        <w:rPr>
          <w:spacing w:val="18"/>
          <w:w w:val="125"/>
          <w:sz w:val="24"/>
        </w:rPr>
        <w:t> </w:t>
      </w:r>
      <w:r>
        <w:rPr>
          <w:w w:val="125"/>
          <w:sz w:val="24"/>
        </w:rPr>
        <w:t>akkor</w:t>
      </w:r>
      <w:r>
        <w:rPr>
          <w:spacing w:val="19"/>
          <w:w w:val="125"/>
          <w:sz w:val="24"/>
        </w:rPr>
        <w:t> </w:t>
      </w:r>
      <w:r>
        <w:rPr>
          <w:w w:val="125"/>
          <w:sz w:val="24"/>
        </w:rPr>
        <w:t>a</w:t>
      </w:r>
      <w:r>
        <w:rPr>
          <w:spacing w:val="18"/>
          <w:w w:val="125"/>
          <w:sz w:val="24"/>
        </w:rPr>
        <w:t> </w:t>
      </w:r>
      <w:r>
        <w:rPr>
          <w:w w:val="125"/>
          <w:sz w:val="24"/>
        </w:rPr>
        <w:t>Felügyelet</w:t>
      </w:r>
      <w:r>
        <w:rPr>
          <w:spacing w:val="18"/>
          <w:w w:val="125"/>
          <w:sz w:val="24"/>
        </w:rPr>
        <w:t> </w:t>
      </w:r>
      <w:r>
        <w:rPr>
          <w:w w:val="125"/>
          <w:sz w:val="24"/>
        </w:rPr>
        <w:t>újabb</w:t>
      </w:r>
      <w:r>
        <w:rPr>
          <w:spacing w:val="18"/>
          <w:w w:val="125"/>
          <w:sz w:val="24"/>
        </w:rPr>
        <w:t> </w:t>
      </w:r>
      <w:r>
        <w:rPr>
          <w:w w:val="125"/>
          <w:sz w:val="24"/>
        </w:rPr>
        <w:t>két</w:t>
      </w:r>
      <w:r>
        <w:rPr>
          <w:spacing w:val="18"/>
          <w:w w:val="125"/>
          <w:sz w:val="24"/>
        </w:rPr>
        <w:t> </w:t>
      </w:r>
      <w:r>
        <w:rPr>
          <w:w w:val="125"/>
          <w:sz w:val="24"/>
        </w:rPr>
        <w:t>hónapos</w:t>
      </w:r>
      <w:r>
        <w:rPr>
          <w:spacing w:val="18"/>
          <w:w w:val="125"/>
          <w:sz w:val="24"/>
        </w:rPr>
        <w:t> </w:t>
      </w:r>
      <w:r>
        <w:rPr>
          <w:w w:val="125"/>
          <w:sz w:val="24"/>
        </w:rPr>
        <w:t>határidőn</w:t>
      </w:r>
      <w:r>
        <w:rPr>
          <w:spacing w:val="19"/>
          <w:w w:val="125"/>
          <w:sz w:val="24"/>
        </w:rPr>
        <w:t> </w:t>
      </w:r>
      <w:r>
        <w:rPr>
          <w:w w:val="125"/>
          <w:sz w:val="24"/>
        </w:rPr>
        <w:t>belül</w:t>
      </w:r>
    </w:p>
    <w:p>
      <w:pPr>
        <w:pStyle w:val="ListParagraph"/>
        <w:numPr>
          <w:ilvl w:val="0"/>
          <w:numId w:val="6"/>
        </w:numPr>
        <w:tabs>
          <w:tab w:pos="283" w:val="left" w:leader="none"/>
        </w:tabs>
        <w:spacing w:line="225" w:lineRule="auto" w:before="1" w:after="0"/>
        <w:ind w:left="113" w:right="124" w:firstLine="0"/>
        <w:jc w:val="both"/>
        <w:rPr>
          <w:sz w:val="24"/>
        </w:rPr>
      </w:pPr>
      <w:r>
        <w:rPr>
          <w:w w:val="125"/>
          <w:sz w:val="24"/>
        </w:rPr>
        <w:t>az eljárásban részt vevő másik EGT-állam illetékes felügyeleti hatóságának a többoldalú eljárás során adott véleményére és fenntartásaira figyelemmel - egyedül határozhat arról, hogy a fióktelep rendszerszinten  jelentősnek  minősül.</w:t>
      </w:r>
    </w:p>
    <w:p>
      <w:pPr>
        <w:pStyle w:val="ListParagraph"/>
        <w:numPr>
          <w:ilvl w:val="0"/>
          <w:numId w:val="128"/>
        </w:numPr>
        <w:tabs>
          <w:tab w:pos="779" w:val="left" w:leader="none"/>
        </w:tabs>
        <w:spacing w:line="225" w:lineRule="auto" w:before="3" w:after="0"/>
        <w:ind w:left="113" w:right="130" w:firstLine="204"/>
        <w:jc w:val="both"/>
        <w:rPr>
          <w:sz w:val="24"/>
        </w:rPr>
      </w:pPr>
      <w:r>
        <w:rPr>
          <w:w w:val="125"/>
          <w:sz w:val="24"/>
        </w:rPr>
        <w:t>A Felügyelet az (5) bekezdés szerinti határozatát közli a többi érintett EGT-állam illetékes felügyeleti</w:t>
      </w:r>
      <w:r>
        <w:rPr>
          <w:spacing w:val="-2"/>
          <w:w w:val="125"/>
          <w:sz w:val="24"/>
        </w:rPr>
        <w:t> </w:t>
      </w:r>
      <w:r>
        <w:rPr>
          <w:w w:val="125"/>
          <w:sz w:val="24"/>
        </w:rPr>
        <w:t>hatóságával.</w:t>
      </w:r>
    </w:p>
    <w:p>
      <w:pPr>
        <w:pStyle w:val="ListParagraph"/>
        <w:numPr>
          <w:ilvl w:val="0"/>
          <w:numId w:val="128"/>
        </w:numPr>
        <w:tabs>
          <w:tab w:pos="792" w:val="left" w:leader="none"/>
        </w:tabs>
        <w:spacing w:line="225" w:lineRule="auto" w:before="1" w:after="0"/>
        <w:ind w:left="113" w:right="121" w:firstLine="204"/>
        <w:jc w:val="both"/>
        <w:rPr>
          <w:sz w:val="24"/>
        </w:rPr>
      </w:pPr>
      <w:r>
        <w:rPr>
          <w:w w:val="125"/>
          <w:sz w:val="24"/>
        </w:rPr>
        <w:t>A (4) bekezdés szerinti közös határozat, valamint - ha a fióktelepet a másik EGT-államban létesítették - a másik EGT-állam illetékes felügyeleti hatósága által fióktelepet rendszerszinten jelentősnek minősítő határozat Magyarországon közvetlenül alkalmazandó és</w:t>
      </w:r>
      <w:r>
        <w:rPr>
          <w:spacing w:val="7"/>
          <w:w w:val="125"/>
          <w:sz w:val="24"/>
        </w:rPr>
        <w:t> </w:t>
      </w:r>
      <w:r>
        <w:rPr>
          <w:w w:val="125"/>
          <w:sz w:val="24"/>
        </w:rPr>
        <w:t>végrehajtható.</w:t>
      </w:r>
    </w:p>
    <w:p>
      <w:pPr>
        <w:pStyle w:val="ListParagraph"/>
        <w:numPr>
          <w:ilvl w:val="0"/>
          <w:numId w:val="100"/>
        </w:numPr>
        <w:tabs>
          <w:tab w:pos="836" w:val="left" w:leader="none"/>
        </w:tabs>
        <w:spacing w:line="225" w:lineRule="auto" w:before="1" w:after="0"/>
        <w:ind w:left="113" w:right="127" w:firstLine="204"/>
        <w:jc w:val="both"/>
        <w:rPr>
          <w:sz w:val="24"/>
        </w:rPr>
      </w:pPr>
      <w:r>
        <w:rPr>
          <w:rFonts w:ascii="Arial" w:hAnsi="Arial"/>
          <w:b/>
          <w:w w:val="125"/>
          <w:sz w:val="24"/>
        </w:rPr>
        <w:t>§ </w:t>
      </w:r>
      <w:r>
        <w:rPr>
          <w:w w:val="125"/>
          <w:sz w:val="24"/>
        </w:rPr>
        <w:t>Ha egy magyarországi székhelyű hitelintézet egy másik EGT-államban rendszerszinten jelentős fióktelepet létesített, a Felügyelet értesíti a másik EGT-állam illetékes felügyeleti hatóságát,</w:t>
      </w:r>
      <w:r>
        <w:rPr>
          <w:spacing w:val="1"/>
          <w:w w:val="125"/>
          <w:sz w:val="24"/>
        </w:rPr>
        <w:t> </w:t>
      </w:r>
      <w:r>
        <w:rPr>
          <w:w w:val="125"/>
          <w:sz w:val="24"/>
        </w:rPr>
        <w:t>ha</w:t>
      </w:r>
    </w:p>
    <w:p>
      <w:pPr>
        <w:pStyle w:val="ListParagraph"/>
        <w:numPr>
          <w:ilvl w:val="0"/>
          <w:numId w:val="130"/>
        </w:numPr>
        <w:tabs>
          <w:tab w:pos="740" w:val="left" w:leader="none"/>
        </w:tabs>
        <w:spacing w:line="225" w:lineRule="auto" w:before="2" w:after="0"/>
        <w:ind w:left="113" w:right="127" w:firstLine="204"/>
        <w:jc w:val="both"/>
        <w:rPr>
          <w:sz w:val="24"/>
        </w:rPr>
      </w:pPr>
      <w:r>
        <w:rPr>
          <w:w w:val="125"/>
          <w:sz w:val="24"/>
        </w:rPr>
        <w:t>a hitelintézetnél vagy olyan vállalkozásnál, amelyre a hitelintézettel együttesen kiterjed az összevont alapú felügyelet, információt szerez olyan kedvezőtlen fejlemény bekövetkezéséről, amely súlyosan érintheti a hitelintézetet,</w:t>
      </w:r>
      <w:r>
        <w:rPr>
          <w:spacing w:val="1"/>
          <w:w w:val="125"/>
          <w:sz w:val="24"/>
        </w:rPr>
        <w:t> </w:t>
      </w:r>
      <w:r>
        <w:rPr>
          <w:w w:val="125"/>
          <w:sz w:val="24"/>
        </w:rPr>
        <w:t>vagy</w:t>
      </w:r>
    </w:p>
    <w:p>
      <w:pPr>
        <w:pStyle w:val="ListParagraph"/>
        <w:numPr>
          <w:ilvl w:val="0"/>
          <w:numId w:val="130"/>
        </w:numPr>
        <w:tabs>
          <w:tab w:pos="653" w:val="left" w:leader="none"/>
        </w:tabs>
        <w:spacing w:line="265" w:lineRule="exact" w:before="0" w:after="0"/>
        <w:ind w:left="652" w:right="0" w:hanging="335"/>
        <w:jc w:val="left"/>
        <w:rPr>
          <w:sz w:val="24"/>
        </w:rPr>
      </w:pPr>
      <w:r>
        <w:rPr>
          <w:w w:val="130"/>
          <w:sz w:val="24"/>
        </w:rPr>
        <w:t>a hitelintézettel szemben kivételes intézkedést</w:t>
      </w:r>
      <w:r>
        <w:rPr>
          <w:spacing w:val="-45"/>
          <w:w w:val="130"/>
          <w:sz w:val="24"/>
        </w:rPr>
        <w:t> </w:t>
      </w:r>
      <w:r>
        <w:rPr>
          <w:w w:val="130"/>
          <w:sz w:val="24"/>
        </w:rPr>
        <w:t>alkalmazott.</w:t>
      </w:r>
    </w:p>
    <w:p>
      <w:pPr>
        <w:pStyle w:val="BodyText"/>
        <w:spacing w:before="224"/>
        <w:ind w:left="1583" w:firstLine="0"/>
      </w:pPr>
      <w:r>
        <w:rPr>
          <w:w w:val="130"/>
        </w:rPr>
        <w:t>21. Határon átnyúló szolgáltatás nyújtásának szabályai</w:t>
      </w:r>
    </w:p>
    <w:p>
      <w:pPr>
        <w:pStyle w:val="ListParagraph"/>
        <w:numPr>
          <w:ilvl w:val="0"/>
          <w:numId w:val="100"/>
        </w:numPr>
        <w:tabs>
          <w:tab w:pos="836" w:val="left" w:leader="none"/>
        </w:tabs>
        <w:spacing w:line="225" w:lineRule="auto" w:before="236" w:after="0"/>
        <w:ind w:left="113" w:right="121" w:firstLine="204"/>
        <w:jc w:val="both"/>
        <w:rPr>
          <w:sz w:val="24"/>
        </w:rPr>
      </w:pPr>
      <w:r>
        <w:rPr>
          <w:rFonts w:ascii="Arial" w:hAnsi="Arial"/>
          <w:b/>
          <w:w w:val="125"/>
          <w:sz w:val="24"/>
        </w:rPr>
        <w:t>§ </w:t>
      </w:r>
      <w:r>
        <w:rPr>
          <w:w w:val="125"/>
          <w:sz w:val="24"/>
        </w:rPr>
        <w:t>(1) Ha határon átnyúló szolgáltatásként első ízben kíván a hitelintézet pénzügyi szolgáltatást vagy kiegészítő pénzügyi szolgáltatást nyújtani egy másik EGT-államban, akkor a Felügyeletnek előzetesen bejelenti a másik EGT-államban végezni kívánt</w:t>
      </w:r>
      <w:r>
        <w:rPr>
          <w:spacing w:val="-2"/>
          <w:w w:val="125"/>
          <w:sz w:val="24"/>
        </w:rPr>
        <w:t> </w:t>
      </w:r>
      <w:r>
        <w:rPr>
          <w:w w:val="125"/>
          <w:sz w:val="24"/>
        </w:rPr>
        <w:t>tevékenységet.</w:t>
      </w:r>
    </w:p>
    <w:p>
      <w:pPr>
        <w:pStyle w:val="ListParagraph"/>
        <w:numPr>
          <w:ilvl w:val="0"/>
          <w:numId w:val="131"/>
        </w:numPr>
        <w:tabs>
          <w:tab w:pos="739" w:val="left" w:leader="none"/>
        </w:tabs>
        <w:spacing w:line="225" w:lineRule="auto" w:before="3" w:after="0"/>
        <w:ind w:left="113" w:right="112" w:firstLine="204"/>
        <w:jc w:val="both"/>
        <w:rPr>
          <w:sz w:val="24"/>
        </w:rPr>
      </w:pPr>
      <w:r>
        <w:rPr>
          <w:w w:val="125"/>
          <w:sz w:val="24"/>
        </w:rPr>
        <w:t>A Felügyelet az (1) bekezdés szerinti bejelentés kézhezvételétől számított egy hónapon belül tájékoztatja a másik EGT-állam illetékes felügyeleti hatóságát a hitelintézet által tervezett szolgáltatás nyújtásáról. A tájékoztatást egyidejűleg közli a bejelentő hitelintézettel</w:t>
      </w:r>
      <w:r>
        <w:rPr>
          <w:spacing w:val="5"/>
          <w:w w:val="125"/>
          <w:sz w:val="24"/>
        </w:rPr>
        <w:t> </w:t>
      </w:r>
      <w:r>
        <w:rPr>
          <w:w w:val="125"/>
          <w:sz w:val="24"/>
        </w:rPr>
        <w:t>is.</w:t>
      </w:r>
    </w:p>
    <w:p>
      <w:pPr>
        <w:pStyle w:val="ListParagraph"/>
        <w:numPr>
          <w:ilvl w:val="0"/>
          <w:numId w:val="131"/>
        </w:numPr>
        <w:tabs>
          <w:tab w:pos="826" w:val="left" w:leader="none"/>
        </w:tabs>
        <w:spacing w:line="225" w:lineRule="auto" w:before="2" w:after="0"/>
        <w:ind w:left="113" w:right="127" w:firstLine="204"/>
        <w:jc w:val="both"/>
        <w:rPr>
          <w:sz w:val="24"/>
        </w:rPr>
      </w:pPr>
      <w:r>
        <w:rPr>
          <w:w w:val="125"/>
          <w:sz w:val="24"/>
        </w:rPr>
        <w:t>A hitelintézet a szolgáltatás nyújtását a Felügyelet tájékoztatásának kézhezvételét követően kezdheti meg a másik</w:t>
      </w:r>
      <w:r>
        <w:rPr>
          <w:spacing w:val="-4"/>
          <w:w w:val="125"/>
          <w:sz w:val="24"/>
        </w:rPr>
        <w:t> </w:t>
      </w:r>
      <w:r>
        <w:rPr>
          <w:w w:val="125"/>
          <w:sz w:val="24"/>
        </w:rPr>
        <w:t>EGT-államban.</w:t>
      </w:r>
    </w:p>
    <w:p>
      <w:pPr>
        <w:pStyle w:val="ListParagraph"/>
        <w:numPr>
          <w:ilvl w:val="0"/>
          <w:numId w:val="100"/>
        </w:numPr>
        <w:tabs>
          <w:tab w:pos="910" w:val="left" w:leader="none"/>
        </w:tabs>
        <w:spacing w:line="225" w:lineRule="auto" w:before="0" w:after="0"/>
        <w:ind w:left="113" w:right="128" w:firstLine="204"/>
        <w:jc w:val="both"/>
        <w:rPr>
          <w:sz w:val="24"/>
        </w:rPr>
      </w:pPr>
      <w:r>
        <w:rPr>
          <w:rFonts w:ascii="Arial" w:hAnsi="Arial"/>
          <w:b/>
          <w:w w:val="125"/>
          <w:sz w:val="24"/>
        </w:rPr>
        <w:t>§ </w:t>
      </w:r>
      <w:r>
        <w:rPr>
          <w:w w:val="125"/>
          <w:sz w:val="24"/>
        </w:rPr>
        <w:t>(1) A pénzügyi vállalkozás határon átnyúló szolgáltatást a másik EGT-államban abban az esetben nyújthat, ha megfelel a 15. §  (4)  bekezdésében meghatározott</w:t>
      </w:r>
      <w:r>
        <w:rPr>
          <w:spacing w:val="5"/>
          <w:w w:val="125"/>
          <w:sz w:val="24"/>
        </w:rPr>
        <w:t> </w:t>
      </w:r>
      <w:r>
        <w:rPr>
          <w:w w:val="125"/>
          <w:sz w:val="24"/>
        </w:rPr>
        <w:t>feltételeknek.</w:t>
      </w:r>
    </w:p>
    <w:p>
      <w:pPr>
        <w:pStyle w:val="ListParagraph"/>
        <w:numPr>
          <w:ilvl w:val="0"/>
          <w:numId w:val="132"/>
        </w:numPr>
        <w:tabs>
          <w:tab w:pos="768" w:val="left" w:leader="none"/>
        </w:tabs>
        <w:spacing w:line="225" w:lineRule="auto" w:before="2" w:after="0"/>
        <w:ind w:left="113" w:right="129" w:firstLine="204"/>
        <w:jc w:val="both"/>
        <w:rPr>
          <w:sz w:val="24"/>
        </w:rPr>
      </w:pPr>
      <w:r>
        <w:rPr>
          <w:w w:val="130"/>
          <w:sz w:val="24"/>
        </w:rPr>
        <w:t>Ha határon átnyúló szolgáltatásnyújtásként első ízben kíván a pénzügyi vállalkozás pénzügyi szolgáltatást, vagy kiegészítő pénzügyi szolgáltatást nyújtani</w:t>
      </w:r>
      <w:r>
        <w:rPr>
          <w:spacing w:val="-12"/>
          <w:w w:val="130"/>
          <w:sz w:val="24"/>
        </w:rPr>
        <w:t> </w:t>
      </w:r>
      <w:r>
        <w:rPr>
          <w:w w:val="130"/>
          <w:sz w:val="24"/>
        </w:rPr>
        <w:t>a</w:t>
      </w:r>
      <w:r>
        <w:rPr>
          <w:spacing w:val="-11"/>
          <w:w w:val="130"/>
          <w:sz w:val="24"/>
        </w:rPr>
        <w:t> </w:t>
      </w:r>
      <w:r>
        <w:rPr>
          <w:w w:val="130"/>
          <w:sz w:val="24"/>
        </w:rPr>
        <w:t>másik</w:t>
      </w:r>
      <w:r>
        <w:rPr>
          <w:spacing w:val="-11"/>
          <w:w w:val="130"/>
          <w:sz w:val="24"/>
        </w:rPr>
        <w:t> </w:t>
      </w:r>
      <w:r>
        <w:rPr>
          <w:w w:val="130"/>
          <w:sz w:val="24"/>
        </w:rPr>
        <w:t>EGT-államban,</w:t>
      </w:r>
      <w:r>
        <w:rPr>
          <w:spacing w:val="-12"/>
          <w:w w:val="130"/>
          <w:sz w:val="24"/>
        </w:rPr>
        <w:t> </w:t>
      </w:r>
      <w:r>
        <w:rPr>
          <w:w w:val="130"/>
          <w:sz w:val="24"/>
        </w:rPr>
        <w:t>előzetesen</w:t>
      </w:r>
      <w:r>
        <w:rPr>
          <w:spacing w:val="-11"/>
          <w:w w:val="130"/>
          <w:sz w:val="24"/>
        </w:rPr>
        <w:t> </w:t>
      </w:r>
      <w:r>
        <w:rPr>
          <w:w w:val="130"/>
          <w:sz w:val="24"/>
        </w:rPr>
        <w:t>bejelenti</w:t>
      </w:r>
      <w:r>
        <w:rPr>
          <w:spacing w:val="-11"/>
          <w:w w:val="130"/>
          <w:sz w:val="24"/>
        </w:rPr>
        <w:t> </w:t>
      </w:r>
      <w:r>
        <w:rPr>
          <w:w w:val="130"/>
          <w:sz w:val="24"/>
        </w:rPr>
        <w:t>a</w:t>
      </w:r>
      <w:r>
        <w:rPr>
          <w:spacing w:val="-11"/>
          <w:w w:val="130"/>
          <w:sz w:val="24"/>
        </w:rPr>
        <w:t> </w:t>
      </w:r>
      <w:r>
        <w:rPr>
          <w:w w:val="130"/>
          <w:sz w:val="24"/>
        </w:rPr>
        <w:t>Felügyeletnek</w:t>
      </w:r>
      <w:r>
        <w:rPr>
          <w:spacing w:val="-12"/>
          <w:w w:val="130"/>
          <w:sz w:val="24"/>
        </w:rPr>
        <w:t> </w:t>
      </w:r>
      <w:r>
        <w:rPr>
          <w:w w:val="130"/>
          <w:sz w:val="24"/>
        </w:rPr>
        <w:t>a</w:t>
      </w:r>
      <w:r>
        <w:rPr>
          <w:spacing w:val="-11"/>
          <w:w w:val="130"/>
          <w:sz w:val="24"/>
        </w:rPr>
        <w:t> </w:t>
      </w:r>
      <w:r>
        <w:rPr>
          <w:w w:val="130"/>
          <w:sz w:val="24"/>
        </w:rPr>
        <w:t>másik EGT-államban nyújtani kívánt</w:t>
      </w:r>
      <w:r>
        <w:rPr>
          <w:spacing w:val="-23"/>
          <w:w w:val="130"/>
          <w:sz w:val="24"/>
        </w:rPr>
        <w:t> </w:t>
      </w:r>
      <w:r>
        <w:rPr>
          <w:w w:val="130"/>
          <w:sz w:val="24"/>
        </w:rPr>
        <w:t>szolgáltatásokat.</w:t>
      </w:r>
    </w:p>
    <w:p>
      <w:pPr>
        <w:pStyle w:val="ListParagraph"/>
        <w:numPr>
          <w:ilvl w:val="0"/>
          <w:numId w:val="132"/>
        </w:numPr>
        <w:tabs>
          <w:tab w:pos="753" w:val="left" w:leader="none"/>
        </w:tabs>
        <w:spacing w:line="225" w:lineRule="auto" w:before="2" w:after="0"/>
        <w:ind w:left="113" w:right="113" w:firstLine="204"/>
        <w:jc w:val="both"/>
        <w:rPr>
          <w:sz w:val="24"/>
        </w:rPr>
      </w:pPr>
      <w:r>
        <w:rPr>
          <w:w w:val="125"/>
          <w:sz w:val="24"/>
        </w:rPr>
        <w:t>A Felügyelet a (2) bekezdés szerinti bejelentés kézhezvételétől számított egy hónapon belül tájékoztatja a másik EGT-állam illetékes felügyeleti hatóságát a pénzügyi vállalkozás tervezett tevékenységéről. A Felügyelet a tájékoztatást egyidejűleg közli a bejelentő pénzügyi vállalkozással</w:t>
      </w:r>
      <w:r>
        <w:rPr>
          <w:spacing w:val="7"/>
          <w:w w:val="125"/>
          <w:sz w:val="24"/>
        </w:rPr>
        <w:t> </w:t>
      </w:r>
      <w:r>
        <w:rPr>
          <w:w w:val="125"/>
          <w:sz w:val="24"/>
        </w:rPr>
        <w:t>is.</w:t>
      </w:r>
    </w:p>
    <w:p>
      <w:pPr>
        <w:pStyle w:val="ListParagraph"/>
        <w:numPr>
          <w:ilvl w:val="0"/>
          <w:numId w:val="132"/>
        </w:numPr>
        <w:tabs>
          <w:tab w:pos="846" w:val="left" w:leader="none"/>
        </w:tabs>
        <w:spacing w:line="225" w:lineRule="auto" w:before="2" w:after="0"/>
        <w:ind w:left="113" w:right="135" w:firstLine="204"/>
        <w:jc w:val="both"/>
        <w:rPr>
          <w:sz w:val="24"/>
        </w:rPr>
      </w:pPr>
      <w:r>
        <w:rPr>
          <w:w w:val="125"/>
          <w:sz w:val="24"/>
        </w:rPr>
        <w:t>A Felügyelet a tájékoztatáshoz mellékeli az igazolását a 15. § (4) bekezdésében foglalt feltételek</w:t>
      </w:r>
      <w:r>
        <w:rPr>
          <w:spacing w:val="7"/>
          <w:w w:val="125"/>
          <w:sz w:val="24"/>
        </w:rPr>
        <w:t> </w:t>
      </w:r>
      <w:r>
        <w:rPr>
          <w:w w:val="125"/>
          <w:sz w:val="24"/>
        </w:rPr>
        <w:t>fennállásáról.</w:t>
      </w:r>
    </w:p>
    <w:p>
      <w:pPr>
        <w:pStyle w:val="ListParagraph"/>
        <w:numPr>
          <w:ilvl w:val="0"/>
          <w:numId w:val="132"/>
        </w:numPr>
        <w:tabs>
          <w:tab w:pos="805" w:val="left" w:leader="none"/>
        </w:tabs>
        <w:spacing w:line="225" w:lineRule="auto" w:before="2" w:after="0"/>
        <w:ind w:left="113" w:right="133" w:firstLine="204"/>
        <w:jc w:val="both"/>
        <w:rPr>
          <w:sz w:val="24"/>
        </w:rPr>
      </w:pPr>
      <w:r>
        <w:rPr>
          <w:w w:val="125"/>
          <w:sz w:val="24"/>
        </w:rPr>
        <w:t>A pénzügyi vállalkozás a szolgáltatását a Felügyelet tájékoztatásának kézhezvételét követően kezdheti meg a másik</w:t>
      </w:r>
      <w:r>
        <w:rPr>
          <w:spacing w:val="-4"/>
          <w:w w:val="125"/>
          <w:sz w:val="24"/>
        </w:rPr>
        <w:t> </w:t>
      </w:r>
      <w:r>
        <w:rPr>
          <w:w w:val="125"/>
          <w:sz w:val="24"/>
        </w:rPr>
        <w:t>EGT-államban.</w:t>
      </w:r>
    </w:p>
    <w:p>
      <w:pPr>
        <w:spacing w:after="0" w:line="225" w:lineRule="auto"/>
        <w:jc w:val="both"/>
        <w:rPr>
          <w:sz w:val="24"/>
        </w:rPr>
        <w:sectPr>
          <w:pgSz w:w="11900" w:h="16820"/>
          <w:pgMar w:header="1104" w:footer="0" w:top="1840" w:bottom="280" w:left="1020" w:right="1000"/>
        </w:sectPr>
      </w:pPr>
    </w:p>
    <w:p>
      <w:pPr>
        <w:pStyle w:val="ListParagraph"/>
        <w:numPr>
          <w:ilvl w:val="0"/>
          <w:numId w:val="132"/>
        </w:numPr>
        <w:tabs>
          <w:tab w:pos="766" w:val="left" w:leader="none"/>
        </w:tabs>
        <w:spacing w:line="225" w:lineRule="auto" w:before="173" w:after="0"/>
        <w:ind w:left="113" w:right="128" w:firstLine="204"/>
        <w:jc w:val="both"/>
        <w:rPr>
          <w:sz w:val="24"/>
        </w:rPr>
      </w:pPr>
      <w:r>
        <w:rPr>
          <w:w w:val="130"/>
          <w:sz w:val="24"/>
        </w:rPr>
        <w:t>Ha a pénzügyi vállalkozás már nem felel meg a 15. § (4) bekezdésében meghatározott feltételeknek, akkor a Felügyelet értesíti azon EGT-állam illetékes felügyeleti hatóságát, ahol a pénzügyi vállalkozás határon átnyúló szolgáltatást</w:t>
      </w:r>
      <w:r>
        <w:rPr>
          <w:spacing w:val="-3"/>
          <w:w w:val="130"/>
          <w:sz w:val="24"/>
        </w:rPr>
        <w:t> </w:t>
      </w:r>
      <w:r>
        <w:rPr>
          <w:w w:val="130"/>
          <w:sz w:val="24"/>
        </w:rPr>
        <w:t>nyújt.</w:t>
      </w:r>
    </w:p>
    <w:p>
      <w:pPr>
        <w:pStyle w:val="ListParagraph"/>
        <w:numPr>
          <w:ilvl w:val="0"/>
          <w:numId w:val="132"/>
        </w:numPr>
        <w:tabs>
          <w:tab w:pos="888" w:val="left" w:leader="none"/>
        </w:tabs>
        <w:spacing w:line="225" w:lineRule="auto" w:before="2" w:after="0"/>
        <w:ind w:left="113" w:right="129" w:firstLine="204"/>
        <w:jc w:val="both"/>
        <w:rPr>
          <w:sz w:val="24"/>
        </w:rPr>
      </w:pPr>
      <w:r>
        <w:rPr>
          <w:w w:val="125"/>
          <w:sz w:val="24"/>
        </w:rPr>
        <w:t>Ha a Felügyelet a (3) bekezdés szerinti tájékoztatás elküldését megtagadja, ezt a bejelentés kézhezvételétől számított legkésőbb egy hónapon belül határozatban közli a bejelentő pénzügyi vállalkozással. A Felügyelet kizárólag</w:t>
      </w:r>
      <w:r>
        <w:rPr>
          <w:spacing w:val="32"/>
          <w:w w:val="125"/>
          <w:sz w:val="24"/>
        </w:rPr>
        <w:t> </w:t>
      </w:r>
      <w:r>
        <w:rPr>
          <w:w w:val="125"/>
          <w:sz w:val="24"/>
        </w:rPr>
        <w:t>abban</w:t>
      </w:r>
      <w:r>
        <w:rPr>
          <w:spacing w:val="33"/>
          <w:w w:val="125"/>
          <w:sz w:val="24"/>
        </w:rPr>
        <w:t> </w:t>
      </w:r>
      <w:r>
        <w:rPr>
          <w:w w:val="125"/>
          <w:sz w:val="24"/>
        </w:rPr>
        <w:t>az</w:t>
      </w:r>
      <w:r>
        <w:rPr>
          <w:spacing w:val="33"/>
          <w:w w:val="125"/>
          <w:sz w:val="24"/>
        </w:rPr>
        <w:t> </w:t>
      </w:r>
      <w:r>
        <w:rPr>
          <w:w w:val="125"/>
          <w:sz w:val="24"/>
        </w:rPr>
        <w:t>esetben</w:t>
      </w:r>
      <w:r>
        <w:rPr>
          <w:spacing w:val="33"/>
          <w:w w:val="125"/>
          <w:sz w:val="24"/>
        </w:rPr>
        <w:t> </w:t>
      </w:r>
      <w:r>
        <w:rPr>
          <w:w w:val="125"/>
          <w:sz w:val="24"/>
        </w:rPr>
        <w:t>tagadhatja</w:t>
      </w:r>
      <w:r>
        <w:rPr>
          <w:spacing w:val="33"/>
          <w:w w:val="125"/>
          <w:sz w:val="24"/>
        </w:rPr>
        <w:t> </w:t>
      </w:r>
      <w:r>
        <w:rPr>
          <w:w w:val="125"/>
          <w:sz w:val="24"/>
        </w:rPr>
        <w:t>meg</w:t>
      </w:r>
      <w:r>
        <w:rPr>
          <w:spacing w:val="33"/>
          <w:w w:val="125"/>
          <w:sz w:val="24"/>
        </w:rPr>
        <w:t> </w:t>
      </w:r>
      <w:r>
        <w:rPr>
          <w:w w:val="125"/>
          <w:sz w:val="24"/>
        </w:rPr>
        <w:t>a</w:t>
      </w:r>
      <w:r>
        <w:rPr>
          <w:spacing w:val="54"/>
          <w:w w:val="125"/>
          <w:sz w:val="24"/>
        </w:rPr>
        <w:t> </w:t>
      </w:r>
      <w:r>
        <w:rPr>
          <w:w w:val="125"/>
          <w:sz w:val="24"/>
        </w:rPr>
        <w:t>tájékoztatás</w:t>
      </w:r>
      <w:r>
        <w:rPr>
          <w:spacing w:val="32"/>
          <w:w w:val="125"/>
          <w:sz w:val="24"/>
        </w:rPr>
        <w:t> </w:t>
      </w:r>
      <w:r>
        <w:rPr>
          <w:w w:val="125"/>
          <w:sz w:val="24"/>
        </w:rPr>
        <w:t>elküldését,</w:t>
      </w:r>
      <w:r>
        <w:rPr>
          <w:spacing w:val="13"/>
          <w:w w:val="125"/>
          <w:sz w:val="24"/>
        </w:rPr>
        <w:t> </w:t>
      </w:r>
      <w:r>
        <w:rPr>
          <w:w w:val="125"/>
          <w:sz w:val="24"/>
        </w:rPr>
        <w:t>ha</w:t>
      </w:r>
      <w:r>
        <w:rPr>
          <w:spacing w:val="38"/>
          <w:w w:val="125"/>
          <w:sz w:val="24"/>
        </w:rPr>
        <w:t> </w:t>
      </w:r>
      <w:r>
        <w:rPr>
          <w:w w:val="125"/>
          <w:sz w:val="24"/>
        </w:rPr>
        <w:t>a</w:t>
      </w:r>
      <w:r>
        <w:rPr>
          <w:spacing w:val="28"/>
          <w:w w:val="125"/>
          <w:sz w:val="24"/>
        </w:rPr>
        <w:t> </w:t>
      </w:r>
      <w:r>
        <w:rPr>
          <w:w w:val="125"/>
          <w:sz w:val="24"/>
        </w:rPr>
        <w:t>15.</w:t>
      </w:r>
    </w:p>
    <w:p>
      <w:pPr>
        <w:pStyle w:val="BodyText"/>
        <w:spacing w:line="256" w:lineRule="exact"/>
        <w:ind w:firstLine="0"/>
      </w:pPr>
      <w:r>
        <w:rPr>
          <w:w w:val="125"/>
        </w:rPr>
        <w:t>§ (4) bekezdésében meghatározott feltételek nem állnak fenn.</w:t>
      </w:r>
    </w:p>
    <w:p>
      <w:pPr>
        <w:pStyle w:val="BodyText"/>
        <w:spacing w:line="225" w:lineRule="auto" w:before="5"/>
        <w:ind w:right="130"/>
        <w:jc w:val="both"/>
      </w:pPr>
      <w:r>
        <w:rPr>
          <w:rFonts w:ascii="Arial" w:hAnsi="Arial"/>
          <w:b/>
          <w:w w:val="130"/>
        </w:rPr>
        <w:t>41/A.</w:t>
      </w:r>
      <w:r>
        <w:rPr>
          <w:rFonts w:ascii="Arial" w:hAnsi="Arial"/>
          <w:b/>
          <w:spacing w:val="-29"/>
          <w:w w:val="130"/>
        </w:rPr>
        <w:t> </w:t>
      </w:r>
      <w:r>
        <w:rPr>
          <w:rFonts w:ascii="Arial" w:hAnsi="Arial"/>
          <w:b/>
          <w:w w:val="130"/>
        </w:rPr>
        <w:t>§</w:t>
      </w:r>
      <w:r>
        <w:rPr>
          <w:i/>
          <w:w w:val="130"/>
          <w:position w:val="3"/>
          <w:sz w:val="18"/>
        </w:rPr>
        <w:t>1 </w:t>
      </w:r>
      <w:r>
        <w:rPr>
          <w:w w:val="130"/>
        </w:rPr>
        <w:t>(1)</w:t>
      </w:r>
      <w:r>
        <w:rPr>
          <w:spacing w:val="-24"/>
          <w:w w:val="130"/>
        </w:rPr>
        <w:t> </w:t>
      </w:r>
      <w:r>
        <w:rPr>
          <w:w w:val="130"/>
        </w:rPr>
        <w:t>Ha</w:t>
      </w:r>
      <w:r>
        <w:rPr>
          <w:spacing w:val="-24"/>
          <w:w w:val="130"/>
        </w:rPr>
        <w:t> </w:t>
      </w:r>
      <w:r>
        <w:rPr>
          <w:w w:val="130"/>
        </w:rPr>
        <w:t>határon</w:t>
      </w:r>
      <w:r>
        <w:rPr>
          <w:spacing w:val="-13"/>
          <w:w w:val="130"/>
        </w:rPr>
        <w:t> </w:t>
      </w:r>
      <w:r>
        <w:rPr>
          <w:w w:val="130"/>
        </w:rPr>
        <w:t>átnyúló</w:t>
      </w:r>
      <w:r>
        <w:rPr>
          <w:spacing w:val="-35"/>
          <w:w w:val="130"/>
        </w:rPr>
        <w:t> </w:t>
      </w:r>
      <w:r>
        <w:rPr>
          <w:w w:val="130"/>
        </w:rPr>
        <w:t>szolgáltatásként</w:t>
      </w:r>
      <w:r>
        <w:rPr>
          <w:spacing w:val="-24"/>
          <w:w w:val="130"/>
        </w:rPr>
        <w:t> </w:t>
      </w:r>
      <w:r>
        <w:rPr>
          <w:w w:val="130"/>
        </w:rPr>
        <w:t>első</w:t>
      </w:r>
      <w:r>
        <w:rPr>
          <w:spacing w:val="-25"/>
          <w:w w:val="130"/>
        </w:rPr>
        <w:t> </w:t>
      </w:r>
      <w:r>
        <w:rPr>
          <w:w w:val="130"/>
        </w:rPr>
        <w:t>ízben</w:t>
      </w:r>
      <w:r>
        <w:rPr>
          <w:spacing w:val="-19"/>
          <w:w w:val="130"/>
        </w:rPr>
        <w:t> </w:t>
      </w:r>
      <w:r>
        <w:rPr>
          <w:w w:val="130"/>
        </w:rPr>
        <w:t>kíván</w:t>
      </w:r>
      <w:r>
        <w:rPr>
          <w:spacing w:val="-30"/>
          <w:w w:val="130"/>
        </w:rPr>
        <w:t> </w:t>
      </w:r>
      <w:r>
        <w:rPr>
          <w:w w:val="130"/>
        </w:rPr>
        <w:t>a</w:t>
      </w:r>
      <w:r>
        <w:rPr>
          <w:spacing w:val="-24"/>
          <w:w w:val="130"/>
        </w:rPr>
        <w:t> </w:t>
      </w:r>
      <w:r>
        <w:rPr>
          <w:w w:val="130"/>
        </w:rPr>
        <w:t>közvetítő jelzáloghitel</w:t>
      </w:r>
      <w:r>
        <w:rPr>
          <w:spacing w:val="-46"/>
          <w:w w:val="130"/>
        </w:rPr>
        <w:t> </w:t>
      </w:r>
      <w:r>
        <w:rPr>
          <w:w w:val="130"/>
        </w:rPr>
        <w:t>közvetítői</w:t>
      </w:r>
      <w:r>
        <w:rPr>
          <w:spacing w:val="-53"/>
          <w:w w:val="130"/>
        </w:rPr>
        <w:t> </w:t>
      </w:r>
      <w:r>
        <w:rPr>
          <w:w w:val="130"/>
        </w:rPr>
        <w:t>tevékenységet</w:t>
      </w:r>
      <w:r>
        <w:rPr>
          <w:spacing w:val="-50"/>
          <w:w w:val="130"/>
        </w:rPr>
        <w:t> </w:t>
      </w:r>
      <w:r>
        <w:rPr>
          <w:w w:val="130"/>
        </w:rPr>
        <w:t>nyújtani</w:t>
      </w:r>
      <w:r>
        <w:rPr>
          <w:spacing w:val="-49"/>
          <w:w w:val="130"/>
        </w:rPr>
        <w:t> </w:t>
      </w:r>
      <w:r>
        <w:rPr>
          <w:w w:val="130"/>
        </w:rPr>
        <w:t>egy</w:t>
      </w:r>
      <w:r>
        <w:rPr>
          <w:spacing w:val="-50"/>
          <w:w w:val="130"/>
        </w:rPr>
        <w:t> </w:t>
      </w:r>
      <w:r>
        <w:rPr>
          <w:w w:val="130"/>
        </w:rPr>
        <w:t>másik</w:t>
      </w:r>
      <w:r>
        <w:rPr>
          <w:spacing w:val="-49"/>
          <w:w w:val="130"/>
        </w:rPr>
        <w:t> </w:t>
      </w:r>
      <w:r>
        <w:rPr>
          <w:w w:val="130"/>
        </w:rPr>
        <w:t>EGT-államban,</w:t>
      </w:r>
      <w:r>
        <w:rPr>
          <w:spacing w:val="-50"/>
          <w:w w:val="130"/>
        </w:rPr>
        <w:t> </w:t>
      </w:r>
      <w:r>
        <w:rPr>
          <w:w w:val="130"/>
        </w:rPr>
        <w:t>akkor ezen szándékát a Felügyeletnek előzetesen</w:t>
      </w:r>
      <w:r>
        <w:rPr>
          <w:spacing w:val="-26"/>
          <w:w w:val="130"/>
        </w:rPr>
        <w:t> </w:t>
      </w:r>
      <w:r>
        <w:rPr>
          <w:w w:val="130"/>
        </w:rPr>
        <w:t>bejelenti.</w:t>
      </w:r>
    </w:p>
    <w:p>
      <w:pPr>
        <w:pStyle w:val="ListParagraph"/>
        <w:numPr>
          <w:ilvl w:val="0"/>
          <w:numId w:val="133"/>
        </w:numPr>
        <w:tabs>
          <w:tab w:pos="839" w:val="left" w:leader="none"/>
        </w:tabs>
        <w:spacing w:line="225" w:lineRule="auto" w:before="2" w:after="0"/>
        <w:ind w:left="113" w:right="132" w:firstLine="204"/>
        <w:jc w:val="both"/>
        <w:rPr>
          <w:sz w:val="24"/>
        </w:rPr>
      </w:pPr>
      <w:r>
        <w:rPr>
          <w:w w:val="125"/>
          <w:sz w:val="24"/>
        </w:rPr>
        <w:t>A közvetítő pénzügyi vállalkozásnak kizárólag akkor jogosult másik EGT-államban határon átnyúló szolgáltatást végezni, ha a pénzügyi vállalkozás megfelel a 15. § (4) bekezdésében meghatározott</w:t>
      </w:r>
      <w:r>
        <w:rPr>
          <w:spacing w:val="29"/>
          <w:w w:val="125"/>
          <w:sz w:val="24"/>
        </w:rPr>
        <w:t> </w:t>
      </w:r>
      <w:r>
        <w:rPr>
          <w:w w:val="125"/>
          <w:sz w:val="24"/>
        </w:rPr>
        <w:t>feltételeknek.</w:t>
      </w:r>
    </w:p>
    <w:p>
      <w:pPr>
        <w:pStyle w:val="ListParagraph"/>
        <w:numPr>
          <w:ilvl w:val="0"/>
          <w:numId w:val="133"/>
        </w:numPr>
        <w:tabs>
          <w:tab w:pos="739" w:val="left" w:leader="none"/>
        </w:tabs>
        <w:spacing w:line="225" w:lineRule="auto" w:before="1" w:after="0"/>
        <w:ind w:left="113" w:right="112" w:firstLine="204"/>
        <w:jc w:val="both"/>
        <w:rPr>
          <w:sz w:val="24"/>
        </w:rPr>
      </w:pPr>
      <w:r>
        <w:rPr>
          <w:w w:val="125"/>
          <w:sz w:val="24"/>
        </w:rPr>
        <w:t>A Felügyelet az (1) bekezdés szerinti bejelentés kézhezvételétől számított egy hónapon belül tájékoztatja a másik EGT-álam illetékes  felügyeleti hatóságát a közvetítő által tervezett tevékenységről. A tájékoztatásnak ki kell térnie arra is, hogy a közvetítő mely pénzügyi  intézményekkel  kötött megbízási szerződést, valamint a közvetítő e tevékenysége során  okozott  kárért a megbízó pénzügyi intézmény felelősségének körére. A Felügyelet a tájékoztatást egyidejűleg közli a bejelentő</w:t>
      </w:r>
      <w:r>
        <w:rPr>
          <w:spacing w:val="3"/>
          <w:w w:val="125"/>
          <w:sz w:val="24"/>
        </w:rPr>
        <w:t> </w:t>
      </w:r>
      <w:r>
        <w:rPr>
          <w:w w:val="125"/>
          <w:sz w:val="24"/>
        </w:rPr>
        <w:t>közvetítővel.</w:t>
      </w:r>
    </w:p>
    <w:p>
      <w:pPr>
        <w:pStyle w:val="ListParagraph"/>
        <w:numPr>
          <w:ilvl w:val="0"/>
          <w:numId w:val="133"/>
        </w:numPr>
        <w:tabs>
          <w:tab w:pos="836" w:val="left" w:leader="none"/>
        </w:tabs>
        <w:spacing w:line="225" w:lineRule="auto" w:before="4" w:after="0"/>
        <w:ind w:left="113" w:right="134" w:firstLine="204"/>
        <w:jc w:val="both"/>
        <w:rPr>
          <w:sz w:val="24"/>
        </w:rPr>
      </w:pPr>
      <w:r>
        <w:rPr>
          <w:w w:val="125"/>
          <w:sz w:val="24"/>
        </w:rPr>
        <w:t>A közvetítő a Felügyelet tájékoztatásának kézhezvételét követő egy hónapot követően megkezdheti a határon átnyúló szolgáltatás</w:t>
      </w:r>
      <w:r>
        <w:rPr>
          <w:spacing w:val="-18"/>
          <w:w w:val="125"/>
          <w:sz w:val="24"/>
        </w:rPr>
        <w:t> </w:t>
      </w:r>
      <w:r>
        <w:rPr>
          <w:w w:val="125"/>
          <w:sz w:val="24"/>
        </w:rPr>
        <w:t>végzését.</w:t>
      </w:r>
    </w:p>
    <w:p>
      <w:pPr>
        <w:pStyle w:val="ListParagraph"/>
        <w:numPr>
          <w:ilvl w:val="0"/>
          <w:numId w:val="133"/>
        </w:numPr>
        <w:tabs>
          <w:tab w:pos="764" w:val="left" w:leader="none"/>
        </w:tabs>
        <w:spacing w:line="225" w:lineRule="auto" w:before="2" w:after="0"/>
        <w:ind w:left="113" w:right="133" w:firstLine="204"/>
        <w:jc w:val="both"/>
        <w:rPr>
          <w:sz w:val="24"/>
        </w:rPr>
      </w:pPr>
      <w:r>
        <w:rPr>
          <w:w w:val="130"/>
          <w:sz w:val="24"/>
        </w:rPr>
        <w:t>Ha</w:t>
      </w:r>
      <w:r>
        <w:rPr>
          <w:spacing w:val="-7"/>
          <w:w w:val="130"/>
          <w:sz w:val="24"/>
        </w:rPr>
        <w:t> </w:t>
      </w:r>
      <w:r>
        <w:rPr>
          <w:w w:val="130"/>
          <w:sz w:val="24"/>
        </w:rPr>
        <w:t>a</w:t>
      </w:r>
      <w:r>
        <w:rPr>
          <w:spacing w:val="-16"/>
          <w:w w:val="130"/>
          <w:sz w:val="24"/>
        </w:rPr>
        <w:t> </w:t>
      </w:r>
      <w:r>
        <w:rPr>
          <w:w w:val="130"/>
          <w:sz w:val="24"/>
        </w:rPr>
        <w:t>Felügyelet</w:t>
      </w:r>
      <w:r>
        <w:rPr>
          <w:spacing w:val="-12"/>
          <w:w w:val="130"/>
          <w:sz w:val="24"/>
        </w:rPr>
        <w:t> </w:t>
      </w:r>
      <w:r>
        <w:rPr>
          <w:w w:val="130"/>
          <w:sz w:val="24"/>
        </w:rPr>
        <w:t>a</w:t>
      </w:r>
      <w:r>
        <w:rPr>
          <w:spacing w:val="-11"/>
          <w:w w:val="130"/>
          <w:sz w:val="24"/>
        </w:rPr>
        <w:t> </w:t>
      </w:r>
      <w:r>
        <w:rPr>
          <w:w w:val="130"/>
          <w:sz w:val="24"/>
        </w:rPr>
        <w:t>jelzáloghitel</w:t>
      </w:r>
      <w:r>
        <w:rPr>
          <w:spacing w:val="-11"/>
          <w:w w:val="130"/>
          <w:sz w:val="24"/>
        </w:rPr>
        <w:t> </w:t>
      </w:r>
      <w:r>
        <w:rPr>
          <w:w w:val="130"/>
          <w:sz w:val="24"/>
        </w:rPr>
        <w:t>közvetítői</w:t>
      </w:r>
      <w:r>
        <w:rPr>
          <w:spacing w:val="-12"/>
          <w:w w:val="130"/>
          <w:sz w:val="24"/>
        </w:rPr>
        <w:t> </w:t>
      </w:r>
      <w:r>
        <w:rPr>
          <w:w w:val="130"/>
          <w:sz w:val="24"/>
        </w:rPr>
        <w:t>tevékenységet</w:t>
      </w:r>
      <w:r>
        <w:rPr>
          <w:spacing w:val="-11"/>
          <w:w w:val="130"/>
          <w:sz w:val="24"/>
        </w:rPr>
        <w:t> </w:t>
      </w:r>
      <w:r>
        <w:rPr>
          <w:w w:val="130"/>
          <w:sz w:val="24"/>
        </w:rPr>
        <w:t>végző</w:t>
      </w:r>
      <w:r>
        <w:rPr>
          <w:spacing w:val="-12"/>
          <w:w w:val="130"/>
          <w:sz w:val="24"/>
        </w:rPr>
        <w:t> </w:t>
      </w:r>
      <w:r>
        <w:rPr>
          <w:w w:val="130"/>
          <w:sz w:val="24"/>
        </w:rPr>
        <w:t>közvetítő tevékenységi engedélyét visszavonta, tizennégy napon belül írásban tájékoztatja azon EGT-állam illetékes felügyeleti hatóságát, ahol a közvetítő határon átnyúló szolgáltatást</w:t>
      </w:r>
      <w:r>
        <w:rPr>
          <w:spacing w:val="-11"/>
          <w:w w:val="130"/>
          <w:sz w:val="24"/>
        </w:rPr>
        <w:t> </w:t>
      </w:r>
      <w:r>
        <w:rPr>
          <w:w w:val="130"/>
          <w:sz w:val="24"/>
        </w:rPr>
        <w:t>nyújt.</w:t>
      </w:r>
    </w:p>
    <w:p>
      <w:pPr>
        <w:pStyle w:val="ListParagraph"/>
        <w:numPr>
          <w:ilvl w:val="0"/>
          <w:numId w:val="100"/>
        </w:numPr>
        <w:tabs>
          <w:tab w:pos="962" w:val="left" w:leader="none"/>
          <w:tab w:pos="964" w:val="left" w:leader="none"/>
          <w:tab w:pos="1432" w:val="left" w:leader="none"/>
          <w:tab w:pos="2005" w:val="left" w:leader="none"/>
          <w:tab w:pos="2657" w:val="left" w:leader="none"/>
          <w:tab w:pos="3593" w:val="left" w:leader="none"/>
          <w:tab w:pos="5086" w:val="left" w:leader="none"/>
          <w:tab w:pos="6325" w:val="left" w:leader="none"/>
          <w:tab w:pos="7831" w:val="left" w:leader="none"/>
          <w:tab w:pos="9153" w:val="left" w:leader="none"/>
        </w:tabs>
        <w:spacing w:line="250" w:lineRule="exact" w:before="0" w:after="0"/>
        <w:ind w:left="963" w:right="0" w:hanging="646"/>
        <w:jc w:val="left"/>
        <w:rPr>
          <w:sz w:val="24"/>
        </w:rPr>
      </w:pPr>
      <w:r>
        <w:rPr>
          <w:rFonts w:ascii="Arial" w:hAnsi="Arial"/>
          <w:b/>
          <w:w w:val="125"/>
          <w:sz w:val="24"/>
        </w:rPr>
        <w:t>§</w:t>
      </w:r>
      <w:r>
        <w:rPr>
          <w:i/>
          <w:w w:val="125"/>
          <w:position w:val="3"/>
          <w:sz w:val="18"/>
        </w:rPr>
        <w:t>2</w:t>
        <w:tab/>
      </w:r>
      <w:r>
        <w:rPr>
          <w:w w:val="125"/>
          <w:sz w:val="24"/>
        </w:rPr>
        <w:t>Ha</w:t>
        <w:tab/>
        <w:t>egy</w:t>
        <w:tab/>
        <w:t>másik</w:t>
        <w:tab/>
        <w:t>EGT-állam</w:t>
        <w:tab/>
        <w:t>illetékes</w:t>
        <w:tab/>
        <w:t>felügyeleti</w:t>
        <w:tab/>
        <w:t>hatósága</w:t>
        <w:tab/>
        <w:t>arról</w:t>
      </w:r>
    </w:p>
    <w:p>
      <w:pPr>
        <w:pStyle w:val="BodyText"/>
        <w:spacing w:line="225" w:lineRule="auto" w:before="12"/>
        <w:ind w:right="123" w:firstLine="0"/>
        <w:jc w:val="both"/>
      </w:pPr>
      <w:r>
        <w:rPr>
          <w:w w:val="130"/>
        </w:rPr>
        <w:t>tájékoztatja</w:t>
      </w:r>
      <w:r>
        <w:rPr>
          <w:spacing w:val="-22"/>
          <w:w w:val="130"/>
        </w:rPr>
        <w:t> </w:t>
      </w:r>
      <w:r>
        <w:rPr>
          <w:w w:val="130"/>
        </w:rPr>
        <w:t>a</w:t>
      </w:r>
      <w:r>
        <w:rPr>
          <w:spacing w:val="-21"/>
          <w:w w:val="130"/>
        </w:rPr>
        <w:t> </w:t>
      </w:r>
      <w:r>
        <w:rPr>
          <w:w w:val="130"/>
        </w:rPr>
        <w:t>Felügyeletet,</w:t>
      </w:r>
      <w:r>
        <w:rPr>
          <w:spacing w:val="-21"/>
          <w:w w:val="130"/>
        </w:rPr>
        <w:t> </w:t>
      </w:r>
      <w:r>
        <w:rPr>
          <w:w w:val="130"/>
        </w:rPr>
        <w:t>hogy</w:t>
      </w:r>
      <w:r>
        <w:rPr>
          <w:spacing w:val="-21"/>
          <w:w w:val="130"/>
        </w:rPr>
        <w:t> </w:t>
      </w:r>
      <w:r>
        <w:rPr>
          <w:w w:val="130"/>
        </w:rPr>
        <w:t>a</w:t>
      </w:r>
      <w:r>
        <w:rPr>
          <w:spacing w:val="-22"/>
          <w:w w:val="130"/>
        </w:rPr>
        <w:t> </w:t>
      </w:r>
      <w:r>
        <w:rPr>
          <w:w w:val="130"/>
        </w:rPr>
        <w:t>székhelyén</w:t>
      </w:r>
      <w:r>
        <w:rPr>
          <w:spacing w:val="-21"/>
          <w:w w:val="130"/>
        </w:rPr>
        <w:t> </w:t>
      </w:r>
      <w:r>
        <w:rPr>
          <w:w w:val="130"/>
        </w:rPr>
        <w:t>bejegyzett</w:t>
      </w:r>
      <w:r>
        <w:rPr>
          <w:spacing w:val="-21"/>
          <w:w w:val="130"/>
        </w:rPr>
        <w:t> </w:t>
      </w:r>
      <w:r>
        <w:rPr>
          <w:w w:val="130"/>
        </w:rPr>
        <w:t>pénzügyi</w:t>
      </w:r>
      <w:r>
        <w:rPr>
          <w:spacing w:val="-16"/>
          <w:w w:val="130"/>
        </w:rPr>
        <w:t> </w:t>
      </w:r>
      <w:r>
        <w:rPr>
          <w:w w:val="130"/>
        </w:rPr>
        <w:t>intézmény, jelzáloghitel közvetítői tevékenységet végző közvetítő Magyarországon fióktelepet nyit vagy Magyarországon határon átnyúló szolgáltatást kíván végezni,</w:t>
      </w:r>
      <w:r>
        <w:rPr>
          <w:spacing w:val="-22"/>
          <w:w w:val="130"/>
        </w:rPr>
        <w:t> </w:t>
      </w:r>
      <w:r>
        <w:rPr>
          <w:w w:val="130"/>
        </w:rPr>
        <w:t>akkor</w:t>
      </w:r>
      <w:r>
        <w:rPr>
          <w:spacing w:val="-26"/>
          <w:w w:val="130"/>
        </w:rPr>
        <w:t> </w:t>
      </w:r>
      <w:r>
        <w:rPr>
          <w:w w:val="130"/>
        </w:rPr>
        <w:t>a</w:t>
      </w:r>
      <w:r>
        <w:rPr>
          <w:spacing w:val="-24"/>
          <w:w w:val="130"/>
        </w:rPr>
        <w:t> </w:t>
      </w:r>
      <w:r>
        <w:rPr>
          <w:w w:val="130"/>
        </w:rPr>
        <w:t>Felügyelet</w:t>
      </w:r>
      <w:r>
        <w:rPr>
          <w:spacing w:val="-24"/>
          <w:w w:val="130"/>
        </w:rPr>
        <w:t> </w:t>
      </w:r>
      <w:r>
        <w:rPr>
          <w:w w:val="130"/>
        </w:rPr>
        <w:t>tájékoztatja</w:t>
      </w:r>
      <w:r>
        <w:rPr>
          <w:spacing w:val="-24"/>
          <w:w w:val="130"/>
        </w:rPr>
        <w:t> </w:t>
      </w:r>
      <w:r>
        <w:rPr>
          <w:w w:val="130"/>
        </w:rPr>
        <w:t>a</w:t>
      </w:r>
      <w:r>
        <w:rPr>
          <w:spacing w:val="-24"/>
          <w:w w:val="130"/>
        </w:rPr>
        <w:t> </w:t>
      </w:r>
      <w:r>
        <w:rPr>
          <w:w w:val="130"/>
        </w:rPr>
        <w:t>pénzügyi</w:t>
      </w:r>
      <w:r>
        <w:rPr>
          <w:spacing w:val="-23"/>
          <w:w w:val="130"/>
        </w:rPr>
        <w:t> </w:t>
      </w:r>
      <w:r>
        <w:rPr>
          <w:w w:val="130"/>
        </w:rPr>
        <w:t>intézményt,</w:t>
      </w:r>
      <w:r>
        <w:rPr>
          <w:spacing w:val="-24"/>
          <w:w w:val="130"/>
        </w:rPr>
        <w:t> </w:t>
      </w:r>
      <w:r>
        <w:rPr>
          <w:w w:val="130"/>
        </w:rPr>
        <w:t>a</w:t>
      </w:r>
      <w:r>
        <w:rPr>
          <w:spacing w:val="-24"/>
          <w:w w:val="130"/>
        </w:rPr>
        <w:t> </w:t>
      </w:r>
      <w:r>
        <w:rPr>
          <w:w w:val="130"/>
        </w:rPr>
        <w:t>közvetítőt</w:t>
      </w:r>
      <w:r>
        <w:rPr>
          <w:spacing w:val="-24"/>
          <w:w w:val="130"/>
        </w:rPr>
        <w:t> </w:t>
      </w:r>
      <w:r>
        <w:rPr>
          <w:w w:val="130"/>
        </w:rPr>
        <w:t>az ügyfelek</w:t>
      </w:r>
      <w:r>
        <w:rPr>
          <w:spacing w:val="-12"/>
          <w:w w:val="130"/>
        </w:rPr>
        <w:t> </w:t>
      </w:r>
      <w:r>
        <w:rPr>
          <w:w w:val="130"/>
        </w:rPr>
        <w:t>védelmére</w:t>
      </w:r>
      <w:r>
        <w:rPr>
          <w:spacing w:val="-12"/>
          <w:w w:val="130"/>
        </w:rPr>
        <w:t> </w:t>
      </w:r>
      <w:r>
        <w:rPr>
          <w:w w:val="130"/>
        </w:rPr>
        <w:t>vonatkozó</w:t>
      </w:r>
      <w:r>
        <w:rPr>
          <w:spacing w:val="-12"/>
          <w:w w:val="130"/>
        </w:rPr>
        <w:t> </w:t>
      </w:r>
      <w:r>
        <w:rPr>
          <w:w w:val="130"/>
        </w:rPr>
        <w:t>rendelkezésekről,</w:t>
      </w:r>
      <w:r>
        <w:rPr>
          <w:spacing w:val="-12"/>
          <w:w w:val="130"/>
        </w:rPr>
        <w:t> </w:t>
      </w:r>
      <w:r>
        <w:rPr>
          <w:w w:val="130"/>
        </w:rPr>
        <w:t>így</w:t>
      </w:r>
      <w:r>
        <w:rPr>
          <w:spacing w:val="-12"/>
          <w:w w:val="130"/>
        </w:rPr>
        <w:t> </w:t>
      </w:r>
      <w:r>
        <w:rPr>
          <w:w w:val="130"/>
        </w:rPr>
        <w:t>különösen</w:t>
      </w:r>
    </w:p>
    <w:p>
      <w:pPr>
        <w:pStyle w:val="ListParagraph"/>
        <w:numPr>
          <w:ilvl w:val="0"/>
          <w:numId w:val="134"/>
        </w:numPr>
        <w:tabs>
          <w:tab w:pos="631" w:val="left" w:leader="none"/>
        </w:tabs>
        <w:spacing w:line="257" w:lineRule="exact" w:before="0" w:after="0"/>
        <w:ind w:left="630" w:right="0" w:hanging="313"/>
        <w:jc w:val="left"/>
        <w:rPr>
          <w:sz w:val="24"/>
        </w:rPr>
      </w:pPr>
      <w:r>
        <w:rPr>
          <w:w w:val="125"/>
          <w:sz w:val="24"/>
        </w:rPr>
        <w:t>az ügyfelekkel szembeni tájékoztatási</w:t>
      </w:r>
      <w:r>
        <w:rPr>
          <w:spacing w:val="16"/>
          <w:w w:val="125"/>
          <w:sz w:val="24"/>
        </w:rPr>
        <w:t> </w:t>
      </w:r>
      <w:r>
        <w:rPr>
          <w:w w:val="125"/>
          <w:sz w:val="24"/>
        </w:rPr>
        <w:t>kötelezettségekről,</w:t>
      </w:r>
    </w:p>
    <w:p>
      <w:pPr>
        <w:pStyle w:val="ListParagraph"/>
        <w:numPr>
          <w:ilvl w:val="0"/>
          <w:numId w:val="134"/>
        </w:numPr>
        <w:tabs>
          <w:tab w:pos="653" w:val="left" w:leader="none"/>
        </w:tabs>
        <w:spacing w:line="260" w:lineRule="exact" w:before="0" w:after="0"/>
        <w:ind w:left="652" w:right="0" w:hanging="335"/>
        <w:jc w:val="left"/>
        <w:rPr>
          <w:sz w:val="24"/>
        </w:rPr>
      </w:pPr>
      <w:r>
        <w:rPr>
          <w:w w:val="125"/>
          <w:sz w:val="24"/>
        </w:rPr>
        <w:t>az üzletszabályzat követelményéről,</w:t>
      </w:r>
      <w:r>
        <w:rPr>
          <w:spacing w:val="-9"/>
          <w:w w:val="125"/>
          <w:sz w:val="24"/>
        </w:rPr>
        <w:t> </w:t>
      </w:r>
      <w:r>
        <w:rPr>
          <w:w w:val="125"/>
          <w:sz w:val="24"/>
        </w:rPr>
        <w:t>valamint</w:t>
      </w:r>
    </w:p>
    <w:p>
      <w:pPr>
        <w:pStyle w:val="ListParagraph"/>
        <w:numPr>
          <w:ilvl w:val="0"/>
          <w:numId w:val="134"/>
        </w:numPr>
        <w:tabs>
          <w:tab w:pos="623" w:val="left" w:leader="none"/>
        </w:tabs>
        <w:spacing w:line="268" w:lineRule="exact" w:before="0" w:after="0"/>
        <w:ind w:left="622" w:right="0" w:hanging="305"/>
        <w:jc w:val="left"/>
        <w:rPr>
          <w:sz w:val="24"/>
        </w:rPr>
      </w:pPr>
      <w:r>
        <w:rPr>
          <w:w w:val="125"/>
          <w:sz w:val="24"/>
        </w:rPr>
        <w:t>az egyes pénzügyi szolgáltatások nyújtásának</w:t>
      </w:r>
      <w:r>
        <w:rPr>
          <w:spacing w:val="10"/>
          <w:w w:val="125"/>
          <w:sz w:val="24"/>
        </w:rPr>
        <w:t> </w:t>
      </w:r>
      <w:r>
        <w:rPr>
          <w:w w:val="125"/>
          <w:sz w:val="24"/>
        </w:rPr>
        <w:t>szabályairól.</w:t>
      </w:r>
    </w:p>
    <w:p>
      <w:pPr>
        <w:pStyle w:val="BodyText"/>
        <w:spacing w:before="224"/>
        <w:ind w:left="1786" w:firstLine="0"/>
      </w:pPr>
      <w:r>
        <w:rPr>
          <w:w w:val="120"/>
        </w:rPr>
        <w:t>22. A bankképviseletre vonatkozó sajátos</w:t>
      </w:r>
      <w:r>
        <w:rPr>
          <w:spacing w:val="55"/>
          <w:w w:val="120"/>
        </w:rPr>
        <w:t> </w:t>
      </w:r>
      <w:r>
        <w:rPr>
          <w:w w:val="120"/>
        </w:rPr>
        <w:t>szabályok</w:t>
      </w:r>
    </w:p>
    <w:p>
      <w:pPr>
        <w:pStyle w:val="ListParagraph"/>
        <w:numPr>
          <w:ilvl w:val="0"/>
          <w:numId w:val="100"/>
        </w:numPr>
        <w:tabs>
          <w:tab w:pos="1043" w:val="left" w:leader="none"/>
        </w:tabs>
        <w:spacing w:line="225" w:lineRule="auto" w:before="236" w:after="0"/>
        <w:ind w:left="113" w:right="130" w:firstLine="204"/>
        <w:jc w:val="both"/>
        <w:rPr>
          <w:sz w:val="24"/>
        </w:rPr>
      </w:pPr>
      <w:r>
        <w:rPr>
          <w:rFonts w:ascii="Arial" w:hAnsi="Arial"/>
          <w:b/>
          <w:w w:val="125"/>
          <w:sz w:val="24"/>
        </w:rPr>
        <w:t>§ </w:t>
      </w:r>
      <w:r>
        <w:rPr>
          <w:w w:val="125"/>
          <w:sz w:val="24"/>
        </w:rPr>
        <w:t>(1) A bankképviselet kapcsolatot tarthat személyekkel és szervezetekkel, a jogszabályok keretei között adatokat és információkat szolgáltathat a képviselt hitelintézetről, valamint elősegítheti annak szolgáltatásnyújtását és ügyfeleivel való kapcsolattartását, de üzletszerű tevékenységet nem</w:t>
      </w:r>
      <w:r>
        <w:rPr>
          <w:spacing w:val="2"/>
          <w:w w:val="125"/>
          <w:sz w:val="24"/>
        </w:rPr>
        <w:t> </w:t>
      </w:r>
      <w:r>
        <w:rPr>
          <w:w w:val="125"/>
          <w:sz w:val="24"/>
        </w:rPr>
        <w:t>folytathat.</w:t>
      </w:r>
    </w:p>
    <w:p>
      <w:pPr>
        <w:pStyle w:val="BodyText"/>
        <w:spacing w:line="225" w:lineRule="auto" w:before="3"/>
      </w:pPr>
      <w:r>
        <w:rPr>
          <w:w w:val="125"/>
        </w:rPr>
        <w:t>(2) A magyarországi székhellyel nyilvántartott bankképviselet jogi személy, amely a cégjegyzékbe bejegyezésre kerül.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136;mso-wrap-distance-left:0;mso-wrap-distance-right:0" from="56.693001pt,14.694109pt" to="538.583001pt,14.694109pt" stroked="true" strokeweight=".5pt" strokecolor="#000000">
            <v:stroke dashstyle="solid"/>
            <w10:wrap type="topAndBottom"/>
          </v:line>
        </w:pict>
      </w:r>
    </w:p>
    <w:p>
      <w:pPr>
        <w:pStyle w:val="ListParagraph"/>
        <w:numPr>
          <w:ilvl w:val="0"/>
          <w:numId w:val="135"/>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122. §. Hatályos: 2016. III.</w:t>
      </w:r>
      <w:r>
        <w:rPr>
          <w:i/>
          <w:spacing w:val="46"/>
          <w:w w:val="120"/>
          <w:sz w:val="18"/>
        </w:rPr>
        <w:t> </w:t>
      </w:r>
      <w:r>
        <w:rPr>
          <w:i/>
          <w:w w:val="120"/>
          <w:sz w:val="18"/>
        </w:rPr>
        <w:t>21-től.</w:t>
      </w:r>
    </w:p>
    <w:p>
      <w:pPr>
        <w:pStyle w:val="ListParagraph"/>
        <w:numPr>
          <w:ilvl w:val="0"/>
          <w:numId w:val="135"/>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123. §. Hatályos: 2016. III.</w:t>
      </w:r>
      <w:r>
        <w:rPr>
          <w:i/>
          <w:spacing w:val="-21"/>
          <w:w w:val="125"/>
          <w:sz w:val="18"/>
        </w:rPr>
        <w:t> </w:t>
      </w:r>
      <w:r>
        <w:rPr>
          <w:i/>
          <w:w w:val="125"/>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100"/>
        </w:numPr>
        <w:tabs>
          <w:tab w:pos="834" w:val="left" w:leader="none"/>
        </w:tabs>
        <w:spacing w:line="225" w:lineRule="auto" w:before="172" w:after="0"/>
        <w:ind w:left="113" w:right="122" w:firstLine="204"/>
        <w:jc w:val="both"/>
        <w:rPr>
          <w:sz w:val="24"/>
        </w:rPr>
      </w:pPr>
      <w:r>
        <w:rPr>
          <w:rFonts w:ascii="Arial" w:hAnsi="Arial"/>
          <w:b/>
          <w:w w:val="125"/>
          <w:sz w:val="24"/>
        </w:rPr>
        <w:t>§</w:t>
      </w:r>
      <w:r>
        <w:rPr>
          <w:i/>
          <w:w w:val="125"/>
          <w:position w:val="3"/>
          <w:sz w:val="18"/>
        </w:rPr>
        <w:t>1 </w:t>
      </w:r>
      <w:r>
        <w:rPr>
          <w:w w:val="125"/>
          <w:sz w:val="24"/>
        </w:rPr>
        <w:t>A külföldi székhelyű hitelintézet bankképviseletének Magyarországon történő létesítését bejelenti a Felügyeletnek.  A  Felügyelet  engedélye szükséges magyarországi székhelyű hitelintézet bankképviseletének harmadik országban történő létesítéséhez és a bankképviselet működésének megkezdéséhez.</w:t>
      </w:r>
    </w:p>
    <w:p>
      <w:pPr>
        <w:pStyle w:val="ListParagraph"/>
        <w:numPr>
          <w:ilvl w:val="0"/>
          <w:numId w:val="100"/>
        </w:numPr>
        <w:tabs>
          <w:tab w:pos="945" w:val="left" w:leader="none"/>
          <w:tab w:pos="946" w:val="left" w:leader="none"/>
          <w:tab w:pos="1271" w:val="left" w:leader="none"/>
        </w:tabs>
        <w:spacing w:line="251" w:lineRule="exact" w:before="0" w:after="0"/>
        <w:ind w:left="945" w:right="0" w:hanging="628"/>
        <w:jc w:val="left"/>
        <w:rPr>
          <w:sz w:val="24"/>
        </w:rPr>
      </w:pPr>
      <w:r>
        <w:rPr>
          <w:rFonts w:ascii="Arial" w:hAnsi="Arial"/>
          <w:b/>
          <w:w w:val="125"/>
          <w:sz w:val="24"/>
        </w:rPr>
        <w:t>§</w:t>
        <w:tab/>
      </w:r>
      <w:r>
        <w:rPr>
          <w:w w:val="125"/>
          <w:sz w:val="24"/>
        </w:rPr>
        <w:t>(1)</w:t>
      </w:r>
      <w:r>
        <w:rPr>
          <w:i/>
          <w:w w:val="125"/>
          <w:position w:val="3"/>
          <w:sz w:val="18"/>
        </w:rPr>
        <w:t>2 </w:t>
      </w:r>
      <w:r>
        <w:rPr>
          <w:w w:val="125"/>
          <w:sz w:val="24"/>
        </w:rPr>
        <w:t>Magyarországi székhellyel rendelkező hitelintézet</w:t>
      </w:r>
      <w:r>
        <w:rPr>
          <w:spacing w:val="57"/>
          <w:w w:val="125"/>
          <w:sz w:val="24"/>
        </w:rPr>
        <w:t> </w:t>
      </w:r>
      <w:r>
        <w:rPr>
          <w:w w:val="125"/>
          <w:sz w:val="24"/>
        </w:rPr>
        <w:t>harmadik</w:t>
      </w:r>
    </w:p>
    <w:p>
      <w:pPr>
        <w:pStyle w:val="BodyText"/>
        <w:spacing w:line="225" w:lineRule="auto" w:before="12"/>
        <w:ind w:firstLine="0"/>
      </w:pPr>
      <w:r>
        <w:rPr>
          <w:w w:val="130"/>
        </w:rPr>
        <w:t>országbeli bankképviseletének létesítésére irányuló engedély iránti kérelem tartalmazza</w:t>
      </w:r>
    </w:p>
    <w:p>
      <w:pPr>
        <w:pStyle w:val="ListParagraph"/>
        <w:numPr>
          <w:ilvl w:val="0"/>
          <w:numId w:val="136"/>
        </w:numPr>
        <w:tabs>
          <w:tab w:pos="631" w:val="left" w:leader="none"/>
        </w:tabs>
        <w:spacing w:line="256" w:lineRule="exact" w:before="0" w:after="0"/>
        <w:ind w:left="630" w:right="0" w:hanging="313"/>
        <w:jc w:val="left"/>
        <w:rPr>
          <w:sz w:val="24"/>
        </w:rPr>
      </w:pPr>
      <w:r>
        <w:rPr>
          <w:w w:val="130"/>
          <w:sz w:val="24"/>
        </w:rPr>
        <w:t>a</w:t>
      </w:r>
      <w:r>
        <w:rPr>
          <w:spacing w:val="-13"/>
          <w:w w:val="130"/>
          <w:sz w:val="24"/>
        </w:rPr>
        <w:t> </w:t>
      </w:r>
      <w:r>
        <w:rPr>
          <w:w w:val="130"/>
          <w:sz w:val="24"/>
        </w:rPr>
        <w:t>bankképviselet</w:t>
      </w:r>
      <w:r>
        <w:rPr>
          <w:spacing w:val="-11"/>
          <w:w w:val="130"/>
          <w:sz w:val="24"/>
        </w:rPr>
        <w:t> </w:t>
      </w:r>
      <w:r>
        <w:rPr>
          <w:w w:val="130"/>
          <w:sz w:val="24"/>
        </w:rPr>
        <w:t>megnevezését</w:t>
      </w:r>
      <w:r>
        <w:rPr>
          <w:spacing w:val="-13"/>
          <w:w w:val="130"/>
          <w:sz w:val="24"/>
        </w:rPr>
        <w:t> </w:t>
      </w:r>
      <w:r>
        <w:rPr>
          <w:w w:val="130"/>
          <w:sz w:val="24"/>
        </w:rPr>
        <w:t>a</w:t>
      </w:r>
      <w:r>
        <w:rPr>
          <w:spacing w:val="-12"/>
          <w:w w:val="130"/>
          <w:sz w:val="24"/>
        </w:rPr>
        <w:t> </w:t>
      </w:r>
      <w:r>
        <w:rPr>
          <w:w w:val="130"/>
          <w:sz w:val="24"/>
        </w:rPr>
        <w:t>képviseleti</w:t>
      </w:r>
      <w:r>
        <w:rPr>
          <w:spacing w:val="-10"/>
          <w:w w:val="130"/>
          <w:sz w:val="24"/>
        </w:rPr>
        <w:t> </w:t>
      </w:r>
      <w:r>
        <w:rPr>
          <w:w w:val="130"/>
          <w:sz w:val="24"/>
        </w:rPr>
        <w:t>jellegre</w:t>
      </w:r>
      <w:r>
        <w:rPr>
          <w:spacing w:val="-14"/>
          <w:w w:val="130"/>
          <w:sz w:val="24"/>
        </w:rPr>
        <w:t> </w:t>
      </w:r>
      <w:r>
        <w:rPr>
          <w:w w:val="130"/>
          <w:sz w:val="24"/>
        </w:rPr>
        <w:t>való</w:t>
      </w:r>
      <w:r>
        <w:rPr>
          <w:spacing w:val="-13"/>
          <w:w w:val="130"/>
          <w:sz w:val="24"/>
        </w:rPr>
        <w:t> </w:t>
      </w:r>
      <w:r>
        <w:rPr>
          <w:w w:val="130"/>
          <w:sz w:val="24"/>
        </w:rPr>
        <w:t>utalással,</w:t>
      </w:r>
    </w:p>
    <w:p>
      <w:pPr>
        <w:pStyle w:val="ListParagraph"/>
        <w:numPr>
          <w:ilvl w:val="0"/>
          <w:numId w:val="136"/>
        </w:numPr>
        <w:tabs>
          <w:tab w:pos="653" w:val="left" w:leader="none"/>
        </w:tabs>
        <w:spacing w:line="260" w:lineRule="exact" w:before="0" w:after="0"/>
        <w:ind w:left="652" w:right="0" w:hanging="335"/>
        <w:jc w:val="left"/>
        <w:rPr>
          <w:sz w:val="24"/>
        </w:rPr>
      </w:pPr>
      <w:r>
        <w:rPr>
          <w:w w:val="130"/>
          <w:sz w:val="24"/>
        </w:rPr>
        <w:t>a végezni kívánt tevékenységek részletes</w:t>
      </w:r>
      <w:r>
        <w:rPr>
          <w:spacing w:val="-45"/>
          <w:w w:val="130"/>
          <w:sz w:val="24"/>
        </w:rPr>
        <w:t> </w:t>
      </w:r>
      <w:r>
        <w:rPr>
          <w:w w:val="130"/>
          <w:sz w:val="24"/>
        </w:rPr>
        <w:t>megjelölését,</w:t>
      </w:r>
    </w:p>
    <w:p>
      <w:pPr>
        <w:pStyle w:val="ListParagraph"/>
        <w:numPr>
          <w:ilvl w:val="0"/>
          <w:numId w:val="136"/>
        </w:numPr>
        <w:tabs>
          <w:tab w:pos="623" w:val="left" w:leader="none"/>
        </w:tabs>
        <w:spacing w:line="260" w:lineRule="exact" w:before="0" w:after="0"/>
        <w:ind w:left="622" w:right="0" w:hanging="305"/>
        <w:jc w:val="left"/>
        <w:rPr>
          <w:sz w:val="24"/>
        </w:rPr>
      </w:pPr>
      <w:r>
        <w:rPr>
          <w:w w:val="130"/>
          <w:sz w:val="24"/>
        </w:rPr>
        <w:t>a működés tervezett</w:t>
      </w:r>
      <w:r>
        <w:rPr>
          <w:spacing w:val="-10"/>
          <w:w w:val="130"/>
          <w:sz w:val="24"/>
        </w:rPr>
        <w:t> </w:t>
      </w:r>
      <w:r>
        <w:rPr>
          <w:w w:val="130"/>
          <w:sz w:val="24"/>
        </w:rPr>
        <w:t>időtartamát,</w:t>
      </w:r>
    </w:p>
    <w:p>
      <w:pPr>
        <w:pStyle w:val="ListParagraph"/>
        <w:numPr>
          <w:ilvl w:val="0"/>
          <w:numId w:val="136"/>
        </w:numPr>
        <w:tabs>
          <w:tab w:pos="680" w:val="left" w:leader="none"/>
        </w:tabs>
        <w:spacing w:line="225" w:lineRule="auto" w:before="5" w:after="0"/>
        <w:ind w:left="113" w:right="127" w:firstLine="204"/>
        <w:jc w:val="both"/>
        <w:rPr>
          <w:sz w:val="24"/>
        </w:rPr>
      </w:pPr>
      <w:r>
        <w:rPr>
          <w:w w:val="130"/>
          <w:sz w:val="24"/>
        </w:rPr>
        <w:t>az alkalmazni kívánt érdemi ügyintézők számát és szakmai önéletrajzát, valamint</w:t>
      </w:r>
    </w:p>
    <w:p>
      <w:pPr>
        <w:pStyle w:val="ListParagraph"/>
        <w:numPr>
          <w:ilvl w:val="0"/>
          <w:numId w:val="136"/>
        </w:numPr>
        <w:tabs>
          <w:tab w:pos="629" w:val="left" w:leader="none"/>
        </w:tabs>
        <w:spacing w:line="256" w:lineRule="exact" w:before="0" w:after="0"/>
        <w:ind w:left="628" w:right="0" w:hanging="311"/>
        <w:jc w:val="left"/>
        <w:rPr>
          <w:sz w:val="24"/>
        </w:rPr>
      </w:pPr>
      <w:r>
        <w:rPr>
          <w:w w:val="130"/>
          <w:sz w:val="24"/>
        </w:rPr>
        <w:t>a bankképviselet vezetőjének nevét és szakmai</w:t>
      </w:r>
      <w:r>
        <w:rPr>
          <w:spacing w:val="-39"/>
          <w:w w:val="130"/>
          <w:sz w:val="24"/>
        </w:rPr>
        <w:t> </w:t>
      </w:r>
      <w:r>
        <w:rPr>
          <w:w w:val="130"/>
          <w:sz w:val="24"/>
        </w:rPr>
        <w:t>önéletrajzát.</w:t>
      </w:r>
    </w:p>
    <w:p>
      <w:pPr>
        <w:pStyle w:val="BodyText"/>
        <w:spacing w:line="225" w:lineRule="auto" w:before="6"/>
        <w:ind w:right="123"/>
        <w:jc w:val="both"/>
      </w:pPr>
      <w:r>
        <w:rPr>
          <w:w w:val="125"/>
        </w:rPr>
        <w:t>(2) Külföldi hitelintézet magyarországi bankképviseletének létesítésére irányuló bejelentés esetén a bejelentés - az (1) bekezdésben felsoroltakon felül</w:t>
      </w:r>
    </w:p>
    <w:p>
      <w:pPr>
        <w:pStyle w:val="ListParagraph"/>
        <w:numPr>
          <w:ilvl w:val="0"/>
          <w:numId w:val="6"/>
        </w:numPr>
        <w:tabs>
          <w:tab w:pos="271" w:val="left" w:leader="none"/>
        </w:tabs>
        <w:spacing w:line="256" w:lineRule="exact" w:before="0" w:after="0"/>
        <w:ind w:left="270" w:right="0" w:hanging="157"/>
        <w:jc w:val="left"/>
        <w:rPr>
          <w:sz w:val="24"/>
        </w:rPr>
      </w:pPr>
      <w:r>
        <w:rPr>
          <w:w w:val="130"/>
          <w:sz w:val="24"/>
        </w:rPr>
        <w:t>tartalmazza a bejelentő illetékes felügyeleti hatóságától</w:t>
      </w:r>
      <w:r>
        <w:rPr>
          <w:spacing w:val="-51"/>
          <w:w w:val="130"/>
          <w:sz w:val="24"/>
        </w:rPr>
        <w:t> </w:t>
      </w:r>
      <w:r>
        <w:rPr>
          <w:w w:val="130"/>
          <w:sz w:val="24"/>
        </w:rPr>
        <w:t>származó</w:t>
      </w:r>
    </w:p>
    <w:p>
      <w:pPr>
        <w:pStyle w:val="ListParagraph"/>
        <w:numPr>
          <w:ilvl w:val="0"/>
          <w:numId w:val="137"/>
        </w:numPr>
        <w:tabs>
          <w:tab w:pos="872" w:val="left" w:leader="none"/>
        </w:tabs>
        <w:spacing w:line="225" w:lineRule="auto" w:before="5" w:after="0"/>
        <w:ind w:left="113" w:right="132" w:firstLine="204"/>
        <w:jc w:val="both"/>
        <w:rPr>
          <w:sz w:val="24"/>
        </w:rPr>
      </w:pPr>
      <w:r>
        <w:rPr>
          <w:w w:val="130"/>
          <w:sz w:val="24"/>
        </w:rPr>
        <w:t>bankképviselet létesítésére vonatkozó engedélyt, a hozzájáruló nyilatkozatot vagy</w:t>
      </w:r>
      <w:r>
        <w:rPr>
          <w:spacing w:val="-10"/>
          <w:w w:val="130"/>
          <w:sz w:val="24"/>
        </w:rPr>
        <w:t> </w:t>
      </w:r>
      <w:r>
        <w:rPr>
          <w:w w:val="130"/>
          <w:sz w:val="24"/>
        </w:rPr>
        <w:t>tudomásulvételt,</w:t>
      </w:r>
    </w:p>
    <w:p>
      <w:pPr>
        <w:pStyle w:val="ListParagraph"/>
        <w:numPr>
          <w:ilvl w:val="0"/>
          <w:numId w:val="137"/>
        </w:numPr>
        <w:tabs>
          <w:tab w:pos="735" w:val="left" w:leader="none"/>
        </w:tabs>
        <w:spacing w:line="225" w:lineRule="auto" w:before="1" w:after="0"/>
        <w:ind w:left="113" w:right="118" w:firstLine="204"/>
        <w:jc w:val="both"/>
        <w:rPr>
          <w:sz w:val="24"/>
        </w:rPr>
      </w:pPr>
      <w:r>
        <w:rPr>
          <w:w w:val="125"/>
          <w:sz w:val="24"/>
        </w:rPr>
        <w:t>nyilatkozatot, amely szerint a bankképviselet vezetőjének személyére nézve kizáró okot nem állapított</w:t>
      </w:r>
      <w:r>
        <w:rPr>
          <w:spacing w:val="15"/>
          <w:w w:val="125"/>
          <w:sz w:val="24"/>
        </w:rPr>
        <w:t> </w:t>
      </w:r>
      <w:r>
        <w:rPr>
          <w:w w:val="125"/>
          <w:sz w:val="24"/>
        </w:rPr>
        <w:t>meg.</w:t>
      </w:r>
    </w:p>
    <w:p>
      <w:pPr>
        <w:pStyle w:val="ListParagraph"/>
        <w:numPr>
          <w:ilvl w:val="0"/>
          <w:numId w:val="100"/>
        </w:numPr>
        <w:tabs>
          <w:tab w:pos="1024" w:val="left" w:leader="none"/>
        </w:tabs>
        <w:spacing w:line="225" w:lineRule="auto" w:before="0" w:after="0"/>
        <w:ind w:left="113" w:right="130" w:firstLine="204"/>
        <w:jc w:val="both"/>
        <w:rPr>
          <w:sz w:val="24"/>
        </w:rPr>
      </w:pPr>
      <w:r>
        <w:rPr>
          <w:rFonts w:ascii="Arial" w:hAnsi="Arial"/>
          <w:b/>
          <w:w w:val="125"/>
          <w:sz w:val="24"/>
        </w:rPr>
        <w:t>§ </w:t>
      </w:r>
      <w:r>
        <w:rPr>
          <w:w w:val="125"/>
          <w:sz w:val="24"/>
        </w:rPr>
        <w:t>(1) A bankképviselet vezetője felelős az e törvényben a bankképviseletre meghatározott rendelkezések</w:t>
      </w:r>
      <w:r>
        <w:rPr>
          <w:spacing w:val="24"/>
          <w:w w:val="125"/>
          <w:sz w:val="24"/>
        </w:rPr>
        <w:t> </w:t>
      </w:r>
      <w:r>
        <w:rPr>
          <w:w w:val="125"/>
          <w:sz w:val="24"/>
        </w:rPr>
        <w:t>betartásáért.</w:t>
      </w:r>
    </w:p>
    <w:p>
      <w:pPr>
        <w:pStyle w:val="ListParagraph"/>
        <w:numPr>
          <w:ilvl w:val="0"/>
          <w:numId w:val="138"/>
        </w:numPr>
        <w:tabs>
          <w:tab w:pos="836" w:val="left" w:leader="none"/>
        </w:tabs>
        <w:spacing w:line="225" w:lineRule="auto" w:before="2" w:after="0"/>
        <w:ind w:left="113" w:right="128" w:firstLine="204"/>
        <w:jc w:val="both"/>
        <w:rPr>
          <w:sz w:val="24"/>
        </w:rPr>
      </w:pPr>
      <w:r>
        <w:rPr>
          <w:w w:val="125"/>
          <w:sz w:val="24"/>
        </w:rPr>
        <w:t>A bankképviselet öt munkanapon belül bejelenti a Felügyeletnek a bankképviselet áthelyezését vagy megszüntetését, illetve a képviseletet ellátó személy</w:t>
      </w:r>
      <w:r>
        <w:rPr>
          <w:spacing w:val="1"/>
          <w:w w:val="125"/>
          <w:sz w:val="24"/>
        </w:rPr>
        <w:t> </w:t>
      </w:r>
      <w:r>
        <w:rPr>
          <w:w w:val="125"/>
          <w:sz w:val="24"/>
        </w:rPr>
        <w:t>megváltozását.</w:t>
      </w:r>
    </w:p>
    <w:p>
      <w:pPr>
        <w:pStyle w:val="ListParagraph"/>
        <w:numPr>
          <w:ilvl w:val="0"/>
          <w:numId w:val="138"/>
        </w:numPr>
        <w:tabs>
          <w:tab w:pos="768" w:val="left" w:leader="none"/>
        </w:tabs>
        <w:spacing w:line="225" w:lineRule="auto" w:before="1" w:after="0"/>
        <w:ind w:left="113" w:right="124" w:firstLine="204"/>
        <w:jc w:val="both"/>
        <w:rPr>
          <w:sz w:val="24"/>
        </w:rPr>
      </w:pPr>
      <w:r>
        <w:rPr>
          <w:w w:val="130"/>
          <w:sz w:val="24"/>
        </w:rPr>
        <w:t>Ha a bankképviselet a 43. § (1) bekezdésében meghatározottaknak nem felel</w:t>
      </w:r>
      <w:r>
        <w:rPr>
          <w:spacing w:val="-20"/>
          <w:w w:val="130"/>
          <w:sz w:val="24"/>
        </w:rPr>
        <w:t> </w:t>
      </w:r>
      <w:r>
        <w:rPr>
          <w:w w:val="130"/>
          <w:sz w:val="24"/>
        </w:rPr>
        <w:t>meg,</w:t>
      </w:r>
      <w:r>
        <w:rPr>
          <w:spacing w:val="-19"/>
          <w:w w:val="130"/>
          <w:sz w:val="24"/>
        </w:rPr>
        <w:t> </w:t>
      </w:r>
      <w:r>
        <w:rPr>
          <w:w w:val="130"/>
          <w:sz w:val="24"/>
        </w:rPr>
        <w:t>a</w:t>
      </w:r>
      <w:r>
        <w:rPr>
          <w:spacing w:val="-20"/>
          <w:w w:val="130"/>
          <w:sz w:val="24"/>
        </w:rPr>
        <w:t> </w:t>
      </w:r>
      <w:r>
        <w:rPr>
          <w:w w:val="130"/>
          <w:sz w:val="24"/>
        </w:rPr>
        <w:t>Felügyelet</w:t>
      </w:r>
      <w:r>
        <w:rPr>
          <w:spacing w:val="-19"/>
          <w:w w:val="130"/>
          <w:sz w:val="24"/>
        </w:rPr>
        <w:t> </w:t>
      </w:r>
      <w:r>
        <w:rPr>
          <w:w w:val="130"/>
          <w:sz w:val="24"/>
        </w:rPr>
        <w:t>a</w:t>
      </w:r>
      <w:r>
        <w:rPr>
          <w:spacing w:val="-20"/>
          <w:w w:val="130"/>
          <w:sz w:val="24"/>
        </w:rPr>
        <w:t> </w:t>
      </w:r>
      <w:r>
        <w:rPr>
          <w:w w:val="130"/>
          <w:sz w:val="24"/>
        </w:rPr>
        <w:t>bankképviseletet</w:t>
      </w:r>
      <w:r>
        <w:rPr>
          <w:spacing w:val="-10"/>
          <w:w w:val="130"/>
          <w:sz w:val="24"/>
        </w:rPr>
        <w:t> </w:t>
      </w:r>
      <w:r>
        <w:rPr>
          <w:w w:val="130"/>
          <w:sz w:val="24"/>
        </w:rPr>
        <w:t>törli</w:t>
      </w:r>
      <w:r>
        <w:rPr>
          <w:spacing w:val="-29"/>
          <w:w w:val="130"/>
          <w:sz w:val="24"/>
        </w:rPr>
        <w:t> </w:t>
      </w:r>
      <w:r>
        <w:rPr>
          <w:w w:val="130"/>
          <w:sz w:val="24"/>
        </w:rPr>
        <w:t>a</w:t>
      </w:r>
      <w:r>
        <w:rPr>
          <w:spacing w:val="-19"/>
          <w:w w:val="130"/>
          <w:sz w:val="24"/>
        </w:rPr>
        <w:t> </w:t>
      </w:r>
      <w:r>
        <w:rPr>
          <w:w w:val="130"/>
          <w:sz w:val="24"/>
        </w:rPr>
        <w:t>nyilvántartásából,</w:t>
      </w:r>
      <w:r>
        <w:rPr>
          <w:spacing w:val="-19"/>
          <w:w w:val="130"/>
          <w:sz w:val="24"/>
        </w:rPr>
        <w:t> </w:t>
      </w:r>
      <w:r>
        <w:rPr>
          <w:w w:val="130"/>
          <w:sz w:val="24"/>
        </w:rPr>
        <w:t>és</w:t>
      </w:r>
      <w:r>
        <w:rPr>
          <w:spacing w:val="-20"/>
          <w:w w:val="130"/>
          <w:sz w:val="24"/>
        </w:rPr>
        <w:t> </w:t>
      </w:r>
      <w:r>
        <w:rPr>
          <w:w w:val="130"/>
          <w:sz w:val="24"/>
        </w:rPr>
        <w:t>egyúttal eltiltja bankképviseleti tevékenységének</w:t>
      </w:r>
      <w:r>
        <w:rPr>
          <w:spacing w:val="-22"/>
          <w:w w:val="130"/>
          <w:sz w:val="24"/>
        </w:rPr>
        <w:t> </w:t>
      </w:r>
      <w:r>
        <w:rPr>
          <w:w w:val="130"/>
          <w:sz w:val="24"/>
        </w:rPr>
        <w:t>gyakorlásától.</w:t>
      </w:r>
    </w:p>
    <w:p>
      <w:pPr>
        <w:pStyle w:val="Heading2"/>
        <w:numPr>
          <w:ilvl w:val="0"/>
          <w:numId w:val="1"/>
        </w:numPr>
        <w:tabs>
          <w:tab w:pos="4684" w:val="left" w:leader="none"/>
        </w:tabs>
        <w:spacing w:line="240" w:lineRule="auto" w:before="233" w:after="0"/>
        <w:ind w:left="4683" w:right="0" w:hanging="464"/>
        <w:jc w:val="left"/>
      </w:pPr>
      <w:r>
        <w:rPr>
          <w:w w:val="110"/>
        </w:rPr>
        <w:t>Fejezet</w:t>
      </w:r>
    </w:p>
    <w:p>
      <w:pPr>
        <w:pStyle w:val="BodyText"/>
        <w:spacing w:before="1"/>
        <w:ind w:left="0" w:firstLine="0"/>
        <w:rPr>
          <w:rFonts w:ascii="Georgia-BoldItalic"/>
          <w:b/>
          <w:i/>
          <w:sz w:val="41"/>
        </w:rPr>
      </w:pPr>
    </w:p>
    <w:p>
      <w:pPr>
        <w:spacing w:before="0"/>
        <w:ind w:left="1664" w:right="0" w:firstLine="0"/>
        <w:jc w:val="left"/>
        <w:rPr>
          <w:rFonts w:ascii="Georgia-BoldItalic" w:hAnsi="Georgia-BoldItalic"/>
          <w:b/>
          <w:i/>
          <w:sz w:val="24"/>
        </w:rPr>
      </w:pPr>
      <w:r>
        <w:rPr>
          <w:rFonts w:ascii="Georgia-BoldItalic" w:hAnsi="Georgia-BoldItalic"/>
          <w:b/>
          <w:i/>
          <w:w w:val="105"/>
          <w:sz w:val="24"/>
        </w:rPr>
        <w:t>Pénzügyi intézmény jogutód nélküli megszűnése</w:t>
      </w:r>
    </w:p>
    <w:p>
      <w:pPr>
        <w:pStyle w:val="BodyText"/>
        <w:spacing w:before="9"/>
        <w:ind w:left="0" w:firstLine="0"/>
        <w:rPr>
          <w:rFonts w:ascii="Georgia-BoldItalic"/>
          <w:b/>
          <w:i/>
          <w:sz w:val="40"/>
        </w:rPr>
      </w:pPr>
    </w:p>
    <w:p>
      <w:pPr>
        <w:pStyle w:val="BodyText"/>
        <w:ind w:left="3226" w:firstLine="0"/>
      </w:pPr>
      <w:r>
        <w:rPr>
          <w:w w:val="125"/>
        </w:rPr>
        <w:t>23. Általános rendelkezések</w:t>
      </w:r>
    </w:p>
    <w:p>
      <w:pPr>
        <w:pStyle w:val="ListParagraph"/>
        <w:numPr>
          <w:ilvl w:val="0"/>
          <w:numId w:val="100"/>
        </w:numPr>
        <w:tabs>
          <w:tab w:pos="827" w:val="left" w:leader="none"/>
        </w:tabs>
        <w:spacing w:line="225" w:lineRule="auto" w:before="236" w:after="0"/>
        <w:ind w:left="113" w:right="124" w:firstLine="204"/>
        <w:jc w:val="both"/>
        <w:rPr>
          <w:sz w:val="24"/>
        </w:rPr>
      </w:pPr>
      <w:r>
        <w:rPr>
          <w:rFonts w:ascii="Arial" w:hAnsi="Arial"/>
          <w:b/>
          <w:w w:val="120"/>
          <w:sz w:val="24"/>
        </w:rPr>
        <w:t>§ </w:t>
      </w:r>
      <w:r>
        <w:rPr>
          <w:w w:val="120"/>
          <w:sz w:val="24"/>
        </w:rPr>
        <w:t>(1)</w:t>
      </w:r>
      <w:r>
        <w:rPr>
          <w:i/>
          <w:w w:val="120"/>
          <w:position w:val="3"/>
          <w:sz w:val="18"/>
        </w:rPr>
        <w:t>3 </w:t>
      </w:r>
      <w:r>
        <w:rPr>
          <w:w w:val="120"/>
          <w:sz w:val="24"/>
        </w:rPr>
        <w:t>A részvénytársasági vagy szövetkezeti formában működő pénzügyi intézmény végelszámolására vagy felszámolására - ide nem értve a kizárólag csoportfinanszírozást végző pénzügyi vállalkozást - a csődeljárásról és a felszámolási eljárásról szóló 1991. évi XLIX. törvény (a továbbiakban: Cstv.), a cégnyilvánosságról, a bírósági cégeljárásról és a  végelszámolásról  szóló  2006. évi V. törvény (a továbbiakban: Ctv.), és a Ptk. jogi személyekre vonatkozó rendelkezéseit, a fióktelep formájában működő pénzügyi intézmény végelszámolására vagy felszámolására az Fkt. rendelkezéseit az e törvényben foglalt eltérésekkel szükséges</w:t>
      </w:r>
      <w:r>
        <w:rPr>
          <w:spacing w:val="29"/>
          <w:w w:val="120"/>
          <w:sz w:val="24"/>
        </w:rPr>
        <w:t> </w:t>
      </w:r>
      <w:r>
        <w:rPr>
          <w:w w:val="120"/>
          <w:sz w:val="24"/>
        </w:rPr>
        <w:t>alkalmazni.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11"/>
        </w:rPr>
      </w:pPr>
      <w:r>
        <w:rPr/>
        <w:pict>
          <v:line style="position:absolute;mso-position-horizontal-relative:page;mso-position-vertical-relative:paragraph;z-index:-112;mso-wrap-distance-left:0;mso-wrap-distance-right:0" from="56.693001pt,8.906878pt" to="538.583001pt,8.906878pt" stroked="true" strokeweight=".5pt" strokecolor="#000000">
            <v:stroke dashstyle="solid"/>
            <w10:wrap type="topAndBottom"/>
          </v:line>
        </w:pict>
      </w:r>
    </w:p>
    <w:p>
      <w:pPr>
        <w:pStyle w:val="ListParagraph"/>
        <w:numPr>
          <w:ilvl w:val="0"/>
          <w:numId w:val="139"/>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194. §. Hatályos: 2015. VII.</w:t>
      </w:r>
      <w:r>
        <w:rPr>
          <w:i/>
          <w:spacing w:val="-23"/>
          <w:w w:val="125"/>
          <w:sz w:val="18"/>
        </w:rPr>
        <w:t> </w:t>
      </w:r>
      <w:r>
        <w:rPr>
          <w:i/>
          <w:w w:val="125"/>
          <w:sz w:val="18"/>
        </w:rPr>
        <w:t>7-től.</w:t>
      </w:r>
    </w:p>
    <w:p>
      <w:pPr>
        <w:pStyle w:val="ListParagraph"/>
        <w:numPr>
          <w:ilvl w:val="0"/>
          <w:numId w:val="139"/>
        </w:numPr>
        <w:tabs>
          <w:tab w:pos="686" w:val="left" w:leader="none"/>
          <w:tab w:pos="687" w:val="left" w:leader="none"/>
        </w:tabs>
        <w:spacing w:line="200" w:lineRule="exact" w:before="0" w:after="0"/>
        <w:ind w:left="686" w:right="0" w:hanging="344"/>
        <w:jc w:val="left"/>
        <w:rPr>
          <w:i/>
          <w:sz w:val="18"/>
        </w:rPr>
      </w:pPr>
      <w:r>
        <w:rPr>
          <w:i/>
          <w:w w:val="125"/>
          <w:sz w:val="18"/>
        </w:rPr>
        <w:t>Módosította: 2015. évi LXXXV. törvény 237. §</w:t>
      </w:r>
      <w:r>
        <w:rPr>
          <w:i/>
          <w:spacing w:val="-5"/>
          <w:w w:val="125"/>
          <w:sz w:val="18"/>
        </w:rPr>
        <w:t> </w:t>
      </w:r>
      <w:r>
        <w:rPr>
          <w:i/>
          <w:w w:val="125"/>
          <w:sz w:val="18"/>
        </w:rPr>
        <w:t>b).</w:t>
      </w:r>
    </w:p>
    <w:p>
      <w:pPr>
        <w:pStyle w:val="ListParagraph"/>
        <w:numPr>
          <w:ilvl w:val="0"/>
          <w:numId w:val="139"/>
        </w:numPr>
        <w:tabs>
          <w:tab w:pos="686" w:val="left" w:leader="none"/>
          <w:tab w:pos="687" w:val="left" w:leader="none"/>
        </w:tabs>
        <w:spacing w:line="203" w:lineRule="exact" w:before="0" w:after="0"/>
        <w:ind w:left="686" w:right="0" w:hanging="344"/>
        <w:jc w:val="left"/>
        <w:rPr>
          <w:i/>
          <w:sz w:val="18"/>
        </w:rPr>
      </w:pPr>
      <w:r>
        <w:rPr>
          <w:i/>
          <w:w w:val="125"/>
          <w:sz w:val="18"/>
        </w:rPr>
        <w:t>Módosította: ugyane törvény 306. § (8) f).</w:t>
      </w:r>
    </w:p>
    <w:p>
      <w:pPr>
        <w:spacing w:after="0" w:line="203" w:lineRule="exact"/>
        <w:jc w:val="left"/>
        <w:rPr>
          <w:sz w:val="18"/>
        </w:rPr>
        <w:sectPr>
          <w:pgSz w:w="11900" w:h="16820"/>
          <w:pgMar w:header="1104" w:footer="0" w:top="1840" w:bottom="280" w:left="1020" w:right="1000"/>
        </w:sectPr>
      </w:pPr>
    </w:p>
    <w:p>
      <w:pPr>
        <w:pStyle w:val="ListParagraph"/>
        <w:numPr>
          <w:ilvl w:val="0"/>
          <w:numId w:val="140"/>
        </w:numPr>
        <w:tabs>
          <w:tab w:pos="752" w:val="left" w:leader="none"/>
        </w:tabs>
        <w:spacing w:line="225" w:lineRule="auto" w:before="173" w:after="0"/>
        <w:ind w:left="113" w:right="127" w:firstLine="204"/>
        <w:jc w:val="both"/>
        <w:rPr>
          <w:sz w:val="24"/>
        </w:rPr>
      </w:pPr>
      <w:r>
        <w:rPr>
          <w:w w:val="125"/>
          <w:sz w:val="24"/>
        </w:rPr>
        <w:t>Pénzügyi intézmény felszámolójának vagy végelszámolójának kizárólag a Magyar</w:t>
      </w:r>
      <w:r>
        <w:rPr>
          <w:spacing w:val="-21"/>
          <w:w w:val="125"/>
          <w:sz w:val="24"/>
        </w:rPr>
        <w:t> </w:t>
      </w:r>
      <w:r>
        <w:rPr>
          <w:w w:val="125"/>
          <w:sz w:val="24"/>
        </w:rPr>
        <w:t>Nemzeti</w:t>
      </w:r>
      <w:r>
        <w:rPr>
          <w:spacing w:val="-20"/>
          <w:w w:val="125"/>
          <w:sz w:val="24"/>
        </w:rPr>
        <w:t> </w:t>
      </w:r>
      <w:r>
        <w:rPr>
          <w:w w:val="125"/>
          <w:sz w:val="24"/>
        </w:rPr>
        <w:t>Bankról</w:t>
      </w:r>
      <w:r>
        <w:rPr>
          <w:spacing w:val="-21"/>
          <w:w w:val="125"/>
          <w:sz w:val="24"/>
        </w:rPr>
        <w:t> </w:t>
      </w:r>
      <w:r>
        <w:rPr>
          <w:w w:val="125"/>
          <w:sz w:val="24"/>
        </w:rPr>
        <w:t>szóló</w:t>
      </w:r>
      <w:r>
        <w:rPr>
          <w:spacing w:val="-20"/>
          <w:w w:val="125"/>
          <w:sz w:val="24"/>
        </w:rPr>
        <w:t> </w:t>
      </w:r>
      <w:r>
        <w:rPr>
          <w:w w:val="125"/>
          <w:sz w:val="24"/>
        </w:rPr>
        <w:t>2013.</w:t>
      </w:r>
      <w:r>
        <w:rPr>
          <w:spacing w:val="-21"/>
          <w:w w:val="125"/>
          <w:sz w:val="24"/>
        </w:rPr>
        <w:t> </w:t>
      </w:r>
      <w:r>
        <w:rPr>
          <w:w w:val="125"/>
          <w:sz w:val="24"/>
        </w:rPr>
        <w:t>évi</w:t>
      </w:r>
      <w:r>
        <w:rPr>
          <w:spacing w:val="-20"/>
          <w:w w:val="125"/>
          <w:sz w:val="24"/>
        </w:rPr>
        <w:t> </w:t>
      </w:r>
      <w:r>
        <w:rPr>
          <w:w w:val="125"/>
          <w:sz w:val="24"/>
        </w:rPr>
        <w:t>CXXXIX.</w:t>
      </w:r>
      <w:r>
        <w:rPr>
          <w:spacing w:val="-21"/>
          <w:w w:val="125"/>
          <w:sz w:val="24"/>
        </w:rPr>
        <w:t> </w:t>
      </w:r>
      <w:r>
        <w:rPr>
          <w:w w:val="125"/>
          <w:sz w:val="24"/>
        </w:rPr>
        <w:t>törvényben</w:t>
      </w:r>
      <w:r>
        <w:rPr>
          <w:spacing w:val="-20"/>
          <w:w w:val="125"/>
          <w:sz w:val="24"/>
        </w:rPr>
        <w:t> </w:t>
      </w:r>
      <w:r>
        <w:rPr>
          <w:w w:val="125"/>
          <w:sz w:val="24"/>
        </w:rPr>
        <w:t>(a</w:t>
      </w:r>
      <w:r>
        <w:rPr>
          <w:spacing w:val="-21"/>
          <w:w w:val="125"/>
          <w:sz w:val="24"/>
        </w:rPr>
        <w:t> </w:t>
      </w:r>
      <w:r>
        <w:rPr>
          <w:w w:val="125"/>
          <w:sz w:val="24"/>
        </w:rPr>
        <w:t>továbbiakban: MNB tv.) meghatározott szervezetek felszámolását végző, nonprofit gazdasági társaság rendelhető</w:t>
      </w:r>
      <w:r>
        <w:rPr>
          <w:spacing w:val="3"/>
          <w:w w:val="125"/>
          <w:sz w:val="24"/>
        </w:rPr>
        <w:t> </w:t>
      </w:r>
      <w:r>
        <w:rPr>
          <w:w w:val="125"/>
          <w:sz w:val="24"/>
        </w:rPr>
        <w:t>ki.</w:t>
      </w:r>
    </w:p>
    <w:p>
      <w:pPr>
        <w:pStyle w:val="ListParagraph"/>
        <w:numPr>
          <w:ilvl w:val="0"/>
          <w:numId w:val="140"/>
        </w:numPr>
        <w:tabs>
          <w:tab w:pos="820" w:val="left" w:leader="none"/>
        </w:tabs>
        <w:spacing w:line="225" w:lineRule="auto" w:before="2" w:after="0"/>
        <w:ind w:left="113" w:right="124" w:firstLine="204"/>
        <w:jc w:val="both"/>
        <w:rPr>
          <w:sz w:val="24"/>
        </w:rPr>
      </w:pPr>
      <w:r>
        <w:rPr>
          <w:w w:val="125"/>
          <w:sz w:val="24"/>
        </w:rPr>
        <w:t>A (2) bekezdés szerinti nonprofit gazdasági társaságot - ha törvény másként nem rendelkezik - kizárólag pénzügyi intézmény felszámolására, illetve végelszámolására lehet kijelölni.</w:t>
      </w:r>
    </w:p>
    <w:p>
      <w:pPr>
        <w:pStyle w:val="ListParagraph"/>
        <w:numPr>
          <w:ilvl w:val="0"/>
          <w:numId w:val="140"/>
        </w:numPr>
        <w:tabs>
          <w:tab w:pos="871" w:val="left" w:leader="none"/>
        </w:tabs>
        <w:spacing w:line="225" w:lineRule="auto" w:before="2" w:after="0"/>
        <w:ind w:left="113" w:right="130" w:firstLine="204"/>
        <w:jc w:val="both"/>
        <w:rPr>
          <w:sz w:val="24"/>
        </w:rPr>
      </w:pPr>
      <w:r>
        <w:rPr>
          <w:w w:val="130"/>
          <w:sz w:val="24"/>
        </w:rPr>
        <w:t>Ha a cégbíróság a pénzügyi intézményt törvényességi felügyeleti jogkörében</w:t>
      </w:r>
      <w:r>
        <w:rPr>
          <w:spacing w:val="-25"/>
          <w:w w:val="130"/>
          <w:sz w:val="24"/>
        </w:rPr>
        <w:t> </w:t>
      </w:r>
      <w:r>
        <w:rPr>
          <w:w w:val="130"/>
          <w:sz w:val="24"/>
        </w:rPr>
        <w:t>megszűntnek</w:t>
      </w:r>
      <w:r>
        <w:rPr>
          <w:spacing w:val="-24"/>
          <w:w w:val="130"/>
          <w:sz w:val="24"/>
        </w:rPr>
        <w:t> </w:t>
      </w:r>
      <w:r>
        <w:rPr>
          <w:w w:val="130"/>
          <w:sz w:val="24"/>
        </w:rPr>
        <w:t>nyilvánítja,</w:t>
      </w:r>
      <w:r>
        <w:rPr>
          <w:spacing w:val="-25"/>
          <w:w w:val="130"/>
          <w:sz w:val="24"/>
        </w:rPr>
        <w:t> </w:t>
      </w:r>
      <w:r>
        <w:rPr>
          <w:w w:val="130"/>
          <w:sz w:val="24"/>
        </w:rPr>
        <w:t>akkor</w:t>
      </w:r>
      <w:r>
        <w:rPr>
          <w:spacing w:val="-24"/>
          <w:w w:val="130"/>
          <w:sz w:val="24"/>
        </w:rPr>
        <w:t> </w:t>
      </w:r>
      <w:r>
        <w:rPr>
          <w:w w:val="130"/>
          <w:sz w:val="24"/>
        </w:rPr>
        <w:t>kényszertörlési</w:t>
      </w:r>
      <w:r>
        <w:rPr>
          <w:spacing w:val="-25"/>
          <w:w w:val="130"/>
          <w:sz w:val="24"/>
        </w:rPr>
        <w:t> </w:t>
      </w:r>
      <w:r>
        <w:rPr>
          <w:w w:val="130"/>
          <w:sz w:val="24"/>
        </w:rPr>
        <w:t>eljárás</w:t>
      </w:r>
      <w:r>
        <w:rPr>
          <w:spacing w:val="-24"/>
          <w:w w:val="130"/>
          <w:sz w:val="24"/>
        </w:rPr>
        <w:t> </w:t>
      </w:r>
      <w:r>
        <w:rPr>
          <w:w w:val="130"/>
          <w:sz w:val="24"/>
        </w:rPr>
        <w:t>elrendelése helyett a végelszámolás e törvény szerinti elrendelése érdekében megkeresi a Felügyeletet.</w:t>
      </w:r>
    </w:p>
    <w:p>
      <w:pPr>
        <w:pStyle w:val="ListParagraph"/>
        <w:numPr>
          <w:ilvl w:val="0"/>
          <w:numId w:val="140"/>
        </w:numPr>
        <w:tabs>
          <w:tab w:pos="756" w:val="left" w:leader="none"/>
        </w:tabs>
        <w:spacing w:line="225" w:lineRule="auto" w:before="2" w:after="0"/>
        <w:ind w:left="113" w:right="131" w:firstLine="204"/>
        <w:jc w:val="both"/>
        <w:rPr>
          <w:sz w:val="24"/>
        </w:rPr>
      </w:pPr>
      <w:r>
        <w:rPr>
          <w:w w:val="125"/>
          <w:sz w:val="24"/>
        </w:rPr>
        <w:t>A pénzügyi intézmény tevékenységi engedélyének visszavonása esetén a pénzügyi szolgáltatásra vonatkozó  szerződésből  eredő  kötelezettségeit, ideérve a pénzügyi szolgáltatással kapcsolatban jogszabály alapján fennálló egyéb kötelezettségeket azok megszűnéséig vagy az állomány átruházásáig a pénzügyi intézmény</w:t>
      </w:r>
      <w:r>
        <w:rPr>
          <w:spacing w:val="1"/>
          <w:w w:val="125"/>
          <w:sz w:val="24"/>
        </w:rPr>
        <w:t> </w:t>
      </w:r>
      <w:r>
        <w:rPr>
          <w:w w:val="125"/>
          <w:sz w:val="24"/>
        </w:rPr>
        <w:t>teljesíti.</w:t>
      </w:r>
    </w:p>
    <w:p>
      <w:pPr>
        <w:pStyle w:val="ListParagraph"/>
        <w:numPr>
          <w:ilvl w:val="0"/>
          <w:numId w:val="140"/>
        </w:numPr>
        <w:tabs>
          <w:tab w:pos="1030" w:val="left" w:leader="none"/>
        </w:tabs>
        <w:spacing w:line="225" w:lineRule="auto" w:before="3" w:after="0"/>
        <w:ind w:left="113" w:right="127" w:firstLine="204"/>
        <w:jc w:val="both"/>
        <w:rPr>
          <w:sz w:val="24"/>
        </w:rPr>
      </w:pPr>
      <w:r>
        <w:rPr>
          <w:w w:val="130"/>
          <w:sz w:val="24"/>
        </w:rPr>
        <w:t>A pénzügyi intézmény az (5)</w:t>
      </w:r>
      <w:r>
        <w:rPr>
          <w:spacing w:val="78"/>
          <w:w w:val="130"/>
          <w:sz w:val="24"/>
        </w:rPr>
        <w:t> </w:t>
      </w:r>
      <w:r>
        <w:rPr>
          <w:w w:val="130"/>
          <w:sz w:val="24"/>
        </w:rPr>
        <w:t>bekezdésben meghatározott kötelezettségeinek teljesítését az e törvényben vagy más a pénzügyi szolgáltatási tevékenységre vonatkozó jogszabályban meghatározott rendelkezések betartását a Felügyelet</w:t>
      </w:r>
      <w:r>
        <w:rPr>
          <w:spacing w:val="-15"/>
          <w:w w:val="130"/>
          <w:sz w:val="24"/>
        </w:rPr>
        <w:t> </w:t>
      </w:r>
      <w:r>
        <w:rPr>
          <w:w w:val="130"/>
          <w:sz w:val="24"/>
        </w:rPr>
        <w:t>ellenőrzi.</w:t>
      </w:r>
    </w:p>
    <w:p>
      <w:pPr>
        <w:pStyle w:val="BodyText"/>
        <w:spacing w:before="229"/>
        <w:ind w:left="3806" w:firstLine="0"/>
      </w:pPr>
      <w:r>
        <w:rPr>
          <w:w w:val="125"/>
        </w:rPr>
        <w:t>24. Végelszámolás</w:t>
      </w:r>
    </w:p>
    <w:p>
      <w:pPr>
        <w:pStyle w:val="ListParagraph"/>
        <w:numPr>
          <w:ilvl w:val="0"/>
          <w:numId w:val="100"/>
        </w:numPr>
        <w:tabs>
          <w:tab w:pos="983" w:val="left" w:leader="none"/>
        </w:tabs>
        <w:spacing w:line="225" w:lineRule="auto" w:before="236" w:after="0"/>
        <w:ind w:left="113" w:right="139" w:firstLine="204"/>
        <w:jc w:val="both"/>
        <w:rPr>
          <w:sz w:val="24"/>
        </w:rPr>
      </w:pPr>
      <w:r>
        <w:rPr>
          <w:rFonts w:ascii="Arial" w:hAnsi="Arial"/>
          <w:b/>
          <w:w w:val="125"/>
          <w:sz w:val="24"/>
        </w:rPr>
        <w:t>§ </w:t>
      </w:r>
      <w:r>
        <w:rPr>
          <w:w w:val="125"/>
          <w:sz w:val="24"/>
        </w:rPr>
        <w:t>(1) Pénzügyi intézményre vonatkozó végelszámolást elrendelő határozatot kizárólag a Felügyelet</w:t>
      </w:r>
      <w:r>
        <w:rPr>
          <w:spacing w:val="7"/>
          <w:w w:val="125"/>
          <w:sz w:val="24"/>
        </w:rPr>
        <w:t> </w:t>
      </w:r>
      <w:r>
        <w:rPr>
          <w:w w:val="125"/>
          <w:sz w:val="24"/>
        </w:rPr>
        <w:t>hozhat.</w:t>
      </w:r>
    </w:p>
    <w:p>
      <w:pPr>
        <w:pStyle w:val="ListParagraph"/>
        <w:numPr>
          <w:ilvl w:val="0"/>
          <w:numId w:val="141"/>
        </w:numPr>
        <w:tabs>
          <w:tab w:pos="734" w:val="left" w:leader="none"/>
        </w:tabs>
        <w:spacing w:line="249" w:lineRule="exact" w:before="0" w:after="0"/>
        <w:ind w:left="733" w:right="0" w:hanging="416"/>
        <w:jc w:val="left"/>
        <w:rPr>
          <w:sz w:val="24"/>
        </w:rPr>
      </w:pPr>
      <w:r>
        <w:rPr>
          <w:w w:val="125"/>
          <w:sz w:val="24"/>
        </w:rPr>
        <w:t>A Felügyelet végelszámolást elrendelő határozatot hoz,</w:t>
      </w:r>
      <w:r>
        <w:rPr>
          <w:spacing w:val="14"/>
          <w:w w:val="125"/>
          <w:sz w:val="24"/>
        </w:rPr>
        <w:t> </w:t>
      </w:r>
      <w:r>
        <w:rPr>
          <w:w w:val="125"/>
          <w:sz w:val="24"/>
        </w:rPr>
        <w:t>ha</w:t>
      </w:r>
    </w:p>
    <w:p>
      <w:pPr>
        <w:pStyle w:val="ListParagraph"/>
        <w:numPr>
          <w:ilvl w:val="0"/>
          <w:numId w:val="142"/>
        </w:numPr>
        <w:tabs>
          <w:tab w:pos="556" w:val="left" w:leader="none"/>
        </w:tabs>
        <w:spacing w:line="261" w:lineRule="exact" w:before="0" w:after="0"/>
        <w:ind w:left="555" w:right="0" w:hanging="238"/>
        <w:jc w:val="left"/>
        <w:rPr>
          <w:sz w:val="24"/>
        </w:rPr>
      </w:pPr>
      <w:r>
        <w:rPr>
          <w:i/>
          <w:w w:val="125"/>
          <w:position w:val="3"/>
          <w:sz w:val="18"/>
        </w:rPr>
        <w:t>1</w:t>
      </w:r>
      <w:r>
        <w:rPr>
          <w:i/>
          <w:spacing w:val="32"/>
          <w:w w:val="125"/>
          <w:position w:val="3"/>
          <w:sz w:val="18"/>
        </w:rPr>
        <w:t> </w:t>
      </w:r>
      <w:r>
        <w:rPr>
          <w:w w:val="125"/>
          <w:sz w:val="24"/>
        </w:rPr>
        <w:t>a</w:t>
      </w:r>
      <w:r>
        <w:rPr>
          <w:spacing w:val="44"/>
          <w:w w:val="125"/>
          <w:sz w:val="24"/>
        </w:rPr>
        <w:t> </w:t>
      </w:r>
      <w:r>
        <w:rPr>
          <w:w w:val="125"/>
          <w:sz w:val="24"/>
        </w:rPr>
        <w:t>pénzügyi</w:t>
      </w:r>
      <w:r>
        <w:rPr>
          <w:spacing w:val="48"/>
          <w:w w:val="125"/>
          <w:sz w:val="24"/>
        </w:rPr>
        <w:t> </w:t>
      </w:r>
      <w:r>
        <w:rPr>
          <w:w w:val="125"/>
          <w:sz w:val="24"/>
        </w:rPr>
        <w:t>intézmény</w:t>
      </w:r>
      <w:r>
        <w:rPr>
          <w:spacing w:val="47"/>
          <w:w w:val="125"/>
          <w:sz w:val="24"/>
        </w:rPr>
        <w:t> </w:t>
      </w:r>
      <w:r>
        <w:rPr>
          <w:w w:val="125"/>
          <w:sz w:val="24"/>
        </w:rPr>
        <w:t>tevékenységi</w:t>
      </w:r>
      <w:r>
        <w:rPr>
          <w:spacing w:val="47"/>
          <w:w w:val="125"/>
          <w:sz w:val="24"/>
        </w:rPr>
        <w:t> </w:t>
      </w:r>
      <w:r>
        <w:rPr>
          <w:w w:val="125"/>
          <w:sz w:val="24"/>
        </w:rPr>
        <w:t>engedélyét</w:t>
      </w:r>
      <w:r>
        <w:rPr>
          <w:spacing w:val="47"/>
          <w:w w:val="125"/>
          <w:sz w:val="24"/>
        </w:rPr>
        <w:t> </w:t>
      </w:r>
      <w:r>
        <w:rPr>
          <w:w w:val="125"/>
          <w:sz w:val="24"/>
        </w:rPr>
        <w:t>-</w:t>
      </w:r>
      <w:r>
        <w:rPr>
          <w:spacing w:val="47"/>
          <w:w w:val="125"/>
          <w:sz w:val="24"/>
        </w:rPr>
        <w:t> </w:t>
      </w:r>
      <w:r>
        <w:rPr>
          <w:w w:val="125"/>
          <w:sz w:val="24"/>
        </w:rPr>
        <w:t>ide</w:t>
      </w:r>
      <w:r>
        <w:rPr>
          <w:spacing w:val="47"/>
          <w:w w:val="125"/>
          <w:sz w:val="24"/>
        </w:rPr>
        <w:t> </w:t>
      </w:r>
      <w:r>
        <w:rPr>
          <w:w w:val="125"/>
          <w:sz w:val="24"/>
        </w:rPr>
        <w:t>nem</w:t>
      </w:r>
      <w:r>
        <w:rPr>
          <w:spacing w:val="48"/>
          <w:w w:val="125"/>
          <w:sz w:val="24"/>
        </w:rPr>
        <w:t> </w:t>
      </w:r>
      <w:r>
        <w:rPr>
          <w:w w:val="125"/>
          <w:sz w:val="24"/>
        </w:rPr>
        <w:t>értve</w:t>
      </w:r>
      <w:r>
        <w:rPr>
          <w:spacing w:val="48"/>
          <w:w w:val="125"/>
          <w:sz w:val="24"/>
        </w:rPr>
        <w:t> </w:t>
      </w:r>
      <w:r>
        <w:rPr>
          <w:w w:val="125"/>
          <w:sz w:val="24"/>
        </w:rPr>
        <w:t>a</w:t>
      </w:r>
    </w:p>
    <w:p>
      <w:pPr>
        <w:pStyle w:val="BodyText"/>
        <w:spacing w:line="225" w:lineRule="auto" w:before="12"/>
        <w:ind w:right="126" w:firstLine="0"/>
        <w:jc w:val="both"/>
      </w:pPr>
      <w:r>
        <w:rPr>
          <w:w w:val="125"/>
        </w:rPr>
        <w:t>hitelintézet pénzügyi vállalkozássá vagy befektetési vállalkozássá történő átalakítását - visszavonja, kivéve ha az engedély visszavonása a 33. § (1) bekezdés </w:t>
      </w:r>
      <w:r>
        <w:rPr>
          <w:i/>
          <w:w w:val="125"/>
        </w:rPr>
        <w:t>b) </w:t>
      </w:r>
      <w:r>
        <w:rPr>
          <w:w w:val="125"/>
        </w:rPr>
        <w:t>pontja, 33. § (2) bekezdés </w:t>
      </w:r>
      <w:r>
        <w:rPr>
          <w:i/>
          <w:w w:val="125"/>
        </w:rPr>
        <w:t>c) </w:t>
      </w:r>
      <w:r>
        <w:rPr>
          <w:w w:val="125"/>
        </w:rPr>
        <w:t>pontja vagy 35. § (3) bekezdése alapján történik, vagy</w:t>
      </w:r>
    </w:p>
    <w:p>
      <w:pPr>
        <w:pStyle w:val="ListParagraph"/>
        <w:numPr>
          <w:ilvl w:val="0"/>
          <w:numId w:val="142"/>
        </w:numPr>
        <w:tabs>
          <w:tab w:pos="845" w:val="left" w:leader="none"/>
        </w:tabs>
        <w:spacing w:line="225" w:lineRule="auto" w:before="2" w:after="0"/>
        <w:ind w:left="113" w:right="129" w:firstLine="204"/>
        <w:jc w:val="both"/>
        <w:rPr>
          <w:sz w:val="24"/>
        </w:rPr>
      </w:pPr>
      <w:r>
        <w:rPr>
          <w:w w:val="125"/>
          <w:sz w:val="24"/>
        </w:rPr>
        <w:t>tudomására jut, hogy a külföldi pénzügyi intézmény alapítási, tevékenységi (működési) vagy a fióktelep formájában működő pénzügyi intézmény alapításra vonatkozó, a külföldi pénzügyi intézmény székhelye szerinti illetékes felügyeleti hatóság által kiadott engedélye visszavonásra  kerül.</w:t>
      </w:r>
    </w:p>
    <w:p>
      <w:pPr>
        <w:pStyle w:val="ListParagraph"/>
        <w:numPr>
          <w:ilvl w:val="0"/>
          <w:numId w:val="141"/>
        </w:numPr>
        <w:tabs>
          <w:tab w:pos="945" w:val="left" w:leader="none"/>
        </w:tabs>
        <w:spacing w:line="225" w:lineRule="auto" w:before="3" w:after="0"/>
        <w:ind w:left="113" w:right="124" w:firstLine="204"/>
        <w:jc w:val="both"/>
        <w:rPr>
          <w:sz w:val="24"/>
        </w:rPr>
      </w:pPr>
      <w:r>
        <w:rPr>
          <w:w w:val="125"/>
          <w:sz w:val="24"/>
        </w:rPr>
        <w:t>A Felügyelet végelszámolással történő megszüntetést elrendelő határozata meghozatalához nem szükséges beszerezni a Ctv. 94. § (3) bekezdésében meghatározott előzetes</w:t>
      </w:r>
      <w:r>
        <w:rPr>
          <w:spacing w:val="12"/>
          <w:w w:val="125"/>
          <w:sz w:val="24"/>
        </w:rPr>
        <w:t> </w:t>
      </w:r>
      <w:r>
        <w:rPr>
          <w:w w:val="125"/>
          <w:sz w:val="24"/>
        </w:rPr>
        <w:t>egyetértést.</w:t>
      </w:r>
    </w:p>
    <w:p>
      <w:pPr>
        <w:pStyle w:val="ListParagraph"/>
        <w:numPr>
          <w:ilvl w:val="0"/>
          <w:numId w:val="141"/>
        </w:numPr>
        <w:tabs>
          <w:tab w:pos="887" w:val="left" w:leader="none"/>
        </w:tabs>
        <w:spacing w:line="225" w:lineRule="auto" w:before="2" w:after="0"/>
        <w:ind w:left="113" w:right="137" w:firstLine="204"/>
        <w:jc w:val="both"/>
        <w:rPr>
          <w:sz w:val="24"/>
        </w:rPr>
      </w:pPr>
      <w:r>
        <w:rPr>
          <w:w w:val="125"/>
          <w:sz w:val="24"/>
        </w:rPr>
        <w:t>A Felügyelet a végelszámolást elrendelő határozatában kijelöli a végelszámolót, és meghatározza a végelszámolás kezdő időpontját, amely nem lehet korábbi, mint a határozat</w:t>
      </w:r>
      <w:r>
        <w:rPr>
          <w:spacing w:val="9"/>
          <w:w w:val="125"/>
          <w:sz w:val="24"/>
        </w:rPr>
        <w:t> </w:t>
      </w:r>
      <w:r>
        <w:rPr>
          <w:w w:val="125"/>
          <w:sz w:val="24"/>
        </w:rPr>
        <w:t>kelte.</w:t>
      </w:r>
    </w:p>
    <w:p>
      <w:pPr>
        <w:pStyle w:val="ListParagraph"/>
        <w:numPr>
          <w:ilvl w:val="0"/>
          <w:numId w:val="141"/>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Felügyelet a végelszámolást elrendelő határozat</w:t>
      </w:r>
      <w:r>
        <w:rPr>
          <w:spacing w:val="6"/>
          <w:w w:val="125"/>
          <w:sz w:val="24"/>
        </w:rPr>
        <w:t> </w:t>
      </w:r>
      <w:r>
        <w:rPr>
          <w:w w:val="125"/>
          <w:sz w:val="24"/>
        </w:rPr>
        <w:t>meghozatalával</w:t>
      </w:r>
    </w:p>
    <w:p>
      <w:pPr>
        <w:pStyle w:val="BodyText"/>
        <w:spacing w:line="225" w:lineRule="auto" w:before="12"/>
        <w:ind w:right="127" w:firstLine="0"/>
        <w:jc w:val="both"/>
      </w:pPr>
      <w:r>
        <w:rPr>
          <w:w w:val="130"/>
        </w:rPr>
        <w:t>egyidejűleg, ha a végelszámolás kezdő időpontja későbbi, mint a határozat kelte és korábban ez nem történt meg, akkor a pénzügyi intézmény irányítási jogkörrel</w:t>
      </w:r>
      <w:r>
        <w:rPr>
          <w:spacing w:val="-12"/>
          <w:w w:val="130"/>
        </w:rPr>
        <w:t> </w:t>
      </w:r>
      <w:r>
        <w:rPr>
          <w:w w:val="130"/>
        </w:rPr>
        <w:t>rendelkező</w:t>
      </w:r>
      <w:r>
        <w:rPr>
          <w:spacing w:val="-11"/>
          <w:w w:val="130"/>
        </w:rPr>
        <w:t> </w:t>
      </w:r>
      <w:r>
        <w:rPr>
          <w:w w:val="130"/>
        </w:rPr>
        <w:t>vezető</w:t>
      </w:r>
      <w:r>
        <w:rPr>
          <w:spacing w:val="-11"/>
          <w:w w:val="130"/>
        </w:rPr>
        <w:t> </w:t>
      </w:r>
      <w:r>
        <w:rPr>
          <w:w w:val="130"/>
        </w:rPr>
        <w:t>testülete</w:t>
      </w:r>
      <w:r>
        <w:rPr>
          <w:spacing w:val="-12"/>
          <w:w w:val="130"/>
        </w:rPr>
        <w:t> </w:t>
      </w:r>
      <w:r>
        <w:rPr>
          <w:w w:val="130"/>
        </w:rPr>
        <w:t>teljes</w:t>
      </w:r>
      <w:r>
        <w:rPr>
          <w:spacing w:val="-11"/>
          <w:w w:val="130"/>
        </w:rPr>
        <w:t> </w:t>
      </w:r>
      <w:r>
        <w:rPr>
          <w:w w:val="130"/>
        </w:rPr>
        <w:t>jogkörét</w:t>
      </w:r>
      <w:r>
        <w:rPr>
          <w:spacing w:val="-11"/>
          <w:w w:val="130"/>
        </w:rPr>
        <w:t> </w:t>
      </w:r>
      <w:r>
        <w:rPr>
          <w:w w:val="130"/>
        </w:rPr>
        <w:t>átvevő</w:t>
      </w:r>
      <w:r>
        <w:rPr>
          <w:spacing w:val="-12"/>
          <w:w w:val="130"/>
        </w:rPr>
        <w:t> </w:t>
      </w:r>
      <w:r>
        <w:rPr>
          <w:w w:val="130"/>
        </w:rPr>
        <w:t>felügyeleti</w:t>
      </w:r>
      <w:r>
        <w:rPr>
          <w:spacing w:val="-11"/>
          <w:w w:val="130"/>
        </w:rPr>
        <w:t> </w:t>
      </w:r>
      <w:r>
        <w:rPr>
          <w:w w:val="130"/>
        </w:rPr>
        <w:t>biztost rendelhet ki, akinek megbízatása a végelszámoló tevékenységének megkezdéséig</w:t>
      </w:r>
      <w:r>
        <w:rPr>
          <w:spacing w:val="-14"/>
          <w:w w:val="130"/>
        </w:rPr>
        <w:t> </w:t>
      </w:r>
      <w:r>
        <w:rPr>
          <w:w w:val="130"/>
        </w:rPr>
        <w:t>tart,</w:t>
      </w:r>
      <w:r>
        <w:rPr>
          <w:spacing w:val="-13"/>
          <w:w w:val="130"/>
        </w:rPr>
        <w:t> </w:t>
      </w:r>
      <w:r>
        <w:rPr>
          <w:w w:val="130"/>
        </w:rPr>
        <w:t>és</w:t>
      </w:r>
      <w:r>
        <w:rPr>
          <w:spacing w:val="-14"/>
          <w:w w:val="130"/>
        </w:rPr>
        <w:t> </w:t>
      </w:r>
      <w:r>
        <w:rPr>
          <w:w w:val="130"/>
        </w:rPr>
        <w:t>a</w:t>
      </w:r>
      <w:r>
        <w:rPr>
          <w:spacing w:val="-13"/>
          <w:w w:val="130"/>
        </w:rPr>
        <w:t> </w:t>
      </w:r>
      <w:r>
        <w:rPr>
          <w:w w:val="130"/>
        </w:rPr>
        <w:t>végelszámolás</w:t>
      </w:r>
      <w:r>
        <w:rPr>
          <w:spacing w:val="-15"/>
          <w:w w:val="130"/>
        </w:rPr>
        <w:t> </w:t>
      </w:r>
      <w:r>
        <w:rPr>
          <w:w w:val="130"/>
        </w:rPr>
        <w:t>kezdő</w:t>
      </w:r>
      <w:r>
        <w:rPr>
          <w:spacing w:val="-14"/>
          <w:w w:val="130"/>
        </w:rPr>
        <w:t> </w:t>
      </w:r>
      <w:r>
        <w:rPr>
          <w:w w:val="130"/>
        </w:rPr>
        <w:t>időpontjáig</w:t>
      </w:r>
      <w:r>
        <w:rPr>
          <w:spacing w:val="-8"/>
          <w:w w:val="130"/>
        </w:rPr>
        <w:t> </w:t>
      </w:r>
      <w:r>
        <w:rPr>
          <w:w w:val="130"/>
        </w:rPr>
        <w:t>teljes</w:t>
      </w:r>
      <w:r>
        <w:rPr>
          <w:spacing w:val="-19"/>
          <w:w w:val="130"/>
        </w:rPr>
        <w:t> </w:t>
      </w:r>
      <w:r>
        <w:rPr>
          <w:w w:val="130"/>
        </w:rPr>
        <w:t>körű</w:t>
      </w:r>
      <w:r>
        <w:rPr>
          <w:spacing w:val="-14"/>
          <w:w w:val="130"/>
        </w:rPr>
        <w:t> </w:t>
      </w:r>
      <w:r>
        <w:rPr>
          <w:w w:val="130"/>
        </w:rPr>
        <w:t>kifizetési tilalmat rendelhet</w:t>
      </w:r>
      <w:r>
        <w:rPr>
          <w:spacing w:val="-6"/>
          <w:w w:val="130"/>
        </w:rPr>
        <w:t> </w:t>
      </w:r>
      <w:r>
        <w:rPr>
          <w:w w:val="130"/>
        </w:rPr>
        <w:t>el.</w:t>
      </w:r>
    </w:p>
    <w:p>
      <w:pPr>
        <w:pStyle w:val="BodyText"/>
        <w:ind w:left="0" w:firstLine="0"/>
        <w:rPr>
          <w:sz w:val="20"/>
        </w:rPr>
      </w:pPr>
    </w:p>
    <w:p>
      <w:pPr>
        <w:pStyle w:val="BodyText"/>
        <w:spacing w:before="7"/>
        <w:ind w:left="0" w:firstLine="0"/>
        <w:rPr>
          <w:sz w:val="16"/>
        </w:rPr>
      </w:pPr>
      <w:r>
        <w:rPr/>
        <w:pict>
          <v:line style="position:absolute;mso-position-horizontal-relative:page;mso-position-vertical-relative:paragraph;z-index:-88;mso-wrap-distance-left:0;mso-wrap-distance-right:0" from="56.693001pt,11.791258pt" to="538.583001pt,11.791258pt" stroked="true" strokeweight=".5pt" strokecolor="#000000">
            <v:stroke dashstyle="solid"/>
            <w10:wrap type="topAndBottom"/>
          </v:line>
        </w:pict>
      </w:r>
    </w:p>
    <w:p>
      <w:pPr>
        <w:pStyle w:val="ListParagraph"/>
        <w:numPr>
          <w:ilvl w:val="0"/>
          <w:numId w:val="143"/>
        </w:numPr>
        <w:tabs>
          <w:tab w:pos="686" w:val="left" w:leader="none"/>
          <w:tab w:pos="687" w:val="left" w:leader="none"/>
        </w:tabs>
        <w:spacing w:line="203" w:lineRule="exact" w:before="44" w:after="0"/>
        <w:ind w:left="686" w:right="0" w:hanging="344"/>
        <w:jc w:val="left"/>
        <w:rPr>
          <w:i/>
          <w:sz w:val="18"/>
        </w:rPr>
      </w:pPr>
      <w:r>
        <w:rPr>
          <w:i/>
          <w:w w:val="125"/>
          <w:sz w:val="18"/>
        </w:rPr>
        <w:t>Módosította: 2018. évi CXXVI. törvény 120. §</w:t>
      </w:r>
      <w:r>
        <w:rPr>
          <w:i/>
          <w:spacing w:val="-5"/>
          <w:w w:val="125"/>
          <w:sz w:val="18"/>
        </w:rPr>
        <w:t> </w:t>
      </w:r>
      <w:r>
        <w:rPr>
          <w:i/>
          <w:w w:val="125"/>
          <w:sz w:val="18"/>
        </w:rPr>
        <w:t>2.</w:t>
      </w:r>
    </w:p>
    <w:p>
      <w:pPr>
        <w:pStyle w:val="ListParagraph"/>
        <w:numPr>
          <w:ilvl w:val="0"/>
          <w:numId w:val="143"/>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62.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41"/>
        </w:numPr>
        <w:tabs>
          <w:tab w:pos="755" w:val="left" w:leader="none"/>
        </w:tabs>
        <w:spacing w:line="225" w:lineRule="auto" w:before="173" w:after="0"/>
        <w:ind w:left="113" w:right="134" w:firstLine="204"/>
        <w:jc w:val="left"/>
        <w:rPr>
          <w:sz w:val="24"/>
        </w:rPr>
      </w:pPr>
      <w:r>
        <w:rPr>
          <w:w w:val="125"/>
          <w:sz w:val="24"/>
        </w:rPr>
        <w:t>A végelszámolási eljárás befejezésének feltétele annak igazolása, hogy a jogosult számára ki nem fizetett betétek állomány-átruházása</w:t>
      </w:r>
      <w:r>
        <w:rPr>
          <w:spacing w:val="7"/>
          <w:w w:val="125"/>
          <w:sz w:val="24"/>
        </w:rPr>
        <w:t> </w:t>
      </w:r>
      <w:r>
        <w:rPr>
          <w:w w:val="125"/>
          <w:sz w:val="24"/>
        </w:rPr>
        <w:t>megtörtént.</w:t>
      </w:r>
    </w:p>
    <w:p>
      <w:pPr>
        <w:pStyle w:val="ListParagraph"/>
        <w:numPr>
          <w:ilvl w:val="0"/>
          <w:numId w:val="141"/>
        </w:numPr>
        <w:tabs>
          <w:tab w:pos="938" w:val="left" w:leader="none"/>
          <w:tab w:pos="939" w:val="left" w:leader="none"/>
          <w:tab w:pos="1358" w:val="left" w:leader="none"/>
          <w:tab w:pos="2719" w:val="left" w:leader="none"/>
          <w:tab w:pos="4236" w:val="left" w:leader="none"/>
          <w:tab w:pos="6651" w:val="left" w:leader="none"/>
          <w:tab w:pos="7058" w:val="left" w:leader="none"/>
          <w:tab w:pos="7830" w:val="left" w:leader="none"/>
          <w:tab w:pos="8612" w:val="left" w:leader="none"/>
          <w:tab w:pos="9220" w:val="left" w:leader="none"/>
        </w:tabs>
        <w:spacing w:line="225" w:lineRule="auto" w:before="1" w:after="0"/>
        <w:ind w:left="113" w:right="133" w:firstLine="204"/>
        <w:jc w:val="left"/>
        <w:rPr>
          <w:sz w:val="24"/>
        </w:rPr>
      </w:pPr>
      <w:r>
        <w:rPr>
          <w:w w:val="125"/>
          <w:sz w:val="24"/>
        </w:rPr>
        <w:t>A</w:t>
        <w:tab/>
        <w:t>pénzügyi</w:t>
        <w:tab/>
        <w:t>intézmény</w:t>
        <w:tab/>
        <w:t>végelszámolására</w:t>
        <w:tab/>
        <w:t>a</w:t>
        <w:tab/>
        <w:t>Ctv.</w:t>
        <w:tab/>
        <w:t>105.</w:t>
        <w:tab/>
        <w:t>§-a</w:t>
        <w:tab/>
      </w:r>
      <w:r>
        <w:rPr>
          <w:spacing w:val="-6"/>
          <w:w w:val="125"/>
          <w:sz w:val="24"/>
        </w:rPr>
        <w:t>nem </w:t>
      </w:r>
      <w:r>
        <w:rPr>
          <w:w w:val="125"/>
          <w:sz w:val="24"/>
        </w:rPr>
        <w:t>alkalmazandó.</w:t>
      </w:r>
    </w:p>
    <w:p>
      <w:pPr>
        <w:pStyle w:val="ListParagraph"/>
        <w:numPr>
          <w:ilvl w:val="0"/>
          <w:numId w:val="100"/>
        </w:numPr>
        <w:tabs>
          <w:tab w:pos="894" w:val="left" w:leader="none"/>
        </w:tabs>
        <w:spacing w:line="249" w:lineRule="exact" w:before="0" w:after="0"/>
        <w:ind w:left="893" w:right="0" w:hanging="576"/>
        <w:jc w:val="left"/>
        <w:rPr>
          <w:i/>
          <w:sz w:val="24"/>
        </w:rPr>
      </w:pPr>
      <w:r>
        <w:rPr>
          <w:rFonts w:ascii="Arial" w:hAnsi="Arial"/>
          <w:b/>
          <w:w w:val="120"/>
          <w:sz w:val="24"/>
        </w:rPr>
        <w:t>§ </w:t>
      </w:r>
      <w:r>
        <w:rPr>
          <w:w w:val="120"/>
          <w:sz w:val="24"/>
        </w:rPr>
        <w:t>(1)</w:t>
      </w:r>
      <w:r>
        <w:rPr>
          <w:i/>
          <w:w w:val="120"/>
          <w:position w:val="3"/>
          <w:sz w:val="18"/>
        </w:rPr>
        <w:t>1 </w:t>
      </w:r>
      <w:r>
        <w:rPr>
          <w:w w:val="120"/>
          <w:sz w:val="24"/>
        </w:rPr>
        <w:t>Hitelintézet tevékenységi engedélyének 33. § (1) bekezdés</w:t>
      </w:r>
      <w:r>
        <w:rPr>
          <w:spacing w:val="-3"/>
          <w:w w:val="120"/>
          <w:sz w:val="24"/>
        </w:rPr>
        <w:t> </w:t>
      </w:r>
      <w:r>
        <w:rPr>
          <w:i/>
          <w:w w:val="120"/>
          <w:sz w:val="24"/>
        </w:rPr>
        <w:t>a)</w:t>
      </w:r>
    </w:p>
    <w:p>
      <w:pPr>
        <w:pStyle w:val="BodyText"/>
        <w:spacing w:line="225" w:lineRule="auto" w:before="12"/>
        <w:ind w:right="130" w:firstLine="0"/>
        <w:jc w:val="both"/>
      </w:pPr>
      <w:r>
        <w:rPr>
          <w:w w:val="130"/>
        </w:rPr>
        <w:t>pontja, valamint 33. § (2) bekezdés </w:t>
      </w:r>
      <w:r>
        <w:rPr>
          <w:i/>
          <w:w w:val="130"/>
        </w:rPr>
        <w:t>b) </w:t>
      </w:r>
      <w:r>
        <w:rPr>
          <w:w w:val="130"/>
        </w:rPr>
        <w:t>pontja alapján történt visszavonását követően engedményezett, a hitelintézettel szemben fennálló követelések beszámításának a végelszámolási eljárás során nincs helye.</w:t>
      </w:r>
    </w:p>
    <w:p>
      <w:pPr>
        <w:pStyle w:val="BodyText"/>
        <w:spacing w:line="225" w:lineRule="auto" w:before="2"/>
        <w:ind w:right="129"/>
        <w:jc w:val="both"/>
      </w:pPr>
      <w:r>
        <w:rPr>
          <w:w w:val="130"/>
        </w:rPr>
        <w:t>(2) Azon engedményezett követelések esetében, amelyek beszámítását a</w:t>
      </w:r>
      <w:r>
        <w:rPr>
          <w:spacing w:val="78"/>
          <w:w w:val="130"/>
        </w:rPr>
        <w:t> </w:t>
      </w:r>
      <w:r>
        <w:rPr>
          <w:w w:val="130"/>
        </w:rPr>
        <w:t>hitelintézet</w:t>
      </w:r>
      <w:r>
        <w:rPr>
          <w:spacing w:val="-11"/>
          <w:w w:val="130"/>
        </w:rPr>
        <w:t> </w:t>
      </w:r>
      <w:r>
        <w:rPr>
          <w:w w:val="130"/>
        </w:rPr>
        <w:t>végelszámolási</w:t>
      </w:r>
      <w:r>
        <w:rPr>
          <w:spacing w:val="-11"/>
          <w:w w:val="130"/>
        </w:rPr>
        <w:t> </w:t>
      </w:r>
      <w:r>
        <w:rPr>
          <w:w w:val="130"/>
        </w:rPr>
        <w:t>vagy</w:t>
      </w:r>
      <w:r>
        <w:rPr>
          <w:spacing w:val="-11"/>
          <w:w w:val="130"/>
        </w:rPr>
        <w:t> </w:t>
      </w:r>
      <w:r>
        <w:rPr>
          <w:w w:val="130"/>
        </w:rPr>
        <w:t>felszámolási</w:t>
      </w:r>
      <w:r>
        <w:rPr>
          <w:spacing w:val="-11"/>
          <w:w w:val="130"/>
        </w:rPr>
        <w:t> </w:t>
      </w:r>
      <w:r>
        <w:rPr>
          <w:w w:val="130"/>
        </w:rPr>
        <w:t>eljárásában</w:t>
      </w:r>
      <w:r>
        <w:rPr>
          <w:spacing w:val="-10"/>
          <w:w w:val="130"/>
        </w:rPr>
        <w:t> </w:t>
      </w:r>
      <w:r>
        <w:rPr>
          <w:w w:val="130"/>
        </w:rPr>
        <w:t>e</w:t>
      </w:r>
      <w:r>
        <w:rPr>
          <w:spacing w:val="-9"/>
          <w:w w:val="130"/>
        </w:rPr>
        <w:t> </w:t>
      </w:r>
      <w:r>
        <w:rPr>
          <w:w w:val="130"/>
        </w:rPr>
        <w:t>törvény</w:t>
      </w:r>
      <w:r>
        <w:rPr>
          <w:spacing w:val="-13"/>
          <w:w w:val="130"/>
        </w:rPr>
        <w:t> </w:t>
      </w:r>
      <w:r>
        <w:rPr>
          <w:w w:val="130"/>
        </w:rPr>
        <w:t>vagy</w:t>
      </w:r>
      <w:r>
        <w:rPr>
          <w:spacing w:val="-11"/>
          <w:w w:val="130"/>
        </w:rPr>
        <w:t> </w:t>
      </w:r>
      <w:r>
        <w:rPr>
          <w:w w:val="130"/>
        </w:rPr>
        <w:t>más törvény</w:t>
      </w:r>
      <w:r>
        <w:rPr>
          <w:spacing w:val="-27"/>
          <w:w w:val="130"/>
        </w:rPr>
        <w:t> </w:t>
      </w:r>
      <w:r>
        <w:rPr>
          <w:w w:val="130"/>
        </w:rPr>
        <w:t>lehetővé</w:t>
      </w:r>
      <w:r>
        <w:rPr>
          <w:spacing w:val="-16"/>
          <w:w w:val="130"/>
        </w:rPr>
        <w:t> </w:t>
      </w:r>
      <w:r>
        <w:rPr>
          <w:w w:val="130"/>
        </w:rPr>
        <w:t>teszi,</w:t>
      </w:r>
      <w:r>
        <w:rPr>
          <w:spacing w:val="-37"/>
          <w:w w:val="130"/>
        </w:rPr>
        <w:t> </w:t>
      </w:r>
      <w:r>
        <w:rPr>
          <w:w w:val="130"/>
        </w:rPr>
        <w:t>a</w:t>
      </w:r>
      <w:r>
        <w:rPr>
          <w:spacing w:val="-26"/>
          <w:w w:val="130"/>
        </w:rPr>
        <w:t> </w:t>
      </w:r>
      <w:r>
        <w:rPr>
          <w:w w:val="130"/>
        </w:rPr>
        <w:t>jogosult</w:t>
      </w:r>
      <w:r>
        <w:rPr>
          <w:spacing w:val="-19"/>
          <w:w w:val="130"/>
        </w:rPr>
        <w:t> </w:t>
      </w:r>
      <w:r>
        <w:rPr>
          <w:w w:val="130"/>
        </w:rPr>
        <w:t>a</w:t>
      </w:r>
      <w:r>
        <w:rPr>
          <w:spacing w:val="-30"/>
          <w:w w:val="130"/>
        </w:rPr>
        <w:t> </w:t>
      </w:r>
      <w:r>
        <w:rPr>
          <w:w w:val="130"/>
        </w:rPr>
        <w:t>beszámítási</w:t>
      </w:r>
      <w:r>
        <w:rPr>
          <w:spacing w:val="-30"/>
          <w:w w:val="130"/>
        </w:rPr>
        <w:t> </w:t>
      </w:r>
      <w:r>
        <w:rPr>
          <w:w w:val="130"/>
        </w:rPr>
        <w:t>jogát</w:t>
      </w:r>
      <w:r>
        <w:rPr>
          <w:spacing w:val="-26"/>
          <w:w w:val="130"/>
        </w:rPr>
        <w:t> </w:t>
      </w:r>
      <w:r>
        <w:rPr>
          <w:w w:val="130"/>
        </w:rPr>
        <w:t>csak</w:t>
      </w:r>
      <w:r>
        <w:rPr>
          <w:spacing w:val="-26"/>
          <w:w w:val="130"/>
        </w:rPr>
        <w:t> </w:t>
      </w:r>
      <w:r>
        <w:rPr>
          <w:w w:val="130"/>
        </w:rPr>
        <w:t>akkor</w:t>
      </w:r>
      <w:r>
        <w:rPr>
          <w:spacing w:val="-26"/>
          <w:w w:val="130"/>
        </w:rPr>
        <w:t> </w:t>
      </w:r>
      <w:r>
        <w:rPr>
          <w:w w:val="130"/>
        </w:rPr>
        <w:t>gyakorolhatja, ha azt legkésőbb a hitelintézet tevékenységi engedélyének visszavonását követő nyolc munkanapon belül a hitelintézetnél</w:t>
      </w:r>
      <w:r>
        <w:rPr>
          <w:spacing w:val="-47"/>
          <w:w w:val="130"/>
        </w:rPr>
        <w:t> </w:t>
      </w:r>
      <w:r>
        <w:rPr>
          <w:w w:val="130"/>
        </w:rPr>
        <w:t>bejelentette.</w:t>
      </w:r>
    </w:p>
    <w:p>
      <w:pPr>
        <w:pStyle w:val="ListParagraph"/>
        <w:numPr>
          <w:ilvl w:val="0"/>
          <w:numId w:val="100"/>
        </w:numPr>
        <w:tabs>
          <w:tab w:pos="860" w:val="left" w:leader="none"/>
        </w:tabs>
        <w:spacing w:line="225" w:lineRule="auto" w:before="1" w:after="0"/>
        <w:ind w:left="113" w:right="131" w:firstLine="204"/>
        <w:jc w:val="both"/>
        <w:rPr>
          <w:sz w:val="24"/>
        </w:rPr>
      </w:pPr>
      <w:r>
        <w:rPr>
          <w:rFonts w:ascii="Arial" w:hAnsi="Arial"/>
          <w:b/>
          <w:w w:val="125"/>
          <w:sz w:val="24"/>
        </w:rPr>
        <w:t>§ </w:t>
      </w:r>
      <w:r>
        <w:rPr>
          <w:w w:val="125"/>
          <w:sz w:val="24"/>
        </w:rPr>
        <w:t>(1) A cégbíróság a végelszámolást elrendelő határozat kézhezvételét követően soron kívül jár el, és rendeli el annak Cégközlönyben való közzétételét.</w:t>
      </w:r>
    </w:p>
    <w:p>
      <w:pPr>
        <w:pStyle w:val="ListParagraph"/>
        <w:numPr>
          <w:ilvl w:val="0"/>
          <w:numId w:val="144"/>
        </w:numPr>
        <w:tabs>
          <w:tab w:pos="866" w:val="left" w:leader="none"/>
        </w:tabs>
        <w:spacing w:line="225" w:lineRule="auto" w:before="2" w:after="0"/>
        <w:ind w:left="113" w:right="126" w:firstLine="204"/>
        <w:jc w:val="both"/>
        <w:rPr>
          <w:sz w:val="24"/>
        </w:rPr>
      </w:pPr>
      <w:r>
        <w:rPr>
          <w:w w:val="125"/>
          <w:sz w:val="24"/>
        </w:rPr>
        <w:t>A végelszámoló díjának összege nem haladhatja meg a pénzügyi intézménynek a Ctv. 98. § (3) bekezdés </w:t>
      </w:r>
      <w:r>
        <w:rPr>
          <w:i/>
          <w:w w:val="125"/>
          <w:sz w:val="24"/>
        </w:rPr>
        <w:t>a) </w:t>
      </w:r>
      <w:r>
        <w:rPr>
          <w:w w:val="125"/>
          <w:sz w:val="24"/>
        </w:rPr>
        <w:t>pontja szerinti éves beszámolója szerinti eszközök könyv szerinti értékének fél</w:t>
      </w:r>
      <w:r>
        <w:rPr>
          <w:spacing w:val="9"/>
          <w:w w:val="125"/>
          <w:sz w:val="24"/>
        </w:rPr>
        <w:t> </w:t>
      </w:r>
      <w:r>
        <w:rPr>
          <w:w w:val="125"/>
          <w:sz w:val="24"/>
        </w:rPr>
        <w:t>százalékát.</w:t>
      </w:r>
    </w:p>
    <w:p>
      <w:pPr>
        <w:pStyle w:val="ListParagraph"/>
        <w:numPr>
          <w:ilvl w:val="0"/>
          <w:numId w:val="144"/>
        </w:numPr>
        <w:tabs>
          <w:tab w:pos="784" w:val="left" w:leader="none"/>
        </w:tabs>
        <w:spacing w:line="225" w:lineRule="auto" w:before="2" w:after="0"/>
        <w:ind w:left="113" w:right="130" w:firstLine="204"/>
        <w:jc w:val="both"/>
        <w:rPr>
          <w:sz w:val="24"/>
        </w:rPr>
      </w:pPr>
      <w:r>
        <w:rPr>
          <w:w w:val="125"/>
          <w:sz w:val="24"/>
        </w:rPr>
        <w:t>Pénzügyi intézmény végelszámolása során a hitelezők a végelszámolás közzétételétől számított hatvan napon belül kötelesek bejelenteni követeléseiket.</w:t>
      </w:r>
    </w:p>
    <w:p>
      <w:pPr>
        <w:pStyle w:val="BodyText"/>
        <w:spacing w:before="3"/>
        <w:ind w:left="0" w:firstLine="0"/>
        <w:rPr>
          <w:sz w:val="11"/>
        </w:rPr>
      </w:pPr>
    </w:p>
    <w:p>
      <w:pPr>
        <w:pStyle w:val="BodyText"/>
        <w:spacing w:before="99"/>
        <w:ind w:left="3473" w:firstLine="0"/>
      </w:pPr>
      <w:r>
        <w:rPr>
          <w:w w:val="130"/>
        </w:rPr>
        <w:t>25. Felszámolási eljárás</w:t>
      </w:r>
    </w:p>
    <w:p>
      <w:pPr>
        <w:pStyle w:val="ListParagraph"/>
        <w:numPr>
          <w:ilvl w:val="0"/>
          <w:numId w:val="100"/>
        </w:numPr>
        <w:tabs>
          <w:tab w:pos="1031" w:val="left" w:leader="none"/>
        </w:tabs>
        <w:spacing w:line="225" w:lineRule="auto" w:before="236" w:after="0"/>
        <w:ind w:left="113" w:right="135" w:firstLine="204"/>
        <w:jc w:val="both"/>
        <w:rPr>
          <w:sz w:val="24"/>
        </w:rPr>
      </w:pPr>
      <w:r>
        <w:rPr>
          <w:rFonts w:ascii="Arial" w:hAnsi="Arial"/>
          <w:b/>
          <w:w w:val="125"/>
          <w:sz w:val="24"/>
        </w:rPr>
        <w:t>§ </w:t>
      </w:r>
      <w:r>
        <w:rPr>
          <w:w w:val="125"/>
          <w:sz w:val="24"/>
        </w:rPr>
        <w:t>(1) Pénzügyi intézmény felszámolásával kapcsolatos eljárás lefolytatására a Fővárosi Törvényszék kizárólagos illetékességgel</w:t>
      </w:r>
      <w:r>
        <w:rPr>
          <w:spacing w:val="44"/>
          <w:w w:val="125"/>
          <w:sz w:val="24"/>
        </w:rPr>
        <w:t> </w:t>
      </w:r>
      <w:r>
        <w:rPr>
          <w:w w:val="125"/>
          <w:sz w:val="24"/>
        </w:rPr>
        <w:t>rendelkezik.</w:t>
      </w:r>
    </w:p>
    <w:p>
      <w:pPr>
        <w:pStyle w:val="BodyText"/>
        <w:spacing w:line="225" w:lineRule="auto" w:before="1"/>
        <w:ind w:right="115"/>
        <w:jc w:val="both"/>
      </w:pPr>
      <w:r>
        <w:rPr>
          <w:w w:val="130"/>
        </w:rPr>
        <w:t>(2)</w:t>
      </w:r>
      <w:r>
        <w:rPr>
          <w:i/>
          <w:w w:val="130"/>
          <w:position w:val="3"/>
          <w:sz w:val="18"/>
        </w:rPr>
        <w:t>2</w:t>
      </w:r>
      <w:r>
        <w:rPr>
          <w:i/>
          <w:spacing w:val="-11"/>
          <w:w w:val="130"/>
          <w:position w:val="3"/>
          <w:sz w:val="18"/>
        </w:rPr>
        <w:t> </w:t>
      </w:r>
      <w:r>
        <w:rPr>
          <w:w w:val="130"/>
        </w:rPr>
        <w:t>Ha</w:t>
      </w:r>
      <w:r>
        <w:rPr>
          <w:spacing w:val="-30"/>
          <w:w w:val="130"/>
        </w:rPr>
        <w:t> </w:t>
      </w:r>
      <w:r>
        <w:rPr>
          <w:w w:val="130"/>
        </w:rPr>
        <w:t>nem</w:t>
      </w:r>
      <w:r>
        <w:rPr>
          <w:spacing w:val="-30"/>
          <w:w w:val="130"/>
        </w:rPr>
        <w:t> </w:t>
      </w:r>
      <w:r>
        <w:rPr>
          <w:w w:val="130"/>
        </w:rPr>
        <w:t>a</w:t>
      </w:r>
      <w:r>
        <w:rPr>
          <w:spacing w:val="-29"/>
          <w:w w:val="130"/>
        </w:rPr>
        <w:t> </w:t>
      </w:r>
      <w:r>
        <w:rPr>
          <w:w w:val="130"/>
        </w:rPr>
        <w:t>Felügyelet</w:t>
      </w:r>
      <w:r>
        <w:rPr>
          <w:spacing w:val="-31"/>
          <w:w w:val="130"/>
        </w:rPr>
        <w:t> </w:t>
      </w:r>
      <w:r>
        <w:rPr>
          <w:w w:val="130"/>
        </w:rPr>
        <w:t>kezdeményezi</w:t>
      </w:r>
      <w:r>
        <w:rPr>
          <w:spacing w:val="-22"/>
          <w:w w:val="130"/>
        </w:rPr>
        <w:t> </w:t>
      </w:r>
      <w:r>
        <w:rPr>
          <w:w w:val="130"/>
        </w:rPr>
        <w:t>a</w:t>
      </w:r>
      <w:r>
        <w:rPr>
          <w:spacing w:val="-39"/>
          <w:w w:val="130"/>
        </w:rPr>
        <w:t> </w:t>
      </w:r>
      <w:r>
        <w:rPr>
          <w:w w:val="130"/>
        </w:rPr>
        <w:t>pénzügyi</w:t>
      </w:r>
      <w:r>
        <w:rPr>
          <w:spacing w:val="-30"/>
          <w:w w:val="130"/>
        </w:rPr>
        <w:t> </w:t>
      </w:r>
      <w:r>
        <w:rPr>
          <w:w w:val="130"/>
        </w:rPr>
        <w:t>intézmény</w:t>
      </w:r>
      <w:r>
        <w:rPr>
          <w:spacing w:val="-20"/>
          <w:w w:val="130"/>
        </w:rPr>
        <w:t> </w:t>
      </w:r>
      <w:r>
        <w:rPr>
          <w:w w:val="130"/>
        </w:rPr>
        <w:t>felszámolását, a bíróság a kérelem visszautasításáról szóló végzését megküldi a Felügyelet részére.</w:t>
      </w:r>
    </w:p>
    <w:p>
      <w:pPr>
        <w:pStyle w:val="ListParagraph"/>
        <w:numPr>
          <w:ilvl w:val="0"/>
          <w:numId w:val="100"/>
        </w:numPr>
        <w:tabs>
          <w:tab w:pos="955" w:val="left" w:leader="none"/>
        </w:tabs>
        <w:spacing w:line="225" w:lineRule="auto" w:before="1" w:after="0"/>
        <w:ind w:left="113" w:right="131" w:firstLine="204"/>
        <w:jc w:val="both"/>
        <w:rPr>
          <w:sz w:val="24"/>
        </w:rPr>
      </w:pPr>
      <w:r>
        <w:rPr>
          <w:rFonts w:ascii="Arial" w:hAnsi="Arial"/>
          <w:b/>
          <w:w w:val="125"/>
          <w:sz w:val="24"/>
        </w:rPr>
        <w:t>§ </w:t>
      </w:r>
      <w:r>
        <w:rPr>
          <w:w w:val="125"/>
          <w:sz w:val="24"/>
        </w:rPr>
        <w:t>(1) A pénzügyi intézmény esetében a Cstv. II. Fejezete nem alkalmazható.</w:t>
      </w:r>
    </w:p>
    <w:p>
      <w:pPr>
        <w:pStyle w:val="ListParagraph"/>
        <w:numPr>
          <w:ilvl w:val="0"/>
          <w:numId w:val="145"/>
        </w:numPr>
        <w:tabs>
          <w:tab w:pos="913" w:val="left" w:leader="none"/>
        </w:tabs>
        <w:spacing w:line="225" w:lineRule="auto" w:before="1" w:after="0"/>
        <w:ind w:left="113" w:right="135" w:firstLine="204"/>
        <w:jc w:val="both"/>
        <w:rPr>
          <w:sz w:val="24"/>
        </w:rPr>
      </w:pPr>
      <w:r>
        <w:rPr>
          <w:w w:val="130"/>
          <w:sz w:val="24"/>
        </w:rPr>
        <w:t>Pénzügyi intézmény esetén a felszámolási eljárásban az eljárás felfüggesztésének nincs</w:t>
      </w:r>
      <w:r>
        <w:rPr>
          <w:spacing w:val="-7"/>
          <w:w w:val="130"/>
          <w:sz w:val="24"/>
        </w:rPr>
        <w:t> </w:t>
      </w:r>
      <w:r>
        <w:rPr>
          <w:w w:val="130"/>
          <w:sz w:val="24"/>
        </w:rPr>
        <w:t>helye.</w:t>
      </w:r>
    </w:p>
    <w:p>
      <w:pPr>
        <w:pStyle w:val="ListParagraph"/>
        <w:numPr>
          <w:ilvl w:val="0"/>
          <w:numId w:val="145"/>
        </w:numPr>
        <w:tabs>
          <w:tab w:pos="754" w:val="left" w:leader="none"/>
        </w:tabs>
        <w:spacing w:line="256" w:lineRule="exact" w:before="0" w:after="0"/>
        <w:ind w:left="753" w:right="0" w:hanging="436"/>
        <w:jc w:val="left"/>
        <w:rPr>
          <w:sz w:val="24"/>
        </w:rPr>
      </w:pPr>
      <w:r>
        <w:rPr>
          <w:w w:val="125"/>
          <w:sz w:val="24"/>
        </w:rPr>
        <w:t>A</w:t>
      </w:r>
      <w:r>
        <w:rPr>
          <w:spacing w:val="21"/>
          <w:w w:val="125"/>
          <w:sz w:val="24"/>
        </w:rPr>
        <w:t> </w:t>
      </w:r>
      <w:r>
        <w:rPr>
          <w:w w:val="125"/>
          <w:sz w:val="24"/>
        </w:rPr>
        <w:t>pénzügyi</w:t>
      </w:r>
      <w:r>
        <w:rPr>
          <w:spacing w:val="22"/>
          <w:w w:val="125"/>
          <w:sz w:val="24"/>
        </w:rPr>
        <w:t> </w:t>
      </w:r>
      <w:r>
        <w:rPr>
          <w:w w:val="125"/>
          <w:sz w:val="24"/>
        </w:rPr>
        <w:t>intézménnyel</w:t>
      </w:r>
      <w:r>
        <w:rPr>
          <w:spacing w:val="21"/>
          <w:w w:val="125"/>
          <w:sz w:val="24"/>
        </w:rPr>
        <w:t> </w:t>
      </w:r>
      <w:r>
        <w:rPr>
          <w:w w:val="125"/>
          <w:sz w:val="24"/>
        </w:rPr>
        <w:t>szemben</w:t>
      </w:r>
      <w:r>
        <w:rPr>
          <w:spacing w:val="22"/>
          <w:w w:val="125"/>
          <w:sz w:val="24"/>
        </w:rPr>
        <w:t> </w:t>
      </w:r>
      <w:r>
        <w:rPr>
          <w:w w:val="125"/>
          <w:sz w:val="24"/>
        </w:rPr>
        <w:t>fennálló</w:t>
      </w:r>
      <w:r>
        <w:rPr>
          <w:spacing w:val="21"/>
          <w:w w:val="125"/>
          <w:sz w:val="24"/>
        </w:rPr>
        <w:t> </w:t>
      </w:r>
      <w:r>
        <w:rPr>
          <w:w w:val="125"/>
          <w:sz w:val="24"/>
        </w:rPr>
        <w:t>követelések</w:t>
      </w:r>
      <w:r>
        <w:rPr>
          <w:spacing w:val="22"/>
          <w:w w:val="125"/>
          <w:sz w:val="24"/>
        </w:rPr>
        <w:t> </w:t>
      </w:r>
      <w:r>
        <w:rPr>
          <w:w w:val="125"/>
          <w:sz w:val="24"/>
        </w:rPr>
        <w:t>esetében</w:t>
      </w:r>
      <w:r>
        <w:rPr>
          <w:spacing w:val="21"/>
          <w:w w:val="125"/>
          <w:sz w:val="24"/>
        </w:rPr>
        <w:t> </w:t>
      </w:r>
      <w:r>
        <w:rPr>
          <w:w w:val="125"/>
          <w:sz w:val="24"/>
        </w:rPr>
        <w:t>a</w:t>
      </w:r>
      <w:r>
        <w:rPr>
          <w:spacing w:val="22"/>
          <w:w w:val="125"/>
          <w:sz w:val="24"/>
        </w:rPr>
        <w:t> </w:t>
      </w:r>
      <w:r>
        <w:rPr>
          <w:w w:val="125"/>
          <w:sz w:val="24"/>
        </w:rPr>
        <w:t>Cstv.</w:t>
      </w:r>
    </w:p>
    <w:p>
      <w:pPr>
        <w:pStyle w:val="ListParagraph"/>
        <w:numPr>
          <w:ilvl w:val="0"/>
          <w:numId w:val="146"/>
        </w:numPr>
        <w:tabs>
          <w:tab w:pos="572" w:val="left" w:leader="none"/>
        </w:tabs>
        <w:spacing w:line="260" w:lineRule="exact" w:before="0" w:after="0"/>
        <w:ind w:left="571" w:right="0" w:hanging="458"/>
        <w:jc w:val="left"/>
        <w:rPr>
          <w:sz w:val="24"/>
        </w:rPr>
      </w:pPr>
      <w:r>
        <w:rPr>
          <w:w w:val="120"/>
          <w:sz w:val="24"/>
        </w:rPr>
        <w:t>§ (7) bekezdése nem</w:t>
      </w:r>
      <w:r>
        <w:rPr>
          <w:spacing w:val="25"/>
          <w:w w:val="120"/>
          <w:sz w:val="24"/>
        </w:rPr>
        <w:t> </w:t>
      </w:r>
      <w:r>
        <w:rPr>
          <w:w w:val="120"/>
          <w:sz w:val="24"/>
        </w:rPr>
        <w:t>alkalmazható.</w:t>
      </w:r>
    </w:p>
    <w:p>
      <w:pPr>
        <w:pStyle w:val="ListParagraph"/>
        <w:numPr>
          <w:ilvl w:val="0"/>
          <w:numId w:val="145"/>
        </w:numPr>
        <w:tabs>
          <w:tab w:pos="659" w:val="left" w:leader="none"/>
        </w:tabs>
        <w:spacing w:line="225" w:lineRule="auto" w:before="6" w:after="0"/>
        <w:ind w:left="113" w:right="125" w:firstLine="204"/>
        <w:jc w:val="both"/>
        <w:rPr>
          <w:sz w:val="24"/>
        </w:rPr>
      </w:pPr>
      <w:r>
        <w:rPr>
          <w:i/>
          <w:w w:val="125"/>
          <w:position w:val="3"/>
          <w:sz w:val="18"/>
        </w:rPr>
        <w:t>3 </w:t>
      </w:r>
      <w:r>
        <w:rPr>
          <w:w w:val="125"/>
          <w:sz w:val="24"/>
        </w:rPr>
        <w:t>A Cstv. 40. § (1) bekezdés </w:t>
      </w:r>
      <w:r>
        <w:rPr>
          <w:i/>
          <w:w w:val="125"/>
          <w:sz w:val="24"/>
        </w:rPr>
        <w:t>c) </w:t>
      </w:r>
      <w:r>
        <w:rPr>
          <w:w w:val="125"/>
          <w:sz w:val="24"/>
        </w:rPr>
        <w:t>pontja és (2) bekezdése nem alkalmazható a Szantv.-ben meghatározott szanálás alatt álló  pénzügyi  intézmény eszközeinek, forrásainak, jogainak és kötelezettségeinek a szanálási feladatkörében eljáró MNB szanálási eszköz alkalmazásáról szóló határozata - az annak megfelelően kötött ügyletek - alapján egy másik jogalanyhoz történő átruházása</w:t>
      </w:r>
      <w:r>
        <w:rPr>
          <w:spacing w:val="1"/>
          <w:w w:val="125"/>
          <w:sz w:val="24"/>
        </w:rPr>
        <w:t> </w:t>
      </w:r>
      <w:r>
        <w:rPr>
          <w:w w:val="125"/>
          <w:sz w:val="24"/>
        </w:rPr>
        <w:t>tekintetében.</w:t>
      </w:r>
    </w:p>
    <w:p>
      <w:pPr>
        <w:pStyle w:val="ListParagraph"/>
        <w:numPr>
          <w:ilvl w:val="1"/>
          <w:numId w:val="146"/>
        </w:numPr>
        <w:tabs>
          <w:tab w:pos="932" w:val="left" w:leader="none"/>
        </w:tabs>
        <w:spacing w:line="225" w:lineRule="auto" w:before="2" w:after="0"/>
        <w:ind w:left="113" w:right="130" w:firstLine="204"/>
        <w:jc w:val="both"/>
        <w:rPr>
          <w:sz w:val="24"/>
        </w:rPr>
      </w:pPr>
      <w:r>
        <w:rPr>
          <w:rFonts w:ascii="Arial" w:hAnsi="Arial"/>
          <w:b/>
          <w:w w:val="125"/>
          <w:sz w:val="24"/>
        </w:rPr>
        <w:t>§ </w:t>
      </w:r>
      <w:r>
        <w:rPr>
          <w:w w:val="125"/>
          <w:sz w:val="24"/>
        </w:rPr>
        <w:t>(1) Pénzügyi intézmény, illetve a harmadik országbeli pénzügyi intézmény fióktelepe ellen a felszámolási eljárás megindítását kizárólag a Felügyelet kezdeményezheti.</w:t>
      </w:r>
    </w:p>
    <w:p>
      <w:pPr>
        <w:pStyle w:val="ListParagraph"/>
        <w:numPr>
          <w:ilvl w:val="0"/>
          <w:numId w:val="147"/>
        </w:numPr>
        <w:tabs>
          <w:tab w:pos="734" w:val="left" w:leader="none"/>
        </w:tabs>
        <w:spacing w:line="264" w:lineRule="exact" w:before="0" w:after="0"/>
        <w:ind w:left="733" w:right="0" w:hanging="416"/>
        <w:jc w:val="left"/>
        <w:rPr>
          <w:sz w:val="24"/>
        </w:rPr>
      </w:pPr>
      <w:r>
        <w:rPr>
          <w:w w:val="125"/>
          <w:sz w:val="24"/>
        </w:rPr>
        <w:t>A Felügyelet felszámolási eljárást abban az esetben</w:t>
      </w:r>
      <w:r>
        <w:rPr>
          <w:spacing w:val="23"/>
          <w:w w:val="125"/>
          <w:sz w:val="24"/>
        </w:rPr>
        <w:t> </w:t>
      </w:r>
      <w:r>
        <w:rPr>
          <w:w w:val="125"/>
          <w:sz w:val="24"/>
        </w:rPr>
        <w:t>kezdeményez,</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26"/>
        </w:rPr>
      </w:pPr>
      <w:r>
        <w:rPr/>
        <w:pict>
          <v:line style="position:absolute;mso-position-horizontal-relative:page;mso-position-vertical-relative:paragraph;z-index:-64;mso-wrap-distance-left:0;mso-wrap-distance-right:0" from="56.693001pt,17.503553pt" to="538.583001pt,17.503553pt" stroked="true" strokeweight=".5pt" strokecolor="#000000">
            <v:stroke dashstyle="solid"/>
            <w10:wrap type="topAndBottom"/>
          </v:line>
        </w:pict>
      </w:r>
    </w:p>
    <w:p>
      <w:pPr>
        <w:pStyle w:val="ListParagraph"/>
        <w:numPr>
          <w:ilvl w:val="0"/>
          <w:numId w:val="148"/>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5"/>
          <w:w w:val="125"/>
          <w:sz w:val="18"/>
        </w:rPr>
        <w:t> </w:t>
      </w:r>
      <w:r>
        <w:rPr>
          <w:i/>
          <w:w w:val="125"/>
          <w:sz w:val="18"/>
        </w:rPr>
        <w:t>2016.</w:t>
      </w:r>
      <w:r>
        <w:rPr>
          <w:i/>
          <w:spacing w:val="-4"/>
          <w:w w:val="125"/>
          <w:sz w:val="18"/>
        </w:rPr>
        <w:t> </w:t>
      </w:r>
      <w:r>
        <w:rPr>
          <w:i/>
          <w:w w:val="125"/>
          <w:sz w:val="18"/>
        </w:rPr>
        <w:t>évi</w:t>
      </w:r>
      <w:r>
        <w:rPr>
          <w:i/>
          <w:spacing w:val="-5"/>
          <w:w w:val="125"/>
          <w:sz w:val="18"/>
        </w:rPr>
        <w:t> </w:t>
      </w:r>
      <w:r>
        <w:rPr>
          <w:i/>
          <w:w w:val="125"/>
          <w:sz w:val="18"/>
        </w:rPr>
        <w:t>LIII.</w:t>
      </w:r>
      <w:r>
        <w:rPr>
          <w:i/>
          <w:spacing w:val="-3"/>
          <w:w w:val="125"/>
          <w:sz w:val="18"/>
        </w:rPr>
        <w:t> </w:t>
      </w:r>
      <w:r>
        <w:rPr>
          <w:i/>
          <w:w w:val="125"/>
          <w:sz w:val="18"/>
        </w:rPr>
        <w:t>törvény</w:t>
      </w:r>
      <w:r>
        <w:rPr>
          <w:i/>
          <w:spacing w:val="-5"/>
          <w:w w:val="125"/>
          <w:sz w:val="18"/>
        </w:rPr>
        <w:t> </w:t>
      </w:r>
      <w:r>
        <w:rPr>
          <w:i/>
          <w:w w:val="125"/>
          <w:sz w:val="18"/>
        </w:rPr>
        <w:t>120.</w:t>
      </w:r>
      <w:r>
        <w:rPr>
          <w:i/>
          <w:spacing w:val="-4"/>
          <w:w w:val="125"/>
          <w:sz w:val="18"/>
        </w:rPr>
        <w:t> </w:t>
      </w:r>
      <w:r>
        <w:rPr>
          <w:i/>
          <w:w w:val="125"/>
          <w:sz w:val="18"/>
        </w:rPr>
        <w:t>§.</w:t>
      </w:r>
      <w:r>
        <w:rPr>
          <w:i/>
          <w:spacing w:val="-4"/>
          <w:w w:val="125"/>
          <w:sz w:val="18"/>
        </w:rPr>
        <w:t> </w:t>
      </w:r>
      <w:r>
        <w:rPr>
          <w:i/>
          <w:w w:val="125"/>
          <w:sz w:val="18"/>
        </w:rPr>
        <w:t>Módosította:</w:t>
      </w:r>
      <w:r>
        <w:rPr>
          <w:i/>
          <w:spacing w:val="-4"/>
          <w:w w:val="125"/>
          <w:sz w:val="18"/>
        </w:rPr>
        <w:t> </w:t>
      </w:r>
      <w:r>
        <w:rPr>
          <w:i/>
          <w:w w:val="125"/>
          <w:sz w:val="18"/>
        </w:rPr>
        <w:t>2018.</w:t>
      </w:r>
      <w:r>
        <w:rPr>
          <w:i/>
          <w:spacing w:val="-5"/>
          <w:w w:val="125"/>
          <w:sz w:val="18"/>
        </w:rPr>
        <w:t> </w:t>
      </w:r>
      <w:r>
        <w:rPr>
          <w:i/>
          <w:w w:val="125"/>
          <w:sz w:val="18"/>
        </w:rPr>
        <w:t>évi</w:t>
      </w:r>
      <w:r>
        <w:rPr>
          <w:i/>
          <w:spacing w:val="-4"/>
          <w:w w:val="125"/>
          <w:sz w:val="18"/>
        </w:rPr>
        <w:t> </w:t>
      </w:r>
      <w:r>
        <w:rPr>
          <w:i/>
          <w:w w:val="125"/>
          <w:sz w:val="18"/>
        </w:rPr>
        <w:t>CXXVI.</w:t>
      </w:r>
      <w:r>
        <w:rPr>
          <w:i/>
          <w:spacing w:val="-4"/>
          <w:w w:val="125"/>
          <w:sz w:val="18"/>
        </w:rPr>
        <w:t> </w:t>
      </w:r>
      <w:r>
        <w:rPr>
          <w:i/>
          <w:w w:val="125"/>
          <w:sz w:val="18"/>
        </w:rPr>
        <w:t>törvény</w:t>
      </w:r>
      <w:r>
        <w:rPr>
          <w:i/>
          <w:spacing w:val="-4"/>
          <w:w w:val="125"/>
          <w:sz w:val="18"/>
        </w:rPr>
        <w:t> </w:t>
      </w:r>
      <w:r>
        <w:rPr>
          <w:i/>
          <w:w w:val="125"/>
          <w:sz w:val="18"/>
        </w:rPr>
        <w:t>121.</w:t>
      </w:r>
      <w:r>
        <w:rPr>
          <w:i/>
          <w:spacing w:val="-5"/>
          <w:w w:val="125"/>
          <w:sz w:val="18"/>
        </w:rPr>
        <w:t> </w:t>
      </w:r>
      <w:r>
        <w:rPr>
          <w:i/>
          <w:w w:val="125"/>
          <w:sz w:val="18"/>
        </w:rPr>
        <w:t>§</w:t>
      </w:r>
      <w:r>
        <w:rPr>
          <w:i/>
          <w:spacing w:val="-3"/>
          <w:w w:val="125"/>
          <w:sz w:val="18"/>
        </w:rPr>
        <w:t> </w:t>
      </w:r>
      <w:r>
        <w:rPr>
          <w:i/>
          <w:w w:val="125"/>
          <w:sz w:val="18"/>
        </w:rPr>
        <w:t>b).</w:t>
      </w:r>
    </w:p>
    <w:p>
      <w:pPr>
        <w:pStyle w:val="ListParagraph"/>
        <w:numPr>
          <w:ilvl w:val="0"/>
          <w:numId w:val="148"/>
        </w:numPr>
        <w:tabs>
          <w:tab w:pos="686" w:val="left" w:leader="none"/>
          <w:tab w:pos="687" w:val="left" w:leader="none"/>
        </w:tabs>
        <w:spacing w:line="200" w:lineRule="exact" w:before="0" w:after="0"/>
        <w:ind w:left="686" w:right="0" w:hanging="344"/>
        <w:jc w:val="left"/>
        <w:rPr>
          <w:i/>
          <w:sz w:val="18"/>
        </w:rPr>
      </w:pPr>
      <w:r>
        <w:rPr>
          <w:i/>
          <w:w w:val="125"/>
          <w:sz w:val="18"/>
        </w:rPr>
        <w:t>Módosította: 2017. évi CXXX. törvény 116.</w:t>
      </w:r>
      <w:r>
        <w:rPr>
          <w:i/>
          <w:spacing w:val="-4"/>
          <w:w w:val="125"/>
          <w:sz w:val="18"/>
        </w:rPr>
        <w:t> </w:t>
      </w:r>
      <w:r>
        <w:rPr>
          <w:i/>
          <w:w w:val="125"/>
          <w:sz w:val="18"/>
        </w:rPr>
        <w:t>§.</w:t>
      </w:r>
    </w:p>
    <w:p>
      <w:pPr>
        <w:pStyle w:val="ListParagraph"/>
        <w:numPr>
          <w:ilvl w:val="0"/>
          <w:numId w:val="148"/>
        </w:numPr>
        <w:tabs>
          <w:tab w:pos="686" w:val="left" w:leader="none"/>
          <w:tab w:pos="687" w:val="left" w:leader="none"/>
        </w:tabs>
        <w:spacing w:line="203" w:lineRule="exact" w:before="0" w:after="0"/>
        <w:ind w:left="686" w:right="0" w:hanging="344"/>
        <w:jc w:val="left"/>
        <w:rPr>
          <w:i/>
          <w:sz w:val="18"/>
        </w:rPr>
      </w:pPr>
      <w:r>
        <w:rPr>
          <w:i/>
          <w:w w:val="120"/>
          <w:sz w:val="18"/>
        </w:rPr>
        <w:t>Beiktatta: 2014. évi XXXVII. törvény 161. § (7). Hatályos: 2014. IX.</w:t>
      </w:r>
      <w:r>
        <w:rPr>
          <w:i/>
          <w:spacing w:val="53"/>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149"/>
        </w:numPr>
        <w:tabs>
          <w:tab w:pos="556" w:val="left" w:leader="none"/>
        </w:tabs>
        <w:spacing w:line="225" w:lineRule="auto" w:before="173" w:after="0"/>
        <w:ind w:left="113" w:right="126" w:firstLine="204"/>
        <w:jc w:val="both"/>
        <w:rPr>
          <w:sz w:val="24"/>
        </w:rPr>
      </w:pPr>
      <w:r>
        <w:rPr>
          <w:i/>
          <w:w w:val="125"/>
          <w:position w:val="3"/>
          <w:sz w:val="18"/>
        </w:rPr>
        <w:t>1 </w:t>
      </w:r>
      <w:r>
        <w:rPr>
          <w:w w:val="125"/>
          <w:sz w:val="24"/>
        </w:rPr>
        <w:t>ha a pénzügyi intézmény tevékenységi engedélyét a 33. § (1) bekezdés </w:t>
      </w:r>
      <w:r>
        <w:rPr>
          <w:i/>
          <w:w w:val="125"/>
          <w:sz w:val="24"/>
        </w:rPr>
        <w:t>b) </w:t>
      </w:r>
      <w:r>
        <w:rPr>
          <w:w w:val="125"/>
          <w:sz w:val="24"/>
        </w:rPr>
        <w:t>pontja, 33. § (2) bekezdés </w:t>
      </w:r>
      <w:r>
        <w:rPr>
          <w:i/>
          <w:w w:val="125"/>
          <w:sz w:val="24"/>
        </w:rPr>
        <w:t>c) </w:t>
      </w:r>
      <w:r>
        <w:rPr>
          <w:w w:val="125"/>
          <w:sz w:val="24"/>
        </w:rPr>
        <w:t>pontja vagy 35. § (3) bekezdése alapján vonja vissza,</w:t>
      </w:r>
    </w:p>
    <w:p>
      <w:pPr>
        <w:pStyle w:val="ListParagraph"/>
        <w:numPr>
          <w:ilvl w:val="0"/>
          <w:numId w:val="149"/>
        </w:numPr>
        <w:tabs>
          <w:tab w:pos="719" w:val="left" w:leader="none"/>
        </w:tabs>
        <w:spacing w:line="225" w:lineRule="auto" w:before="1" w:after="0"/>
        <w:ind w:left="113" w:right="120" w:firstLine="204"/>
        <w:jc w:val="both"/>
        <w:rPr>
          <w:sz w:val="24"/>
        </w:rPr>
      </w:pPr>
      <w:r>
        <w:rPr>
          <w:w w:val="130"/>
          <w:sz w:val="24"/>
        </w:rPr>
        <w:t>ha a végelszámoló a Felügyeletet arról tájékoztatta, hogy a korrigált végelszámolási</w:t>
      </w:r>
      <w:r>
        <w:rPr>
          <w:spacing w:val="-11"/>
          <w:w w:val="130"/>
          <w:sz w:val="24"/>
        </w:rPr>
        <w:t> </w:t>
      </w:r>
      <w:r>
        <w:rPr>
          <w:w w:val="130"/>
          <w:sz w:val="24"/>
        </w:rPr>
        <w:t>nyitómérleg</w:t>
      </w:r>
      <w:r>
        <w:rPr>
          <w:spacing w:val="-25"/>
          <w:w w:val="130"/>
          <w:sz w:val="24"/>
        </w:rPr>
        <w:t> </w:t>
      </w:r>
      <w:r>
        <w:rPr>
          <w:w w:val="130"/>
          <w:sz w:val="24"/>
        </w:rPr>
        <w:t>alapján</w:t>
      </w:r>
      <w:r>
        <w:rPr>
          <w:spacing w:val="-7"/>
          <w:w w:val="130"/>
          <w:sz w:val="24"/>
        </w:rPr>
        <w:t> </w:t>
      </w:r>
      <w:r>
        <w:rPr>
          <w:w w:val="130"/>
          <w:sz w:val="24"/>
        </w:rPr>
        <w:t>azt</w:t>
      </w:r>
      <w:r>
        <w:rPr>
          <w:spacing w:val="-18"/>
          <w:w w:val="130"/>
          <w:sz w:val="24"/>
        </w:rPr>
        <w:t> </w:t>
      </w:r>
      <w:r>
        <w:rPr>
          <w:w w:val="130"/>
          <w:sz w:val="24"/>
        </w:rPr>
        <w:t>állapította</w:t>
      </w:r>
      <w:r>
        <w:rPr>
          <w:spacing w:val="-17"/>
          <w:w w:val="130"/>
          <w:sz w:val="24"/>
        </w:rPr>
        <w:t> </w:t>
      </w:r>
      <w:r>
        <w:rPr>
          <w:w w:val="130"/>
          <w:sz w:val="24"/>
        </w:rPr>
        <w:t>meg,</w:t>
      </w:r>
      <w:r>
        <w:rPr>
          <w:spacing w:val="-29"/>
          <w:w w:val="130"/>
          <w:sz w:val="24"/>
        </w:rPr>
        <w:t> </w:t>
      </w:r>
      <w:r>
        <w:rPr>
          <w:w w:val="130"/>
          <w:sz w:val="24"/>
        </w:rPr>
        <w:t>hogy</w:t>
      </w:r>
      <w:r>
        <w:rPr>
          <w:spacing w:val="-17"/>
          <w:w w:val="130"/>
          <w:sz w:val="24"/>
        </w:rPr>
        <w:t> </w:t>
      </w:r>
      <w:r>
        <w:rPr>
          <w:w w:val="130"/>
          <w:sz w:val="24"/>
        </w:rPr>
        <w:t>a</w:t>
      </w:r>
      <w:r>
        <w:rPr>
          <w:spacing w:val="-18"/>
          <w:w w:val="130"/>
          <w:sz w:val="24"/>
        </w:rPr>
        <w:t> </w:t>
      </w:r>
      <w:r>
        <w:rPr>
          <w:w w:val="130"/>
          <w:sz w:val="24"/>
        </w:rPr>
        <w:t>végelszámolás alatt álló pénzügyi intézmény vagyona a hitelezők követelésének fedezetére nem elegendő, és a tagok, tulajdonosok a hiányzó összeget harminc napon belül nem fizették meg,</w:t>
      </w:r>
      <w:r>
        <w:rPr>
          <w:spacing w:val="-16"/>
          <w:w w:val="130"/>
          <w:sz w:val="24"/>
        </w:rPr>
        <w:t> </w:t>
      </w:r>
      <w:r>
        <w:rPr>
          <w:w w:val="130"/>
          <w:sz w:val="24"/>
        </w:rPr>
        <w:t>vagy</w:t>
      </w:r>
    </w:p>
    <w:p>
      <w:pPr>
        <w:pStyle w:val="ListParagraph"/>
        <w:numPr>
          <w:ilvl w:val="0"/>
          <w:numId w:val="149"/>
        </w:numPr>
        <w:tabs>
          <w:tab w:pos="704" w:val="left" w:leader="none"/>
        </w:tabs>
        <w:spacing w:line="225" w:lineRule="auto" w:before="3" w:after="0"/>
        <w:ind w:left="113" w:right="131" w:firstLine="204"/>
        <w:jc w:val="both"/>
        <w:rPr>
          <w:sz w:val="24"/>
        </w:rPr>
      </w:pPr>
      <w:r>
        <w:rPr>
          <w:w w:val="130"/>
          <w:sz w:val="24"/>
        </w:rPr>
        <w:t>fióktelep esetén, ha a Magyarországon fióktelepet működtető külföldi pénzügyi intézmény ellen fizetésképtelenség megállapítására irányuló eljárás indult.</w:t>
      </w:r>
    </w:p>
    <w:p>
      <w:pPr>
        <w:pStyle w:val="ListParagraph"/>
        <w:numPr>
          <w:ilvl w:val="0"/>
          <w:numId w:val="147"/>
        </w:numPr>
        <w:tabs>
          <w:tab w:pos="734" w:val="left" w:leader="none"/>
        </w:tabs>
        <w:spacing w:line="256" w:lineRule="exact" w:before="0" w:after="0"/>
        <w:ind w:left="733" w:right="0" w:hanging="416"/>
        <w:jc w:val="left"/>
        <w:rPr>
          <w:sz w:val="24"/>
        </w:rPr>
      </w:pPr>
      <w:r>
        <w:rPr>
          <w:w w:val="125"/>
          <w:sz w:val="24"/>
        </w:rPr>
        <w:t>A bíróság a felszámolási</w:t>
      </w:r>
      <w:r>
        <w:rPr>
          <w:spacing w:val="3"/>
          <w:w w:val="125"/>
          <w:sz w:val="24"/>
        </w:rPr>
        <w:t> </w:t>
      </w:r>
      <w:r>
        <w:rPr>
          <w:w w:val="125"/>
          <w:sz w:val="24"/>
        </w:rPr>
        <w:t>eljárást</w:t>
      </w:r>
    </w:p>
    <w:p>
      <w:pPr>
        <w:pStyle w:val="ListParagraph"/>
        <w:numPr>
          <w:ilvl w:val="0"/>
          <w:numId w:val="150"/>
        </w:numPr>
        <w:tabs>
          <w:tab w:pos="779" w:val="left" w:leader="none"/>
        </w:tabs>
        <w:spacing w:line="225" w:lineRule="auto" w:before="6" w:after="0"/>
        <w:ind w:left="113" w:right="124" w:firstLine="204"/>
        <w:jc w:val="both"/>
        <w:rPr>
          <w:sz w:val="24"/>
        </w:rPr>
      </w:pPr>
      <w:r>
        <w:rPr>
          <w:w w:val="130"/>
          <w:sz w:val="24"/>
        </w:rPr>
        <w:t>a részvénytársasági vagy szövetkezeti formában működő pénzügyi intézmény,</w:t>
      </w:r>
    </w:p>
    <w:p>
      <w:pPr>
        <w:pStyle w:val="ListParagraph"/>
        <w:numPr>
          <w:ilvl w:val="0"/>
          <w:numId w:val="150"/>
        </w:numPr>
        <w:tabs>
          <w:tab w:pos="653" w:val="left" w:leader="none"/>
        </w:tabs>
        <w:spacing w:line="225" w:lineRule="auto" w:before="1" w:after="0"/>
        <w:ind w:left="113" w:right="2454" w:firstLine="204"/>
        <w:jc w:val="left"/>
        <w:rPr>
          <w:sz w:val="24"/>
        </w:rPr>
      </w:pPr>
      <w:r>
        <w:rPr>
          <w:w w:val="130"/>
          <w:sz w:val="24"/>
        </w:rPr>
        <w:t>a fióktelepet működtető külföldi pénzügyi intézmény fizetésképtelenségének</w:t>
      </w:r>
      <w:r>
        <w:rPr>
          <w:spacing w:val="-37"/>
          <w:w w:val="130"/>
          <w:sz w:val="24"/>
        </w:rPr>
        <w:t> </w:t>
      </w:r>
      <w:r>
        <w:rPr>
          <w:w w:val="130"/>
          <w:sz w:val="24"/>
        </w:rPr>
        <w:t>vizsgálata</w:t>
      </w:r>
      <w:r>
        <w:rPr>
          <w:spacing w:val="-36"/>
          <w:w w:val="130"/>
          <w:sz w:val="24"/>
        </w:rPr>
        <w:t> </w:t>
      </w:r>
      <w:r>
        <w:rPr>
          <w:w w:val="130"/>
          <w:sz w:val="24"/>
        </w:rPr>
        <w:t>nélkül</w:t>
      </w:r>
      <w:r>
        <w:rPr>
          <w:spacing w:val="-37"/>
          <w:w w:val="130"/>
          <w:sz w:val="24"/>
        </w:rPr>
        <w:t> </w:t>
      </w:r>
      <w:r>
        <w:rPr>
          <w:w w:val="130"/>
          <w:sz w:val="24"/>
        </w:rPr>
        <w:t>köteles</w:t>
      </w:r>
      <w:r>
        <w:rPr>
          <w:spacing w:val="-27"/>
          <w:w w:val="130"/>
          <w:sz w:val="24"/>
        </w:rPr>
        <w:t> </w:t>
      </w:r>
      <w:r>
        <w:rPr>
          <w:w w:val="130"/>
          <w:sz w:val="24"/>
        </w:rPr>
        <w:t>elrendelni.</w:t>
      </w:r>
    </w:p>
    <w:p>
      <w:pPr>
        <w:pStyle w:val="ListParagraph"/>
        <w:numPr>
          <w:ilvl w:val="1"/>
          <w:numId w:val="146"/>
        </w:numPr>
        <w:tabs>
          <w:tab w:pos="868" w:val="left" w:leader="none"/>
        </w:tabs>
        <w:spacing w:line="225" w:lineRule="auto" w:before="0" w:after="0"/>
        <w:ind w:left="113" w:right="124" w:firstLine="204"/>
        <w:jc w:val="both"/>
        <w:rPr>
          <w:sz w:val="24"/>
        </w:rPr>
      </w:pPr>
      <w:r>
        <w:rPr>
          <w:rFonts w:ascii="Arial" w:hAnsi="Arial"/>
          <w:b/>
          <w:w w:val="125"/>
          <w:sz w:val="24"/>
        </w:rPr>
        <w:t>§ </w:t>
      </w:r>
      <w:r>
        <w:rPr>
          <w:w w:val="125"/>
          <w:sz w:val="24"/>
        </w:rPr>
        <w:t>(1) A bíróság a felszámolási eljárás megindítása iránti kérelemről a benyújtástól számított nyolc napon belül határoz. A felszámolást elrendelő végzés fellebbezésre tekintet nélkül</w:t>
      </w:r>
      <w:r>
        <w:rPr>
          <w:spacing w:val="16"/>
          <w:w w:val="125"/>
          <w:sz w:val="24"/>
        </w:rPr>
        <w:t> </w:t>
      </w:r>
      <w:r>
        <w:rPr>
          <w:w w:val="125"/>
          <w:sz w:val="24"/>
        </w:rPr>
        <w:t>végrehajtható.</w:t>
      </w:r>
    </w:p>
    <w:p>
      <w:pPr>
        <w:pStyle w:val="BodyText"/>
        <w:spacing w:line="225" w:lineRule="auto" w:before="2"/>
        <w:ind w:right="131"/>
        <w:jc w:val="both"/>
      </w:pPr>
      <w:r>
        <w:rPr>
          <w:w w:val="125"/>
        </w:rPr>
        <w:t>(2) A felszámolási eljárás megindítása iránti kérelem benyújtásához nem szükséges a Cstv. 23. § (1) bekezdésben meghatározott előzetes egyetértés.</w:t>
      </w:r>
    </w:p>
    <w:p>
      <w:pPr>
        <w:pStyle w:val="ListParagraph"/>
        <w:numPr>
          <w:ilvl w:val="1"/>
          <w:numId w:val="146"/>
        </w:numPr>
        <w:tabs>
          <w:tab w:pos="929" w:val="left" w:leader="none"/>
        </w:tabs>
        <w:spacing w:line="249" w:lineRule="exact" w:before="0" w:after="0"/>
        <w:ind w:left="928" w:right="0" w:hanging="611"/>
        <w:jc w:val="left"/>
        <w:rPr>
          <w:sz w:val="24"/>
        </w:rPr>
      </w:pPr>
      <w:r>
        <w:rPr>
          <w:rFonts w:ascii="Arial" w:hAnsi="Arial"/>
          <w:b/>
          <w:w w:val="125"/>
          <w:sz w:val="24"/>
        </w:rPr>
        <w:t>§</w:t>
      </w:r>
      <w:r>
        <w:rPr>
          <w:rFonts w:ascii="Arial" w:hAnsi="Arial"/>
          <w:b/>
          <w:spacing w:val="32"/>
          <w:w w:val="125"/>
          <w:sz w:val="24"/>
        </w:rPr>
        <w:t> </w:t>
      </w:r>
      <w:r>
        <w:rPr>
          <w:w w:val="125"/>
          <w:sz w:val="24"/>
        </w:rPr>
        <w:t>(1)</w:t>
      </w:r>
      <w:r>
        <w:rPr>
          <w:i/>
          <w:w w:val="125"/>
          <w:position w:val="3"/>
          <w:sz w:val="18"/>
        </w:rPr>
        <w:t>2</w:t>
      </w:r>
      <w:r>
        <w:rPr>
          <w:i/>
          <w:spacing w:val="21"/>
          <w:w w:val="125"/>
          <w:position w:val="3"/>
          <w:sz w:val="18"/>
        </w:rPr>
        <w:t> </w:t>
      </w:r>
      <w:r>
        <w:rPr>
          <w:w w:val="125"/>
          <w:sz w:val="24"/>
        </w:rPr>
        <w:t>Ha</w:t>
      </w:r>
      <w:r>
        <w:rPr>
          <w:spacing w:val="41"/>
          <w:w w:val="125"/>
          <w:sz w:val="24"/>
        </w:rPr>
        <w:t> </w:t>
      </w:r>
      <w:r>
        <w:rPr>
          <w:w w:val="125"/>
          <w:sz w:val="24"/>
        </w:rPr>
        <w:t>a</w:t>
      </w:r>
      <w:r>
        <w:rPr>
          <w:spacing w:val="40"/>
          <w:w w:val="125"/>
          <w:sz w:val="24"/>
        </w:rPr>
        <w:t> </w:t>
      </w:r>
      <w:r>
        <w:rPr>
          <w:w w:val="125"/>
          <w:sz w:val="24"/>
        </w:rPr>
        <w:t>Felügyelet</w:t>
      </w:r>
      <w:r>
        <w:rPr>
          <w:spacing w:val="41"/>
          <w:w w:val="125"/>
          <w:sz w:val="24"/>
        </w:rPr>
        <w:t> </w:t>
      </w:r>
      <w:r>
        <w:rPr>
          <w:w w:val="125"/>
          <w:sz w:val="24"/>
        </w:rPr>
        <w:t>már</w:t>
      </w:r>
      <w:r>
        <w:rPr>
          <w:spacing w:val="40"/>
          <w:w w:val="125"/>
          <w:sz w:val="24"/>
        </w:rPr>
        <w:t> </w:t>
      </w:r>
      <w:r>
        <w:rPr>
          <w:w w:val="125"/>
          <w:sz w:val="24"/>
        </w:rPr>
        <w:t>a</w:t>
      </w:r>
      <w:r>
        <w:rPr>
          <w:spacing w:val="41"/>
          <w:w w:val="125"/>
          <w:sz w:val="24"/>
        </w:rPr>
        <w:t> </w:t>
      </w:r>
      <w:r>
        <w:rPr>
          <w:w w:val="125"/>
          <w:sz w:val="24"/>
        </w:rPr>
        <w:t>felszámolási</w:t>
      </w:r>
      <w:r>
        <w:rPr>
          <w:spacing w:val="40"/>
          <w:w w:val="125"/>
          <w:sz w:val="24"/>
        </w:rPr>
        <w:t> </w:t>
      </w:r>
      <w:r>
        <w:rPr>
          <w:w w:val="125"/>
          <w:sz w:val="24"/>
        </w:rPr>
        <w:t>eljárás</w:t>
      </w:r>
      <w:r>
        <w:rPr>
          <w:spacing w:val="41"/>
          <w:w w:val="125"/>
          <w:sz w:val="24"/>
        </w:rPr>
        <w:t> </w:t>
      </w:r>
      <w:r>
        <w:rPr>
          <w:w w:val="125"/>
          <w:sz w:val="24"/>
        </w:rPr>
        <w:t>iránti</w:t>
      </w:r>
      <w:r>
        <w:rPr>
          <w:spacing w:val="40"/>
          <w:w w:val="125"/>
          <w:sz w:val="24"/>
        </w:rPr>
        <w:t> </w:t>
      </w:r>
      <w:r>
        <w:rPr>
          <w:w w:val="125"/>
          <w:sz w:val="24"/>
        </w:rPr>
        <w:t>kérelem</w:t>
      </w:r>
    </w:p>
    <w:p>
      <w:pPr>
        <w:pStyle w:val="BodyText"/>
        <w:spacing w:line="225" w:lineRule="auto" w:before="12"/>
        <w:ind w:right="129" w:firstLine="0"/>
        <w:jc w:val="both"/>
      </w:pPr>
      <w:r>
        <w:rPr>
          <w:w w:val="130"/>
        </w:rPr>
        <w:t>benyújtását</w:t>
      </w:r>
      <w:r>
        <w:rPr>
          <w:spacing w:val="-18"/>
          <w:w w:val="130"/>
        </w:rPr>
        <w:t> </w:t>
      </w:r>
      <w:r>
        <w:rPr>
          <w:w w:val="130"/>
        </w:rPr>
        <w:t>megelőzően</w:t>
      </w:r>
      <w:r>
        <w:rPr>
          <w:spacing w:val="-17"/>
          <w:w w:val="130"/>
        </w:rPr>
        <w:t> </w:t>
      </w:r>
      <w:r>
        <w:rPr>
          <w:w w:val="130"/>
        </w:rPr>
        <w:t>a</w:t>
      </w:r>
      <w:r>
        <w:rPr>
          <w:spacing w:val="-18"/>
          <w:w w:val="130"/>
        </w:rPr>
        <w:t> </w:t>
      </w:r>
      <w:r>
        <w:rPr>
          <w:w w:val="130"/>
        </w:rPr>
        <w:t>pénzügyi</w:t>
      </w:r>
      <w:r>
        <w:rPr>
          <w:spacing w:val="-17"/>
          <w:w w:val="130"/>
        </w:rPr>
        <w:t> </w:t>
      </w:r>
      <w:r>
        <w:rPr>
          <w:w w:val="130"/>
        </w:rPr>
        <w:t>intézmény</w:t>
      </w:r>
      <w:r>
        <w:rPr>
          <w:spacing w:val="-17"/>
          <w:w w:val="130"/>
        </w:rPr>
        <w:t> </w:t>
      </w:r>
      <w:r>
        <w:rPr>
          <w:w w:val="130"/>
        </w:rPr>
        <w:t>irányítási</w:t>
      </w:r>
      <w:r>
        <w:rPr>
          <w:spacing w:val="-18"/>
          <w:w w:val="130"/>
        </w:rPr>
        <w:t> </w:t>
      </w:r>
      <w:r>
        <w:rPr>
          <w:w w:val="130"/>
        </w:rPr>
        <w:t>jogkörrel</w:t>
      </w:r>
      <w:r>
        <w:rPr>
          <w:spacing w:val="-17"/>
          <w:w w:val="130"/>
        </w:rPr>
        <w:t> </w:t>
      </w:r>
      <w:r>
        <w:rPr>
          <w:w w:val="130"/>
        </w:rPr>
        <w:t>rendelkező vezető testületének teljes jogkörét átvevő felügyeleti biztost rendelt ki, a felügyeleti</w:t>
      </w:r>
      <w:r>
        <w:rPr>
          <w:spacing w:val="-12"/>
          <w:w w:val="130"/>
        </w:rPr>
        <w:t> </w:t>
      </w:r>
      <w:r>
        <w:rPr>
          <w:w w:val="130"/>
        </w:rPr>
        <w:t>biztos</w:t>
      </w:r>
      <w:r>
        <w:rPr>
          <w:spacing w:val="-11"/>
          <w:w w:val="130"/>
        </w:rPr>
        <w:t> </w:t>
      </w:r>
      <w:r>
        <w:rPr>
          <w:w w:val="130"/>
        </w:rPr>
        <w:t>megbízatása</w:t>
      </w:r>
      <w:r>
        <w:rPr>
          <w:spacing w:val="-12"/>
          <w:w w:val="130"/>
        </w:rPr>
        <w:t> </w:t>
      </w:r>
      <w:r>
        <w:rPr>
          <w:w w:val="130"/>
        </w:rPr>
        <w:t>a</w:t>
      </w:r>
      <w:r>
        <w:rPr>
          <w:spacing w:val="-12"/>
          <w:w w:val="130"/>
        </w:rPr>
        <w:t> </w:t>
      </w:r>
      <w:r>
        <w:rPr>
          <w:w w:val="130"/>
        </w:rPr>
        <w:t>felszámolás</w:t>
      </w:r>
      <w:r>
        <w:rPr>
          <w:spacing w:val="-11"/>
          <w:w w:val="130"/>
        </w:rPr>
        <w:t> </w:t>
      </w:r>
      <w:r>
        <w:rPr>
          <w:w w:val="130"/>
        </w:rPr>
        <w:t>kezdő</w:t>
      </w:r>
      <w:r>
        <w:rPr>
          <w:spacing w:val="-13"/>
          <w:w w:val="130"/>
        </w:rPr>
        <w:t> </w:t>
      </w:r>
      <w:r>
        <w:rPr>
          <w:w w:val="130"/>
        </w:rPr>
        <w:t>időpontjáig</w:t>
      </w:r>
      <w:r>
        <w:rPr>
          <w:spacing w:val="-12"/>
          <w:w w:val="130"/>
        </w:rPr>
        <w:t> </w:t>
      </w:r>
      <w:r>
        <w:rPr>
          <w:w w:val="130"/>
        </w:rPr>
        <w:t>tart.</w:t>
      </w:r>
    </w:p>
    <w:p>
      <w:pPr>
        <w:pStyle w:val="ListParagraph"/>
        <w:numPr>
          <w:ilvl w:val="0"/>
          <w:numId w:val="151"/>
        </w:numPr>
        <w:tabs>
          <w:tab w:pos="873" w:val="left" w:leader="none"/>
        </w:tabs>
        <w:spacing w:line="225" w:lineRule="auto" w:before="2" w:after="0"/>
        <w:ind w:left="113" w:right="119" w:firstLine="204"/>
        <w:jc w:val="both"/>
        <w:rPr>
          <w:sz w:val="24"/>
        </w:rPr>
      </w:pPr>
      <w:r>
        <w:rPr>
          <w:w w:val="130"/>
          <w:sz w:val="24"/>
        </w:rPr>
        <w:t>A Felügyelet a felszámolási kérelem benyújtásától a felszámolást elrendelő végzés Cégközlönyben történő megjelenéséig teljes körű kifizetési tilalmat rendelhet</w:t>
      </w:r>
      <w:r>
        <w:rPr>
          <w:spacing w:val="-6"/>
          <w:w w:val="130"/>
          <w:sz w:val="24"/>
        </w:rPr>
        <w:t> </w:t>
      </w:r>
      <w:r>
        <w:rPr>
          <w:w w:val="130"/>
          <w:sz w:val="24"/>
        </w:rPr>
        <w:t>el.</w:t>
      </w:r>
    </w:p>
    <w:p>
      <w:pPr>
        <w:pStyle w:val="ListParagraph"/>
        <w:numPr>
          <w:ilvl w:val="0"/>
          <w:numId w:val="151"/>
        </w:numPr>
        <w:tabs>
          <w:tab w:pos="858" w:val="left" w:leader="none"/>
        </w:tabs>
        <w:spacing w:line="225" w:lineRule="auto" w:before="1" w:after="0"/>
        <w:ind w:left="113" w:right="118" w:firstLine="204"/>
        <w:jc w:val="both"/>
        <w:rPr>
          <w:sz w:val="24"/>
        </w:rPr>
      </w:pPr>
      <w:r>
        <w:rPr>
          <w:w w:val="130"/>
          <w:sz w:val="24"/>
        </w:rPr>
        <w:t>Pénzügyi intézmény felszámolása során a hitelezők a felszámolást elrendelő bírósági végzés közzétételétől számított hatvan napon belül kötelesek követeléseiket</w:t>
      </w:r>
      <w:r>
        <w:rPr>
          <w:spacing w:val="-9"/>
          <w:w w:val="130"/>
          <w:sz w:val="24"/>
        </w:rPr>
        <w:t> </w:t>
      </w:r>
      <w:r>
        <w:rPr>
          <w:w w:val="130"/>
          <w:sz w:val="24"/>
        </w:rPr>
        <w:t>bejelenteni.</w:t>
      </w:r>
    </w:p>
    <w:p>
      <w:pPr>
        <w:pStyle w:val="ListParagraph"/>
        <w:numPr>
          <w:ilvl w:val="1"/>
          <w:numId w:val="146"/>
        </w:numPr>
        <w:tabs>
          <w:tab w:pos="840" w:val="left" w:leader="none"/>
        </w:tabs>
        <w:spacing w:line="225" w:lineRule="auto" w:before="1" w:after="0"/>
        <w:ind w:left="113" w:right="124" w:firstLine="204"/>
        <w:jc w:val="both"/>
        <w:rPr>
          <w:sz w:val="24"/>
        </w:rPr>
      </w:pPr>
      <w:r>
        <w:rPr>
          <w:rFonts w:ascii="Arial" w:hAnsi="Arial"/>
          <w:b/>
          <w:w w:val="125"/>
          <w:sz w:val="24"/>
        </w:rPr>
        <w:t>§ </w:t>
      </w:r>
      <w:r>
        <w:rPr>
          <w:w w:val="125"/>
          <w:sz w:val="24"/>
        </w:rPr>
        <w:t>(1) A felszámolói díj összege nem haladhatja meg a felszámolás során eladott vagyontárgyak árbevételének és a befolyt követelések együttes összegének 1,25 százalékát. Egyezség esetén a felszámoló díja nem lehet több  a vagyontárgyak nettó értékének 1,25</w:t>
      </w:r>
      <w:r>
        <w:rPr>
          <w:spacing w:val="12"/>
          <w:w w:val="125"/>
          <w:sz w:val="24"/>
        </w:rPr>
        <w:t> </w:t>
      </w:r>
      <w:r>
        <w:rPr>
          <w:w w:val="125"/>
          <w:sz w:val="24"/>
        </w:rPr>
        <w:t>százalékánál.</w:t>
      </w:r>
    </w:p>
    <w:p>
      <w:pPr>
        <w:pStyle w:val="BodyText"/>
        <w:spacing w:line="225" w:lineRule="auto" w:before="2"/>
        <w:ind w:right="125"/>
        <w:jc w:val="both"/>
      </w:pPr>
      <w:r>
        <w:rPr>
          <w:w w:val="120"/>
        </w:rPr>
        <w:t>(2) A felszámolóra a Cstv. 59. §-a és 60.  §  (4)-(6)  bekezdése  nem alkalmazható.</w:t>
      </w:r>
    </w:p>
    <w:p>
      <w:pPr>
        <w:pStyle w:val="ListParagraph"/>
        <w:numPr>
          <w:ilvl w:val="1"/>
          <w:numId w:val="146"/>
        </w:numPr>
        <w:tabs>
          <w:tab w:pos="818" w:val="left" w:leader="none"/>
        </w:tabs>
        <w:spacing w:line="256" w:lineRule="exact" w:before="0" w:after="0"/>
        <w:ind w:left="817" w:right="0" w:hanging="500"/>
        <w:jc w:val="left"/>
        <w:rPr>
          <w:sz w:val="24"/>
        </w:rPr>
      </w:pPr>
      <w:r>
        <w:rPr>
          <w:rFonts w:ascii="Arial" w:hAnsi="Arial"/>
          <w:b/>
          <w:w w:val="120"/>
          <w:sz w:val="24"/>
        </w:rPr>
        <w:t>§ </w:t>
      </w:r>
      <w:r>
        <w:rPr>
          <w:w w:val="120"/>
          <w:sz w:val="24"/>
        </w:rPr>
        <w:t>(1)</w:t>
      </w:r>
      <w:r>
        <w:rPr>
          <w:i/>
          <w:w w:val="120"/>
          <w:position w:val="3"/>
          <w:sz w:val="18"/>
        </w:rPr>
        <w:t>3 </w:t>
      </w:r>
      <w:r>
        <w:rPr>
          <w:w w:val="120"/>
          <w:sz w:val="24"/>
        </w:rPr>
        <w:t>Hitelintézet felszámolása során</w:t>
      </w:r>
    </w:p>
    <w:p>
      <w:pPr>
        <w:pStyle w:val="ListParagraph"/>
        <w:numPr>
          <w:ilvl w:val="0"/>
          <w:numId w:val="152"/>
        </w:numPr>
        <w:tabs>
          <w:tab w:pos="707" w:val="left" w:leader="none"/>
        </w:tabs>
        <w:spacing w:line="225" w:lineRule="auto" w:before="6" w:after="0"/>
        <w:ind w:left="113" w:right="127" w:firstLine="204"/>
        <w:jc w:val="both"/>
        <w:rPr>
          <w:sz w:val="24"/>
        </w:rPr>
      </w:pPr>
      <w:r>
        <w:rPr>
          <w:w w:val="125"/>
          <w:sz w:val="24"/>
        </w:rPr>
        <w:t>az OBA által biztosított betétek kártalanítási kötelezettség alá tartozó betétrészeit, valamint az 1993. június 30-át megelőzően - állami garanciával (helytállással)</w:t>
      </w:r>
      <w:r>
        <w:rPr>
          <w:spacing w:val="13"/>
          <w:w w:val="125"/>
          <w:sz w:val="24"/>
        </w:rPr>
        <w:t> </w:t>
      </w:r>
      <w:r>
        <w:rPr>
          <w:w w:val="125"/>
          <w:sz w:val="24"/>
        </w:rPr>
        <w:t>biztosított</w:t>
      </w:r>
      <w:r>
        <w:rPr>
          <w:spacing w:val="14"/>
          <w:w w:val="125"/>
          <w:sz w:val="24"/>
        </w:rPr>
        <w:t> </w:t>
      </w:r>
      <w:r>
        <w:rPr>
          <w:w w:val="125"/>
          <w:sz w:val="24"/>
        </w:rPr>
        <w:t>-</w:t>
      </w:r>
      <w:r>
        <w:rPr>
          <w:spacing w:val="13"/>
          <w:w w:val="125"/>
          <w:sz w:val="24"/>
        </w:rPr>
        <w:t> </w:t>
      </w:r>
      <w:r>
        <w:rPr>
          <w:w w:val="125"/>
          <w:sz w:val="24"/>
        </w:rPr>
        <w:t>betételhelyezésből</w:t>
      </w:r>
      <w:r>
        <w:rPr>
          <w:spacing w:val="13"/>
          <w:w w:val="125"/>
          <w:sz w:val="24"/>
        </w:rPr>
        <w:t> </w:t>
      </w:r>
      <w:r>
        <w:rPr>
          <w:w w:val="125"/>
          <w:sz w:val="24"/>
        </w:rPr>
        <w:t>eredő</w:t>
      </w:r>
      <w:r>
        <w:rPr>
          <w:spacing w:val="13"/>
          <w:w w:val="125"/>
          <w:sz w:val="24"/>
        </w:rPr>
        <w:t> </w:t>
      </w:r>
      <w:r>
        <w:rPr>
          <w:w w:val="125"/>
          <w:sz w:val="24"/>
        </w:rPr>
        <w:t>követeléseket</w:t>
      </w:r>
      <w:r>
        <w:rPr>
          <w:spacing w:val="13"/>
          <w:w w:val="125"/>
          <w:sz w:val="24"/>
        </w:rPr>
        <w:t> </w:t>
      </w:r>
      <w:r>
        <w:rPr>
          <w:w w:val="125"/>
          <w:sz w:val="24"/>
        </w:rPr>
        <w:t>a</w:t>
      </w:r>
      <w:r>
        <w:rPr>
          <w:spacing w:val="14"/>
          <w:w w:val="125"/>
          <w:sz w:val="24"/>
        </w:rPr>
        <w:t> </w:t>
      </w:r>
      <w:r>
        <w:rPr>
          <w:w w:val="125"/>
          <w:sz w:val="24"/>
        </w:rPr>
        <w:t>Cstv.</w:t>
      </w:r>
      <w:r>
        <w:rPr>
          <w:spacing w:val="13"/>
          <w:w w:val="125"/>
          <w:sz w:val="24"/>
        </w:rPr>
        <w:t> </w:t>
      </w:r>
      <w:r>
        <w:rPr>
          <w:w w:val="125"/>
          <w:sz w:val="24"/>
        </w:rPr>
        <w:t>57.</w:t>
      </w:r>
      <w:r>
        <w:rPr>
          <w:spacing w:val="14"/>
          <w:w w:val="125"/>
          <w:sz w:val="24"/>
        </w:rPr>
        <w:t> </w:t>
      </w:r>
      <w:r>
        <w:rPr>
          <w:w w:val="125"/>
          <w:sz w:val="24"/>
        </w:rPr>
        <w:t>§</w:t>
      </w:r>
    </w:p>
    <w:p>
      <w:pPr>
        <w:pStyle w:val="ListParagraph"/>
        <w:numPr>
          <w:ilvl w:val="0"/>
          <w:numId w:val="153"/>
        </w:numPr>
        <w:tabs>
          <w:tab w:pos="530" w:val="left" w:leader="none"/>
        </w:tabs>
        <w:spacing w:line="256" w:lineRule="exact" w:before="0" w:after="0"/>
        <w:ind w:left="529" w:right="0" w:hanging="416"/>
        <w:jc w:val="left"/>
        <w:rPr>
          <w:sz w:val="24"/>
        </w:rPr>
      </w:pPr>
      <w:r>
        <w:rPr>
          <w:w w:val="125"/>
          <w:sz w:val="24"/>
        </w:rPr>
        <w:t>bekezdés </w:t>
      </w:r>
      <w:r>
        <w:rPr>
          <w:i/>
          <w:w w:val="125"/>
          <w:sz w:val="24"/>
        </w:rPr>
        <w:t>c) </w:t>
      </w:r>
      <w:r>
        <w:rPr>
          <w:w w:val="125"/>
          <w:sz w:val="24"/>
        </w:rPr>
        <w:t>pontját követő és a </w:t>
      </w:r>
      <w:r>
        <w:rPr>
          <w:i/>
          <w:w w:val="125"/>
          <w:sz w:val="24"/>
        </w:rPr>
        <w:t>d) </w:t>
      </w:r>
      <w:r>
        <w:rPr>
          <w:w w:val="125"/>
          <w:sz w:val="24"/>
        </w:rPr>
        <w:t>pontját megelőző kielégítési</w:t>
      </w:r>
      <w:r>
        <w:rPr>
          <w:spacing w:val="-3"/>
          <w:w w:val="125"/>
          <w:sz w:val="24"/>
        </w:rPr>
        <w:t> </w:t>
      </w:r>
      <w:r>
        <w:rPr>
          <w:w w:val="125"/>
          <w:sz w:val="24"/>
        </w:rPr>
        <w:t>csoportba,</w:t>
      </w:r>
    </w:p>
    <w:p>
      <w:pPr>
        <w:pStyle w:val="ListParagraph"/>
        <w:numPr>
          <w:ilvl w:val="0"/>
          <w:numId w:val="152"/>
        </w:numPr>
        <w:tabs>
          <w:tab w:pos="683" w:val="left" w:leader="none"/>
        </w:tabs>
        <w:spacing w:line="225" w:lineRule="auto" w:before="5" w:after="0"/>
        <w:ind w:left="113" w:right="126" w:firstLine="204"/>
        <w:jc w:val="both"/>
        <w:rPr>
          <w:sz w:val="24"/>
        </w:rPr>
      </w:pPr>
      <w:r>
        <w:rPr>
          <w:w w:val="125"/>
          <w:sz w:val="24"/>
        </w:rPr>
        <w:t>a természetes személy, valamint a mikro-, kis- és középvállalkozás OBA által biztosított, kártalanítási kötelezettséget meghaladó betétrészből eredő követeléseket az </w:t>
      </w:r>
      <w:r>
        <w:rPr>
          <w:i/>
          <w:w w:val="125"/>
          <w:sz w:val="24"/>
        </w:rPr>
        <w:t>a) </w:t>
      </w:r>
      <w:r>
        <w:rPr>
          <w:w w:val="125"/>
          <w:sz w:val="24"/>
        </w:rPr>
        <w:t>pontot követő és a Cstv. 57. § (1) bekezdés </w:t>
      </w:r>
      <w:r>
        <w:rPr>
          <w:i/>
          <w:w w:val="125"/>
          <w:sz w:val="24"/>
        </w:rPr>
        <w:t>d) </w:t>
      </w:r>
      <w:r>
        <w:rPr>
          <w:w w:val="125"/>
          <w:sz w:val="24"/>
        </w:rPr>
        <w:t>pontját megelőző kielégítési csoportba,</w:t>
      </w:r>
    </w:p>
    <w:p>
      <w:pPr>
        <w:pStyle w:val="ListParagraph"/>
        <w:numPr>
          <w:ilvl w:val="0"/>
          <w:numId w:val="152"/>
        </w:numPr>
        <w:tabs>
          <w:tab w:pos="653" w:val="left" w:leader="none"/>
        </w:tabs>
        <w:spacing w:line="225" w:lineRule="auto" w:before="3" w:after="0"/>
        <w:ind w:left="113" w:right="131" w:firstLine="204"/>
        <w:jc w:val="both"/>
        <w:rPr>
          <w:sz w:val="24"/>
        </w:rPr>
      </w:pPr>
      <w:r>
        <w:rPr>
          <w:w w:val="130"/>
          <w:sz w:val="24"/>
        </w:rPr>
        <w:t>az </w:t>
      </w:r>
      <w:r>
        <w:rPr>
          <w:i/>
          <w:w w:val="130"/>
          <w:sz w:val="24"/>
        </w:rPr>
        <w:t>a) </w:t>
      </w:r>
      <w:r>
        <w:rPr>
          <w:w w:val="130"/>
          <w:sz w:val="24"/>
        </w:rPr>
        <w:t>és </w:t>
      </w:r>
      <w:r>
        <w:rPr>
          <w:i/>
          <w:w w:val="130"/>
          <w:sz w:val="24"/>
        </w:rPr>
        <w:t>b) </w:t>
      </w:r>
      <w:r>
        <w:rPr>
          <w:w w:val="130"/>
          <w:sz w:val="24"/>
        </w:rPr>
        <w:t>pontba nem tartozó betételhelyezésből eredő követeléseket a Cstv. 57. § (1) bekezdés </w:t>
      </w:r>
      <w:r>
        <w:rPr>
          <w:i/>
          <w:w w:val="130"/>
          <w:sz w:val="24"/>
        </w:rPr>
        <w:t>d)</w:t>
      </w:r>
      <w:r>
        <w:rPr>
          <w:i/>
          <w:spacing w:val="-25"/>
          <w:w w:val="130"/>
          <w:sz w:val="24"/>
        </w:rPr>
        <w:t> </w:t>
      </w:r>
      <w:r>
        <w:rPr>
          <w:w w:val="130"/>
          <w:sz w:val="24"/>
        </w:rPr>
        <w:t>pontjába</w:t>
      </w: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40;mso-wrap-distance-left:0;mso-wrap-distance-right:0" from="56.693001pt,12.662406pt" to="538.583001pt,12.662406pt" stroked="true" strokeweight=".5pt" strokecolor="#000000">
            <v:stroke dashstyle="solid"/>
            <w10:wrap type="topAndBottom"/>
          </v:line>
        </w:pict>
      </w:r>
    </w:p>
    <w:p>
      <w:pPr>
        <w:pStyle w:val="ListParagraph"/>
        <w:numPr>
          <w:ilvl w:val="0"/>
          <w:numId w:val="154"/>
        </w:numPr>
        <w:tabs>
          <w:tab w:pos="686" w:val="left" w:leader="none"/>
          <w:tab w:pos="687" w:val="left" w:leader="none"/>
        </w:tabs>
        <w:spacing w:line="203" w:lineRule="exact" w:before="44" w:after="0"/>
        <w:ind w:left="686" w:right="0" w:hanging="344"/>
        <w:jc w:val="left"/>
        <w:rPr>
          <w:i/>
          <w:sz w:val="18"/>
        </w:rPr>
      </w:pPr>
      <w:r>
        <w:rPr>
          <w:i/>
          <w:w w:val="125"/>
          <w:sz w:val="18"/>
        </w:rPr>
        <w:t>Módosította: 2018. évi CXXVI. törvény 120. §</w:t>
      </w:r>
      <w:r>
        <w:rPr>
          <w:i/>
          <w:spacing w:val="-5"/>
          <w:w w:val="125"/>
          <w:sz w:val="18"/>
        </w:rPr>
        <w:t> </w:t>
      </w:r>
      <w:r>
        <w:rPr>
          <w:i/>
          <w:w w:val="125"/>
          <w:sz w:val="18"/>
        </w:rPr>
        <w:t>2.</w:t>
      </w:r>
    </w:p>
    <w:p>
      <w:pPr>
        <w:pStyle w:val="ListParagraph"/>
        <w:numPr>
          <w:ilvl w:val="0"/>
          <w:numId w:val="154"/>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63. §. Hatályos: 2015. I.</w:t>
      </w:r>
      <w:r>
        <w:rPr>
          <w:i/>
          <w:spacing w:val="-14"/>
          <w:w w:val="125"/>
          <w:sz w:val="18"/>
        </w:rPr>
        <w:t> </w:t>
      </w:r>
      <w:r>
        <w:rPr>
          <w:i/>
          <w:w w:val="125"/>
          <w:sz w:val="18"/>
        </w:rPr>
        <w:t>1-től.</w:t>
      </w:r>
    </w:p>
    <w:p>
      <w:pPr>
        <w:pStyle w:val="ListParagraph"/>
        <w:numPr>
          <w:ilvl w:val="0"/>
          <w:numId w:val="154"/>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64. § (1). Hatályos: 2015. I.</w:t>
      </w:r>
      <w:r>
        <w:rPr>
          <w:i/>
          <w:spacing w:val="-18"/>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firstLine="0"/>
      </w:pPr>
      <w:r>
        <w:rPr>
          <w:w w:val="130"/>
        </w:rPr>
        <w:t>szükséges</w:t>
      </w:r>
      <w:r>
        <w:rPr>
          <w:spacing w:val="-18"/>
          <w:w w:val="130"/>
        </w:rPr>
        <w:t> </w:t>
      </w:r>
      <w:r>
        <w:rPr>
          <w:w w:val="130"/>
        </w:rPr>
        <w:t>sorolni</w:t>
      </w:r>
      <w:r>
        <w:rPr>
          <w:spacing w:val="-17"/>
          <w:w w:val="130"/>
        </w:rPr>
        <w:t> </w:t>
      </w:r>
      <w:r>
        <w:rPr>
          <w:w w:val="130"/>
        </w:rPr>
        <w:t>azzal,</w:t>
      </w:r>
      <w:r>
        <w:rPr>
          <w:spacing w:val="-18"/>
          <w:w w:val="130"/>
        </w:rPr>
        <w:t> </w:t>
      </w:r>
      <w:r>
        <w:rPr>
          <w:w w:val="130"/>
        </w:rPr>
        <w:t>hogy</w:t>
      </w:r>
      <w:r>
        <w:rPr>
          <w:spacing w:val="-17"/>
          <w:w w:val="130"/>
        </w:rPr>
        <w:t> </w:t>
      </w:r>
      <w:r>
        <w:rPr>
          <w:w w:val="130"/>
        </w:rPr>
        <w:t>e</w:t>
      </w:r>
      <w:r>
        <w:rPr>
          <w:spacing w:val="-18"/>
          <w:w w:val="130"/>
        </w:rPr>
        <w:t> </w:t>
      </w:r>
      <w:r>
        <w:rPr>
          <w:w w:val="130"/>
        </w:rPr>
        <w:t>követelések</w:t>
      </w:r>
      <w:r>
        <w:rPr>
          <w:spacing w:val="-17"/>
          <w:w w:val="130"/>
        </w:rPr>
        <w:t> </w:t>
      </w:r>
      <w:r>
        <w:rPr>
          <w:w w:val="130"/>
        </w:rPr>
        <w:t>a</w:t>
      </w:r>
      <w:r>
        <w:rPr>
          <w:spacing w:val="-18"/>
          <w:w w:val="130"/>
        </w:rPr>
        <w:t> </w:t>
      </w:r>
      <w:r>
        <w:rPr>
          <w:w w:val="130"/>
        </w:rPr>
        <w:t>követelések</w:t>
      </w:r>
      <w:r>
        <w:rPr>
          <w:spacing w:val="-17"/>
          <w:w w:val="130"/>
        </w:rPr>
        <w:t> </w:t>
      </w:r>
      <w:r>
        <w:rPr>
          <w:w w:val="130"/>
        </w:rPr>
        <w:t>arányában</w:t>
      </w:r>
      <w:r>
        <w:rPr>
          <w:spacing w:val="-18"/>
          <w:w w:val="130"/>
        </w:rPr>
        <w:t> </w:t>
      </w:r>
      <w:r>
        <w:rPr>
          <w:w w:val="130"/>
        </w:rPr>
        <w:t>kerülnek kielégítésre.</w:t>
      </w:r>
    </w:p>
    <w:p>
      <w:pPr>
        <w:pStyle w:val="BodyText"/>
        <w:spacing w:line="249" w:lineRule="exact"/>
        <w:ind w:left="317" w:firstLine="0"/>
        <w:rPr>
          <w:i/>
        </w:rPr>
      </w:pPr>
      <w:r>
        <w:rPr>
          <w:w w:val="125"/>
        </w:rPr>
        <w:t>(1a)</w:t>
      </w:r>
      <w:r>
        <w:rPr>
          <w:i/>
          <w:w w:val="125"/>
          <w:position w:val="3"/>
          <w:sz w:val="18"/>
        </w:rPr>
        <w:t>1   </w:t>
      </w:r>
      <w:r>
        <w:rPr>
          <w:w w:val="125"/>
        </w:rPr>
        <w:t>Az  OBA  hitelintézettel  szembeni  követeléseit  -  az  (1)  bekezdés </w:t>
      </w:r>
      <w:r>
        <w:rPr>
          <w:spacing w:val="25"/>
          <w:w w:val="125"/>
        </w:rPr>
        <w:t> </w:t>
      </w:r>
      <w:r>
        <w:rPr>
          <w:i/>
          <w:w w:val="125"/>
        </w:rPr>
        <w:t>a)</w:t>
      </w:r>
    </w:p>
    <w:p>
      <w:pPr>
        <w:pStyle w:val="BodyText"/>
        <w:spacing w:line="267" w:lineRule="exact"/>
        <w:ind w:firstLine="0"/>
      </w:pPr>
      <w:r>
        <w:rPr>
          <w:w w:val="125"/>
        </w:rPr>
        <w:t>pontjában</w:t>
      </w:r>
      <w:r>
        <w:rPr>
          <w:spacing w:val="27"/>
          <w:w w:val="125"/>
        </w:rPr>
        <w:t> </w:t>
      </w:r>
      <w:r>
        <w:rPr>
          <w:w w:val="125"/>
        </w:rPr>
        <w:t>meghatározott</w:t>
      </w:r>
      <w:r>
        <w:rPr>
          <w:spacing w:val="46"/>
          <w:w w:val="125"/>
        </w:rPr>
        <w:t> </w:t>
      </w:r>
      <w:r>
        <w:rPr>
          <w:w w:val="125"/>
        </w:rPr>
        <w:t>eltéréssel</w:t>
      </w:r>
      <w:r>
        <w:rPr>
          <w:spacing w:val="6"/>
          <w:w w:val="125"/>
        </w:rPr>
        <w:t> </w:t>
      </w:r>
      <w:r>
        <w:rPr>
          <w:w w:val="125"/>
        </w:rPr>
        <w:t>-</w:t>
      </w:r>
      <w:r>
        <w:rPr>
          <w:spacing w:val="27"/>
          <w:w w:val="125"/>
        </w:rPr>
        <w:t> </w:t>
      </w:r>
      <w:r>
        <w:rPr>
          <w:w w:val="125"/>
        </w:rPr>
        <w:t>a</w:t>
      </w:r>
      <w:r>
        <w:rPr>
          <w:spacing w:val="26"/>
          <w:w w:val="125"/>
        </w:rPr>
        <w:t> </w:t>
      </w:r>
      <w:r>
        <w:rPr>
          <w:w w:val="125"/>
        </w:rPr>
        <w:t>hitelintézet</w:t>
      </w:r>
      <w:r>
        <w:rPr>
          <w:spacing w:val="27"/>
          <w:w w:val="125"/>
        </w:rPr>
        <w:t> </w:t>
      </w:r>
      <w:r>
        <w:rPr>
          <w:w w:val="125"/>
        </w:rPr>
        <w:t>felszámolásakor</w:t>
      </w:r>
      <w:r>
        <w:rPr>
          <w:spacing w:val="28"/>
          <w:w w:val="125"/>
        </w:rPr>
        <w:t> </w:t>
      </w:r>
      <w:r>
        <w:rPr>
          <w:w w:val="125"/>
        </w:rPr>
        <w:t>a</w:t>
      </w:r>
      <w:r>
        <w:rPr>
          <w:spacing w:val="26"/>
          <w:w w:val="125"/>
        </w:rPr>
        <w:t> </w:t>
      </w:r>
      <w:r>
        <w:rPr>
          <w:w w:val="125"/>
        </w:rPr>
        <w:t>Cstv.</w:t>
      </w:r>
      <w:r>
        <w:rPr>
          <w:spacing w:val="27"/>
          <w:w w:val="125"/>
        </w:rPr>
        <w:t> </w:t>
      </w:r>
      <w:r>
        <w:rPr>
          <w:w w:val="125"/>
        </w:rPr>
        <w:t>57.</w:t>
      </w:r>
    </w:p>
    <w:p>
      <w:pPr>
        <w:pStyle w:val="BodyText"/>
        <w:spacing w:line="225" w:lineRule="auto" w:before="5"/>
        <w:ind w:firstLine="0"/>
      </w:pPr>
      <w:r>
        <w:rPr>
          <w:w w:val="125"/>
        </w:rPr>
        <w:t>§ (1) bekezdés </w:t>
      </w:r>
      <w:r>
        <w:rPr>
          <w:i/>
          <w:w w:val="125"/>
        </w:rPr>
        <w:t>e) </w:t>
      </w:r>
      <w:r>
        <w:rPr>
          <w:w w:val="125"/>
        </w:rPr>
        <w:t>pontjába szükséges sorolni azzal, hogy e követelések a követelések arányában kerülnek kielégítésre.</w:t>
      </w:r>
    </w:p>
    <w:p>
      <w:pPr>
        <w:pStyle w:val="BodyText"/>
        <w:tabs>
          <w:tab w:pos="2833" w:val="left" w:leader="none"/>
        </w:tabs>
        <w:spacing w:line="249" w:lineRule="exact"/>
        <w:ind w:left="317" w:firstLine="0"/>
      </w:pPr>
      <w:r>
        <w:rPr>
          <w:w w:val="125"/>
        </w:rPr>
        <w:t>(1b)</w:t>
      </w:r>
      <w:r>
        <w:rPr>
          <w:i/>
          <w:w w:val="125"/>
          <w:position w:val="3"/>
          <w:sz w:val="18"/>
        </w:rPr>
        <w:t>2  </w:t>
      </w:r>
      <w:r>
        <w:rPr>
          <w:i/>
          <w:spacing w:val="33"/>
          <w:w w:val="125"/>
          <w:position w:val="3"/>
          <w:sz w:val="18"/>
        </w:rPr>
        <w:t> </w:t>
      </w:r>
      <w:r>
        <w:rPr>
          <w:w w:val="125"/>
        </w:rPr>
        <w:t>Hitelintézet,</w:t>
        <w:tab/>
        <w:t>pénzügyi holding társaság, vegyes pénzügyi</w:t>
      </w:r>
      <w:r>
        <w:rPr>
          <w:spacing w:val="-4"/>
          <w:w w:val="125"/>
        </w:rPr>
        <w:t> </w:t>
      </w:r>
      <w:r>
        <w:rPr>
          <w:w w:val="125"/>
        </w:rPr>
        <w:t>holding</w:t>
      </w:r>
    </w:p>
    <w:p>
      <w:pPr>
        <w:pStyle w:val="BodyText"/>
        <w:spacing w:line="225" w:lineRule="auto" w:before="12"/>
        <w:ind w:right="125" w:firstLine="0"/>
        <w:jc w:val="both"/>
      </w:pPr>
      <w:r>
        <w:rPr>
          <w:w w:val="125"/>
        </w:rPr>
        <w:t>társaság, vegyes tevékenységű holding társaság, valamint olyan pénzügyi vállalkozás, amelyre az összevont alapú felügyelet kiterjed, amennyiben hitelintézet, befektetési vállalkozás, pénzügyi holding társaság, vegyes pénzügyi holding társaság vagy vegyes tevékenységű holding társaság leányvállalata felszámolása esetén a Cstv. 57. § (1) bekezdés </w:t>
      </w:r>
      <w:r>
        <w:rPr>
          <w:i/>
          <w:w w:val="125"/>
        </w:rPr>
        <w:t>f) </w:t>
      </w:r>
      <w:r>
        <w:rPr>
          <w:w w:val="125"/>
        </w:rPr>
        <w:t>pontjában szereplő követeléseket az alábbi sorrend figyelembevételével kell</w:t>
      </w:r>
      <w:r>
        <w:rPr>
          <w:spacing w:val="48"/>
          <w:w w:val="125"/>
        </w:rPr>
        <w:t> </w:t>
      </w:r>
      <w:r>
        <w:rPr>
          <w:w w:val="125"/>
        </w:rPr>
        <w:t>kielégíteni:</w:t>
      </w:r>
    </w:p>
    <w:p>
      <w:pPr>
        <w:pStyle w:val="ListParagraph"/>
        <w:numPr>
          <w:ilvl w:val="0"/>
          <w:numId w:val="155"/>
        </w:numPr>
        <w:tabs>
          <w:tab w:pos="631" w:val="left" w:leader="none"/>
        </w:tabs>
        <w:spacing w:line="258" w:lineRule="exact" w:before="0" w:after="0"/>
        <w:ind w:left="630" w:right="0" w:hanging="313"/>
        <w:jc w:val="left"/>
        <w:rPr>
          <w:sz w:val="24"/>
        </w:rPr>
      </w:pPr>
      <w:r>
        <w:rPr>
          <w:w w:val="130"/>
          <w:sz w:val="24"/>
        </w:rPr>
        <w:t>rendes, fedezetlen</w:t>
      </w:r>
      <w:r>
        <w:rPr>
          <w:spacing w:val="-6"/>
          <w:w w:val="130"/>
          <w:sz w:val="24"/>
        </w:rPr>
        <w:t> </w:t>
      </w:r>
      <w:r>
        <w:rPr>
          <w:w w:val="130"/>
          <w:sz w:val="24"/>
        </w:rPr>
        <w:t>követelések,</w:t>
      </w:r>
    </w:p>
    <w:p>
      <w:pPr>
        <w:pStyle w:val="ListParagraph"/>
        <w:numPr>
          <w:ilvl w:val="0"/>
          <w:numId w:val="155"/>
        </w:numPr>
        <w:tabs>
          <w:tab w:pos="836" w:val="left" w:leader="none"/>
          <w:tab w:pos="837" w:val="left" w:leader="none"/>
          <w:tab w:pos="1732" w:val="left" w:leader="none"/>
          <w:tab w:pos="3253" w:val="left" w:leader="none"/>
          <w:tab w:pos="5016" w:val="left" w:leader="none"/>
          <w:tab w:pos="6284" w:val="left" w:leader="none"/>
          <w:tab w:pos="6683" w:val="left" w:leader="none"/>
          <w:tab w:pos="8158" w:val="left" w:leader="none"/>
        </w:tabs>
        <w:spacing w:line="225" w:lineRule="auto" w:before="5" w:after="0"/>
        <w:ind w:left="113" w:right="128" w:firstLine="204"/>
        <w:jc w:val="left"/>
        <w:rPr>
          <w:sz w:val="24"/>
        </w:rPr>
      </w:pPr>
      <w:r>
        <w:rPr>
          <w:w w:val="125"/>
          <w:sz w:val="24"/>
        </w:rPr>
        <w:t>olyan</w:t>
        <w:tab/>
        <w:t>fedezetlen</w:t>
        <w:tab/>
        <w:t>követelések,</w:t>
        <w:tab/>
        <w:t>amelyek</w:t>
        <w:tab/>
        <w:t>a</w:t>
        <w:tab/>
        <w:t>következő</w:t>
        <w:tab/>
      </w:r>
      <w:r>
        <w:rPr>
          <w:spacing w:val="-1"/>
          <w:w w:val="125"/>
          <w:sz w:val="24"/>
        </w:rPr>
        <w:t>feltételeknek </w:t>
      </w:r>
      <w:r>
        <w:rPr>
          <w:w w:val="125"/>
          <w:sz w:val="24"/>
        </w:rPr>
        <w:t>megfelelő, hitelviszonyt megtestesítő instrumentumokból</w:t>
      </w:r>
      <w:r>
        <w:rPr>
          <w:spacing w:val="13"/>
          <w:w w:val="125"/>
          <w:sz w:val="24"/>
        </w:rPr>
        <w:t> </w:t>
      </w:r>
      <w:r>
        <w:rPr>
          <w:w w:val="125"/>
          <w:sz w:val="24"/>
        </w:rPr>
        <w:t>származnak:</w:t>
      </w:r>
    </w:p>
    <w:p>
      <w:pPr>
        <w:pStyle w:val="BodyText"/>
        <w:spacing w:line="225" w:lineRule="auto" w:before="1"/>
      </w:pPr>
      <w:r>
        <w:rPr>
          <w:i/>
          <w:w w:val="130"/>
        </w:rPr>
        <w:t>ba) </w:t>
      </w:r>
      <w:r>
        <w:rPr>
          <w:w w:val="130"/>
        </w:rPr>
        <w:t>a hitelviszonyt megtestesítő instrumentum eredeti szerződéses lejárata legalább egy év,</w:t>
      </w:r>
    </w:p>
    <w:p>
      <w:pPr>
        <w:pStyle w:val="BodyText"/>
        <w:spacing w:line="225" w:lineRule="auto" w:before="2"/>
      </w:pPr>
      <w:r>
        <w:rPr>
          <w:i/>
          <w:w w:val="130"/>
        </w:rPr>
        <w:t>bb) </w:t>
      </w:r>
      <w:r>
        <w:rPr>
          <w:w w:val="130"/>
        </w:rPr>
        <w:t>a hitelviszonyt megtestesítő instrumentum nem tartalmaz beágyazott</w:t>
      </w:r>
      <w:r>
        <w:rPr>
          <w:spacing w:val="78"/>
          <w:w w:val="130"/>
        </w:rPr>
        <w:t> </w:t>
      </w:r>
      <w:r>
        <w:rPr>
          <w:w w:val="130"/>
        </w:rPr>
        <w:t>származtatott ügyletet és maga sem származtatott ügylet, és</w:t>
      </w:r>
    </w:p>
    <w:p>
      <w:pPr>
        <w:pStyle w:val="BodyText"/>
        <w:spacing w:line="225" w:lineRule="auto" w:before="1"/>
        <w:ind w:right="134"/>
        <w:jc w:val="both"/>
      </w:pPr>
      <w:r>
        <w:rPr>
          <w:i/>
          <w:w w:val="130"/>
        </w:rPr>
        <w:t>bc) </w:t>
      </w:r>
      <w:r>
        <w:rPr>
          <w:w w:val="130"/>
        </w:rPr>
        <w:t>a kibocsátásához kapcsolódó releváns szerződéses dokumentáció és adott esetben a tájékoztató kifejezetten utal a kielégítési sorrendben való, e bekezdés szerinti hátrébb sorolására,</w:t>
      </w:r>
    </w:p>
    <w:p>
      <w:pPr>
        <w:pStyle w:val="ListParagraph"/>
        <w:numPr>
          <w:ilvl w:val="0"/>
          <w:numId w:val="155"/>
        </w:numPr>
        <w:tabs>
          <w:tab w:pos="623" w:val="left" w:leader="none"/>
        </w:tabs>
        <w:spacing w:line="256" w:lineRule="exact" w:before="0" w:after="0"/>
        <w:ind w:left="622" w:right="0" w:hanging="305"/>
        <w:jc w:val="left"/>
        <w:rPr>
          <w:sz w:val="24"/>
        </w:rPr>
      </w:pPr>
      <w:r>
        <w:rPr>
          <w:i/>
          <w:w w:val="125"/>
          <w:sz w:val="24"/>
        </w:rPr>
        <w:t>a) </w:t>
      </w:r>
      <w:r>
        <w:rPr>
          <w:w w:val="125"/>
          <w:sz w:val="24"/>
        </w:rPr>
        <w:t>és </w:t>
      </w:r>
      <w:r>
        <w:rPr>
          <w:i/>
          <w:w w:val="125"/>
          <w:sz w:val="24"/>
        </w:rPr>
        <w:t>b) </w:t>
      </w:r>
      <w:r>
        <w:rPr>
          <w:w w:val="125"/>
          <w:sz w:val="24"/>
        </w:rPr>
        <w:t>pontba nem tartozó egyéb</w:t>
      </w:r>
      <w:r>
        <w:rPr>
          <w:spacing w:val="10"/>
          <w:w w:val="125"/>
          <w:sz w:val="24"/>
        </w:rPr>
        <w:t> </w:t>
      </w:r>
      <w:r>
        <w:rPr>
          <w:w w:val="125"/>
          <w:sz w:val="24"/>
        </w:rPr>
        <w:t>követelések</w:t>
      </w:r>
    </w:p>
    <w:p>
      <w:pPr>
        <w:pStyle w:val="BodyText"/>
        <w:spacing w:line="225" w:lineRule="auto" w:before="5"/>
        <w:ind w:right="126" w:firstLine="0"/>
        <w:jc w:val="both"/>
      </w:pPr>
      <w:r>
        <w:rPr>
          <w:w w:val="125"/>
        </w:rPr>
        <w:t>azzal, hogy ha a követelések kielégítésére nincs elegendő fedezet, az egyes csoportokba tartozó hitelezőket - először az </w:t>
      </w:r>
      <w:r>
        <w:rPr>
          <w:i/>
          <w:w w:val="125"/>
        </w:rPr>
        <w:t>a), </w:t>
      </w:r>
      <w:r>
        <w:rPr>
          <w:w w:val="125"/>
        </w:rPr>
        <w:t>a </w:t>
      </w:r>
      <w:r>
        <w:rPr>
          <w:i/>
          <w:w w:val="125"/>
        </w:rPr>
        <w:t>b), </w:t>
      </w:r>
      <w:r>
        <w:rPr>
          <w:w w:val="125"/>
        </w:rPr>
        <w:t>majd a </w:t>
      </w:r>
      <w:r>
        <w:rPr>
          <w:i/>
          <w:w w:val="125"/>
        </w:rPr>
        <w:t>c) </w:t>
      </w:r>
      <w:r>
        <w:rPr>
          <w:w w:val="125"/>
        </w:rPr>
        <w:t>pontban szereplőket - követeléseik arányában kell kielégíteni.</w:t>
      </w:r>
    </w:p>
    <w:p>
      <w:pPr>
        <w:pStyle w:val="BodyText"/>
        <w:spacing w:line="250" w:lineRule="exact"/>
        <w:ind w:left="317" w:firstLine="0"/>
      </w:pPr>
      <w:r>
        <w:rPr>
          <w:w w:val="130"/>
        </w:rPr>
        <w:t>(1c)</w:t>
      </w:r>
      <w:r>
        <w:rPr>
          <w:i/>
          <w:w w:val="130"/>
          <w:position w:val="3"/>
          <w:sz w:val="18"/>
        </w:rPr>
        <w:t>3 </w:t>
      </w:r>
      <w:r>
        <w:rPr>
          <w:w w:val="130"/>
        </w:rPr>
        <w:t>Az (1a) bekezdéstől eltérően a 2018. december 29. napja előtt</w:t>
      </w:r>
    </w:p>
    <w:p>
      <w:pPr>
        <w:pStyle w:val="BodyText"/>
        <w:spacing w:line="225" w:lineRule="auto" w:before="12"/>
        <w:ind w:right="131" w:firstLine="0"/>
        <w:jc w:val="both"/>
      </w:pPr>
      <w:r>
        <w:rPr>
          <w:w w:val="125"/>
        </w:rPr>
        <w:t>kibocsátott hitelviszonyt megtestesítő instrumentumokból származó fedezetlen követelések besorolására a Cstv. és az e törvény 2016. december 31-én  hatályos rendelkezéseit kell</w:t>
      </w:r>
      <w:r>
        <w:rPr>
          <w:spacing w:val="3"/>
          <w:w w:val="125"/>
        </w:rPr>
        <w:t> </w:t>
      </w:r>
      <w:r>
        <w:rPr>
          <w:w w:val="125"/>
        </w:rPr>
        <w:t>alkalmazni.</w:t>
      </w:r>
    </w:p>
    <w:p>
      <w:pPr>
        <w:pStyle w:val="BodyText"/>
        <w:spacing w:line="250" w:lineRule="exact"/>
        <w:ind w:left="317" w:firstLine="0"/>
      </w:pPr>
      <w:r>
        <w:rPr>
          <w:w w:val="130"/>
        </w:rPr>
        <w:t>(1d)</w:t>
      </w:r>
      <w:r>
        <w:rPr>
          <w:i/>
          <w:w w:val="130"/>
          <w:position w:val="3"/>
          <w:sz w:val="18"/>
        </w:rPr>
        <w:t>4 </w:t>
      </w:r>
      <w:r>
        <w:rPr>
          <w:w w:val="130"/>
        </w:rPr>
        <w:t>Az (1b) és az (1c) bekezdés alkalmazásában hitelviszonyt megtestesítő</w:t>
      </w:r>
    </w:p>
    <w:p>
      <w:pPr>
        <w:pStyle w:val="BodyText"/>
        <w:spacing w:line="225" w:lineRule="auto" w:before="12"/>
        <w:ind w:firstLine="0"/>
      </w:pPr>
      <w:r>
        <w:rPr>
          <w:w w:val="130"/>
        </w:rPr>
        <w:t>instrumentumok a kötvények és az átruházható követelések más formái, valamint az adósságot keletkeztető vagy elismerő instrumentumok.</w:t>
      </w:r>
    </w:p>
    <w:p>
      <w:pPr>
        <w:pStyle w:val="BodyText"/>
        <w:tabs>
          <w:tab w:pos="1123" w:val="left" w:leader="none"/>
          <w:tab w:pos="1631" w:val="left" w:leader="none"/>
          <w:tab w:pos="2334" w:val="left" w:leader="none"/>
          <w:tab w:pos="3670" w:val="left" w:leader="none"/>
          <w:tab w:pos="4126" w:val="left" w:leader="none"/>
          <w:tab w:pos="4884" w:val="left" w:leader="none"/>
          <w:tab w:pos="5494" w:val="left" w:leader="none"/>
          <w:tab w:pos="6689" w:val="left" w:leader="none"/>
          <w:tab w:pos="8845" w:val="left" w:leader="none"/>
          <w:tab w:pos="9608" w:val="left" w:leader="none"/>
        </w:tabs>
        <w:spacing w:line="249" w:lineRule="exact"/>
        <w:ind w:left="317" w:firstLine="0"/>
      </w:pPr>
      <w:r>
        <w:rPr>
          <w:w w:val="125"/>
        </w:rPr>
        <w:t>(1e)</w:t>
      </w:r>
      <w:r>
        <w:rPr>
          <w:i/>
          <w:w w:val="125"/>
          <w:position w:val="3"/>
          <w:sz w:val="18"/>
        </w:rPr>
        <w:t>5</w:t>
        <w:tab/>
      </w:r>
      <w:r>
        <w:rPr>
          <w:w w:val="125"/>
        </w:rPr>
        <w:t>Az</w:t>
        <w:tab/>
        <w:t>(1b)</w:t>
        <w:tab/>
        <w:t>bekezdés</w:t>
        <w:tab/>
      </w:r>
      <w:r>
        <w:rPr>
          <w:i/>
          <w:w w:val="125"/>
        </w:rPr>
        <w:t>b)</w:t>
        <w:tab/>
      </w:r>
      <w:r>
        <w:rPr>
          <w:w w:val="125"/>
        </w:rPr>
        <w:t>pont</w:t>
        <w:tab/>
      </w:r>
      <w:r>
        <w:rPr>
          <w:i/>
          <w:w w:val="125"/>
        </w:rPr>
        <w:t>bb)</w:t>
        <w:tab/>
      </w:r>
      <w:r>
        <w:rPr>
          <w:w w:val="125"/>
        </w:rPr>
        <w:t>alpontja</w:t>
        <w:tab/>
        <w:t>alkalmazásában</w:t>
        <w:tab/>
        <w:t>azok</w:t>
        <w:tab/>
        <w:t>a</w:t>
      </w:r>
    </w:p>
    <w:p>
      <w:pPr>
        <w:pStyle w:val="BodyText"/>
        <w:spacing w:line="267" w:lineRule="exact"/>
        <w:ind w:firstLine="0"/>
      </w:pPr>
      <w:r>
        <w:rPr>
          <w:w w:val="125"/>
        </w:rPr>
        <w:t>hitelviszonyt megtestesítő instrumentumok, amelyek</w:t>
      </w:r>
    </w:p>
    <w:p>
      <w:pPr>
        <w:pStyle w:val="ListParagraph"/>
        <w:numPr>
          <w:ilvl w:val="0"/>
          <w:numId w:val="156"/>
        </w:numPr>
        <w:tabs>
          <w:tab w:pos="907" w:val="left" w:leader="none"/>
        </w:tabs>
        <w:spacing w:line="225" w:lineRule="auto" w:before="5" w:after="0"/>
        <w:ind w:left="113" w:right="133" w:firstLine="204"/>
        <w:jc w:val="both"/>
        <w:rPr>
          <w:sz w:val="24"/>
        </w:rPr>
      </w:pPr>
      <w:r>
        <w:rPr>
          <w:w w:val="125"/>
          <w:sz w:val="24"/>
        </w:rPr>
        <w:t>kamatozása változó, mivel valamely széleskörűen alkalmazott referencia-kamatlábtól függ,</w:t>
      </w:r>
      <w:r>
        <w:rPr>
          <w:spacing w:val="3"/>
          <w:w w:val="125"/>
          <w:sz w:val="24"/>
        </w:rPr>
        <w:t> </w:t>
      </w:r>
      <w:r>
        <w:rPr>
          <w:w w:val="125"/>
          <w:sz w:val="24"/>
        </w:rPr>
        <w:t>valamint</w:t>
      </w:r>
    </w:p>
    <w:p>
      <w:pPr>
        <w:pStyle w:val="ListParagraph"/>
        <w:numPr>
          <w:ilvl w:val="0"/>
          <w:numId w:val="156"/>
        </w:numPr>
        <w:tabs>
          <w:tab w:pos="712" w:val="left" w:leader="none"/>
        </w:tabs>
        <w:spacing w:line="225" w:lineRule="auto" w:before="1" w:after="0"/>
        <w:ind w:left="113" w:right="130" w:firstLine="204"/>
        <w:jc w:val="both"/>
        <w:rPr>
          <w:sz w:val="24"/>
        </w:rPr>
      </w:pPr>
      <w:r>
        <w:rPr>
          <w:w w:val="130"/>
          <w:sz w:val="24"/>
        </w:rPr>
        <w:t>nem forintban denomináltak, feltéve, hogy a tőke, a visszafizetés és a</w:t>
      </w:r>
      <w:r>
        <w:rPr>
          <w:spacing w:val="78"/>
          <w:w w:val="130"/>
          <w:sz w:val="24"/>
        </w:rPr>
        <w:t> </w:t>
      </w:r>
      <w:r>
        <w:rPr>
          <w:w w:val="130"/>
          <w:sz w:val="24"/>
        </w:rPr>
        <w:t>kamat ugyanabban a pénznemben</w:t>
      </w:r>
      <w:r>
        <w:rPr>
          <w:spacing w:val="-19"/>
          <w:w w:val="130"/>
          <w:sz w:val="24"/>
        </w:rPr>
        <w:t> </w:t>
      </w:r>
      <w:r>
        <w:rPr>
          <w:w w:val="130"/>
          <w:sz w:val="24"/>
        </w:rPr>
        <w:t>denominált,</w:t>
      </w:r>
    </w:p>
    <w:p>
      <w:pPr>
        <w:pStyle w:val="BodyText"/>
        <w:spacing w:line="225" w:lineRule="auto" w:before="1"/>
        <w:ind w:right="43" w:firstLine="0"/>
      </w:pPr>
      <w:r>
        <w:rPr>
          <w:w w:val="130"/>
        </w:rPr>
        <w:t>pusztán e jellemzőik miatt nem tekintendők beágyazott származtatott ügyletet tartalmazó, hitelviszonyt megtestesítő instrumentumoknak.</w:t>
      </w:r>
    </w:p>
    <w:p>
      <w:pPr>
        <w:pStyle w:val="ListParagraph"/>
        <w:numPr>
          <w:ilvl w:val="0"/>
          <w:numId w:val="153"/>
        </w:numPr>
        <w:tabs>
          <w:tab w:pos="984" w:val="left" w:leader="none"/>
        </w:tabs>
        <w:spacing w:line="225" w:lineRule="auto" w:before="2" w:after="0"/>
        <w:ind w:left="113" w:right="120" w:firstLine="204"/>
        <w:jc w:val="both"/>
        <w:rPr>
          <w:sz w:val="24"/>
        </w:rPr>
      </w:pPr>
      <w:r>
        <w:rPr>
          <w:w w:val="125"/>
          <w:sz w:val="24"/>
        </w:rPr>
        <w:t>Hitelintézet felszámolása esetén az 575/2013/EU rendeletben meghatározott alárendelt kölcsöntőkéből eredő tartozást a Cstv. 57. § (1) bekezdés </w:t>
      </w:r>
      <w:r>
        <w:rPr>
          <w:i/>
          <w:w w:val="125"/>
          <w:sz w:val="24"/>
        </w:rPr>
        <w:t>h) </w:t>
      </w:r>
      <w:r>
        <w:rPr>
          <w:w w:val="125"/>
          <w:sz w:val="24"/>
        </w:rPr>
        <w:t>pontjában meghatározott  tartozás  kielégítését  követően  szükséges</w:t>
      </w:r>
      <w:r>
        <w:rPr>
          <w:spacing w:val="1"/>
          <w:w w:val="125"/>
          <w:sz w:val="24"/>
        </w:rPr>
        <w:t> </w:t>
      </w:r>
      <w:r>
        <w:rPr>
          <w:w w:val="125"/>
          <w:sz w:val="24"/>
        </w:rPr>
        <w:t>kielégíteni.</w:t>
      </w:r>
    </w:p>
    <w:p>
      <w:pPr>
        <w:pStyle w:val="BodyText"/>
        <w:ind w:left="0" w:firstLine="0"/>
        <w:rPr>
          <w:sz w:val="20"/>
        </w:rPr>
      </w:pPr>
    </w:p>
    <w:p>
      <w:pPr>
        <w:pStyle w:val="BodyText"/>
        <w:spacing w:before="8"/>
        <w:ind w:left="0" w:firstLine="0"/>
        <w:rPr>
          <w:sz w:val="28"/>
        </w:rPr>
      </w:pPr>
      <w:r>
        <w:rPr/>
        <w:pict>
          <v:line style="position:absolute;mso-position-horizontal-relative:page;mso-position-vertical-relative:paragraph;z-index:-16;mso-wrap-distance-left:0;mso-wrap-distance-right:0" from="56.693001pt,18.722692pt" to="538.583001pt,18.722692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 2014. évi CIV. törvény 64. § (2). Hatályos: 2015. I.</w:t>
      </w:r>
      <w:r>
        <w:rPr>
          <w:i/>
          <w:spacing w:val="-11"/>
          <w:w w:val="125"/>
          <w:sz w:val="18"/>
        </w:rPr>
        <w:t> </w:t>
      </w:r>
      <w:r>
        <w:rPr>
          <w:i/>
          <w:w w:val="125"/>
          <w:sz w:val="18"/>
        </w:rPr>
        <w:t>1-től.</w:t>
      </w:r>
    </w:p>
    <w:p>
      <w:pPr>
        <w:pStyle w:val="ListParagraph"/>
        <w:numPr>
          <w:ilvl w:val="0"/>
          <w:numId w:val="15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pStyle w:val="ListParagraph"/>
        <w:numPr>
          <w:ilvl w:val="0"/>
          <w:numId w:val="15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pStyle w:val="ListParagraph"/>
        <w:numPr>
          <w:ilvl w:val="0"/>
          <w:numId w:val="15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pStyle w:val="ListParagraph"/>
        <w:numPr>
          <w:ilvl w:val="0"/>
          <w:numId w:val="157"/>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11"/>
          <w:w w:val="125"/>
          <w:sz w:val="18"/>
        </w:rPr>
        <w:t> </w:t>
      </w:r>
      <w:r>
        <w:rPr>
          <w:i/>
          <w:w w:val="125"/>
          <w:sz w:val="18"/>
        </w:rPr>
        <w:t>2018.</w:t>
      </w:r>
      <w:r>
        <w:rPr>
          <w:i/>
          <w:spacing w:val="-11"/>
          <w:w w:val="125"/>
          <w:sz w:val="18"/>
        </w:rPr>
        <w:t> </w:t>
      </w:r>
      <w:r>
        <w:rPr>
          <w:i/>
          <w:w w:val="125"/>
          <w:sz w:val="18"/>
        </w:rPr>
        <w:t>évi</w:t>
      </w:r>
      <w:r>
        <w:rPr>
          <w:i/>
          <w:spacing w:val="-10"/>
          <w:w w:val="125"/>
          <w:sz w:val="18"/>
        </w:rPr>
        <w:t> </w:t>
      </w:r>
      <w:r>
        <w:rPr>
          <w:i/>
          <w:w w:val="125"/>
          <w:sz w:val="18"/>
        </w:rPr>
        <w:t>CXXVI.</w:t>
      </w:r>
      <w:r>
        <w:rPr>
          <w:i/>
          <w:spacing w:val="-10"/>
          <w:w w:val="125"/>
          <w:sz w:val="18"/>
        </w:rPr>
        <w:t> </w:t>
      </w:r>
      <w:r>
        <w:rPr>
          <w:i/>
          <w:w w:val="125"/>
          <w:sz w:val="18"/>
        </w:rPr>
        <w:t>törvény</w:t>
      </w:r>
      <w:r>
        <w:rPr>
          <w:i/>
          <w:spacing w:val="-11"/>
          <w:w w:val="125"/>
          <w:sz w:val="18"/>
        </w:rPr>
        <w:t> </w:t>
      </w:r>
      <w:r>
        <w:rPr>
          <w:i/>
          <w:w w:val="125"/>
          <w:sz w:val="18"/>
        </w:rPr>
        <w:t>101.</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2018.</w:t>
      </w:r>
      <w:r>
        <w:rPr>
          <w:i/>
          <w:spacing w:val="-10"/>
          <w:w w:val="125"/>
          <w:sz w:val="18"/>
        </w:rPr>
        <w:t> </w:t>
      </w:r>
      <w:r>
        <w:rPr>
          <w:i/>
          <w:w w:val="125"/>
          <w:sz w:val="18"/>
        </w:rPr>
        <w:t>XII.</w:t>
      </w:r>
      <w:r>
        <w:rPr>
          <w:i/>
          <w:spacing w:val="-11"/>
          <w:w w:val="125"/>
          <w:sz w:val="18"/>
        </w:rPr>
        <w:t> </w:t>
      </w:r>
      <w:r>
        <w:rPr>
          <w:i/>
          <w:w w:val="125"/>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153"/>
        </w:numPr>
        <w:tabs>
          <w:tab w:pos="786" w:val="left" w:leader="none"/>
        </w:tabs>
        <w:spacing w:line="225" w:lineRule="auto" w:before="173" w:after="0"/>
        <w:ind w:left="113" w:right="128" w:firstLine="204"/>
        <w:jc w:val="both"/>
        <w:rPr>
          <w:sz w:val="24"/>
        </w:rPr>
      </w:pPr>
      <w:r>
        <w:rPr>
          <w:w w:val="125"/>
          <w:sz w:val="24"/>
        </w:rPr>
        <w:t>A felszámolás során tartott egyezségi tárgyaláson az állam és az OBA képviselője - az általuk biztosított betétek tekintetében és értékében - hitelezőként vesznek részt, jogosultak megtenni az egyezség létrejöttéhez szükséges</w:t>
      </w:r>
      <w:r>
        <w:rPr>
          <w:spacing w:val="1"/>
          <w:w w:val="125"/>
          <w:sz w:val="24"/>
        </w:rPr>
        <w:t> </w:t>
      </w:r>
      <w:r>
        <w:rPr>
          <w:w w:val="125"/>
          <w:sz w:val="24"/>
        </w:rPr>
        <w:t>engedményeket.</w:t>
      </w:r>
    </w:p>
    <w:p>
      <w:pPr>
        <w:pStyle w:val="ListParagraph"/>
        <w:numPr>
          <w:ilvl w:val="0"/>
          <w:numId w:val="153"/>
        </w:numPr>
        <w:tabs>
          <w:tab w:pos="834" w:val="left" w:leader="none"/>
        </w:tabs>
        <w:spacing w:line="225" w:lineRule="auto" w:before="2" w:after="0"/>
        <w:ind w:left="113" w:right="121" w:firstLine="204"/>
        <w:jc w:val="both"/>
        <w:rPr>
          <w:sz w:val="24"/>
        </w:rPr>
      </w:pPr>
      <w:r>
        <w:rPr>
          <w:w w:val="125"/>
          <w:sz w:val="24"/>
        </w:rPr>
        <w:t>A hitelintézet felszámolása során a letéti szolgáltatás keretében az ügyfelek megbízásából elhelyezett pénzösszegek nem képezik a felszámolási vagyon részét.</w:t>
      </w:r>
    </w:p>
    <w:p>
      <w:pPr>
        <w:pStyle w:val="ListParagraph"/>
        <w:numPr>
          <w:ilvl w:val="0"/>
          <w:numId w:val="153"/>
        </w:numPr>
        <w:tabs>
          <w:tab w:pos="843" w:val="left" w:leader="none"/>
        </w:tabs>
        <w:spacing w:line="225" w:lineRule="auto" w:before="2" w:after="0"/>
        <w:ind w:left="113" w:right="128" w:firstLine="204"/>
        <w:jc w:val="both"/>
        <w:rPr>
          <w:sz w:val="24"/>
        </w:rPr>
      </w:pPr>
      <w:r>
        <w:rPr>
          <w:w w:val="125"/>
          <w:sz w:val="24"/>
        </w:rPr>
        <w:t>A kötelező jegybanki tartalékra vonatkozó előírást levelező bankon keresztül teljesítő hitelintézet által elhelyezett kötelező tartalék összege a levelező bank felszámolása esetén - a Cstv. rendelkezéseitől eltérően - nem része a felszámolás körébe tartozó</w:t>
      </w:r>
      <w:r>
        <w:rPr>
          <w:spacing w:val="7"/>
          <w:w w:val="125"/>
          <w:sz w:val="24"/>
        </w:rPr>
        <w:t> </w:t>
      </w:r>
      <w:r>
        <w:rPr>
          <w:w w:val="125"/>
          <w:sz w:val="24"/>
        </w:rPr>
        <w:t>vagyonnak.</w:t>
      </w:r>
    </w:p>
    <w:p>
      <w:pPr>
        <w:pStyle w:val="ListParagraph"/>
        <w:numPr>
          <w:ilvl w:val="1"/>
          <w:numId w:val="146"/>
        </w:numPr>
        <w:tabs>
          <w:tab w:pos="866" w:val="left" w:leader="none"/>
        </w:tabs>
        <w:spacing w:line="225" w:lineRule="auto" w:before="1" w:after="0"/>
        <w:ind w:left="113" w:right="130" w:firstLine="204"/>
        <w:jc w:val="both"/>
        <w:rPr>
          <w:sz w:val="24"/>
        </w:rPr>
      </w:pPr>
      <w:r>
        <w:rPr>
          <w:rFonts w:ascii="Arial" w:hAnsi="Arial"/>
          <w:b/>
          <w:w w:val="120"/>
          <w:sz w:val="24"/>
        </w:rPr>
        <w:t>§ </w:t>
      </w:r>
      <w:r>
        <w:rPr>
          <w:w w:val="120"/>
          <w:sz w:val="24"/>
        </w:rPr>
        <w:t>(1) A felszámolási eljárás során a felszámoló, vagy az OBA indokolt kérelme alapján - a felszámolás alatt álló pénzügyi intézmény számára - a Felügyelet a pénzügyi szolgáltatások meghatározott körére ideiglenes  tevékenységi engedélyt</w:t>
      </w:r>
      <w:r>
        <w:rPr>
          <w:spacing w:val="11"/>
          <w:w w:val="120"/>
          <w:sz w:val="24"/>
        </w:rPr>
        <w:t> </w:t>
      </w:r>
      <w:r>
        <w:rPr>
          <w:w w:val="120"/>
          <w:sz w:val="24"/>
        </w:rPr>
        <w:t>adhat.</w:t>
      </w:r>
    </w:p>
    <w:p>
      <w:pPr>
        <w:pStyle w:val="BodyText"/>
        <w:spacing w:line="225" w:lineRule="auto" w:before="2"/>
        <w:ind w:right="128"/>
        <w:jc w:val="both"/>
      </w:pPr>
      <w:r>
        <w:rPr>
          <w:w w:val="125"/>
        </w:rPr>
        <w:t>(2) A pénzügyi intézmény felszámolása során az egyezségi eljárásban az egyezség jóváhagyásához a Felügyelet engedélye szükséges akkor, ha az egyezség feltétele a pénzügyi intézmény további működése hitelintézetként vagy pénzügyi vállalkozásként.</w:t>
      </w:r>
    </w:p>
    <w:p>
      <w:pPr>
        <w:pStyle w:val="ListParagraph"/>
        <w:numPr>
          <w:ilvl w:val="0"/>
          <w:numId w:val="158"/>
        </w:numPr>
        <w:tabs>
          <w:tab w:pos="583" w:val="left" w:leader="none"/>
        </w:tabs>
        <w:spacing w:line="240" w:lineRule="auto" w:before="229" w:after="0"/>
        <w:ind w:left="582" w:right="0" w:hanging="457"/>
        <w:jc w:val="left"/>
        <w:rPr>
          <w:sz w:val="24"/>
        </w:rPr>
      </w:pPr>
      <w:r>
        <w:rPr>
          <w:w w:val="125"/>
          <w:sz w:val="24"/>
        </w:rPr>
        <w:t>Hitelintézet végelszámolásának vagy felszámolásának különleges</w:t>
      </w:r>
      <w:r>
        <w:rPr>
          <w:spacing w:val="19"/>
          <w:w w:val="125"/>
          <w:sz w:val="24"/>
        </w:rPr>
        <w:t> </w:t>
      </w:r>
      <w:r>
        <w:rPr>
          <w:w w:val="125"/>
          <w:sz w:val="24"/>
        </w:rPr>
        <w:t>szabályai</w:t>
      </w:r>
    </w:p>
    <w:p>
      <w:pPr>
        <w:pStyle w:val="ListParagraph"/>
        <w:numPr>
          <w:ilvl w:val="1"/>
          <w:numId w:val="158"/>
        </w:numPr>
        <w:tabs>
          <w:tab w:pos="900" w:val="left" w:leader="none"/>
        </w:tabs>
        <w:spacing w:line="225" w:lineRule="auto" w:before="237" w:after="0"/>
        <w:ind w:left="113" w:right="132" w:firstLine="204"/>
        <w:jc w:val="both"/>
        <w:rPr>
          <w:sz w:val="24"/>
        </w:rPr>
      </w:pPr>
      <w:r>
        <w:rPr>
          <w:rFonts w:ascii="Arial" w:hAnsi="Arial"/>
          <w:b/>
          <w:w w:val="120"/>
          <w:sz w:val="24"/>
        </w:rPr>
        <w:t>§ </w:t>
      </w:r>
      <w:r>
        <w:rPr>
          <w:w w:val="120"/>
          <w:sz w:val="24"/>
        </w:rPr>
        <w:t>A hitelintézet végelszámolásának vagy felszámolásának különleges szabályait kell</w:t>
      </w:r>
      <w:r>
        <w:rPr>
          <w:spacing w:val="9"/>
          <w:w w:val="120"/>
          <w:sz w:val="24"/>
        </w:rPr>
        <w:t> </w:t>
      </w:r>
      <w:r>
        <w:rPr>
          <w:w w:val="120"/>
          <w:sz w:val="24"/>
        </w:rPr>
        <w:t>alkalmazni:</w:t>
      </w:r>
    </w:p>
    <w:p>
      <w:pPr>
        <w:pStyle w:val="ListParagraph"/>
        <w:numPr>
          <w:ilvl w:val="0"/>
          <w:numId w:val="159"/>
        </w:numPr>
        <w:tabs>
          <w:tab w:pos="687" w:val="left" w:leader="none"/>
        </w:tabs>
        <w:spacing w:line="225" w:lineRule="auto" w:before="1" w:after="0"/>
        <w:ind w:left="113" w:right="126" w:firstLine="204"/>
        <w:jc w:val="both"/>
        <w:rPr>
          <w:sz w:val="24"/>
        </w:rPr>
      </w:pPr>
      <w:r>
        <w:rPr>
          <w:w w:val="130"/>
          <w:sz w:val="24"/>
        </w:rPr>
        <w:t>azokra a hitelintézetekre, amelyek egy másik EGT-államban fióktelepet létesítenek, vagy határon átnyúló szolgáltatást végeznek,</w:t>
      </w:r>
      <w:r>
        <w:rPr>
          <w:spacing w:val="-56"/>
          <w:w w:val="130"/>
          <w:sz w:val="24"/>
        </w:rPr>
        <w:t> </w:t>
      </w:r>
      <w:r>
        <w:rPr>
          <w:w w:val="130"/>
          <w:sz w:val="24"/>
        </w:rPr>
        <w:t>valamint</w:t>
      </w:r>
    </w:p>
    <w:p>
      <w:pPr>
        <w:pStyle w:val="ListParagraph"/>
        <w:numPr>
          <w:ilvl w:val="0"/>
          <w:numId w:val="159"/>
        </w:numPr>
        <w:tabs>
          <w:tab w:pos="653" w:val="left" w:leader="none"/>
        </w:tabs>
        <w:spacing w:line="225" w:lineRule="auto" w:before="1" w:after="0"/>
        <w:ind w:left="113" w:right="125" w:firstLine="204"/>
        <w:jc w:val="both"/>
        <w:rPr>
          <w:sz w:val="24"/>
        </w:rPr>
      </w:pPr>
      <w:r>
        <w:rPr>
          <w:w w:val="125"/>
          <w:sz w:val="24"/>
        </w:rPr>
        <w:t>a 66. § tekintetében a harmadik országbeli hitelintézet fióktelepére, ha az adott hitelintézet az EGT legalább két államában rendelkezik</w:t>
      </w:r>
      <w:r>
        <w:rPr>
          <w:spacing w:val="36"/>
          <w:w w:val="125"/>
          <w:sz w:val="24"/>
        </w:rPr>
        <w:t> </w:t>
      </w:r>
      <w:r>
        <w:rPr>
          <w:w w:val="125"/>
          <w:sz w:val="24"/>
        </w:rPr>
        <w:t>fiókteleppel.</w:t>
      </w:r>
    </w:p>
    <w:p>
      <w:pPr>
        <w:pStyle w:val="ListParagraph"/>
        <w:numPr>
          <w:ilvl w:val="1"/>
          <w:numId w:val="158"/>
        </w:numPr>
        <w:tabs>
          <w:tab w:pos="970" w:val="left" w:leader="none"/>
        </w:tabs>
        <w:spacing w:line="225" w:lineRule="auto" w:before="0" w:after="0"/>
        <w:ind w:left="113" w:right="126" w:firstLine="204"/>
        <w:jc w:val="both"/>
        <w:rPr>
          <w:sz w:val="24"/>
        </w:rPr>
      </w:pPr>
      <w:r>
        <w:rPr>
          <w:rFonts w:ascii="Arial" w:hAnsi="Arial"/>
          <w:b/>
          <w:w w:val="125"/>
          <w:sz w:val="24"/>
        </w:rPr>
        <w:t>§ </w:t>
      </w:r>
      <w:r>
        <w:rPr>
          <w:w w:val="125"/>
          <w:sz w:val="24"/>
        </w:rPr>
        <w:t>Egy másik EGT-államban székhellyel rendelkező hitelintézettel szemben lefolytatott fizetésképtelenségi eljárás és nem fizetésképtelen hitelintézet jogutód nélküli megszüntetésére irányuló eljárás joghatásai tekintetében a hitelintézet székhelye szerinti jog az irányadó. Az ilyen eljárásokban hozott határozatokat minden további eljárás nélkül  el  kell ismerni.</w:t>
      </w:r>
    </w:p>
    <w:p>
      <w:pPr>
        <w:pStyle w:val="ListParagraph"/>
        <w:numPr>
          <w:ilvl w:val="1"/>
          <w:numId w:val="158"/>
        </w:numPr>
        <w:tabs>
          <w:tab w:pos="884" w:val="left" w:leader="none"/>
        </w:tabs>
        <w:spacing w:line="225" w:lineRule="auto" w:before="2" w:after="0"/>
        <w:ind w:left="113" w:right="126" w:firstLine="204"/>
        <w:jc w:val="both"/>
        <w:rPr>
          <w:sz w:val="24"/>
        </w:rPr>
      </w:pPr>
      <w:r>
        <w:rPr>
          <w:rFonts w:ascii="Arial" w:hAnsi="Arial"/>
          <w:b/>
          <w:w w:val="120"/>
          <w:sz w:val="24"/>
        </w:rPr>
        <w:t>§ </w:t>
      </w:r>
      <w:r>
        <w:rPr>
          <w:w w:val="120"/>
          <w:sz w:val="24"/>
        </w:rPr>
        <w:t>Az EGT-államban székhellyel rendelkező hitelintézet magyarországi fióktelepével szemben</w:t>
      </w:r>
      <w:r>
        <w:rPr>
          <w:spacing w:val="70"/>
          <w:w w:val="120"/>
          <w:sz w:val="24"/>
        </w:rPr>
        <w:t> </w:t>
      </w:r>
      <w:r>
        <w:rPr>
          <w:w w:val="120"/>
          <w:sz w:val="24"/>
        </w:rPr>
        <w:t>végelszámolásnak, illetve felszámolásnak nincs helye.</w:t>
      </w:r>
    </w:p>
    <w:p>
      <w:pPr>
        <w:pStyle w:val="ListParagraph"/>
        <w:numPr>
          <w:ilvl w:val="1"/>
          <w:numId w:val="158"/>
        </w:numPr>
        <w:tabs>
          <w:tab w:pos="883" w:val="left" w:leader="none"/>
        </w:tabs>
        <w:spacing w:line="225" w:lineRule="auto" w:before="1" w:after="0"/>
        <w:ind w:left="113" w:right="121" w:firstLine="204"/>
        <w:jc w:val="both"/>
        <w:rPr>
          <w:sz w:val="24"/>
        </w:rPr>
      </w:pPr>
      <w:r>
        <w:rPr>
          <w:rFonts w:ascii="Arial" w:hAnsi="Arial"/>
          <w:b/>
          <w:w w:val="125"/>
          <w:sz w:val="24"/>
        </w:rPr>
        <w:t>§ </w:t>
      </w:r>
      <w:r>
        <w:rPr>
          <w:w w:val="125"/>
          <w:sz w:val="24"/>
        </w:rPr>
        <w:t>A nem fizetésképtelen hitelintézet jogutód nélküli megszüntetésére irányuló eljárás, illetve a fizetésképtelenségi eljárás ingatlanra vonatkozó szerződéssel kapcsolatos joghatásai tekintetében az ingatlan fekvési helyének joga az</w:t>
      </w:r>
      <w:r>
        <w:rPr>
          <w:spacing w:val="1"/>
          <w:w w:val="125"/>
          <w:sz w:val="24"/>
        </w:rPr>
        <w:t> </w:t>
      </w:r>
      <w:r>
        <w:rPr>
          <w:w w:val="125"/>
          <w:sz w:val="24"/>
        </w:rPr>
        <w:t>irányadó.</w:t>
      </w:r>
    </w:p>
    <w:p>
      <w:pPr>
        <w:pStyle w:val="ListParagraph"/>
        <w:numPr>
          <w:ilvl w:val="1"/>
          <w:numId w:val="158"/>
        </w:numPr>
        <w:tabs>
          <w:tab w:pos="919" w:val="left" w:leader="none"/>
        </w:tabs>
        <w:spacing w:line="225" w:lineRule="auto" w:before="1" w:after="0"/>
        <w:ind w:left="113" w:right="130" w:firstLine="204"/>
        <w:jc w:val="both"/>
        <w:rPr>
          <w:sz w:val="24"/>
        </w:rPr>
      </w:pPr>
      <w:r>
        <w:rPr>
          <w:rFonts w:ascii="Arial" w:hAnsi="Arial"/>
          <w:b/>
          <w:w w:val="125"/>
          <w:sz w:val="24"/>
        </w:rPr>
        <w:t>§ </w:t>
      </w:r>
      <w:r>
        <w:rPr>
          <w:w w:val="125"/>
          <w:sz w:val="24"/>
        </w:rPr>
        <w:t>Azon értékpapírokkal kapcsolatos jogok érvényesítésére, amelyek létrejöttéhez vagy átruházásához nyilvántartásba történő bejegyzés vagy számlán történő nyilvántartás szükséges, annak az EGT-államnak a joga az irányadó, ahol a nyilvántartást vagy a számlát</w:t>
      </w:r>
      <w:r>
        <w:rPr>
          <w:spacing w:val="10"/>
          <w:w w:val="125"/>
          <w:sz w:val="24"/>
        </w:rPr>
        <w:t> </w:t>
      </w:r>
      <w:r>
        <w:rPr>
          <w:w w:val="125"/>
          <w:sz w:val="24"/>
        </w:rPr>
        <w:t>vezetik.</w:t>
      </w:r>
    </w:p>
    <w:p>
      <w:pPr>
        <w:pStyle w:val="ListParagraph"/>
        <w:numPr>
          <w:ilvl w:val="1"/>
          <w:numId w:val="158"/>
        </w:numPr>
        <w:tabs>
          <w:tab w:pos="918" w:val="left" w:leader="none"/>
        </w:tabs>
        <w:spacing w:line="225" w:lineRule="auto" w:before="1" w:after="0"/>
        <w:ind w:left="113" w:right="125" w:firstLine="204"/>
        <w:jc w:val="both"/>
        <w:rPr>
          <w:sz w:val="24"/>
        </w:rPr>
      </w:pPr>
      <w:r>
        <w:rPr>
          <w:rFonts w:ascii="Arial" w:hAnsi="Arial"/>
          <w:b/>
          <w:w w:val="125"/>
          <w:sz w:val="24"/>
        </w:rPr>
        <w:t>§ </w:t>
      </w:r>
      <w:r>
        <w:rPr>
          <w:w w:val="125"/>
          <w:sz w:val="24"/>
        </w:rPr>
        <w:t>(1) A végelszámolásról vagy a felszámolásról és azok gyakorlati következményeiről a Felügyelet haladéktalanul tájékoztatja azon EGT-állam illetékes felügyeleti hatóságát, amelyekben a végelszámolás  vagy  a felszámolás alá kerülő hitelintézet fióktelepet működtet vagy határon átnyúló szolgáltatást</w:t>
      </w:r>
      <w:r>
        <w:rPr>
          <w:spacing w:val="1"/>
          <w:w w:val="125"/>
          <w:sz w:val="24"/>
        </w:rPr>
        <w:t> </w:t>
      </w:r>
      <w:r>
        <w:rPr>
          <w:w w:val="125"/>
          <w:sz w:val="24"/>
        </w:rPr>
        <w:t>nyújt.</w:t>
      </w:r>
    </w:p>
    <w:p>
      <w:pPr>
        <w:spacing w:after="0" w:line="225" w:lineRule="auto"/>
        <w:jc w:val="both"/>
        <w:rPr>
          <w:sz w:val="24"/>
        </w:rPr>
        <w:sectPr>
          <w:pgSz w:w="11900" w:h="16820"/>
          <w:pgMar w:header="1104" w:footer="0" w:top="1840" w:bottom="280" w:left="1020" w:right="1000"/>
        </w:sectPr>
      </w:pPr>
    </w:p>
    <w:p>
      <w:pPr>
        <w:pStyle w:val="ListParagraph"/>
        <w:numPr>
          <w:ilvl w:val="0"/>
          <w:numId w:val="160"/>
        </w:numPr>
        <w:tabs>
          <w:tab w:pos="832" w:val="left" w:leader="none"/>
        </w:tabs>
        <w:spacing w:line="225" w:lineRule="auto" w:before="173" w:after="0"/>
        <w:ind w:left="113" w:right="108" w:firstLine="204"/>
        <w:jc w:val="both"/>
        <w:rPr>
          <w:sz w:val="24"/>
        </w:rPr>
      </w:pPr>
      <w:r>
        <w:rPr>
          <w:w w:val="125"/>
          <w:sz w:val="24"/>
        </w:rPr>
        <w:t>A végelszámolást elrendelő határozat vagy a felszámolást elrendelő bírósági végzés (a továbbiakban: bírósági végzés) Cégközlönyben történő közzétételét követően a Felügyelet soron kívül közzé teszi annak tartalmát magyar nyelven az Európai Közösségek Hivatalos Lapjában, valamint a fióktelep működése, vagy a határon átnyúló szolgáltatás helye szerinti EGT-állam legalább két országos napilapjában a 65. § (4) bekezdésben meghatározott nyomtatványokon.</w:t>
      </w:r>
    </w:p>
    <w:p>
      <w:pPr>
        <w:pStyle w:val="ListParagraph"/>
        <w:numPr>
          <w:ilvl w:val="0"/>
          <w:numId w:val="160"/>
        </w:numPr>
        <w:tabs>
          <w:tab w:pos="744" w:val="left" w:leader="none"/>
        </w:tabs>
        <w:spacing w:line="225" w:lineRule="auto" w:before="4" w:after="0"/>
        <w:ind w:left="113" w:right="126" w:firstLine="204"/>
        <w:jc w:val="both"/>
        <w:rPr>
          <w:sz w:val="24"/>
        </w:rPr>
      </w:pPr>
      <w:r>
        <w:rPr>
          <w:w w:val="125"/>
          <w:sz w:val="24"/>
        </w:rPr>
        <w:t>Minden olyan hitelező, akinek (amelynek) lakóhelye (lakcíme), székhelye, telephelye a másik EGT-államban található, követelését  az  Európai Közösségek Hivatalos Lapjában történő, (2) bekezdés szerinti közzétételt követő hatvan napon belül jelentheti be. E hitelezők esetében a (2) bekezdés szerinti közzétételhez fűződnek a Cstv. 28. §-a szerinti közzétételhez kapcsolódó joghatások.</w:t>
      </w:r>
    </w:p>
    <w:p>
      <w:pPr>
        <w:pStyle w:val="ListParagraph"/>
        <w:numPr>
          <w:ilvl w:val="0"/>
          <w:numId w:val="160"/>
        </w:numPr>
        <w:tabs>
          <w:tab w:pos="734" w:val="left" w:leader="none"/>
        </w:tabs>
        <w:spacing w:line="258" w:lineRule="exact" w:before="0" w:after="0"/>
        <w:ind w:left="733" w:right="0" w:hanging="416"/>
        <w:jc w:val="left"/>
        <w:rPr>
          <w:sz w:val="24"/>
        </w:rPr>
      </w:pPr>
      <w:r>
        <w:rPr>
          <w:w w:val="125"/>
          <w:sz w:val="24"/>
        </w:rPr>
        <w:t>A bírósági végzés hatálya az EGT egész területére</w:t>
      </w:r>
      <w:r>
        <w:rPr>
          <w:spacing w:val="15"/>
          <w:w w:val="125"/>
          <w:sz w:val="24"/>
        </w:rPr>
        <w:t> </w:t>
      </w:r>
      <w:r>
        <w:rPr>
          <w:w w:val="125"/>
          <w:sz w:val="24"/>
        </w:rPr>
        <w:t>kiterjed.</w:t>
      </w:r>
    </w:p>
    <w:p>
      <w:pPr>
        <w:pStyle w:val="ListParagraph"/>
        <w:numPr>
          <w:ilvl w:val="0"/>
          <w:numId w:val="160"/>
        </w:numPr>
        <w:tabs>
          <w:tab w:pos="943" w:val="left" w:leader="none"/>
        </w:tabs>
        <w:spacing w:line="225" w:lineRule="auto" w:before="5" w:after="0"/>
        <w:ind w:left="113" w:right="126" w:firstLine="204"/>
        <w:jc w:val="both"/>
        <w:rPr>
          <w:sz w:val="24"/>
        </w:rPr>
      </w:pPr>
      <w:r>
        <w:rPr>
          <w:w w:val="130"/>
          <w:sz w:val="24"/>
        </w:rPr>
        <w:t>A Cstv. szerződések megtámadására vonatkozó szabályai nem alkalmazhatók, ha a szerződéssel jogot szerzett fél igazolja, hogy az adott szerződésre a másik EGT-állam joga az irányadó és ezen jog szerint a szerződés megtámadhatósága</w:t>
      </w:r>
      <w:r>
        <w:rPr>
          <w:spacing w:val="-7"/>
          <w:w w:val="130"/>
          <w:sz w:val="24"/>
        </w:rPr>
        <w:t> </w:t>
      </w:r>
      <w:r>
        <w:rPr>
          <w:w w:val="130"/>
          <w:sz w:val="24"/>
        </w:rPr>
        <w:t>kizárt.</w:t>
      </w:r>
    </w:p>
    <w:p>
      <w:pPr>
        <w:pStyle w:val="ListParagraph"/>
        <w:numPr>
          <w:ilvl w:val="1"/>
          <w:numId w:val="158"/>
        </w:numPr>
        <w:tabs>
          <w:tab w:pos="1006" w:val="left" w:leader="none"/>
        </w:tabs>
        <w:spacing w:line="225" w:lineRule="auto" w:before="1" w:after="0"/>
        <w:ind w:left="113" w:right="130" w:firstLine="204"/>
        <w:jc w:val="both"/>
        <w:rPr>
          <w:sz w:val="24"/>
        </w:rPr>
      </w:pPr>
      <w:r>
        <w:rPr>
          <w:rFonts w:ascii="Arial" w:hAnsi="Arial"/>
          <w:b/>
          <w:w w:val="125"/>
          <w:sz w:val="24"/>
        </w:rPr>
        <w:t>§ </w:t>
      </w:r>
      <w:r>
        <w:rPr>
          <w:w w:val="125"/>
          <w:sz w:val="24"/>
        </w:rPr>
        <w:t>(1) A végelszámoló vagy a felszámoló jogosult valamennyi EGT-államban e törvény és a Cstv. rendelkezései által meghatározott jogkörök ellátására, de ennek során köteles betartani azon EGT-állam jogát, amelynek területén eljárását</w:t>
      </w:r>
      <w:r>
        <w:rPr>
          <w:spacing w:val="7"/>
          <w:w w:val="125"/>
          <w:sz w:val="24"/>
        </w:rPr>
        <w:t> </w:t>
      </w:r>
      <w:r>
        <w:rPr>
          <w:w w:val="125"/>
          <w:sz w:val="24"/>
        </w:rPr>
        <w:t>foganatosítja.</w:t>
      </w:r>
    </w:p>
    <w:p>
      <w:pPr>
        <w:pStyle w:val="ListParagraph"/>
        <w:numPr>
          <w:ilvl w:val="0"/>
          <w:numId w:val="161"/>
        </w:numPr>
        <w:tabs>
          <w:tab w:pos="766" w:val="left" w:leader="none"/>
        </w:tabs>
        <w:spacing w:line="225" w:lineRule="auto" w:before="3" w:after="0"/>
        <w:ind w:left="113" w:right="131" w:firstLine="204"/>
        <w:jc w:val="both"/>
        <w:rPr>
          <w:sz w:val="24"/>
        </w:rPr>
      </w:pPr>
      <w:r>
        <w:rPr>
          <w:w w:val="125"/>
          <w:sz w:val="24"/>
        </w:rPr>
        <w:t>A végelszámoló vagy a felszámoló - munkájának hatékonyabb elvégzése érdekében - a másik EGT-állam területén képviselőt nevezhet ki, aki segítséget nyújt az eljárást érintően a helyi</w:t>
      </w:r>
      <w:r>
        <w:rPr>
          <w:spacing w:val="11"/>
          <w:w w:val="125"/>
          <w:sz w:val="24"/>
        </w:rPr>
        <w:t> </w:t>
      </w:r>
      <w:r>
        <w:rPr>
          <w:w w:val="125"/>
          <w:sz w:val="24"/>
        </w:rPr>
        <w:t>hitelezőknek.</w:t>
      </w:r>
    </w:p>
    <w:p>
      <w:pPr>
        <w:pStyle w:val="ListParagraph"/>
        <w:numPr>
          <w:ilvl w:val="0"/>
          <w:numId w:val="161"/>
        </w:numPr>
        <w:tabs>
          <w:tab w:pos="843" w:val="left" w:leader="none"/>
        </w:tabs>
        <w:spacing w:line="225" w:lineRule="auto" w:before="1" w:after="0"/>
        <w:ind w:left="113" w:right="124" w:firstLine="204"/>
        <w:jc w:val="both"/>
        <w:rPr>
          <w:sz w:val="24"/>
        </w:rPr>
      </w:pPr>
      <w:r>
        <w:rPr>
          <w:w w:val="125"/>
          <w:sz w:val="24"/>
        </w:rPr>
        <w:t>A végelszámoló vagy a felszámoló a bírósági végzés kézhezvételét követően azonnal egyenként tájékoztat minden olyan ismert hitelezőt,  amelynek (akinek) székhelye, telephelye vagy lakóhelye (lakcíme) a másik EGT-államban található a bírósági végzés tartalmáról, továbbá az egyes határidőkhöz fűződő jogkövetkezményekről.</w:t>
      </w:r>
    </w:p>
    <w:p>
      <w:pPr>
        <w:pStyle w:val="ListParagraph"/>
        <w:numPr>
          <w:ilvl w:val="0"/>
          <w:numId w:val="161"/>
        </w:numPr>
        <w:tabs>
          <w:tab w:pos="807" w:val="left" w:leader="none"/>
        </w:tabs>
        <w:spacing w:line="225" w:lineRule="auto" w:before="3" w:after="0"/>
        <w:ind w:left="113" w:right="126" w:firstLine="204"/>
        <w:jc w:val="both"/>
        <w:rPr>
          <w:sz w:val="24"/>
        </w:rPr>
      </w:pPr>
      <w:r>
        <w:rPr>
          <w:w w:val="125"/>
          <w:sz w:val="24"/>
        </w:rPr>
        <w:t>A végelszámoló vagy felszámoló a (3) bekezdés szerinti tájékoztatást magyar nyelven nyújtja be az e célra rendszeresített „Felhívás követelés benyújtására. Betartandó határidők” című formanyomtatványon, a  feliratokat az Európai Unió összes hivatalos nyelvén</w:t>
      </w:r>
      <w:r>
        <w:rPr>
          <w:spacing w:val="4"/>
          <w:w w:val="125"/>
          <w:sz w:val="24"/>
        </w:rPr>
        <w:t> </w:t>
      </w:r>
      <w:r>
        <w:rPr>
          <w:w w:val="125"/>
          <w:sz w:val="24"/>
        </w:rPr>
        <w:t>feltüntetve.</w:t>
      </w:r>
    </w:p>
    <w:p>
      <w:pPr>
        <w:pStyle w:val="ListParagraph"/>
        <w:numPr>
          <w:ilvl w:val="0"/>
          <w:numId w:val="161"/>
        </w:numPr>
        <w:tabs>
          <w:tab w:pos="744" w:val="left" w:leader="none"/>
        </w:tabs>
        <w:spacing w:line="225" w:lineRule="auto" w:before="3" w:after="0"/>
        <w:ind w:left="113" w:right="123" w:firstLine="204"/>
        <w:jc w:val="both"/>
        <w:rPr>
          <w:sz w:val="24"/>
        </w:rPr>
      </w:pPr>
      <w:r>
        <w:rPr>
          <w:w w:val="125"/>
          <w:sz w:val="24"/>
        </w:rPr>
        <w:t>Minden olyan hitelező, akinek (amelynek) lakóhelye (lakcíme), székhelye, telephelye a másik EGT-államban található, követelését magyar nyelven  nyújtja be. Ezen túlmenően követelését saját EGT-államának hivatalos nyelvén is benyújthatja azzal a feltétellel, hogy beadványán a „Követelés benyújtása” címet magyar nyelven tünteti</w:t>
      </w:r>
      <w:r>
        <w:rPr>
          <w:spacing w:val="3"/>
          <w:w w:val="125"/>
          <w:sz w:val="24"/>
        </w:rPr>
        <w:t> </w:t>
      </w:r>
      <w:r>
        <w:rPr>
          <w:w w:val="125"/>
          <w:sz w:val="24"/>
        </w:rPr>
        <w:t>fel.</w:t>
      </w:r>
    </w:p>
    <w:p>
      <w:pPr>
        <w:pStyle w:val="ListParagraph"/>
        <w:numPr>
          <w:ilvl w:val="0"/>
          <w:numId w:val="161"/>
        </w:numPr>
        <w:tabs>
          <w:tab w:pos="919" w:val="left" w:leader="none"/>
        </w:tabs>
        <w:spacing w:line="225" w:lineRule="auto" w:before="3" w:after="0"/>
        <w:ind w:left="113" w:right="133" w:firstLine="204"/>
        <w:jc w:val="both"/>
        <w:rPr>
          <w:sz w:val="24"/>
        </w:rPr>
      </w:pPr>
      <w:r>
        <w:rPr>
          <w:w w:val="125"/>
          <w:sz w:val="24"/>
        </w:rPr>
        <w:t>A végelszámoló vagy a felszámoló rendszeresen tájékoztatja a Felügyeletet és a hitelezőket a végelszámolás vagy a felszámolás</w:t>
      </w:r>
      <w:r>
        <w:rPr>
          <w:spacing w:val="50"/>
          <w:w w:val="125"/>
          <w:sz w:val="24"/>
        </w:rPr>
        <w:t> </w:t>
      </w:r>
      <w:r>
        <w:rPr>
          <w:w w:val="125"/>
          <w:sz w:val="24"/>
        </w:rPr>
        <w:t>helyzetéről.</w:t>
      </w:r>
    </w:p>
    <w:p>
      <w:pPr>
        <w:pStyle w:val="ListParagraph"/>
        <w:numPr>
          <w:ilvl w:val="0"/>
          <w:numId w:val="161"/>
        </w:numPr>
        <w:tabs>
          <w:tab w:pos="838" w:val="left" w:leader="none"/>
        </w:tabs>
        <w:spacing w:line="225" w:lineRule="auto" w:before="1" w:after="0"/>
        <w:ind w:left="113" w:right="132" w:firstLine="204"/>
        <w:jc w:val="both"/>
        <w:rPr>
          <w:sz w:val="24"/>
        </w:rPr>
      </w:pPr>
      <w:r>
        <w:rPr>
          <w:w w:val="125"/>
          <w:sz w:val="24"/>
        </w:rPr>
        <w:t>A Felügyelet a másik EGT-állama illetékes felügyeleti hatóságainak megkeresésére tájékoztatást ad a végelszámolás vagy a felszámolás  helyzetéről.</w:t>
      </w:r>
    </w:p>
    <w:p>
      <w:pPr>
        <w:pStyle w:val="ListParagraph"/>
        <w:numPr>
          <w:ilvl w:val="1"/>
          <w:numId w:val="158"/>
        </w:numPr>
        <w:tabs>
          <w:tab w:pos="865" w:val="left" w:leader="none"/>
        </w:tabs>
        <w:spacing w:line="225" w:lineRule="auto" w:before="1" w:after="0"/>
        <w:ind w:left="113" w:right="115" w:firstLine="204"/>
        <w:jc w:val="both"/>
        <w:rPr>
          <w:sz w:val="24"/>
        </w:rPr>
      </w:pPr>
      <w:r>
        <w:rPr>
          <w:rFonts w:ascii="Arial" w:hAnsi="Arial"/>
          <w:b/>
          <w:w w:val="125"/>
          <w:sz w:val="24"/>
        </w:rPr>
        <w:t>§ </w:t>
      </w:r>
      <w:r>
        <w:rPr>
          <w:w w:val="125"/>
          <w:sz w:val="24"/>
        </w:rPr>
        <w:t>(1) Ha harmadik országbeli hitelintézet fióktelepe ellen felszámolási eljárás indul, a Felügyelet értesíti az eljárás megindításáról azon EGT-államok illetékes felügyeleti hatóságát, amelyekben az a hitelintézet, amelynek fióktelepe felszámolás alatt áll, olyan fiókteleppel rendelkezik, amely szerepel az Európai Közösségek Hivatalos Lapjában évente megjelenő</w:t>
      </w:r>
      <w:r>
        <w:rPr>
          <w:spacing w:val="22"/>
          <w:w w:val="125"/>
          <w:sz w:val="24"/>
        </w:rPr>
        <w:t> </w:t>
      </w:r>
      <w:r>
        <w:rPr>
          <w:w w:val="125"/>
          <w:sz w:val="24"/>
        </w:rPr>
        <w:t>listában.</w:t>
      </w:r>
    </w:p>
    <w:p>
      <w:pPr>
        <w:pStyle w:val="BodyText"/>
        <w:spacing w:line="225" w:lineRule="auto" w:before="2"/>
        <w:ind w:right="134"/>
        <w:jc w:val="both"/>
      </w:pPr>
      <w:r>
        <w:rPr>
          <w:w w:val="125"/>
        </w:rPr>
        <w:t>(2) A Felügyelet, a felszámolási eljárást lefolytató bíróság, a végelszámoló vagy a felszámoló együttműködik az érintett EGT-államok illetékes szervezeteivel, tevékenységük összehangolása érdekében.</w:t>
      </w:r>
    </w:p>
    <w:p>
      <w:pPr>
        <w:spacing w:after="0" w:line="225" w:lineRule="auto"/>
        <w:jc w:val="both"/>
        <w:sectPr>
          <w:pgSz w:w="11900" w:h="16820"/>
          <w:pgMar w:header="1104" w:footer="0" w:top="1840" w:bottom="280" w:left="1020" w:right="1000"/>
        </w:sectPr>
      </w:pPr>
    </w:p>
    <w:p>
      <w:pPr>
        <w:pStyle w:val="BodyText"/>
        <w:spacing w:before="10"/>
        <w:ind w:left="0" w:firstLine="0"/>
        <w:rPr>
          <w:sz w:val="25"/>
        </w:rPr>
      </w:pPr>
    </w:p>
    <w:p>
      <w:pPr>
        <w:pStyle w:val="Heading2"/>
        <w:numPr>
          <w:ilvl w:val="0"/>
          <w:numId w:val="1"/>
        </w:numPr>
        <w:tabs>
          <w:tab w:pos="4628" w:val="left" w:leader="none"/>
        </w:tabs>
        <w:spacing w:line="240" w:lineRule="auto" w:before="106" w:after="0"/>
        <w:ind w:left="4627" w:right="0" w:hanging="352"/>
        <w:jc w:val="left"/>
      </w:pPr>
      <w:r>
        <w:rPr>
          <w:w w:val="110"/>
        </w:rPr>
        <w:t>Fejezet</w:t>
      </w:r>
    </w:p>
    <w:p>
      <w:pPr>
        <w:pStyle w:val="BodyText"/>
        <w:spacing w:before="1"/>
        <w:ind w:left="0" w:firstLine="0"/>
        <w:rPr>
          <w:rFonts w:ascii="Georgia-BoldItalic"/>
          <w:b/>
          <w:i/>
          <w:sz w:val="41"/>
        </w:rPr>
      </w:pPr>
    </w:p>
    <w:p>
      <w:pPr>
        <w:spacing w:before="0"/>
        <w:ind w:left="2206" w:right="0" w:firstLine="0"/>
        <w:jc w:val="left"/>
        <w:rPr>
          <w:rFonts w:ascii="Georgia-BoldItalic" w:hAnsi="Georgia-BoldItalic"/>
          <w:b/>
          <w:i/>
          <w:sz w:val="24"/>
        </w:rPr>
      </w:pPr>
      <w:r>
        <w:rPr>
          <w:rFonts w:ascii="Georgia-BoldItalic" w:hAnsi="Georgia-BoldItalic"/>
          <w:b/>
          <w:i/>
          <w:w w:val="105"/>
          <w:sz w:val="24"/>
        </w:rPr>
        <w:t>Egyes tevékenységi, működési</w:t>
      </w:r>
      <w:r>
        <w:rPr>
          <w:rFonts w:ascii="Georgia-BoldItalic" w:hAnsi="Georgia-BoldItalic"/>
          <w:b/>
          <w:i/>
          <w:spacing w:val="55"/>
          <w:w w:val="105"/>
          <w:sz w:val="24"/>
        </w:rPr>
        <w:t> </w:t>
      </w:r>
      <w:r>
        <w:rPr>
          <w:rFonts w:ascii="Georgia-BoldItalic" w:hAnsi="Georgia-BoldItalic"/>
          <w:b/>
          <w:i/>
          <w:w w:val="105"/>
          <w:sz w:val="24"/>
        </w:rPr>
        <w:t>szabályok</w:t>
      </w:r>
    </w:p>
    <w:p>
      <w:pPr>
        <w:pStyle w:val="BodyText"/>
        <w:spacing w:before="9"/>
        <w:ind w:left="0" w:firstLine="0"/>
        <w:rPr>
          <w:rFonts w:ascii="Georgia-BoldItalic"/>
          <w:b/>
          <w:i/>
          <w:sz w:val="40"/>
        </w:rPr>
      </w:pPr>
    </w:p>
    <w:p>
      <w:pPr>
        <w:pStyle w:val="BodyText"/>
        <w:ind w:left="2979" w:firstLine="0"/>
      </w:pPr>
      <w:r>
        <w:rPr>
          <w:w w:val="130"/>
        </w:rPr>
        <w:t>27. Személyi és tárgyi feltételek</w:t>
      </w:r>
    </w:p>
    <w:p>
      <w:pPr>
        <w:pStyle w:val="ListParagraph"/>
        <w:numPr>
          <w:ilvl w:val="1"/>
          <w:numId w:val="158"/>
        </w:numPr>
        <w:tabs>
          <w:tab w:pos="818" w:val="left" w:leader="none"/>
        </w:tabs>
        <w:spacing w:line="269" w:lineRule="exact" w:before="223" w:after="0"/>
        <w:ind w:left="817" w:right="0" w:hanging="500"/>
        <w:jc w:val="left"/>
        <w:rPr>
          <w:sz w:val="24"/>
        </w:rPr>
      </w:pPr>
      <w:r>
        <w:rPr>
          <w:rFonts w:ascii="Arial" w:hAnsi="Arial"/>
          <w:b/>
          <w:w w:val="120"/>
          <w:sz w:val="24"/>
        </w:rPr>
        <w:t>§ </w:t>
      </w:r>
      <w:r>
        <w:rPr>
          <w:w w:val="120"/>
          <w:sz w:val="24"/>
        </w:rPr>
        <w:t>(1) A pénzügyi szolgáltatási tevékenység</w:t>
      </w:r>
      <w:r>
        <w:rPr>
          <w:spacing w:val="41"/>
          <w:w w:val="120"/>
          <w:sz w:val="24"/>
        </w:rPr>
        <w:t> </w:t>
      </w:r>
      <w:r>
        <w:rPr>
          <w:w w:val="120"/>
          <w:sz w:val="24"/>
        </w:rPr>
        <w:t>csak</w:t>
      </w:r>
    </w:p>
    <w:p>
      <w:pPr>
        <w:pStyle w:val="ListParagraph"/>
        <w:numPr>
          <w:ilvl w:val="0"/>
          <w:numId w:val="162"/>
        </w:numPr>
        <w:tabs>
          <w:tab w:pos="631" w:val="left" w:leader="none"/>
        </w:tabs>
        <w:spacing w:line="260" w:lineRule="exact" w:before="0" w:after="0"/>
        <w:ind w:left="630" w:right="0" w:hanging="313"/>
        <w:jc w:val="left"/>
        <w:rPr>
          <w:sz w:val="24"/>
        </w:rPr>
      </w:pPr>
      <w:r>
        <w:rPr>
          <w:w w:val="125"/>
          <w:sz w:val="24"/>
        </w:rPr>
        <w:t>jogszabálynak megfelelő számviteli rend, valamint nyilvántartási</w:t>
      </w:r>
      <w:r>
        <w:rPr>
          <w:spacing w:val="20"/>
          <w:w w:val="125"/>
          <w:sz w:val="24"/>
        </w:rPr>
        <w:t> </w:t>
      </w:r>
      <w:r>
        <w:rPr>
          <w:w w:val="125"/>
          <w:sz w:val="24"/>
        </w:rPr>
        <w:t>rend,</w:t>
      </w:r>
    </w:p>
    <w:p>
      <w:pPr>
        <w:pStyle w:val="ListParagraph"/>
        <w:numPr>
          <w:ilvl w:val="0"/>
          <w:numId w:val="162"/>
        </w:numPr>
        <w:tabs>
          <w:tab w:pos="653" w:val="left" w:leader="none"/>
        </w:tabs>
        <w:spacing w:line="260" w:lineRule="exact" w:before="0" w:after="0"/>
        <w:ind w:left="652" w:right="0" w:hanging="335"/>
        <w:jc w:val="left"/>
        <w:rPr>
          <w:sz w:val="24"/>
        </w:rPr>
      </w:pPr>
      <w:r>
        <w:rPr>
          <w:w w:val="130"/>
          <w:sz w:val="24"/>
        </w:rPr>
        <w:t>a prudens működésnek megfelelő belső</w:t>
      </w:r>
      <w:r>
        <w:rPr>
          <w:spacing w:val="-42"/>
          <w:w w:val="130"/>
          <w:sz w:val="24"/>
        </w:rPr>
        <w:t> </w:t>
      </w:r>
      <w:r>
        <w:rPr>
          <w:w w:val="130"/>
          <w:sz w:val="24"/>
        </w:rPr>
        <w:t>szabályzat,</w:t>
      </w:r>
    </w:p>
    <w:p>
      <w:pPr>
        <w:pStyle w:val="ListParagraph"/>
        <w:numPr>
          <w:ilvl w:val="0"/>
          <w:numId w:val="162"/>
        </w:numPr>
        <w:tabs>
          <w:tab w:pos="886" w:val="left" w:leader="none"/>
        </w:tabs>
        <w:spacing w:line="225" w:lineRule="auto" w:before="5" w:after="0"/>
        <w:ind w:left="113" w:right="124" w:firstLine="204"/>
        <w:jc w:val="both"/>
        <w:rPr>
          <w:sz w:val="24"/>
        </w:rPr>
      </w:pPr>
      <w:r>
        <w:rPr>
          <w:w w:val="130"/>
          <w:sz w:val="24"/>
        </w:rPr>
        <w:t>a pénzügyi szolgáltatás nyújtásához szükséges, jogszabályban</w:t>
      </w:r>
      <w:r>
        <w:rPr>
          <w:spacing w:val="78"/>
          <w:w w:val="130"/>
          <w:sz w:val="24"/>
        </w:rPr>
        <w:t> </w:t>
      </w:r>
      <w:r>
        <w:rPr>
          <w:w w:val="130"/>
          <w:sz w:val="24"/>
        </w:rPr>
        <w:t>meghatározott személyi</w:t>
      </w:r>
      <w:r>
        <w:rPr>
          <w:spacing w:val="-8"/>
          <w:w w:val="130"/>
          <w:sz w:val="24"/>
        </w:rPr>
        <w:t> </w:t>
      </w:r>
      <w:r>
        <w:rPr>
          <w:w w:val="130"/>
          <w:sz w:val="24"/>
        </w:rPr>
        <w:t>feltételek,</w:t>
      </w:r>
    </w:p>
    <w:p>
      <w:pPr>
        <w:pStyle w:val="ListParagraph"/>
        <w:numPr>
          <w:ilvl w:val="0"/>
          <w:numId w:val="162"/>
        </w:numPr>
        <w:tabs>
          <w:tab w:pos="766" w:val="left" w:leader="none"/>
        </w:tabs>
        <w:spacing w:line="225" w:lineRule="auto" w:before="2" w:after="0"/>
        <w:ind w:left="113" w:right="137" w:firstLine="204"/>
        <w:jc w:val="both"/>
        <w:rPr>
          <w:sz w:val="24"/>
        </w:rPr>
      </w:pPr>
      <w:r>
        <w:rPr>
          <w:w w:val="130"/>
          <w:sz w:val="24"/>
        </w:rPr>
        <w:t>a tevékenység végzésére alkalmas technikai, informatikai, műszaki, biztonsági felszereltség,</w:t>
      </w:r>
      <w:r>
        <w:rPr>
          <w:spacing w:val="-8"/>
          <w:w w:val="130"/>
          <w:sz w:val="24"/>
        </w:rPr>
        <w:t> </w:t>
      </w:r>
      <w:r>
        <w:rPr>
          <w:w w:val="130"/>
          <w:sz w:val="24"/>
        </w:rPr>
        <w:t>helyiség,</w:t>
      </w:r>
    </w:p>
    <w:p>
      <w:pPr>
        <w:pStyle w:val="ListParagraph"/>
        <w:numPr>
          <w:ilvl w:val="0"/>
          <w:numId w:val="162"/>
        </w:numPr>
        <w:tabs>
          <w:tab w:pos="888" w:val="left" w:leader="none"/>
        </w:tabs>
        <w:spacing w:line="225" w:lineRule="auto" w:before="1" w:after="0"/>
        <w:ind w:left="113" w:right="132" w:firstLine="204"/>
        <w:jc w:val="both"/>
        <w:rPr>
          <w:sz w:val="24"/>
        </w:rPr>
      </w:pPr>
      <w:r>
        <w:rPr>
          <w:w w:val="125"/>
          <w:sz w:val="24"/>
        </w:rPr>
        <w:t>ellenőrzési eljárások és rendszerek, valamint - a kizárólag csoportfinanszírozást végző pénzügyi vállalkozás kivételével - vagyonbiztosítás,</w:t>
      </w:r>
    </w:p>
    <w:p>
      <w:pPr>
        <w:pStyle w:val="ListParagraph"/>
        <w:numPr>
          <w:ilvl w:val="0"/>
          <w:numId w:val="162"/>
        </w:numPr>
        <w:tabs>
          <w:tab w:pos="624" w:val="left" w:leader="none"/>
        </w:tabs>
        <w:spacing w:line="225" w:lineRule="auto" w:before="1" w:after="0"/>
        <w:ind w:left="113" w:right="133" w:firstLine="204"/>
        <w:jc w:val="both"/>
        <w:rPr>
          <w:sz w:val="24"/>
        </w:rPr>
      </w:pPr>
      <w:r>
        <w:rPr>
          <w:w w:val="130"/>
          <w:sz w:val="24"/>
        </w:rPr>
        <w:t>a működési kockázatok csökkentését szolgáló információs és ellenőrzési rendszer,</w:t>
      </w:r>
      <w:r>
        <w:rPr>
          <w:spacing w:val="-28"/>
          <w:w w:val="130"/>
          <w:sz w:val="24"/>
        </w:rPr>
        <w:t> </w:t>
      </w:r>
      <w:r>
        <w:rPr>
          <w:w w:val="130"/>
          <w:sz w:val="24"/>
        </w:rPr>
        <w:t>valamint</w:t>
      </w:r>
      <w:r>
        <w:rPr>
          <w:spacing w:val="-28"/>
          <w:w w:val="130"/>
          <w:sz w:val="24"/>
        </w:rPr>
        <w:t> </w:t>
      </w:r>
      <w:r>
        <w:rPr>
          <w:w w:val="130"/>
          <w:sz w:val="24"/>
        </w:rPr>
        <w:t>a</w:t>
      </w:r>
      <w:r>
        <w:rPr>
          <w:spacing w:val="-28"/>
          <w:w w:val="130"/>
          <w:sz w:val="24"/>
        </w:rPr>
        <w:t> </w:t>
      </w:r>
      <w:r>
        <w:rPr>
          <w:w w:val="130"/>
          <w:sz w:val="24"/>
        </w:rPr>
        <w:t>rendkívüli</w:t>
      </w:r>
      <w:r>
        <w:rPr>
          <w:spacing w:val="-27"/>
          <w:w w:val="130"/>
          <w:sz w:val="24"/>
        </w:rPr>
        <w:t> </w:t>
      </w:r>
      <w:r>
        <w:rPr>
          <w:w w:val="130"/>
          <w:sz w:val="24"/>
        </w:rPr>
        <w:t>helyzetek</w:t>
      </w:r>
      <w:r>
        <w:rPr>
          <w:spacing w:val="-28"/>
          <w:w w:val="130"/>
          <w:sz w:val="24"/>
        </w:rPr>
        <w:t> </w:t>
      </w:r>
      <w:r>
        <w:rPr>
          <w:w w:val="130"/>
          <w:sz w:val="24"/>
        </w:rPr>
        <w:t>kezelésére</w:t>
      </w:r>
      <w:r>
        <w:rPr>
          <w:spacing w:val="-28"/>
          <w:w w:val="130"/>
          <w:sz w:val="24"/>
        </w:rPr>
        <w:t> </w:t>
      </w:r>
      <w:r>
        <w:rPr>
          <w:w w:val="130"/>
          <w:sz w:val="24"/>
        </w:rPr>
        <w:t>vonatkozó</w:t>
      </w:r>
      <w:r>
        <w:rPr>
          <w:spacing w:val="-28"/>
          <w:w w:val="130"/>
          <w:sz w:val="24"/>
        </w:rPr>
        <w:t> </w:t>
      </w:r>
      <w:r>
        <w:rPr>
          <w:w w:val="130"/>
          <w:sz w:val="24"/>
        </w:rPr>
        <w:t>terv,</w:t>
      </w:r>
      <w:r>
        <w:rPr>
          <w:spacing w:val="-28"/>
          <w:w w:val="130"/>
          <w:sz w:val="24"/>
        </w:rPr>
        <w:t> </w:t>
      </w:r>
      <w:r>
        <w:rPr>
          <w:w w:val="130"/>
          <w:sz w:val="24"/>
        </w:rPr>
        <w:t>valamint</w:t>
      </w:r>
    </w:p>
    <w:p>
      <w:pPr>
        <w:pStyle w:val="ListParagraph"/>
        <w:numPr>
          <w:ilvl w:val="0"/>
          <w:numId w:val="162"/>
        </w:numPr>
        <w:tabs>
          <w:tab w:pos="653" w:val="left" w:leader="none"/>
        </w:tabs>
        <w:spacing w:line="256" w:lineRule="exact" w:before="0" w:after="0"/>
        <w:ind w:left="652" w:right="0" w:hanging="335"/>
        <w:jc w:val="left"/>
        <w:rPr>
          <w:sz w:val="24"/>
        </w:rPr>
      </w:pPr>
      <w:r>
        <w:rPr>
          <w:w w:val="130"/>
          <w:sz w:val="24"/>
        </w:rPr>
        <w:t>áttekinthető szervezeti</w:t>
      </w:r>
      <w:r>
        <w:rPr>
          <w:spacing w:val="-17"/>
          <w:w w:val="130"/>
          <w:sz w:val="24"/>
        </w:rPr>
        <w:t> </w:t>
      </w:r>
      <w:r>
        <w:rPr>
          <w:w w:val="130"/>
          <w:sz w:val="24"/>
        </w:rPr>
        <w:t>felépítés</w:t>
      </w:r>
    </w:p>
    <w:p>
      <w:pPr>
        <w:pStyle w:val="BodyText"/>
        <w:spacing w:line="225" w:lineRule="auto" w:before="6"/>
        <w:ind w:firstLine="0"/>
      </w:pPr>
      <w:r>
        <w:rPr>
          <w:w w:val="130"/>
        </w:rPr>
        <w:t>(a</w:t>
      </w:r>
      <w:r>
        <w:rPr>
          <w:spacing w:val="-17"/>
          <w:w w:val="130"/>
        </w:rPr>
        <w:t> </w:t>
      </w:r>
      <w:r>
        <w:rPr>
          <w:w w:val="130"/>
        </w:rPr>
        <w:t>továbbiakban</w:t>
      </w:r>
      <w:r>
        <w:rPr>
          <w:spacing w:val="-17"/>
          <w:w w:val="130"/>
        </w:rPr>
        <w:t> </w:t>
      </w:r>
      <w:r>
        <w:rPr>
          <w:w w:val="130"/>
        </w:rPr>
        <w:t>együtt:</w:t>
      </w:r>
      <w:r>
        <w:rPr>
          <w:spacing w:val="-17"/>
          <w:w w:val="130"/>
        </w:rPr>
        <w:t> </w:t>
      </w:r>
      <w:r>
        <w:rPr>
          <w:w w:val="130"/>
        </w:rPr>
        <w:t>személyi</w:t>
      </w:r>
      <w:r>
        <w:rPr>
          <w:spacing w:val="-17"/>
          <w:w w:val="130"/>
        </w:rPr>
        <w:t> </w:t>
      </w:r>
      <w:r>
        <w:rPr>
          <w:w w:val="130"/>
        </w:rPr>
        <w:t>és</w:t>
      </w:r>
      <w:r>
        <w:rPr>
          <w:spacing w:val="-16"/>
          <w:w w:val="130"/>
        </w:rPr>
        <w:t> </w:t>
      </w:r>
      <w:r>
        <w:rPr>
          <w:w w:val="130"/>
        </w:rPr>
        <w:t>tárgyi</w:t>
      </w:r>
      <w:r>
        <w:rPr>
          <w:spacing w:val="-15"/>
          <w:w w:val="130"/>
        </w:rPr>
        <w:t> </w:t>
      </w:r>
      <w:r>
        <w:rPr>
          <w:w w:val="130"/>
        </w:rPr>
        <w:t>feltételek)</w:t>
      </w:r>
      <w:r>
        <w:rPr>
          <w:spacing w:val="-20"/>
          <w:w w:val="130"/>
        </w:rPr>
        <w:t> </w:t>
      </w:r>
      <w:r>
        <w:rPr>
          <w:w w:val="130"/>
        </w:rPr>
        <w:t>megléte</w:t>
      </w:r>
      <w:r>
        <w:rPr>
          <w:spacing w:val="-17"/>
          <w:w w:val="130"/>
        </w:rPr>
        <w:t> </w:t>
      </w:r>
      <w:r>
        <w:rPr>
          <w:w w:val="130"/>
        </w:rPr>
        <w:t>esetén</w:t>
      </w:r>
      <w:r>
        <w:rPr>
          <w:spacing w:val="-16"/>
          <w:w w:val="130"/>
        </w:rPr>
        <w:t> </w:t>
      </w:r>
      <w:r>
        <w:rPr>
          <w:w w:val="130"/>
        </w:rPr>
        <w:t>kezdhető meg, illetve</w:t>
      </w:r>
      <w:r>
        <w:rPr>
          <w:spacing w:val="-9"/>
          <w:w w:val="130"/>
        </w:rPr>
        <w:t> </w:t>
      </w:r>
      <w:r>
        <w:rPr>
          <w:w w:val="130"/>
        </w:rPr>
        <w:t>folytatható.</w:t>
      </w:r>
    </w:p>
    <w:p>
      <w:pPr>
        <w:pStyle w:val="ListParagraph"/>
        <w:numPr>
          <w:ilvl w:val="0"/>
          <w:numId w:val="163"/>
        </w:numPr>
        <w:tabs>
          <w:tab w:pos="819" w:val="left" w:leader="none"/>
        </w:tabs>
        <w:spacing w:line="225" w:lineRule="auto" w:before="1" w:after="0"/>
        <w:ind w:left="113" w:right="123" w:firstLine="204"/>
        <w:jc w:val="both"/>
        <w:rPr>
          <w:sz w:val="24"/>
        </w:rPr>
      </w:pPr>
      <w:r>
        <w:rPr>
          <w:w w:val="125"/>
          <w:sz w:val="24"/>
        </w:rPr>
        <w:t>A pénzügyi intézmény - a pénzügyi holding társaság és a kizárólag csoportfinanszírozást végző pénzügyi vállalkozás kivételével - csak olyan helyiségben működhet, amely megfelel a jogszabályban meghatározott biztonsági követelményeknek.</w:t>
      </w:r>
    </w:p>
    <w:p>
      <w:pPr>
        <w:pStyle w:val="ListParagraph"/>
        <w:numPr>
          <w:ilvl w:val="0"/>
          <w:numId w:val="163"/>
        </w:numPr>
        <w:tabs>
          <w:tab w:pos="764" w:val="left" w:leader="none"/>
        </w:tabs>
        <w:spacing w:line="225" w:lineRule="auto" w:before="2" w:after="0"/>
        <w:ind w:left="113" w:right="130" w:firstLine="204"/>
        <w:jc w:val="both"/>
        <w:rPr>
          <w:sz w:val="24"/>
        </w:rPr>
      </w:pPr>
      <w:r>
        <w:rPr>
          <w:w w:val="125"/>
          <w:sz w:val="24"/>
        </w:rPr>
        <w:t>A pénzügyi szolgáltatási tevékenységet végző az (1) és (2) bekezdésben foglaltakat székhely-, telephelyváltozás esetén, valamint a pénzügyi szolgáltatási tevékenység módosításakor is</w:t>
      </w:r>
      <w:r>
        <w:rPr>
          <w:spacing w:val="6"/>
          <w:w w:val="125"/>
          <w:sz w:val="24"/>
        </w:rPr>
        <w:t> </w:t>
      </w:r>
      <w:r>
        <w:rPr>
          <w:w w:val="125"/>
          <w:sz w:val="24"/>
        </w:rPr>
        <w:t>biztosítja.</w:t>
      </w:r>
    </w:p>
    <w:p>
      <w:pPr>
        <w:pStyle w:val="BodyText"/>
        <w:spacing w:line="250" w:lineRule="exact"/>
        <w:ind w:left="317" w:firstLine="0"/>
      </w:pPr>
      <w:r>
        <w:rPr>
          <w:rFonts w:ascii="Arial" w:hAnsi="Arial"/>
          <w:b/>
          <w:w w:val="120"/>
        </w:rPr>
        <w:t>67/A. §</w:t>
      </w:r>
      <w:r>
        <w:rPr>
          <w:i/>
          <w:w w:val="120"/>
          <w:position w:val="3"/>
          <w:sz w:val="18"/>
        </w:rPr>
        <w:t>1 </w:t>
      </w:r>
      <w:r>
        <w:rPr>
          <w:w w:val="120"/>
        </w:rPr>
        <w:t>(1) A pénzügyi szolgáltatói tevékenység - a kiegészítő pénzügyi</w:t>
      </w:r>
    </w:p>
    <w:p>
      <w:pPr>
        <w:pStyle w:val="BodyText"/>
        <w:spacing w:line="225" w:lineRule="auto" w:before="12"/>
        <w:ind w:right="125" w:firstLine="0"/>
        <w:jc w:val="both"/>
      </w:pPr>
      <w:r>
        <w:rPr>
          <w:w w:val="125"/>
        </w:rPr>
        <w:t>szolgáltatás kivételével - végzésére csak olyan informatikai rendszer felhasználásával kerülhet sor, amely biztosítja a rendszerelemek zártságát, és megakadályozza az informatikai rendszerhez történő jogosulatlan hozzáférést, valamint észrevétlen módosítását. Az informatikai rendszernek meg kell felelnie az általános információbiztonsági zártsági  követelményeknek  is. Ennek érdekében a hitelintézetnek adminisztratív, fizikai és logikai intézkedésekkel biztosítania kell az általános információbiztonsági zártsági követelmények teljesülését.</w:t>
      </w:r>
    </w:p>
    <w:p>
      <w:pPr>
        <w:pStyle w:val="ListParagraph"/>
        <w:numPr>
          <w:ilvl w:val="0"/>
          <w:numId w:val="164"/>
        </w:numPr>
        <w:tabs>
          <w:tab w:pos="659" w:val="left" w:leader="none"/>
        </w:tabs>
        <w:spacing w:line="253" w:lineRule="exact" w:before="0" w:after="0"/>
        <w:ind w:left="658" w:right="0" w:hanging="341"/>
        <w:jc w:val="left"/>
        <w:rPr>
          <w:sz w:val="24"/>
        </w:rPr>
      </w:pPr>
      <w:r>
        <w:rPr>
          <w:i/>
          <w:w w:val="125"/>
          <w:position w:val="3"/>
          <w:sz w:val="18"/>
        </w:rPr>
        <w:t>2 </w:t>
      </w:r>
      <w:r>
        <w:rPr>
          <w:w w:val="125"/>
          <w:sz w:val="24"/>
        </w:rPr>
        <w:t>Az (1) bekezdésben meghatározott követelményeknek való</w:t>
      </w:r>
      <w:r>
        <w:rPr>
          <w:spacing w:val="-31"/>
          <w:w w:val="125"/>
          <w:sz w:val="24"/>
        </w:rPr>
        <w:t> </w:t>
      </w:r>
      <w:r>
        <w:rPr>
          <w:w w:val="125"/>
          <w:sz w:val="24"/>
        </w:rPr>
        <w:t>megfelelést</w:t>
      </w:r>
    </w:p>
    <w:p>
      <w:pPr>
        <w:pStyle w:val="BodyText"/>
        <w:spacing w:line="225" w:lineRule="auto" w:before="12"/>
        <w:ind w:right="128" w:firstLine="0"/>
        <w:jc w:val="both"/>
      </w:pPr>
      <w:r>
        <w:rPr>
          <w:w w:val="125"/>
        </w:rPr>
        <w:t>külső szakértő (a továbbiakban: tanúsító szervezet) által kiadott, az  informatikai rendszerre vonatkozó tanúsítással kell igazolni. A tanúsító szervezettel, a tanúsítással és a tanúsítási eljárás - általános  forgalmi  adó nélkül számított - maximális díjával szemben támasztott követelményeket  külön jogszabály határozza</w:t>
      </w:r>
      <w:r>
        <w:rPr>
          <w:spacing w:val="2"/>
          <w:w w:val="125"/>
        </w:rPr>
        <w:t> </w:t>
      </w:r>
      <w:r>
        <w:rPr>
          <w:w w:val="125"/>
        </w:rPr>
        <w:t>meg.</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11"/>
        </w:rPr>
      </w:pPr>
      <w:r>
        <w:rPr/>
        <w:pict>
          <v:line style="position:absolute;mso-position-horizontal-relative:page;mso-position-vertical-relative:paragraph;z-index:8;mso-wrap-distance-left:0;mso-wrap-distance-right:0" from="56.693001pt,8.766063pt" to="538.583001pt,8.766063pt" stroked="true" strokeweight=".5pt" strokecolor="#000000">
            <v:stroke dashstyle="solid"/>
            <w10:wrap type="topAndBottom"/>
          </v:line>
        </w:pict>
      </w:r>
    </w:p>
    <w:p>
      <w:pPr>
        <w:pStyle w:val="ListParagraph"/>
        <w:numPr>
          <w:ilvl w:val="0"/>
          <w:numId w:val="165"/>
        </w:numPr>
        <w:tabs>
          <w:tab w:pos="686" w:val="left" w:leader="none"/>
          <w:tab w:pos="687" w:val="left" w:leader="none"/>
        </w:tabs>
        <w:spacing w:line="203" w:lineRule="exact" w:before="44" w:after="0"/>
        <w:ind w:left="686" w:right="0" w:hanging="344"/>
        <w:jc w:val="left"/>
        <w:rPr>
          <w:i/>
          <w:sz w:val="18"/>
        </w:rPr>
      </w:pPr>
      <w:r>
        <w:rPr>
          <w:i/>
          <w:w w:val="125"/>
          <w:sz w:val="18"/>
        </w:rPr>
        <w:t>Beiktatta: 2015. évi LXXXV. törvény 195. §. Hatályos: 2016. I.</w:t>
      </w:r>
      <w:r>
        <w:rPr>
          <w:i/>
          <w:spacing w:val="-12"/>
          <w:w w:val="125"/>
          <w:sz w:val="18"/>
        </w:rPr>
        <w:t> </w:t>
      </w:r>
      <w:r>
        <w:rPr>
          <w:i/>
          <w:w w:val="125"/>
          <w:sz w:val="18"/>
        </w:rPr>
        <w:t>1-től.</w:t>
      </w:r>
    </w:p>
    <w:p>
      <w:pPr>
        <w:pStyle w:val="ListParagraph"/>
        <w:numPr>
          <w:ilvl w:val="0"/>
          <w:numId w:val="165"/>
        </w:numPr>
        <w:tabs>
          <w:tab w:pos="686" w:val="left" w:leader="none"/>
          <w:tab w:pos="687" w:val="left" w:leader="none"/>
        </w:tabs>
        <w:spacing w:line="203" w:lineRule="exact" w:before="0" w:after="0"/>
        <w:ind w:left="686" w:right="0" w:hanging="344"/>
        <w:jc w:val="left"/>
        <w:rPr>
          <w:i/>
          <w:sz w:val="18"/>
        </w:rPr>
      </w:pPr>
      <w:r>
        <w:rPr>
          <w:i/>
          <w:w w:val="125"/>
          <w:sz w:val="18"/>
        </w:rPr>
        <w:t>Megállapította: 2016. évi CLXXXII. törvény 41. § (1). Hatályos: 2016. XII.</w:t>
      </w:r>
      <w:r>
        <w:rPr>
          <w:i/>
          <w:spacing w:val="-37"/>
          <w:w w:val="125"/>
          <w:sz w:val="18"/>
        </w:rPr>
        <w:t> </w:t>
      </w:r>
      <w:r>
        <w:rPr>
          <w:i/>
          <w:w w:val="125"/>
          <w:sz w:val="18"/>
        </w:rPr>
        <w:t>28-tól.</w:t>
      </w:r>
    </w:p>
    <w:p>
      <w:pPr>
        <w:spacing w:after="0" w:line="203" w:lineRule="exact"/>
        <w:jc w:val="left"/>
        <w:rPr>
          <w:sz w:val="18"/>
        </w:rPr>
        <w:sectPr>
          <w:pgSz w:w="11900" w:h="16820"/>
          <w:pgMar w:header="1104" w:footer="0" w:top="1840" w:bottom="280" w:left="1020" w:right="1000"/>
        </w:sectPr>
      </w:pPr>
    </w:p>
    <w:p>
      <w:pPr>
        <w:pStyle w:val="ListParagraph"/>
        <w:numPr>
          <w:ilvl w:val="0"/>
          <w:numId w:val="164"/>
        </w:numPr>
        <w:tabs>
          <w:tab w:pos="870" w:val="left" w:leader="none"/>
        </w:tabs>
        <w:spacing w:line="225" w:lineRule="auto" w:before="173" w:after="0"/>
        <w:ind w:left="113" w:right="124" w:firstLine="204"/>
        <w:jc w:val="both"/>
        <w:rPr>
          <w:sz w:val="24"/>
        </w:rPr>
      </w:pPr>
      <w:r>
        <w:rPr>
          <w:w w:val="130"/>
          <w:sz w:val="24"/>
        </w:rPr>
        <w:t>A (2) bekezdés szerinti tanúsító szervezet írásban haladéktalanul tájékoztatja a Felügyeletet, ha a hitelintézet informatikai rendszerével</w:t>
      </w:r>
      <w:r>
        <w:rPr>
          <w:spacing w:val="78"/>
          <w:w w:val="130"/>
          <w:sz w:val="24"/>
        </w:rPr>
        <w:t> </w:t>
      </w:r>
      <w:r>
        <w:rPr>
          <w:w w:val="130"/>
          <w:sz w:val="24"/>
        </w:rPr>
        <w:t>kapcsolatosan olyan tényt állapít meg, amely a hitelintézet folyamatos működését</w:t>
      </w:r>
      <w:r>
        <w:rPr>
          <w:spacing w:val="-23"/>
          <w:w w:val="130"/>
          <w:sz w:val="24"/>
        </w:rPr>
        <w:t> </w:t>
      </w:r>
      <w:r>
        <w:rPr>
          <w:w w:val="130"/>
          <w:sz w:val="24"/>
        </w:rPr>
        <w:t>kedvezőtlenül</w:t>
      </w:r>
      <w:r>
        <w:rPr>
          <w:spacing w:val="-23"/>
          <w:w w:val="130"/>
          <w:sz w:val="24"/>
        </w:rPr>
        <w:t> </w:t>
      </w:r>
      <w:r>
        <w:rPr>
          <w:w w:val="130"/>
          <w:sz w:val="24"/>
        </w:rPr>
        <w:t>érinti</w:t>
      </w:r>
      <w:r>
        <w:rPr>
          <w:spacing w:val="-24"/>
          <w:w w:val="130"/>
          <w:sz w:val="24"/>
        </w:rPr>
        <w:t> </w:t>
      </w:r>
      <w:r>
        <w:rPr>
          <w:w w:val="130"/>
          <w:sz w:val="24"/>
        </w:rPr>
        <w:t>vagy</w:t>
      </w:r>
      <w:r>
        <w:rPr>
          <w:spacing w:val="-23"/>
          <w:w w:val="130"/>
          <w:sz w:val="24"/>
        </w:rPr>
        <w:t> </w:t>
      </w:r>
      <w:r>
        <w:rPr>
          <w:w w:val="130"/>
          <w:sz w:val="24"/>
        </w:rPr>
        <w:t>bűncselekmény</w:t>
      </w:r>
      <w:r>
        <w:rPr>
          <w:spacing w:val="-23"/>
          <w:w w:val="130"/>
          <w:sz w:val="24"/>
        </w:rPr>
        <w:t> </w:t>
      </w:r>
      <w:r>
        <w:rPr>
          <w:w w:val="130"/>
          <w:sz w:val="24"/>
        </w:rPr>
        <w:t>elkövetésére,</w:t>
      </w:r>
      <w:r>
        <w:rPr>
          <w:spacing w:val="-23"/>
          <w:w w:val="130"/>
          <w:sz w:val="24"/>
        </w:rPr>
        <w:t> </w:t>
      </w:r>
      <w:r>
        <w:rPr>
          <w:w w:val="130"/>
          <w:sz w:val="24"/>
        </w:rPr>
        <w:t>jogszabály megsértésére vagy a hitelintézet belső szabályzatának súlyos megsértésére vagy ezek veszélyére utaló körülményeket</w:t>
      </w:r>
      <w:r>
        <w:rPr>
          <w:spacing w:val="-34"/>
          <w:w w:val="130"/>
          <w:sz w:val="24"/>
        </w:rPr>
        <w:t> </w:t>
      </w:r>
      <w:r>
        <w:rPr>
          <w:w w:val="130"/>
          <w:sz w:val="24"/>
        </w:rPr>
        <w:t>észlel.</w:t>
      </w:r>
    </w:p>
    <w:p>
      <w:pPr>
        <w:pStyle w:val="ListParagraph"/>
        <w:numPr>
          <w:ilvl w:val="0"/>
          <w:numId w:val="164"/>
        </w:numPr>
        <w:tabs>
          <w:tab w:pos="659" w:val="left" w:leader="none"/>
        </w:tabs>
        <w:spacing w:line="251" w:lineRule="exact" w:before="0" w:after="0"/>
        <w:ind w:left="658" w:right="0" w:hanging="341"/>
        <w:jc w:val="left"/>
        <w:rPr>
          <w:sz w:val="24"/>
        </w:rPr>
      </w:pPr>
      <w:r>
        <w:rPr>
          <w:i/>
          <w:w w:val="125"/>
          <w:position w:val="3"/>
          <w:sz w:val="18"/>
        </w:rPr>
        <w:t>1</w:t>
      </w:r>
      <w:r>
        <w:rPr>
          <w:i/>
          <w:spacing w:val="49"/>
          <w:w w:val="125"/>
          <w:position w:val="3"/>
          <w:sz w:val="18"/>
        </w:rPr>
        <w:t> </w:t>
      </w:r>
      <w:r>
        <w:rPr>
          <w:w w:val="125"/>
          <w:sz w:val="24"/>
        </w:rPr>
        <w:t>A</w:t>
      </w:r>
      <w:r>
        <w:rPr>
          <w:spacing w:val="30"/>
          <w:w w:val="125"/>
          <w:sz w:val="24"/>
        </w:rPr>
        <w:t> </w:t>
      </w:r>
      <w:r>
        <w:rPr>
          <w:w w:val="125"/>
          <w:sz w:val="24"/>
        </w:rPr>
        <w:t>tanúsító</w:t>
      </w:r>
      <w:r>
        <w:rPr>
          <w:spacing w:val="30"/>
          <w:w w:val="125"/>
          <w:sz w:val="24"/>
        </w:rPr>
        <w:t> </w:t>
      </w:r>
      <w:r>
        <w:rPr>
          <w:w w:val="125"/>
          <w:sz w:val="24"/>
        </w:rPr>
        <w:t>szervezet</w:t>
      </w:r>
      <w:r>
        <w:rPr>
          <w:spacing w:val="30"/>
          <w:w w:val="125"/>
          <w:sz w:val="24"/>
        </w:rPr>
        <w:t> </w:t>
      </w:r>
      <w:r>
        <w:rPr>
          <w:w w:val="125"/>
          <w:sz w:val="24"/>
        </w:rPr>
        <w:t>és</w:t>
      </w:r>
      <w:r>
        <w:rPr>
          <w:spacing w:val="31"/>
          <w:w w:val="125"/>
          <w:sz w:val="24"/>
        </w:rPr>
        <w:t> </w:t>
      </w:r>
      <w:r>
        <w:rPr>
          <w:w w:val="125"/>
          <w:sz w:val="24"/>
        </w:rPr>
        <w:t>alvállalkozója</w:t>
      </w:r>
      <w:r>
        <w:rPr>
          <w:spacing w:val="44"/>
          <w:w w:val="125"/>
          <w:sz w:val="24"/>
        </w:rPr>
        <w:t> </w:t>
      </w:r>
      <w:r>
        <w:rPr>
          <w:w w:val="125"/>
          <w:sz w:val="24"/>
        </w:rPr>
        <w:t>a</w:t>
      </w:r>
      <w:r>
        <w:rPr>
          <w:spacing w:val="17"/>
          <w:w w:val="125"/>
          <w:sz w:val="24"/>
        </w:rPr>
        <w:t> </w:t>
      </w:r>
      <w:r>
        <w:rPr>
          <w:w w:val="125"/>
          <w:sz w:val="24"/>
        </w:rPr>
        <w:t>vizsgált</w:t>
      </w:r>
      <w:r>
        <w:rPr>
          <w:spacing w:val="29"/>
          <w:w w:val="125"/>
          <w:sz w:val="24"/>
        </w:rPr>
        <w:t> </w:t>
      </w:r>
      <w:r>
        <w:rPr>
          <w:w w:val="125"/>
          <w:sz w:val="24"/>
        </w:rPr>
        <w:t>intézmény</w:t>
      </w:r>
      <w:r>
        <w:rPr>
          <w:spacing w:val="29"/>
          <w:w w:val="125"/>
          <w:sz w:val="24"/>
        </w:rPr>
        <w:t> </w:t>
      </w:r>
      <w:r>
        <w:rPr>
          <w:w w:val="125"/>
          <w:sz w:val="24"/>
        </w:rPr>
        <w:t>kezelésében</w:t>
      </w:r>
    </w:p>
    <w:p>
      <w:pPr>
        <w:pStyle w:val="BodyText"/>
        <w:spacing w:line="225" w:lineRule="auto" w:before="12"/>
        <w:ind w:right="132" w:firstLine="0"/>
        <w:jc w:val="both"/>
      </w:pPr>
      <w:r>
        <w:rPr>
          <w:w w:val="125"/>
        </w:rPr>
        <w:t>lévő, a tanúsítás lefolytatásához szükséges adatokat - ideértve a személyes adatokat és üzleti titkokat is - a tanúsítással igazolandó követelmények teljesülésének vizsgálata céljából, a tanúsítási  eljárás  lefolytatásához szükséges mértékben, a tanúsítási eljárás befejezéséig jogosult kezelni, azokat harmadik személy részére nem</w:t>
      </w:r>
      <w:r>
        <w:rPr>
          <w:spacing w:val="10"/>
          <w:w w:val="125"/>
        </w:rPr>
        <w:t> </w:t>
      </w:r>
      <w:r>
        <w:rPr>
          <w:w w:val="125"/>
        </w:rPr>
        <w:t>továbbíthatja.</w:t>
      </w:r>
    </w:p>
    <w:p>
      <w:pPr>
        <w:pStyle w:val="ListParagraph"/>
        <w:numPr>
          <w:ilvl w:val="0"/>
          <w:numId w:val="164"/>
        </w:numPr>
        <w:tabs>
          <w:tab w:pos="659" w:val="left" w:leader="none"/>
        </w:tabs>
        <w:spacing w:line="251" w:lineRule="exact" w:before="0" w:after="0"/>
        <w:ind w:left="658" w:right="0" w:hanging="341"/>
        <w:jc w:val="left"/>
        <w:rPr>
          <w:sz w:val="24"/>
        </w:rPr>
      </w:pPr>
      <w:r>
        <w:rPr>
          <w:i/>
          <w:w w:val="125"/>
          <w:position w:val="3"/>
          <w:sz w:val="18"/>
        </w:rPr>
        <w:t>2 </w:t>
      </w:r>
      <w:r>
        <w:rPr>
          <w:w w:val="125"/>
          <w:sz w:val="24"/>
        </w:rPr>
        <w:t>A tanúsító szervezet és alvállalkozója köteles szabályzatban</w:t>
      </w:r>
      <w:r>
        <w:rPr>
          <w:spacing w:val="-27"/>
          <w:w w:val="125"/>
          <w:sz w:val="24"/>
        </w:rPr>
        <w:t> </w:t>
      </w:r>
      <w:r>
        <w:rPr>
          <w:w w:val="125"/>
          <w:sz w:val="24"/>
        </w:rPr>
        <w:t>rögzíteni</w:t>
      </w:r>
    </w:p>
    <w:p>
      <w:pPr>
        <w:pStyle w:val="BodyText"/>
        <w:spacing w:line="225" w:lineRule="auto" w:before="12"/>
        <w:ind w:right="129" w:firstLine="0"/>
        <w:jc w:val="both"/>
      </w:pPr>
      <w:r>
        <w:rPr>
          <w:w w:val="130"/>
        </w:rPr>
        <w:t>azon</w:t>
      </w:r>
      <w:r>
        <w:rPr>
          <w:spacing w:val="-14"/>
          <w:w w:val="130"/>
        </w:rPr>
        <w:t> </w:t>
      </w:r>
      <w:r>
        <w:rPr>
          <w:w w:val="130"/>
        </w:rPr>
        <w:t>munkaköröket,</w:t>
      </w:r>
      <w:r>
        <w:rPr>
          <w:spacing w:val="-14"/>
          <w:w w:val="130"/>
        </w:rPr>
        <w:t> </w:t>
      </w:r>
      <w:r>
        <w:rPr>
          <w:w w:val="130"/>
        </w:rPr>
        <w:t>amelyeket</w:t>
      </w:r>
      <w:r>
        <w:rPr>
          <w:spacing w:val="-14"/>
          <w:w w:val="130"/>
        </w:rPr>
        <w:t> </w:t>
      </w:r>
      <w:r>
        <w:rPr>
          <w:w w:val="130"/>
        </w:rPr>
        <w:t>betöltő</w:t>
      </w:r>
      <w:r>
        <w:rPr>
          <w:spacing w:val="-13"/>
          <w:w w:val="130"/>
        </w:rPr>
        <w:t> </w:t>
      </w:r>
      <w:r>
        <w:rPr>
          <w:w w:val="130"/>
        </w:rPr>
        <w:t>személyek</w:t>
      </w:r>
      <w:r>
        <w:rPr>
          <w:spacing w:val="-14"/>
          <w:w w:val="130"/>
        </w:rPr>
        <w:t> </w:t>
      </w:r>
      <w:r>
        <w:rPr>
          <w:w w:val="130"/>
        </w:rPr>
        <w:t>a</w:t>
      </w:r>
      <w:r>
        <w:rPr>
          <w:spacing w:val="-14"/>
          <w:w w:val="130"/>
        </w:rPr>
        <w:t> </w:t>
      </w:r>
      <w:r>
        <w:rPr>
          <w:w w:val="130"/>
        </w:rPr>
        <w:t>tanúsítási</w:t>
      </w:r>
      <w:r>
        <w:rPr>
          <w:spacing w:val="-13"/>
          <w:w w:val="130"/>
        </w:rPr>
        <w:t> </w:t>
      </w:r>
      <w:r>
        <w:rPr>
          <w:w w:val="130"/>
        </w:rPr>
        <w:t>eljárás</w:t>
      </w:r>
      <w:r>
        <w:rPr>
          <w:spacing w:val="-14"/>
          <w:w w:val="130"/>
        </w:rPr>
        <w:t> </w:t>
      </w:r>
      <w:r>
        <w:rPr>
          <w:w w:val="130"/>
        </w:rPr>
        <w:t>során</w:t>
      </w:r>
      <w:r>
        <w:rPr>
          <w:spacing w:val="-14"/>
          <w:w w:val="130"/>
        </w:rPr>
        <w:t> </w:t>
      </w:r>
      <w:r>
        <w:rPr>
          <w:w w:val="130"/>
        </w:rPr>
        <w:t>az üzleti</w:t>
      </w:r>
      <w:r>
        <w:rPr>
          <w:spacing w:val="-19"/>
          <w:w w:val="130"/>
        </w:rPr>
        <w:t> </w:t>
      </w:r>
      <w:r>
        <w:rPr>
          <w:w w:val="130"/>
        </w:rPr>
        <w:t>tikokhoz</w:t>
      </w:r>
      <w:r>
        <w:rPr>
          <w:spacing w:val="-7"/>
          <w:w w:val="130"/>
        </w:rPr>
        <w:t> </w:t>
      </w:r>
      <w:r>
        <w:rPr>
          <w:w w:val="130"/>
        </w:rPr>
        <w:t>hozzáférhetnek,</w:t>
      </w:r>
      <w:r>
        <w:rPr>
          <w:spacing w:val="-30"/>
          <w:w w:val="130"/>
        </w:rPr>
        <w:t> </w:t>
      </w:r>
      <w:r>
        <w:rPr>
          <w:w w:val="130"/>
        </w:rPr>
        <w:t>annak</w:t>
      </w:r>
      <w:r>
        <w:rPr>
          <w:spacing w:val="-18"/>
          <w:w w:val="130"/>
        </w:rPr>
        <w:t> </w:t>
      </w:r>
      <w:r>
        <w:rPr>
          <w:w w:val="130"/>
        </w:rPr>
        <w:t>tartalmát</w:t>
      </w:r>
      <w:r>
        <w:rPr>
          <w:spacing w:val="-18"/>
          <w:w w:val="130"/>
        </w:rPr>
        <w:t> </w:t>
      </w:r>
      <w:r>
        <w:rPr>
          <w:w w:val="130"/>
        </w:rPr>
        <w:t>megismerhetik.</w:t>
      </w:r>
      <w:r>
        <w:rPr>
          <w:spacing w:val="-19"/>
          <w:w w:val="130"/>
        </w:rPr>
        <w:t> </w:t>
      </w:r>
      <w:r>
        <w:rPr>
          <w:w w:val="130"/>
        </w:rPr>
        <w:t>Az</w:t>
      </w:r>
      <w:r>
        <w:rPr>
          <w:spacing w:val="-18"/>
          <w:w w:val="130"/>
        </w:rPr>
        <w:t> </w:t>
      </w:r>
      <w:r>
        <w:rPr>
          <w:w w:val="130"/>
        </w:rPr>
        <w:t>eljárásban részt vevő munkatársakat a tanúsítási eljárás során tudomásukra jutott üzleti titok tekintetében titoktartási kötelezettség terheli a tanúsító szervezetnél fennálló jogviszonyuk megszűnését követően</w:t>
      </w:r>
      <w:r>
        <w:rPr>
          <w:spacing w:val="-28"/>
          <w:w w:val="130"/>
        </w:rPr>
        <w:t> </w:t>
      </w:r>
      <w:r>
        <w:rPr>
          <w:w w:val="130"/>
        </w:rPr>
        <w:t>is</w:t>
      </w:r>
    </w:p>
    <w:p>
      <w:pPr>
        <w:pStyle w:val="BodyText"/>
        <w:spacing w:before="229"/>
        <w:ind w:left="3988" w:firstLine="0"/>
      </w:pPr>
      <w:r>
        <w:rPr>
          <w:w w:val="125"/>
        </w:rPr>
        <w:t>28. Kiszervezés</w:t>
      </w:r>
    </w:p>
    <w:p>
      <w:pPr>
        <w:pStyle w:val="ListParagraph"/>
        <w:numPr>
          <w:ilvl w:val="1"/>
          <w:numId w:val="158"/>
        </w:numPr>
        <w:tabs>
          <w:tab w:pos="956" w:val="left" w:leader="none"/>
        </w:tabs>
        <w:spacing w:line="225" w:lineRule="auto" w:before="237" w:after="0"/>
        <w:ind w:left="113" w:right="126" w:firstLine="204"/>
        <w:jc w:val="both"/>
        <w:rPr>
          <w:sz w:val="24"/>
        </w:rPr>
      </w:pPr>
      <w:r>
        <w:rPr>
          <w:rFonts w:ascii="Arial" w:hAnsi="Arial"/>
          <w:b/>
          <w:w w:val="125"/>
          <w:sz w:val="24"/>
        </w:rPr>
        <w:t>§ </w:t>
      </w:r>
      <w:r>
        <w:rPr>
          <w:w w:val="125"/>
          <w:sz w:val="24"/>
        </w:rPr>
        <w:t>(1) A hitelintézet pénzügyi és kiegészítő pénzügyi szolgáltatási tevékenységéhez kapcsolódó, illetve jogszabály által végezni rendelt olyan tevékenységét, amelynek során adatkezelés, adatfeldolgozás vagy adattárolás valósul meg, az adatvédelmi előírások betartása mellett</w:t>
      </w:r>
      <w:r>
        <w:rPr>
          <w:spacing w:val="37"/>
          <w:w w:val="125"/>
          <w:sz w:val="24"/>
        </w:rPr>
        <w:t> </w:t>
      </w:r>
      <w:r>
        <w:rPr>
          <w:w w:val="125"/>
          <w:sz w:val="24"/>
        </w:rPr>
        <w:t>kiszervezheti.</w:t>
      </w:r>
    </w:p>
    <w:p>
      <w:pPr>
        <w:pStyle w:val="ListParagraph"/>
        <w:numPr>
          <w:ilvl w:val="0"/>
          <w:numId w:val="166"/>
        </w:numPr>
        <w:tabs>
          <w:tab w:pos="769" w:val="left" w:leader="none"/>
        </w:tabs>
        <w:spacing w:line="225" w:lineRule="auto" w:before="2" w:after="0"/>
        <w:ind w:left="113" w:right="123" w:firstLine="204"/>
        <w:jc w:val="both"/>
        <w:rPr>
          <w:sz w:val="24"/>
        </w:rPr>
      </w:pPr>
      <w:r>
        <w:rPr>
          <w:w w:val="125"/>
          <w:sz w:val="24"/>
        </w:rPr>
        <w:t>A kiszervezett tevékenységet végző - a kockázattal arányos mértékben - rendelkezik mindazon személyi, tárgyi és biztonsági feltételekkel, amelyeket jogszabály a kiszervezett tevékenységet illetően a hitelintézetre vonatkozóan előír.</w:t>
      </w:r>
    </w:p>
    <w:p>
      <w:pPr>
        <w:pStyle w:val="ListParagraph"/>
        <w:numPr>
          <w:ilvl w:val="0"/>
          <w:numId w:val="166"/>
        </w:numPr>
        <w:tabs>
          <w:tab w:pos="659" w:val="left" w:leader="none"/>
        </w:tabs>
        <w:spacing w:line="225" w:lineRule="auto" w:before="2" w:after="0"/>
        <w:ind w:left="113" w:right="131" w:firstLine="204"/>
        <w:jc w:val="both"/>
        <w:rPr>
          <w:sz w:val="24"/>
        </w:rPr>
      </w:pPr>
      <w:r>
        <w:rPr>
          <w:i/>
          <w:w w:val="125"/>
          <w:position w:val="3"/>
          <w:sz w:val="18"/>
        </w:rPr>
        <w:t>3 </w:t>
      </w:r>
      <w:r>
        <w:rPr>
          <w:w w:val="125"/>
          <w:sz w:val="24"/>
        </w:rPr>
        <w:t>A hitelintézet a Felügyeletnek a kiszervezésről szóló szerződés aláírását követően két munkanapon belül</w:t>
      </w:r>
      <w:r>
        <w:rPr>
          <w:spacing w:val="3"/>
          <w:w w:val="125"/>
          <w:sz w:val="24"/>
        </w:rPr>
        <w:t> </w:t>
      </w:r>
      <w:r>
        <w:rPr>
          <w:w w:val="125"/>
          <w:sz w:val="24"/>
        </w:rPr>
        <w:t>bejelenti:</w:t>
      </w:r>
    </w:p>
    <w:p>
      <w:pPr>
        <w:pStyle w:val="ListParagraph"/>
        <w:numPr>
          <w:ilvl w:val="0"/>
          <w:numId w:val="167"/>
        </w:numPr>
        <w:tabs>
          <w:tab w:pos="631" w:val="left" w:leader="none"/>
        </w:tabs>
        <w:spacing w:line="256" w:lineRule="exact" w:before="0" w:after="0"/>
        <w:ind w:left="630" w:right="0" w:hanging="313"/>
        <w:jc w:val="left"/>
        <w:rPr>
          <w:sz w:val="24"/>
        </w:rPr>
      </w:pPr>
      <w:r>
        <w:rPr>
          <w:w w:val="130"/>
          <w:sz w:val="24"/>
        </w:rPr>
        <w:t>a kiszervezés</w:t>
      </w:r>
      <w:r>
        <w:rPr>
          <w:spacing w:val="10"/>
          <w:w w:val="130"/>
          <w:sz w:val="24"/>
        </w:rPr>
        <w:t> </w:t>
      </w:r>
      <w:r>
        <w:rPr>
          <w:w w:val="130"/>
          <w:sz w:val="24"/>
        </w:rPr>
        <w:t>tényét,</w:t>
      </w:r>
    </w:p>
    <w:p>
      <w:pPr>
        <w:pStyle w:val="ListParagraph"/>
        <w:numPr>
          <w:ilvl w:val="0"/>
          <w:numId w:val="167"/>
        </w:numPr>
        <w:tabs>
          <w:tab w:pos="725" w:val="left" w:leader="none"/>
        </w:tabs>
        <w:spacing w:line="225" w:lineRule="auto" w:before="6" w:after="0"/>
        <w:ind w:left="113" w:right="134" w:firstLine="204"/>
        <w:jc w:val="both"/>
        <w:rPr>
          <w:sz w:val="24"/>
        </w:rPr>
      </w:pPr>
      <w:r>
        <w:rPr>
          <w:w w:val="130"/>
          <w:sz w:val="24"/>
        </w:rPr>
        <w:t>a kiszervezett tevékenységet végző nevét, székhelyét vagy lakóhelyét (lakcímét),</w:t>
      </w:r>
      <w:r>
        <w:rPr>
          <w:spacing w:val="-4"/>
          <w:w w:val="130"/>
          <w:sz w:val="24"/>
        </w:rPr>
        <w:t> </w:t>
      </w:r>
      <w:r>
        <w:rPr>
          <w:w w:val="130"/>
          <w:sz w:val="24"/>
        </w:rPr>
        <w:t>valamint</w:t>
      </w:r>
    </w:p>
    <w:p>
      <w:pPr>
        <w:pStyle w:val="ListParagraph"/>
        <w:numPr>
          <w:ilvl w:val="0"/>
          <w:numId w:val="167"/>
        </w:numPr>
        <w:tabs>
          <w:tab w:pos="623" w:val="left" w:leader="none"/>
        </w:tabs>
        <w:spacing w:line="256" w:lineRule="exact" w:before="0" w:after="0"/>
        <w:ind w:left="622" w:right="0" w:hanging="305"/>
        <w:jc w:val="left"/>
        <w:rPr>
          <w:sz w:val="24"/>
        </w:rPr>
      </w:pPr>
      <w:r>
        <w:rPr>
          <w:w w:val="130"/>
          <w:sz w:val="24"/>
        </w:rPr>
        <w:t>a kiszervezés</w:t>
      </w:r>
      <w:r>
        <w:rPr>
          <w:spacing w:val="-7"/>
          <w:w w:val="130"/>
          <w:sz w:val="24"/>
        </w:rPr>
        <w:t> </w:t>
      </w:r>
      <w:r>
        <w:rPr>
          <w:w w:val="130"/>
          <w:sz w:val="24"/>
        </w:rPr>
        <w:t>időtartamát.</w:t>
      </w:r>
    </w:p>
    <w:p>
      <w:pPr>
        <w:pStyle w:val="ListParagraph"/>
        <w:numPr>
          <w:ilvl w:val="0"/>
          <w:numId w:val="166"/>
        </w:numPr>
        <w:tabs>
          <w:tab w:pos="734" w:val="left" w:leader="none"/>
        </w:tabs>
        <w:spacing w:line="260" w:lineRule="exact" w:before="0" w:after="0"/>
        <w:ind w:left="733" w:right="0" w:hanging="416"/>
        <w:jc w:val="left"/>
        <w:rPr>
          <w:sz w:val="24"/>
        </w:rPr>
      </w:pPr>
      <w:r>
        <w:rPr>
          <w:w w:val="125"/>
          <w:sz w:val="24"/>
        </w:rPr>
        <w:t>A kiszervezésre vonatkozó szerződés</w:t>
      </w:r>
      <w:r>
        <w:rPr>
          <w:spacing w:val="4"/>
          <w:w w:val="125"/>
          <w:sz w:val="24"/>
        </w:rPr>
        <w:t> </w:t>
      </w:r>
      <w:r>
        <w:rPr>
          <w:w w:val="125"/>
          <w:sz w:val="24"/>
        </w:rPr>
        <w:t>tartalmazza:</w:t>
      </w:r>
    </w:p>
    <w:p>
      <w:pPr>
        <w:pStyle w:val="ListParagraph"/>
        <w:numPr>
          <w:ilvl w:val="0"/>
          <w:numId w:val="168"/>
        </w:numPr>
        <w:tabs>
          <w:tab w:pos="631" w:val="left" w:leader="none"/>
        </w:tabs>
        <w:spacing w:line="253" w:lineRule="exact" w:before="0" w:after="0"/>
        <w:ind w:left="630" w:right="0" w:hanging="313"/>
        <w:jc w:val="left"/>
        <w:rPr>
          <w:sz w:val="24"/>
        </w:rPr>
      </w:pPr>
      <w:r>
        <w:rPr>
          <w:w w:val="130"/>
          <w:sz w:val="24"/>
        </w:rPr>
        <w:t>az</w:t>
      </w:r>
      <w:r>
        <w:rPr>
          <w:spacing w:val="-15"/>
          <w:w w:val="130"/>
          <w:sz w:val="24"/>
        </w:rPr>
        <w:t> </w:t>
      </w:r>
      <w:r>
        <w:rPr>
          <w:w w:val="130"/>
          <w:sz w:val="24"/>
        </w:rPr>
        <w:t>adatvédelemre</w:t>
      </w:r>
      <w:r>
        <w:rPr>
          <w:spacing w:val="-14"/>
          <w:w w:val="130"/>
          <w:sz w:val="24"/>
        </w:rPr>
        <w:t> </w:t>
      </w:r>
      <w:r>
        <w:rPr>
          <w:w w:val="130"/>
          <w:sz w:val="24"/>
        </w:rPr>
        <w:t>vonatkozó</w:t>
      </w:r>
      <w:r>
        <w:rPr>
          <w:spacing w:val="-15"/>
          <w:w w:val="130"/>
          <w:sz w:val="24"/>
        </w:rPr>
        <w:t> </w:t>
      </w:r>
      <w:r>
        <w:rPr>
          <w:w w:val="130"/>
          <w:sz w:val="24"/>
        </w:rPr>
        <w:t>előírások</w:t>
      </w:r>
      <w:r>
        <w:rPr>
          <w:spacing w:val="-14"/>
          <w:w w:val="130"/>
          <w:sz w:val="24"/>
        </w:rPr>
        <w:t> </w:t>
      </w:r>
      <w:r>
        <w:rPr>
          <w:w w:val="130"/>
          <w:sz w:val="24"/>
        </w:rPr>
        <w:t>érvényesülésének</w:t>
      </w:r>
      <w:r>
        <w:rPr>
          <w:spacing w:val="-15"/>
          <w:w w:val="130"/>
          <w:sz w:val="24"/>
        </w:rPr>
        <w:t> </w:t>
      </w:r>
      <w:r>
        <w:rPr>
          <w:w w:val="130"/>
          <w:sz w:val="24"/>
        </w:rPr>
        <w:t>bemutatását,</w:t>
      </w:r>
    </w:p>
    <w:p>
      <w:pPr>
        <w:pStyle w:val="ListParagraph"/>
        <w:numPr>
          <w:ilvl w:val="0"/>
          <w:numId w:val="168"/>
        </w:numPr>
        <w:tabs>
          <w:tab w:pos="771" w:val="left" w:leader="none"/>
          <w:tab w:pos="1431" w:val="left" w:leader="none"/>
          <w:tab w:pos="3099" w:val="left" w:leader="none"/>
          <w:tab w:pos="5052" w:val="left" w:leader="none"/>
          <w:tab w:pos="5958" w:val="left" w:leader="none"/>
          <w:tab w:pos="7929" w:val="left" w:leader="none"/>
          <w:tab w:pos="8278" w:val="left" w:leader="none"/>
        </w:tabs>
        <w:spacing w:line="260" w:lineRule="exact" w:before="0" w:after="0"/>
        <w:ind w:left="770" w:right="0" w:hanging="257"/>
        <w:jc w:val="left"/>
        <w:rPr>
          <w:sz w:val="24"/>
        </w:rPr>
      </w:pPr>
      <w:r>
        <w:rPr/>
        <w:drawing>
          <wp:anchor distT="0" distB="0" distL="0" distR="0" allowOverlap="1" layoutInCell="1" locked="0" behindDoc="0" simplePos="0" relativeHeight="2104">
            <wp:simplePos x="0" y="0"/>
            <wp:positionH relativeFrom="page">
              <wp:posOffset>745401</wp:posOffset>
            </wp:positionH>
            <wp:positionV relativeFrom="paragraph">
              <wp:posOffset>21830</wp:posOffset>
            </wp:positionV>
            <wp:extent cx="228600" cy="1651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4  </w:t>
      </w:r>
      <w:r>
        <w:rPr>
          <w:i/>
          <w:spacing w:val="22"/>
          <w:w w:val="130"/>
          <w:position w:val="3"/>
          <w:sz w:val="18"/>
        </w:rPr>
        <w:t> </w:t>
      </w:r>
      <w:r>
        <w:rPr>
          <w:w w:val="130"/>
          <w:sz w:val="24"/>
        </w:rPr>
        <w:t>a</w:t>
        <w:tab/>
        <w:t>kiszervezett</w:t>
        <w:tab/>
        <w:t>tevékenységet</w:t>
        <w:tab/>
        <w:t>végző</w:t>
        <w:tab/>
        <w:t>hozzájárulását</w:t>
        <w:tab/>
        <w:t>a</w:t>
        <w:tab/>
        <w:t>kiszervezett</w:t>
      </w:r>
    </w:p>
    <w:p>
      <w:pPr>
        <w:pStyle w:val="BodyText"/>
        <w:spacing w:line="225" w:lineRule="auto" w:before="12"/>
        <w:ind w:right="131" w:firstLine="0"/>
        <w:jc w:val="both"/>
      </w:pPr>
      <w:r>
        <w:rPr>
          <w:w w:val="125"/>
        </w:rPr>
        <w:t>tevékenységnek a hitelintézet belső ellenőrzése, adatvédelmi tisztviselője,  külső könyvvizsgálója, a Felügyelet helyszíni, illetve helyszínen kívüli ellenőrzéséhez,</w:t>
      </w:r>
    </w:p>
    <w:p>
      <w:pPr>
        <w:pStyle w:val="ListParagraph"/>
        <w:numPr>
          <w:ilvl w:val="0"/>
          <w:numId w:val="168"/>
        </w:numPr>
        <w:tabs>
          <w:tab w:pos="653" w:val="left" w:leader="none"/>
        </w:tabs>
        <w:spacing w:line="225" w:lineRule="auto" w:before="2" w:after="0"/>
        <w:ind w:left="113" w:right="130" w:firstLine="204"/>
        <w:jc w:val="both"/>
        <w:rPr>
          <w:sz w:val="24"/>
        </w:rPr>
      </w:pPr>
      <w:r>
        <w:rPr>
          <w:w w:val="130"/>
          <w:sz w:val="24"/>
        </w:rPr>
        <w:t>a kiszervezett tevékenységet végző felelősségét a tevékenység megfelelő színvonalon történő végzéséért, illetve a szerződés hitelintézet részéről történő azonnali felmondási lehetőségét a szerződés ismételt vagy súlyos megsértése</w:t>
      </w:r>
      <w:r>
        <w:rPr>
          <w:spacing w:val="-3"/>
          <w:w w:val="130"/>
          <w:sz w:val="24"/>
        </w:rPr>
        <w:t> </w:t>
      </w:r>
      <w:r>
        <w:rPr>
          <w:w w:val="130"/>
          <w:sz w:val="24"/>
        </w:rPr>
        <w:t>esetére,</w:t>
      </w:r>
    </w:p>
    <w:p>
      <w:pPr>
        <w:pStyle w:val="ListParagraph"/>
        <w:numPr>
          <w:ilvl w:val="0"/>
          <w:numId w:val="168"/>
        </w:numPr>
        <w:tabs>
          <w:tab w:pos="687" w:val="left" w:leader="none"/>
        </w:tabs>
        <w:spacing w:line="225" w:lineRule="auto" w:before="2" w:after="0"/>
        <w:ind w:left="113" w:right="140" w:firstLine="204"/>
        <w:jc w:val="both"/>
        <w:rPr>
          <w:sz w:val="24"/>
        </w:rPr>
      </w:pPr>
      <w:r>
        <w:rPr>
          <w:w w:val="125"/>
          <w:sz w:val="24"/>
        </w:rPr>
        <w:t>a kiszervezett tevékenységet végzőtől elvárt, a tevékenység végzésének minőségére vonatkozó részletes követelményeket,</w:t>
      </w:r>
      <w:r>
        <w:rPr>
          <w:spacing w:val="7"/>
          <w:w w:val="125"/>
          <w:sz w:val="24"/>
        </w:rPr>
        <w:t> </w:t>
      </w:r>
      <w:r>
        <w:rPr>
          <w:w w:val="125"/>
          <w:sz w:val="24"/>
        </w:rPr>
        <w:t>valamint</w:t>
      </w:r>
    </w:p>
    <w:p>
      <w:pPr>
        <w:pStyle w:val="BodyText"/>
        <w:ind w:left="0" w:firstLine="0"/>
        <w:rPr>
          <w:sz w:val="20"/>
        </w:rPr>
      </w:pPr>
    </w:p>
    <w:p>
      <w:pPr>
        <w:pStyle w:val="BodyText"/>
        <w:spacing w:before="10"/>
        <w:ind w:left="0" w:firstLine="0"/>
        <w:rPr>
          <w:sz w:val="26"/>
        </w:rPr>
      </w:pPr>
      <w:r>
        <w:rPr/>
        <w:pict>
          <v:line style="position:absolute;mso-position-horizontal-relative:page;mso-position-vertical-relative:paragraph;z-index:32;mso-wrap-distance-left:0;mso-wrap-distance-right:0" from="56.693001pt,17.678562pt" to="538.583001pt,17.678562pt" stroked="true" strokeweight=".5pt" strokecolor="#000000">
            <v:stroke dashstyle="solid"/>
            <w10:wrap type="topAndBottom"/>
          </v:line>
        </w:pict>
      </w:r>
    </w:p>
    <w:p>
      <w:pPr>
        <w:pStyle w:val="ListParagraph"/>
        <w:numPr>
          <w:ilvl w:val="0"/>
          <w:numId w:val="169"/>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3"/>
          <w:w w:val="120"/>
          <w:sz w:val="18"/>
        </w:rPr>
        <w:t> </w:t>
      </w:r>
      <w:r>
        <w:rPr>
          <w:i/>
          <w:w w:val="120"/>
          <w:sz w:val="18"/>
        </w:rPr>
        <w:t>2016.</w:t>
      </w:r>
      <w:r>
        <w:rPr>
          <w:i/>
          <w:spacing w:val="13"/>
          <w:w w:val="120"/>
          <w:sz w:val="18"/>
        </w:rPr>
        <w:t> </w:t>
      </w:r>
      <w:r>
        <w:rPr>
          <w:i/>
          <w:w w:val="120"/>
          <w:sz w:val="18"/>
        </w:rPr>
        <w:t>évi</w:t>
      </w:r>
      <w:r>
        <w:rPr>
          <w:i/>
          <w:spacing w:val="13"/>
          <w:w w:val="120"/>
          <w:sz w:val="18"/>
        </w:rPr>
        <w:t> </w:t>
      </w:r>
      <w:r>
        <w:rPr>
          <w:i/>
          <w:w w:val="120"/>
          <w:sz w:val="18"/>
        </w:rPr>
        <w:t>CLXXXII.</w:t>
      </w:r>
      <w:r>
        <w:rPr>
          <w:i/>
          <w:spacing w:val="14"/>
          <w:w w:val="120"/>
          <w:sz w:val="18"/>
        </w:rPr>
        <w:t> </w:t>
      </w:r>
      <w:r>
        <w:rPr>
          <w:i/>
          <w:w w:val="120"/>
          <w:sz w:val="18"/>
        </w:rPr>
        <w:t>törvény</w:t>
      </w:r>
      <w:r>
        <w:rPr>
          <w:i/>
          <w:spacing w:val="13"/>
          <w:w w:val="120"/>
          <w:sz w:val="18"/>
        </w:rPr>
        <w:t> </w:t>
      </w:r>
      <w:r>
        <w:rPr>
          <w:i/>
          <w:w w:val="120"/>
          <w:sz w:val="18"/>
        </w:rPr>
        <w:t>41.</w:t>
      </w:r>
      <w:r>
        <w:rPr>
          <w:i/>
          <w:spacing w:val="13"/>
          <w:w w:val="120"/>
          <w:sz w:val="18"/>
        </w:rPr>
        <w:t> </w:t>
      </w:r>
      <w:r>
        <w:rPr>
          <w:i/>
          <w:w w:val="120"/>
          <w:sz w:val="18"/>
        </w:rPr>
        <w:t>§</w:t>
      </w:r>
      <w:r>
        <w:rPr>
          <w:i/>
          <w:spacing w:val="14"/>
          <w:w w:val="120"/>
          <w:sz w:val="18"/>
        </w:rPr>
        <w:t> </w:t>
      </w:r>
      <w:r>
        <w:rPr>
          <w:i/>
          <w:w w:val="120"/>
          <w:sz w:val="18"/>
        </w:rPr>
        <w:t>(2).</w:t>
      </w:r>
      <w:r>
        <w:rPr>
          <w:i/>
          <w:spacing w:val="14"/>
          <w:w w:val="120"/>
          <w:sz w:val="18"/>
        </w:rPr>
        <w:t> </w:t>
      </w:r>
      <w:r>
        <w:rPr>
          <w:i/>
          <w:w w:val="120"/>
          <w:sz w:val="18"/>
        </w:rPr>
        <w:t>Hatályos:</w:t>
      </w:r>
      <w:r>
        <w:rPr>
          <w:i/>
          <w:spacing w:val="15"/>
          <w:w w:val="120"/>
          <w:sz w:val="18"/>
        </w:rPr>
        <w:t> </w:t>
      </w:r>
      <w:r>
        <w:rPr>
          <w:i/>
          <w:w w:val="120"/>
          <w:sz w:val="18"/>
        </w:rPr>
        <w:t>2016.</w:t>
      </w:r>
      <w:r>
        <w:rPr>
          <w:i/>
          <w:spacing w:val="13"/>
          <w:w w:val="120"/>
          <w:sz w:val="18"/>
        </w:rPr>
        <w:t> </w:t>
      </w:r>
      <w:r>
        <w:rPr>
          <w:i/>
          <w:w w:val="120"/>
          <w:sz w:val="18"/>
        </w:rPr>
        <w:t>XII.</w:t>
      </w:r>
      <w:r>
        <w:rPr>
          <w:i/>
          <w:spacing w:val="13"/>
          <w:w w:val="120"/>
          <w:sz w:val="18"/>
        </w:rPr>
        <w:t> </w:t>
      </w:r>
      <w:r>
        <w:rPr>
          <w:i/>
          <w:w w:val="120"/>
          <w:sz w:val="18"/>
        </w:rPr>
        <w:t>28-tól.</w:t>
      </w:r>
    </w:p>
    <w:p>
      <w:pPr>
        <w:pStyle w:val="ListParagraph"/>
        <w:numPr>
          <w:ilvl w:val="0"/>
          <w:numId w:val="169"/>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2016.</w:t>
      </w:r>
      <w:r>
        <w:rPr>
          <w:i/>
          <w:spacing w:val="13"/>
          <w:w w:val="120"/>
          <w:sz w:val="18"/>
        </w:rPr>
        <w:t> </w:t>
      </w:r>
      <w:r>
        <w:rPr>
          <w:i/>
          <w:w w:val="120"/>
          <w:sz w:val="18"/>
        </w:rPr>
        <w:t>évi</w:t>
      </w:r>
      <w:r>
        <w:rPr>
          <w:i/>
          <w:spacing w:val="13"/>
          <w:w w:val="120"/>
          <w:sz w:val="18"/>
        </w:rPr>
        <w:t> </w:t>
      </w:r>
      <w:r>
        <w:rPr>
          <w:i/>
          <w:w w:val="120"/>
          <w:sz w:val="18"/>
        </w:rPr>
        <w:t>CLXXXII.</w:t>
      </w:r>
      <w:r>
        <w:rPr>
          <w:i/>
          <w:spacing w:val="14"/>
          <w:w w:val="120"/>
          <w:sz w:val="18"/>
        </w:rPr>
        <w:t> </w:t>
      </w:r>
      <w:r>
        <w:rPr>
          <w:i/>
          <w:w w:val="120"/>
          <w:sz w:val="18"/>
        </w:rPr>
        <w:t>törvény</w:t>
      </w:r>
      <w:r>
        <w:rPr>
          <w:i/>
          <w:spacing w:val="13"/>
          <w:w w:val="120"/>
          <w:sz w:val="18"/>
        </w:rPr>
        <w:t> </w:t>
      </w:r>
      <w:r>
        <w:rPr>
          <w:i/>
          <w:w w:val="120"/>
          <w:sz w:val="18"/>
        </w:rPr>
        <w:t>41.</w:t>
      </w:r>
      <w:r>
        <w:rPr>
          <w:i/>
          <w:spacing w:val="13"/>
          <w:w w:val="120"/>
          <w:sz w:val="18"/>
        </w:rPr>
        <w:t> </w:t>
      </w:r>
      <w:r>
        <w:rPr>
          <w:i/>
          <w:w w:val="120"/>
          <w:sz w:val="18"/>
        </w:rPr>
        <w:t>§</w:t>
      </w:r>
      <w:r>
        <w:rPr>
          <w:i/>
          <w:spacing w:val="14"/>
          <w:w w:val="120"/>
          <w:sz w:val="18"/>
        </w:rPr>
        <w:t> </w:t>
      </w:r>
      <w:r>
        <w:rPr>
          <w:i/>
          <w:w w:val="120"/>
          <w:sz w:val="18"/>
        </w:rPr>
        <w:t>(2).</w:t>
      </w:r>
      <w:r>
        <w:rPr>
          <w:i/>
          <w:spacing w:val="14"/>
          <w:w w:val="120"/>
          <w:sz w:val="18"/>
        </w:rPr>
        <w:t> </w:t>
      </w:r>
      <w:r>
        <w:rPr>
          <w:i/>
          <w:w w:val="120"/>
          <w:sz w:val="18"/>
        </w:rPr>
        <w:t>Hatályos:</w:t>
      </w:r>
      <w:r>
        <w:rPr>
          <w:i/>
          <w:spacing w:val="15"/>
          <w:w w:val="120"/>
          <w:sz w:val="18"/>
        </w:rPr>
        <w:t> </w:t>
      </w:r>
      <w:r>
        <w:rPr>
          <w:i/>
          <w:w w:val="120"/>
          <w:sz w:val="18"/>
        </w:rPr>
        <w:t>2016.</w:t>
      </w:r>
      <w:r>
        <w:rPr>
          <w:i/>
          <w:spacing w:val="13"/>
          <w:w w:val="120"/>
          <w:sz w:val="18"/>
        </w:rPr>
        <w:t> </w:t>
      </w:r>
      <w:r>
        <w:rPr>
          <w:i/>
          <w:w w:val="120"/>
          <w:sz w:val="18"/>
        </w:rPr>
        <w:t>XII.</w:t>
      </w:r>
      <w:r>
        <w:rPr>
          <w:i/>
          <w:spacing w:val="13"/>
          <w:w w:val="120"/>
          <w:sz w:val="18"/>
        </w:rPr>
        <w:t> </w:t>
      </w:r>
      <w:r>
        <w:rPr>
          <w:i/>
          <w:w w:val="120"/>
          <w:sz w:val="18"/>
        </w:rPr>
        <w:t>28-tól.</w:t>
      </w:r>
    </w:p>
    <w:p>
      <w:pPr>
        <w:pStyle w:val="ListParagraph"/>
        <w:numPr>
          <w:ilvl w:val="0"/>
          <w:numId w:val="169"/>
        </w:numPr>
        <w:tabs>
          <w:tab w:pos="686" w:val="left" w:leader="none"/>
          <w:tab w:pos="687" w:val="left" w:leader="none"/>
        </w:tabs>
        <w:spacing w:line="200" w:lineRule="exact" w:before="0" w:after="0"/>
        <w:ind w:left="686" w:right="0" w:hanging="344"/>
        <w:jc w:val="left"/>
        <w:rPr>
          <w:i/>
          <w:sz w:val="18"/>
        </w:rPr>
      </w:pPr>
      <w:r>
        <w:rPr>
          <w:i/>
          <w:w w:val="125"/>
          <w:sz w:val="18"/>
        </w:rPr>
        <w:t>Módosította: 2015. évi LXXXV. törvény 237. §</w:t>
      </w:r>
      <w:r>
        <w:rPr>
          <w:i/>
          <w:spacing w:val="-5"/>
          <w:w w:val="125"/>
          <w:sz w:val="18"/>
        </w:rPr>
        <w:t> </w:t>
      </w:r>
      <w:r>
        <w:rPr>
          <w:i/>
          <w:w w:val="125"/>
          <w:sz w:val="18"/>
        </w:rPr>
        <w:t>c).</w:t>
      </w:r>
    </w:p>
    <w:p>
      <w:pPr>
        <w:pStyle w:val="ListParagraph"/>
        <w:numPr>
          <w:ilvl w:val="0"/>
          <w:numId w:val="169"/>
        </w:numPr>
        <w:tabs>
          <w:tab w:pos="686" w:val="left" w:leader="none"/>
          <w:tab w:pos="687" w:val="left" w:leader="none"/>
        </w:tabs>
        <w:spacing w:line="203" w:lineRule="exact" w:before="0" w:after="0"/>
        <w:ind w:left="686" w:right="0" w:hanging="344"/>
        <w:jc w:val="left"/>
        <w:rPr>
          <w:i/>
          <w:sz w:val="18"/>
        </w:rPr>
      </w:pPr>
      <w:r>
        <w:rPr>
          <w:i/>
          <w:w w:val="120"/>
          <w:sz w:val="18"/>
        </w:rPr>
        <w:t>Megállapította:</w:t>
      </w:r>
      <w:r>
        <w:rPr>
          <w:i/>
          <w:spacing w:val="11"/>
          <w:w w:val="120"/>
          <w:sz w:val="18"/>
        </w:rPr>
        <w:t> </w:t>
      </w:r>
      <w:r>
        <w:rPr>
          <w:i/>
          <w:w w:val="120"/>
          <w:sz w:val="18"/>
        </w:rPr>
        <w:t>2015.</w:t>
      </w:r>
      <w:r>
        <w:rPr>
          <w:i/>
          <w:spacing w:val="12"/>
          <w:w w:val="120"/>
          <w:sz w:val="18"/>
        </w:rPr>
        <w:t> </w:t>
      </w:r>
      <w:r>
        <w:rPr>
          <w:i/>
          <w:w w:val="120"/>
          <w:sz w:val="18"/>
        </w:rPr>
        <w:t>évi</w:t>
      </w:r>
      <w:r>
        <w:rPr>
          <w:i/>
          <w:spacing w:val="12"/>
          <w:w w:val="120"/>
          <w:sz w:val="18"/>
        </w:rPr>
        <w:t> </w:t>
      </w:r>
      <w:r>
        <w:rPr>
          <w:i/>
          <w:w w:val="120"/>
          <w:sz w:val="18"/>
        </w:rPr>
        <w:t>LXXXV.</w:t>
      </w:r>
      <w:r>
        <w:rPr>
          <w:i/>
          <w:spacing w:val="13"/>
          <w:w w:val="120"/>
          <w:sz w:val="18"/>
        </w:rPr>
        <w:t> </w:t>
      </w:r>
      <w:r>
        <w:rPr>
          <w:i/>
          <w:w w:val="120"/>
          <w:sz w:val="18"/>
        </w:rPr>
        <w:t>törvény</w:t>
      </w:r>
      <w:r>
        <w:rPr>
          <w:i/>
          <w:spacing w:val="11"/>
          <w:w w:val="120"/>
          <w:sz w:val="18"/>
        </w:rPr>
        <w:t> </w:t>
      </w:r>
      <w:r>
        <w:rPr>
          <w:i/>
          <w:w w:val="120"/>
          <w:sz w:val="18"/>
        </w:rPr>
        <w:t>196.</w:t>
      </w:r>
      <w:r>
        <w:rPr>
          <w:i/>
          <w:spacing w:val="12"/>
          <w:w w:val="120"/>
          <w:sz w:val="18"/>
        </w:rPr>
        <w:t> </w:t>
      </w:r>
      <w:r>
        <w:rPr>
          <w:i/>
          <w:w w:val="120"/>
          <w:sz w:val="18"/>
        </w:rPr>
        <w:t>§.</w:t>
      </w:r>
      <w:r>
        <w:rPr>
          <w:i/>
          <w:spacing w:val="13"/>
          <w:w w:val="120"/>
          <w:sz w:val="18"/>
        </w:rPr>
        <w:t> </w:t>
      </w:r>
      <w:r>
        <w:rPr>
          <w:i/>
          <w:w w:val="120"/>
          <w:sz w:val="18"/>
        </w:rPr>
        <w:t>Módosította:</w:t>
      </w:r>
      <w:r>
        <w:rPr>
          <w:i/>
          <w:spacing w:val="12"/>
          <w:w w:val="120"/>
          <w:sz w:val="18"/>
        </w:rPr>
        <w:t> </w:t>
      </w:r>
      <w:r>
        <w:rPr>
          <w:i/>
          <w:w w:val="120"/>
          <w:sz w:val="18"/>
        </w:rPr>
        <w:t>2019.</w:t>
      </w:r>
      <w:r>
        <w:rPr>
          <w:i/>
          <w:spacing w:val="12"/>
          <w:w w:val="120"/>
          <w:sz w:val="18"/>
        </w:rPr>
        <w:t> </w:t>
      </w:r>
      <w:r>
        <w:rPr>
          <w:i/>
          <w:w w:val="120"/>
          <w:sz w:val="18"/>
        </w:rPr>
        <w:t>évi</w:t>
      </w:r>
      <w:r>
        <w:rPr>
          <w:i/>
          <w:spacing w:val="11"/>
          <w:w w:val="120"/>
          <w:sz w:val="18"/>
        </w:rPr>
        <w:t> </w:t>
      </w:r>
      <w:r>
        <w:rPr>
          <w:i/>
          <w:w w:val="120"/>
          <w:sz w:val="18"/>
        </w:rPr>
        <w:t>XXXIV.</w:t>
      </w:r>
      <w:r>
        <w:rPr>
          <w:i/>
          <w:spacing w:val="12"/>
          <w:w w:val="120"/>
          <w:sz w:val="18"/>
        </w:rPr>
        <w:t> </w:t>
      </w:r>
      <w:r>
        <w:rPr>
          <w:i/>
          <w:w w:val="120"/>
          <w:sz w:val="18"/>
        </w:rPr>
        <w:t>törvény</w:t>
      </w:r>
      <w:r>
        <w:rPr>
          <w:i/>
          <w:spacing w:val="12"/>
          <w:w w:val="120"/>
          <w:sz w:val="18"/>
        </w:rPr>
        <w:t> </w:t>
      </w:r>
      <w:r>
        <w:rPr>
          <w:i/>
          <w:w w:val="120"/>
          <w:sz w:val="18"/>
        </w:rPr>
        <w:t>133.</w:t>
      </w:r>
      <w:r>
        <w:rPr>
          <w:i/>
          <w:spacing w:val="12"/>
          <w:w w:val="120"/>
          <w:sz w:val="18"/>
        </w:rPr>
        <w:t> </w:t>
      </w:r>
      <w:r>
        <w:rPr>
          <w:i/>
          <w:w w:val="120"/>
          <w:sz w:val="18"/>
        </w:rPr>
        <w:t>§</w:t>
      </w:r>
      <w:r>
        <w:rPr>
          <w:i/>
          <w:spacing w:val="12"/>
          <w:w w:val="120"/>
          <w:sz w:val="18"/>
        </w:rPr>
        <w:t> </w:t>
      </w:r>
      <w:r>
        <w:rPr>
          <w:i/>
          <w:w w:val="120"/>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168"/>
        </w:numPr>
        <w:tabs>
          <w:tab w:pos="675" w:val="left" w:leader="none"/>
        </w:tabs>
        <w:spacing w:line="225" w:lineRule="auto" w:before="173" w:after="0"/>
        <w:ind w:left="113" w:right="134" w:firstLine="204"/>
        <w:jc w:val="both"/>
        <w:rPr>
          <w:sz w:val="24"/>
        </w:rPr>
      </w:pPr>
      <w:r>
        <w:rPr>
          <w:w w:val="130"/>
          <w:sz w:val="24"/>
        </w:rPr>
        <w:t>a kiszervezett tevékenységet végző részéről a bennfentes kereskedelem elkerülése érdekében alkalmazandó</w:t>
      </w:r>
      <w:r>
        <w:rPr>
          <w:spacing w:val="-17"/>
          <w:w w:val="130"/>
          <w:sz w:val="24"/>
        </w:rPr>
        <w:t> </w:t>
      </w:r>
      <w:r>
        <w:rPr>
          <w:w w:val="130"/>
          <w:sz w:val="24"/>
        </w:rPr>
        <w:t>szabályokat.</w:t>
      </w:r>
    </w:p>
    <w:p>
      <w:pPr>
        <w:pStyle w:val="ListParagraph"/>
        <w:numPr>
          <w:ilvl w:val="0"/>
          <w:numId w:val="166"/>
        </w:numPr>
        <w:tabs>
          <w:tab w:pos="870" w:val="left" w:leader="none"/>
        </w:tabs>
        <w:spacing w:line="225" w:lineRule="auto" w:before="1" w:after="0"/>
        <w:ind w:left="113" w:right="130" w:firstLine="204"/>
        <w:jc w:val="both"/>
        <w:rPr>
          <w:sz w:val="24"/>
        </w:rPr>
      </w:pPr>
      <w:r>
        <w:rPr>
          <w:w w:val="125"/>
          <w:sz w:val="24"/>
        </w:rPr>
        <w:t>A hitelintézet a kiszervezésre vonatkozó szerződésben foglaltaktól történő eltérő tevékenységvégzésből eredő, rendkívüli helyzetek kezelésére intézkedési tervet dolgoz</w:t>
      </w:r>
      <w:r>
        <w:rPr>
          <w:spacing w:val="1"/>
          <w:w w:val="125"/>
          <w:sz w:val="24"/>
        </w:rPr>
        <w:t> </w:t>
      </w:r>
      <w:r>
        <w:rPr>
          <w:w w:val="125"/>
          <w:sz w:val="24"/>
        </w:rPr>
        <w:t>ki.</w:t>
      </w:r>
    </w:p>
    <w:p>
      <w:pPr>
        <w:pStyle w:val="ListParagraph"/>
        <w:numPr>
          <w:ilvl w:val="0"/>
          <w:numId w:val="166"/>
        </w:numPr>
        <w:tabs>
          <w:tab w:pos="752" w:val="left" w:leader="none"/>
        </w:tabs>
        <w:spacing w:line="225" w:lineRule="auto" w:before="2" w:after="0"/>
        <w:ind w:left="113" w:right="132" w:firstLine="204"/>
        <w:jc w:val="both"/>
        <w:rPr>
          <w:sz w:val="24"/>
        </w:rPr>
      </w:pPr>
      <w:r>
        <w:rPr>
          <w:w w:val="125"/>
          <w:sz w:val="24"/>
        </w:rPr>
        <w:t>A hitelintézet belső ellenőrzése a kiszervezett tevékenység szerződésben foglaltaknak megfelelő végzését legalább évente</w:t>
      </w:r>
      <w:r>
        <w:rPr>
          <w:spacing w:val="6"/>
          <w:w w:val="125"/>
          <w:sz w:val="24"/>
        </w:rPr>
        <w:t> </w:t>
      </w:r>
      <w:r>
        <w:rPr>
          <w:w w:val="125"/>
          <w:sz w:val="24"/>
        </w:rPr>
        <w:t>megvizsgálja.</w:t>
      </w:r>
    </w:p>
    <w:p>
      <w:pPr>
        <w:pStyle w:val="ListParagraph"/>
        <w:numPr>
          <w:ilvl w:val="0"/>
          <w:numId w:val="166"/>
        </w:numPr>
        <w:tabs>
          <w:tab w:pos="784" w:val="left" w:leader="none"/>
        </w:tabs>
        <w:spacing w:line="225" w:lineRule="auto" w:before="1" w:after="0"/>
        <w:ind w:left="113" w:right="116" w:firstLine="204"/>
        <w:jc w:val="both"/>
        <w:rPr>
          <w:sz w:val="24"/>
        </w:rPr>
      </w:pPr>
      <w:r>
        <w:rPr>
          <w:w w:val="130"/>
          <w:sz w:val="24"/>
        </w:rPr>
        <w:t>A hitelintézet felelős azért, hogy a kiszervezett tevékenységet végző a tevékenységet a jogszabályi előírások betartásával és a tőle elvárható gondossággal végezze. A hitelintézet haladéktalanul bejelenti a Felügyelet részére, ha a kiszervezett tevékenység végzése jogszabályba vagy a szerződésbe</w:t>
      </w:r>
      <w:r>
        <w:rPr>
          <w:spacing w:val="2"/>
          <w:w w:val="130"/>
          <w:sz w:val="24"/>
        </w:rPr>
        <w:t> </w:t>
      </w:r>
      <w:r>
        <w:rPr>
          <w:w w:val="130"/>
          <w:sz w:val="24"/>
        </w:rPr>
        <w:t>ütközik.</w:t>
      </w:r>
    </w:p>
    <w:p>
      <w:pPr>
        <w:pStyle w:val="ListParagraph"/>
        <w:numPr>
          <w:ilvl w:val="0"/>
          <w:numId w:val="166"/>
        </w:numPr>
        <w:tabs>
          <w:tab w:pos="790" w:val="left" w:leader="none"/>
        </w:tabs>
        <w:spacing w:line="225" w:lineRule="auto" w:before="3" w:after="0"/>
        <w:ind w:left="113" w:right="120" w:firstLine="204"/>
        <w:jc w:val="both"/>
        <w:rPr>
          <w:sz w:val="24"/>
        </w:rPr>
      </w:pPr>
      <w:r>
        <w:rPr>
          <w:w w:val="130"/>
          <w:sz w:val="24"/>
        </w:rPr>
        <w:t>A Felügyelet a hitelintézet (7) bekezdésben foglalt bejelentése vagy a helyszíni ellenőrzése során feltárt hiányosságok alapján a tevékenység kiszervezését</w:t>
      </w:r>
      <w:r>
        <w:rPr>
          <w:spacing w:val="-4"/>
          <w:w w:val="130"/>
          <w:sz w:val="24"/>
        </w:rPr>
        <w:t> </w:t>
      </w:r>
      <w:r>
        <w:rPr>
          <w:w w:val="130"/>
          <w:sz w:val="24"/>
        </w:rPr>
        <w:t>megtilthatja.</w:t>
      </w:r>
    </w:p>
    <w:p>
      <w:pPr>
        <w:pStyle w:val="ListParagraph"/>
        <w:numPr>
          <w:ilvl w:val="0"/>
          <w:numId w:val="166"/>
        </w:numPr>
        <w:tabs>
          <w:tab w:pos="906" w:val="left" w:leader="none"/>
        </w:tabs>
        <w:spacing w:line="225" w:lineRule="auto" w:before="1" w:after="0"/>
        <w:ind w:left="113" w:right="120" w:firstLine="204"/>
        <w:jc w:val="both"/>
        <w:rPr>
          <w:sz w:val="24"/>
        </w:rPr>
      </w:pPr>
      <w:r>
        <w:rPr>
          <w:w w:val="125"/>
          <w:sz w:val="24"/>
        </w:rPr>
        <w:t>Az a kiszervezett tevékenységet végző, amely egyidejűleg több hitelintézet részére végez kiszervezett tevékenységet, az így tudomására jutott tényt, adatot, információt elkülönítetten -  az  adatvédelmi  előírások betartásával -</w:t>
      </w:r>
      <w:r>
        <w:rPr>
          <w:spacing w:val="1"/>
          <w:w w:val="125"/>
          <w:sz w:val="24"/>
        </w:rPr>
        <w:t> </w:t>
      </w:r>
      <w:r>
        <w:rPr>
          <w:w w:val="125"/>
          <w:sz w:val="24"/>
        </w:rPr>
        <w:t>kezeli.</w:t>
      </w:r>
    </w:p>
    <w:p>
      <w:pPr>
        <w:pStyle w:val="ListParagraph"/>
        <w:numPr>
          <w:ilvl w:val="0"/>
          <w:numId w:val="166"/>
        </w:numPr>
        <w:tabs>
          <w:tab w:pos="954" w:val="left" w:leader="none"/>
        </w:tabs>
        <w:spacing w:line="225" w:lineRule="auto" w:before="3" w:after="0"/>
        <w:ind w:left="113" w:right="128" w:firstLine="204"/>
        <w:jc w:val="both"/>
        <w:rPr>
          <w:sz w:val="24"/>
        </w:rPr>
      </w:pPr>
      <w:r>
        <w:rPr>
          <w:w w:val="125"/>
          <w:sz w:val="24"/>
        </w:rPr>
        <w:t>A kiszervezett tevékenységet végző közreműködőt abban az esetben alkalmazhat, ha a közöttük létrejövő szerződés - amelyet a  hitelintézet jóváhagy - biztosítja a kiszervezett tevékenységnek a Felügyelet és a hitelintézet belső ellenőrzése, könyvvizsgálója által történő</w:t>
      </w:r>
      <w:r>
        <w:rPr>
          <w:spacing w:val="32"/>
          <w:w w:val="125"/>
          <w:sz w:val="24"/>
        </w:rPr>
        <w:t> </w:t>
      </w:r>
      <w:r>
        <w:rPr>
          <w:w w:val="125"/>
          <w:sz w:val="24"/>
        </w:rPr>
        <w:t>ellenőrzését.</w:t>
      </w:r>
    </w:p>
    <w:p>
      <w:pPr>
        <w:pStyle w:val="ListParagraph"/>
        <w:numPr>
          <w:ilvl w:val="0"/>
          <w:numId w:val="166"/>
        </w:numPr>
        <w:tabs>
          <w:tab w:pos="930" w:val="left" w:leader="none"/>
        </w:tabs>
        <w:spacing w:line="225" w:lineRule="auto" w:before="2" w:after="0"/>
        <w:ind w:left="113" w:right="132" w:firstLine="204"/>
        <w:jc w:val="both"/>
        <w:rPr>
          <w:sz w:val="24"/>
        </w:rPr>
      </w:pPr>
      <w:r>
        <w:rPr>
          <w:w w:val="125"/>
          <w:sz w:val="24"/>
        </w:rPr>
        <w:t>A hitelintézet vezető tisztségviselője vagy annak közeli hozzátartozója nem állhat tulajdonosi viszonyban a kiszervezett tevékenységet végzővel, illetve a hitelintézet vezető tisztségviselője, közeli  hozzátartozója  a kiszervezett tevékenység végzésével nem bízható</w:t>
      </w:r>
      <w:r>
        <w:rPr>
          <w:spacing w:val="8"/>
          <w:w w:val="125"/>
          <w:sz w:val="24"/>
        </w:rPr>
        <w:t> </w:t>
      </w:r>
      <w:r>
        <w:rPr>
          <w:w w:val="125"/>
          <w:sz w:val="24"/>
        </w:rPr>
        <w:t>meg.</w:t>
      </w:r>
    </w:p>
    <w:p>
      <w:pPr>
        <w:pStyle w:val="ListParagraph"/>
        <w:numPr>
          <w:ilvl w:val="0"/>
          <w:numId w:val="166"/>
        </w:numPr>
        <w:tabs>
          <w:tab w:pos="974" w:val="left" w:leader="none"/>
        </w:tabs>
        <w:spacing w:line="225" w:lineRule="auto" w:before="2" w:after="0"/>
        <w:ind w:left="113" w:right="134" w:firstLine="204"/>
        <w:jc w:val="both"/>
        <w:rPr>
          <w:sz w:val="24"/>
        </w:rPr>
      </w:pPr>
      <w:r>
        <w:rPr>
          <w:w w:val="130"/>
          <w:sz w:val="24"/>
        </w:rPr>
        <w:t>A hitelintézet a kiszervezett tevékenységek körét és a kiszervezett tevékenység végzőjét az üzletszabályzatban</w:t>
      </w:r>
      <w:r>
        <w:rPr>
          <w:spacing w:val="-27"/>
          <w:w w:val="130"/>
          <w:sz w:val="24"/>
        </w:rPr>
        <w:t> </w:t>
      </w:r>
      <w:r>
        <w:rPr>
          <w:w w:val="130"/>
          <w:sz w:val="24"/>
        </w:rPr>
        <w:t>feltünteti.</w:t>
      </w:r>
    </w:p>
    <w:p>
      <w:pPr>
        <w:pStyle w:val="ListParagraph"/>
        <w:numPr>
          <w:ilvl w:val="0"/>
          <w:numId w:val="166"/>
        </w:numPr>
        <w:tabs>
          <w:tab w:pos="1063" w:val="left" w:leader="none"/>
        </w:tabs>
        <w:spacing w:line="225" w:lineRule="auto" w:before="2" w:after="0"/>
        <w:ind w:left="113" w:right="126" w:firstLine="204"/>
        <w:jc w:val="both"/>
        <w:rPr>
          <w:sz w:val="24"/>
        </w:rPr>
      </w:pPr>
      <w:r>
        <w:rPr>
          <w:w w:val="125"/>
          <w:sz w:val="24"/>
        </w:rPr>
        <w:t>Pénzügyi vállalkozás a Felügyelethez történő bejelentés nélkül szervezheti ki ügyviteli tevékenységét, ha azonban a kiszervezni kívánt ügyviteli tevékenység banktitkot is érint, akkor az (1)-(12) bekezdésben foglaltakat</w:t>
      </w:r>
      <w:r>
        <w:rPr>
          <w:spacing w:val="1"/>
          <w:w w:val="125"/>
          <w:sz w:val="24"/>
        </w:rPr>
        <w:t> </w:t>
      </w:r>
      <w:r>
        <w:rPr>
          <w:w w:val="125"/>
          <w:sz w:val="24"/>
        </w:rPr>
        <w:t>alkalmazza.</w:t>
      </w:r>
    </w:p>
    <w:p>
      <w:pPr>
        <w:pStyle w:val="BodyText"/>
        <w:spacing w:before="3"/>
        <w:ind w:left="0" w:firstLine="0"/>
        <w:rPr>
          <w:sz w:val="11"/>
        </w:rPr>
      </w:pPr>
    </w:p>
    <w:p>
      <w:pPr>
        <w:pStyle w:val="BodyText"/>
        <w:spacing w:before="99"/>
        <w:ind w:left="3493" w:firstLine="0"/>
      </w:pPr>
      <w:r>
        <w:rPr>
          <w:w w:val="125"/>
        </w:rPr>
        <w:t>29. Független közvetítő</w:t>
      </w:r>
    </w:p>
    <w:p>
      <w:pPr>
        <w:pStyle w:val="ListParagraph"/>
        <w:numPr>
          <w:ilvl w:val="1"/>
          <w:numId w:val="158"/>
        </w:numPr>
        <w:tabs>
          <w:tab w:pos="835" w:val="left" w:leader="none"/>
        </w:tabs>
        <w:spacing w:line="225" w:lineRule="auto" w:before="236" w:after="0"/>
        <w:ind w:left="113" w:right="131" w:firstLine="204"/>
        <w:jc w:val="both"/>
        <w:rPr>
          <w:sz w:val="24"/>
        </w:rPr>
      </w:pPr>
      <w:r>
        <w:rPr>
          <w:rFonts w:ascii="Arial" w:hAnsi="Arial"/>
          <w:b/>
          <w:w w:val="125"/>
          <w:sz w:val="24"/>
        </w:rPr>
        <w:t>§ </w:t>
      </w:r>
      <w:r>
        <w:rPr>
          <w:w w:val="125"/>
          <w:sz w:val="24"/>
        </w:rPr>
        <w:t>(1) A független közvetítő és az általa az e tevékenységre igénybe vett, vele megbízási, illetve munkavégzésre irányuló egyéb jogviszonyban álló személy által e tevékenysége során okozott kárért a közvetítő</w:t>
      </w:r>
      <w:r>
        <w:rPr>
          <w:spacing w:val="30"/>
          <w:w w:val="125"/>
          <w:sz w:val="24"/>
        </w:rPr>
        <w:t> </w:t>
      </w:r>
      <w:r>
        <w:rPr>
          <w:w w:val="125"/>
          <w:sz w:val="24"/>
        </w:rPr>
        <w:t>felel.</w:t>
      </w:r>
    </w:p>
    <w:p>
      <w:pPr>
        <w:pStyle w:val="ListParagraph"/>
        <w:numPr>
          <w:ilvl w:val="0"/>
          <w:numId w:val="170"/>
        </w:numPr>
        <w:tabs>
          <w:tab w:pos="736" w:val="left" w:leader="none"/>
        </w:tabs>
        <w:spacing w:line="225" w:lineRule="auto" w:before="2" w:after="0"/>
        <w:ind w:left="113" w:right="128" w:firstLine="204"/>
        <w:jc w:val="both"/>
        <w:rPr>
          <w:sz w:val="24"/>
        </w:rPr>
      </w:pPr>
      <w:r>
        <w:rPr>
          <w:w w:val="125"/>
          <w:sz w:val="24"/>
        </w:rPr>
        <w:t>A többes kiemelt közvetítő és a többes ügynök megbízója felel azért, hogy a megbízási szerződés pontosan, egyértelműen meghatározza a közvetítő által ellátandó feladatokat, az ügyfelek tájékoztatására vonatkozó követelményeket, továbbá azért, hogy minden, a megbízási szerződés megfelelő teljesítéséhez szükséges információt a közvetítő rendelkezésére</w:t>
      </w:r>
      <w:r>
        <w:rPr>
          <w:spacing w:val="15"/>
          <w:w w:val="125"/>
          <w:sz w:val="24"/>
        </w:rPr>
        <w:t> </w:t>
      </w:r>
      <w:r>
        <w:rPr>
          <w:w w:val="125"/>
          <w:sz w:val="24"/>
        </w:rPr>
        <w:t>bocsát.</w:t>
      </w:r>
    </w:p>
    <w:p>
      <w:pPr>
        <w:spacing w:after="0" w:line="225" w:lineRule="auto"/>
        <w:jc w:val="both"/>
        <w:rPr>
          <w:sz w:val="24"/>
        </w:rPr>
        <w:sectPr>
          <w:pgSz w:w="11900" w:h="16820"/>
          <w:pgMar w:header="1104" w:footer="0" w:top="1840" w:bottom="280" w:left="1020" w:right="1000"/>
        </w:sectPr>
      </w:pPr>
    </w:p>
    <w:p>
      <w:pPr>
        <w:pStyle w:val="ListParagraph"/>
        <w:numPr>
          <w:ilvl w:val="0"/>
          <w:numId w:val="170"/>
        </w:numPr>
        <w:tabs>
          <w:tab w:pos="659" w:val="left" w:leader="none"/>
        </w:tabs>
        <w:spacing w:line="261" w:lineRule="exact" w:before="159" w:after="0"/>
        <w:ind w:left="658" w:right="0" w:hanging="341"/>
        <w:jc w:val="left"/>
        <w:rPr>
          <w:sz w:val="24"/>
        </w:rPr>
      </w:pPr>
      <w:r>
        <w:rPr>
          <w:i/>
          <w:w w:val="125"/>
          <w:position w:val="3"/>
          <w:sz w:val="18"/>
        </w:rPr>
        <w:t>1</w:t>
      </w:r>
      <w:r>
        <w:rPr>
          <w:i/>
          <w:spacing w:val="7"/>
          <w:w w:val="125"/>
          <w:position w:val="3"/>
          <w:sz w:val="18"/>
        </w:rPr>
        <w:t> </w:t>
      </w:r>
      <w:r>
        <w:rPr>
          <w:w w:val="125"/>
          <w:sz w:val="24"/>
        </w:rPr>
        <w:t>A</w:t>
      </w:r>
      <w:r>
        <w:rPr>
          <w:spacing w:val="45"/>
          <w:w w:val="125"/>
          <w:sz w:val="24"/>
        </w:rPr>
        <w:t> </w:t>
      </w:r>
      <w:r>
        <w:rPr>
          <w:w w:val="125"/>
          <w:sz w:val="24"/>
        </w:rPr>
        <w:t>független</w:t>
      </w:r>
      <w:r>
        <w:rPr>
          <w:spacing w:val="46"/>
          <w:w w:val="125"/>
          <w:sz w:val="24"/>
        </w:rPr>
        <w:t> </w:t>
      </w:r>
      <w:r>
        <w:rPr>
          <w:w w:val="125"/>
          <w:sz w:val="24"/>
        </w:rPr>
        <w:t>közvetítő</w:t>
      </w:r>
      <w:r>
        <w:rPr>
          <w:spacing w:val="45"/>
          <w:w w:val="125"/>
          <w:sz w:val="24"/>
        </w:rPr>
        <w:t> </w:t>
      </w:r>
      <w:r>
        <w:rPr>
          <w:w w:val="125"/>
          <w:sz w:val="24"/>
        </w:rPr>
        <w:t>a</w:t>
      </w:r>
      <w:r>
        <w:rPr>
          <w:spacing w:val="45"/>
          <w:w w:val="125"/>
          <w:sz w:val="24"/>
        </w:rPr>
        <w:t> </w:t>
      </w:r>
      <w:r>
        <w:rPr>
          <w:w w:val="125"/>
          <w:sz w:val="24"/>
        </w:rPr>
        <w:t>pénzügyi</w:t>
      </w:r>
      <w:r>
        <w:rPr>
          <w:spacing w:val="45"/>
          <w:w w:val="125"/>
          <w:sz w:val="24"/>
        </w:rPr>
        <w:t> </w:t>
      </w:r>
      <w:r>
        <w:rPr>
          <w:w w:val="125"/>
          <w:sz w:val="24"/>
        </w:rPr>
        <w:t>szolgáltatás</w:t>
      </w:r>
      <w:r>
        <w:rPr>
          <w:spacing w:val="45"/>
          <w:w w:val="125"/>
          <w:sz w:val="24"/>
        </w:rPr>
        <w:t> </w:t>
      </w:r>
      <w:r>
        <w:rPr>
          <w:w w:val="125"/>
          <w:sz w:val="24"/>
        </w:rPr>
        <w:t>közvetítéséért</w:t>
      </w:r>
      <w:r>
        <w:rPr>
          <w:spacing w:val="46"/>
          <w:w w:val="125"/>
          <w:sz w:val="24"/>
        </w:rPr>
        <w:t> </w:t>
      </w:r>
      <w:r>
        <w:rPr>
          <w:w w:val="125"/>
          <w:sz w:val="24"/>
        </w:rPr>
        <w:t>közvetítői</w:t>
      </w:r>
    </w:p>
    <w:p>
      <w:pPr>
        <w:pStyle w:val="BodyText"/>
        <w:spacing w:line="225" w:lineRule="auto" w:before="12"/>
        <w:ind w:right="119" w:firstLine="0"/>
        <w:jc w:val="both"/>
      </w:pPr>
      <w:r>
        <w:rPr>
          <w:w w:val="130"/>
        </w:rPr>
        <w:t>díjat</w:t>
      </w:r>
      <w:r>
        <w:rPr>
          <w:spacing w:val="-9"/>
          <w:w w:val="130"/>
        </w:rPr>
        <w:t> </w:t>
      </w:r>
      <w:r>
        <w:rPr>
          <w:w w:val="130"/>
        </w:rPr>
        <w:t>kizárólag</w:t>
      </w:r>
      <w:r>
        <w:rPr>
          <w:spacing w:val="-1"/>
          <w:w w:val="130"/>
        </w:rPr>
        <w:t> </w:t>
      </w:r>
      <w:r>
        <w:rPr>
          <w:w w:val="130"/>
        </w:rPr>
        <w:t>a</w:t>
      </w:r>
      <w:r>
        <w:rPr>
          <w:spacing w:val="-15"/>
          <w:w w:val="130"/>
        </w:rPr>
        <w:t> </w:t>
      </w:r>
      <w:r>
        <w:rPr>
          <w:w w:val="130"/>
        </w:rPr>
        <w:t>megbízótól</w:t>
      </w:r>
      <w:r>
        <w:rPr>
          <w:spacing w:val="-9"/>
          <w:w w:val="130"/>
        </w:rPr>
        <w:t> </w:t>
      </w:r>
      <w:r>
        <w:rPr>
          <w:w w:val="130"/>
        </w:rPr>
        <w:t>fogadhat</w:t>
      </w:r>
      <w:r>
        <w:rPr>
          <w:spacing w:val="-8"/>
          <w:w w:val="130"/>
        </w:rPr>
        <w:t> </w:t>
      </w:r>
      <w:r>
        <w:rPr>
          <w:w w:val="130"/>
        </w:rPr>
        <w:t>el.</w:t>
      </w:r>
      <w:r>
        <w:rPr>
          <w:spacing w:val="-8"/>
          <w:w w:val="130"/>
        </w:rPr>
        <w:t> </w:t>
      </w:r>
      <w:r>
        <w:rPr>
          <w:w w:val="130"/>
        </w:rPr>
        <w:t>E</w:t>
      </w:r>
      <w:r>
        <w:rPr>
          <w:spacing w:val="2"/>
          <w:w w:val="130"/>
        </w:rPr>
        <w:t> </w:t>
      </w:r>
      <w:r>
        <w:rPr>
          <w:w w:val="130"/>
        </w:rPr>
        <w:t>rendelkezés</w:t>
      </w:r>
      <w:r>
        <w:rPr>
          <w:spacing w:val="-19"/>
          <w:w w:val="130"/>
        </w:rPr>
        <w:t> </w:t>
      </w:r>
      <w:r>
        <w:rPr>
          <w:w w:val="130"/>
        </w:rPr>
        <w:t>nem</w:t>
      </w:r>
      <w:r>
        <w:rPr>
          <w:spacing w:val="-8"/>
          <w:w w:val="130"/>
        </w:rPr>
        <w:t> </w:t>
      </w:r>
      <w:r>
        <w:rPr>
          <w:w w:val="130"/>
        </w:rPr>
        <w:t>érinti</w:t>
      </w:r>
      <w:r>
        <w:rPr>
          <w:spacing w:val="-9"/>
          <w:w w:val="130"/>
        </w:rPr>
        <w:t> </w:t>
      </w:r>
      <w:r>
        <w:rPr>
          <w:w w:val="130"/>
        </w:rPr>
        <w:t>a</w:t>
      </w:r>
      <w:r>
        <w:rPr>
          <w:spacing w:val="-8"/>
          <w:w w:val="130"/>
        </w:rPr>
        <w:t> </w:t>
      </w:r>
      <w:r>
        <w:rPr>
          <w:w w:val="130"/>
        </w:rPr>
        <w:t>független közvetítő azon jogosultságát, hogy a pénzügyi szolgáltatás közvetítését igénybe vevő ügyfele számára más - a pénzügyi szolgáltatás közvetítésének nem minősülő - szolgáltatása ellenértékeként díjat számítson fel azzal, hogy hitel-tanácsadási tevékenység nyújtása ellenértékeként kizárólag akkor jogosult</w:t>
      </w:r>
      <w:r>
        <w:rPr>
          <w:spacing w:val="-29"/>
          <w:w w:val="130"/>
        </w:rPr>
        <w:t> </w:t>
      </w:r>
      <w:r>
        <w:rPr>
          <w:w w:val="130"/>
        </w:rPr>
        <w:t>díjat</w:t>
      </w:r>
      <w:r>
        <w:rPr>
          <w:spacing w:val="-28"/>
          <w:w w:val="130"/>
        </w:rPr>
        <w:t> </w:t>
      </w:r>
      <w:r>
        <w:rPr>
          <w:w w:val="130"/>
        </w:rPr>
        <w:t>felszámítani,</w:t>
      </w:r>
      <w:r>
        <w:rPr>
          <w:spacing w:val="-29"/>
          <w:w w:val="130"/>
        </w:rPr>
        <w:t> </w:t>
      </w:r>
      <w:r>
        <w:rPr>
          <w:w w:val="130"/>
        </w:rPr>
        <w:t>ha</w:t>
      </w:r>
      <w:r>
        <w:rPr>
          <w:spacing w:val="-28"/>
          <w:w w:val="130"/>
        </w:rPr>
        <w:t> </w:t>
      </w:r>
      <w:r>
        <w:rPr>
          <w:w w:val="130"/>
        </w:rPr>
        <w:t>az</w:t>
      </w:r>
      <w:r>
        <w:rPr>
          <w:spacing w:val="-21"/>
          <w:w w:val="130"/>
        </w:rPr>
        <w:t> </w:t>
      </w:r>
      <w:r>
        <w:rPr>
          <w:w w:val="130"/>
        </w:rPr>
        <w:t>általa</w:t>
      </w:r>
      <w:r>
        <w:rPr>
          <w:spacing w:val="-36"/>
          <w:w w:val="130"/>
        </w:rPr>
        <w:t> </w:t>
      </w:r>
      <w:r>
        <w:rPr>
          <w:w w:val="130"/>
        </w:rPr>
        <w:t>ajánlott</w:t>
      </w:r>
      <w:r>
        <w:rPr>
          <w:spacing w:val="-28"/>
          <w:w w:val="130"/>
        </w:rPr>
        <w:t> </w:t>
      </w:r>
      <w:r>
        <w:rPr>
          <w:w w:val="130"/>
        </w:rPr>
        <w:t>jelzáloghitel</w:t>
      </w:r>
      <w:r>
        <w:rPr>
          <w:spacing w:val="-29"/>
          <w:w w:val="130"/>
        </w:rPr>
        <w:t> </w:t>
      </w:r>
      <w:r>
        <w:rPr>
          <w:w w:val="130"/>
        </w:rPr>
        <w:t>vagy</w:t>
      </w:r>
      <w:r>
        <w:rPr>
          <w:spacing w:val="-28"/>
          <w:w w:val="130"/>
        </w:rPr>
        <w:t> </w:t>
      </w:r>
      <w:r>
        <w:rPr>
          <w:w w:val="130"/>
        </w:rPr>
        <w:t>fogyasztónak nyújtott ingatlanra vonatkozó pénzügyi lízing után az érintett pénzügyi intézménytől nem kap közvetítői</w:t>
      </w:r>
      <w:r>
        <w:rPr>
          <w:spacing w:val="-21"/>
          <w:w w:val="130"/>
        </w:rPr>
        <w:t> </w:t>
      </w:r>
      <w:r>
        <w:rPr>
          <w:w w:val="130"/>
        </w:rPr>
        <w:t>díjat.</w:t>
      </w:r>
    </w:p>
    <w:p>
      <w:pPr>
        <w:pStyle w:val="BodyText"/>
        <w:spacing w:line="253" w:lineRule="exact"/>
        <w:ind w:left="317" w:firstLine="0"/>
      </w:pPr>
      <w:r>
        <w:rPr>
          <w:w w:val="125"/>
        </w:rPr>
        <w:t>(3a)</w:t>
      </w:r>
      <w:r>
        <w:rPr>
          <w:i/>
          <w:w w:val="125"/>
          <w:position w:val="3"/>
          <w:sz w:val="18"/>
        </w:rPr>
        <w:t>2 </w:t>
      </w:r>
      <w:r>
        <w:rPr>
          <w:w w:val="125"/>
        </w:rPr>
        <w:t>A közvetítői díj időbeni ütemezése - ide nem értve</w:t>
      </w:r>
      <w:r>
        <w:rPr>
          <w:spacing w:val="54"/>
          <w:w w:val="125"/>
        </w:rPr>
        <w:t> </w:t>
      </w:r>
      <w:r>
        <w:rPr>
          <w:w w:val="125"/>
        </w:rPr>
        <w:t>az alkusznak</w:t>
      </w:r>
    </w:p>
    <w:p>
      <w:pPr>
        <w:pStyle w:val="BodyText"/>
        <w:tabs>
          <w:tab w:pos="1459" w:val="left" w:leader="none"/>
          <w:tab w:pos="2860" w:val="left" w:leader="none"/>
          <w:tab w:pos="3625" w:val="left" w:leader="none"/>
          <w:tab w:pos="3926" w:val="left" w:leader="none"/>
          <w:tab w:pos="5105" w:val="left" w:leader="none"/>
          <w:tab w:pos="5469" w:val="left" w:leader="none"/>
          <w:tab w:pos="6983" w:val="left" w:leader="none"/>
          <w:tab w:pos="8301" w:val="left" w:leader="none"/>
        </w:tabs>
        <w:spacing w:line="225" w:lineRule="auto" w:before="12"/>
        <w:ind w:right="133" w:firstLine="0"/>
      </w:pPr>
      <w:r>
        <w:rPr>
          <w:w w:val="125"/>
        </w:rPr>
        <w:t>fizetendő</w:t>
        <w:tab/>
        <w:t>közvetítői</w:t>
        <w:tab/>
        <w:t>díjat</w:t>
        <w:tab/>
        <w:t>-</w:t>
        <w:tab/>
        <w:t>arányos</w:t>
        <w:tab/>
        <w:t>a</w:t>
        <w:tab/>
        <w:t>közvetített</w:t>
        <w:tab/>
        <w:t>pénzügyi</w:t>
        <w:tab/>
      </w:r>
      <w:r>
        <w:rPr>
          <w:spacing w:val="-1"/>
          <w:w w:val="125"/>
        </w:rPr>
        <w:t>szolgáltatás </w:t>
      </w:r>
      <w:r>
        <w:rPr>
          <w:w w:val="125"/>
        </w:rPr>
        <w:t>futamidejével, valamint szerződésszerű</w:t>
      </w:r>
      <w:r>
        <w:rPr>
          <w:spacing w:val="6"/>
          <w:w w:val="125"/>
        </w:rPr>
        <w:t> </w:t>
      </w:r>
      <w:r>
        <w:rPr>
          <w:w w:val="125"/>
        </w:rPr>
        <w:t>teljesítésével.</w:t>
      </w:r>
    </w:p>
    <w:p>
      <w:pPr>
        <w:pStyle w:val="ListParagraph"/>
        <w:numPr>
          <w:ilvl w:val="0"/>
          <w:numId w:val="170"/>
        </w:numPr>
        <w:tabs>
          <w:tab w:pos="659" w:val="left" w:leader="none"/>
        </w:tabs>
        <w:spacing w:line="249" w:lineRule="exact" w:before="0" w:after="0"/>
        <w:ind w:left="658" w:right="0" w:hanging="341"/>
        <w:jc w:val="left"/>
        <w:rPr>
          <w:sz w:val="24"/>
        </w:rPr>
      </w:pPr>
      <w:r>
        <w:rPr>
          <w:i/>
          <w:w w:val="125"/>
          <w:position w:val="3"/>
          <w:sz w:val="18"/>
        </w:rPr>
        <w:t>3 </w:t>
      </w:r>
      <w:r>
        <w:rPr>
          <w:w w:val="125"/>
          <w:sz w:val="24"/>
        </w:rPr>
        <w:t>Jelzáloghitel közvetítői tevékenységet végző független közvetítőt -</w:t>
      </w:r>
      <w:r>
        <w:rPr>
          <w:spacing w:val="61"/>
          <w:w w:val="125"/>
          <w:sz w:val="24"/>
        </w:rPr>
        <w:t> </w:t>
      </w:r>
      <w:r>
        <w:rPr>
          <w:w w:val="125"/>
          <w:sz w:val="24"/>
        </w:rPr>
        <w:t>ide</w:t>
      </w:r>
    </w:p>
    <w:p>
      <w:pPr>
        <w:pStyle w:val="BodyText"/>
        <w:spacing w:line="225" w:lineRule="auto" w:before="12"/>
        <w:ind w:right="127" w:firstLine="0"/>
        <w:jc w:val="both"/>
      </w:pPr>
      <w:r>
        <w:rPr>
          <w:w w:val="125"/>
        </w:rPr>
        <w:t>nem értve az alkuszt - megillető közvetítői díj mértéke nem haladhatja meg az adott jelzáloghitel folyósításakor, illetve ingatlanra vonatkozó pénzügyi lízing nyújtásakor meghatározott tőketartozás (pénzügyi lízing esetében ideértve a maradványértéket is) kettő százalékát. Fennálló jelzáloghitel-szerződés, illetve ingatlanra vonatkozó pénzügyi lízingszerződés módosítása során eljáró független közvetítő tekintetében a közvetítői díj mértéke nem haladhatja meg    a jelzáloghitel-szerződés módosításakor fennálló tőketartozás, illetve lízingszerződés alapján fennálló tartozás (ideértve a  maradványértéket  is)  kettő százalékát. A független közvetítő a megbízó pénzügyi intézmény felé közvetítői díjat kizárólag az egyedi jelzáloghitelek és  lízingszerződések alapján, egyedileg számíthat fel, egyéb módon (így különösen a folyósított állomány alapján) további díjazást nem számíthat</w:t>
      </w:r>
      <w:r>
        <w:rPr>
          <w:spacing w:val="4"/>
          <w:w w:val="125"/>
        </w:rPr>
        <w:t> </w:t>
      </w:r>
      <w:r>
        <w:rPr>
          <w:w w:val="125"/>
        </w:rPr>
        <w:t>fel.</w:t>
      </w:r>
    </w:p>
    <w:p>
      <w:pPr>
        <w:pStyle w:val="BodyText"/>
        <w:spacing w:line="225" w:lineRule="auto" w:before="7"/>
        <w:ind w:right="112"/>
        <w:jc w:val="both"/>
      </w:pPr>
      <w:r>
        <w:rPr>
          <w:w w:val="125"/>
        </w:rPr>
        <w:t>(4a)</w:t>
      </w:r>
      <w:r>
        <w:rPr>
          <w:i/>
          <w:w w:val="125"/>
          <w:position w:val="3"/>
          <w:sz w:val="18"/>
        </w:rPr>
        <w:t>4 </w:t>
      </w:r>
      <w:r>
        <w:rPr>
          <w:w w:val="125"/>
        </w:rPr>
        <w:t>A (4) bekezdés vonatkozásában közvetítői díjnak kell tekinteni minden olyan pénzben vagy természetben juttatott  további  térítést,  amelyet  a közvetítő vagy a közvetítővel kapcsolatban álló harmadik személy a pénzügyi szolgáltatást nyújtó személytől, pénzügyi szolgáltatást nyújtó személy felett ellenőrző befolyással rendelkező személytől vagy az utóbbi ellenőrző befolyása alatt álló más személytől kap bármely pénzügyi szolgáltatási, kiegészítő pénzügyi szolgáltatási, befektetési szolgáltatási és kiegészítő befektetési szolgáltatási tevékenységnek nem minősülő jogviszony alapján, ide nem értve, ha a közvetítő és a pénzügyi szolgáltatást nyújtó személy között ellenőrző befolyásnak minősülő kapcsolat áll fenn, vagy mindketten ugyanazon pénzügyi intézmény ellenőrző befolyása alatt állnak.</w:t>
      </w:r>
    </w:p>
    <w:p>
      <w:pPr>
        <w:pStyle w:val="ListParagraph"/>
        <w:numPr>
          <w:ilvl w:val="0"/>
          <w:numId w:val="170"/>
        </w:numPr>
        <w:tabs>
          <w:tab w:pos="807" w:val="left" w:leader="none"/>
        </w:tabs>
        <w:spacing w:line="225" w:lineRule="auto" w:before="6" w:after="0"/>
        <w:ind w:left="113" w:right="128" w:firstLine="204"/>
        <w:jc w:val="both"/>
        <w:rPr>
          <w:sz w:val="24"/>
        </w:rPr>
      </w:pPr>
      <w:r>
        <w:rPr>
          <w:w w:val="125"/>
          <w:sz w:val="24"/>
        </w:rPr>
        <w:t>A független közvetítő az ügyféllel kötött közvetítői szerződésről és a közvetített pénzügyi szolgáltatási szerződésről nyilvántartást vezet. A nyilvántartás tartalmazza a közvetített szerződés feleinek nevét, a szerződéskötés idejét, tárgyát, lényeges feltételeit. A független közvetítő a közvetítői tevékenységével kapcsolatos iratokat három évig megőrzi. Ez a kötelezettség nem érinti a számviteli bizonylat megőrzésére vonatkozó rendelkezéseket.</w:t>
      </w:r>
    </w:p>
    <w:p>
      <w:pPr>
        <w:pStyle w:val="ListParagraph"/>
        <w:numPr>
          <w:ilvl w:val="0"/>
          <w:numId w:val="170"/>
        </w:numPr>
        <w:tabs>
          <w:tab w:pos="659" w:val="left" w:leader="none"/>
          <w:tab w:pos="979" w:val="left" w:leader="none"/>
          <w:tab w:pos="1486" w:val="left" w:leader="none"/>
          <w:tab w:pos="2479" w:val="left" w:leader="none"/>
          <w:tab w:pos="3991" w:val="left" w:leader="none"/>
          <w:tab w:pos="6087" w:val="left" w:leader="none"/>
          <w:tab w:pos="7345" w:val="left" w:leader="none"/>
        </w:tabs>
        <w:spacing w:line="252" w:lineRule="exact" w:before="0" w:after="0"/>
        <w:ind w:left="658" w:right="0" w:hanging="341"/>
        <w:jc w:val="left"/>
        <w:rPr>
          <w:sz w:val="24"/>
        </w:rPr>
      </w:pPr>
      <w:r>
        <w:rPr>
          <w:i/>
          <w:w w:val="130"/>
          <w:position w:val="3"/>
          <w:sz w:val="18"/>
        </w:rPr>
        <w:t>5</w:t>
        <w:tab/>
      </w:r>
      <w:r>
        <w:rPr>
          <w:w w:val="130"/>
          <w:sz w:val="24"/>
        </w:rPr>
        <w:t>Az</w:t>
        <w:tab/>
        <w:t>alkusz</w:t>
        <w:tab/>
        <w:t>az </w:t>
      </w:r>
      <w:r>
        <w:rPr>
          <w:spacing w:val="2"/>
          <w:w w:val="130"/>
          <w:sz w:val="24"/>
        </w:rPr>
        <w:t> </w:t>
      </w:r>
      <w:r>
        <w:rPr>
          <w:w w:val="130"/>
          <w:sz w:val="24"/>
        </w:rPr>
        <w:t>alkuszi</w:t>
        <w:tab/>
        <w:t>tevékenységen,</w:t>
        <w:tab/>
        <w:t>valamint</w:t>
        <w:tab/>
        <w:t>a</w:t>
      </w:r>
      <w:r>
        <w:rPr>
          <w:spacing w:val="25"/>
          <w:w w:val="130"/>
          <w:sz w:val="24"/>
        </w:rPr>
        <w:t> </w:t>
      </w:r>
      <w:r>
        <w:rPr>
          <w:w w:val="130"/>
          <w:sz w:val="24"/>
        </w:rPr>
        <w:t>hitel-tanácsadási</w:t>
      </w:r>
    </w:p>
    <w:p>
      <w:pPr>
        <w:pStyle w:val="BodyText"/>
        <w:spacing w:line="225" w:lineRule="auto" w:before="12"/>
        <w:ind w:firstLine="0"/>
      </w:pPr>
      <w:r>
        <w:rPr>
          <w:w w:val="130"/>
        </w:rPr>
        <w:t>tevékenységen kívül más pénzügyi és kiegészítő pénzügyi szolgáltatást nem végezhet.</w:t>
      </w:r>
    </w:p>
    <w:p>
      <w:pPr>
        <w:pStyle w:val="BodyText"/>
        <w:ind w:left="0" w:firstLine="0"/>
        <w:rPr>
          <w:sz w:val="20"/>
        </w:rPr>
      </w:pPr>
    </w:p>
    <w:p>
      <w:pPr>
        <w:pStyle w:val="BodyText"/>
        <w:spacing w:before="7"/>
        <w:ind w:left="0" w:firstLine="0"/>
        <w:rPr>
          <w:sz w:val="28"/>
        </w:rPr>
      </w:pPr>
      <w:r>
        <w:rPr/>
        <w:pict>
          <v:line style="position:absolute;mso-position-horizontal-relative:page;mso-position-vertical-relative:paragraph;z-index:80;mso-wrap-distance-left:0;mso-wrap-distance-right:0" from="56.693001pt,18.674852pt" to="538.583001pt,18.674852pt" stroked="true" strokeweight=".5pt" strokecolor="#000000">
            <v:stroke dashstyle="solid"/>
            <w10:wrap type="topAndBottom"/>
          </v:line>
        </w:pict>
      </w:r>
    </w:p>
    <w:p>
      <w:pPr>
        <w:pStyle w:val="ListParagraph"/>
        <w:numPr>
          <w:ilvl w:val="0"/>
          <w:numId w:val="171"/>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CCXV. törvény 124. § (1). Hatályos: 2016. III.</w:t>
      </w:r>
      <w:r>
        <w:rPr>
          <w:i/>
          <w:spacing w:val="-28"/>
          <w:w w:val="125"/>
          <w:sz w:val="18"/>
        </w:rPr>
        <w:t> </w:t>
      </w:r>
      <w:r>
        <w:rPr>
          <w:i/>
          <w:w w:val="125"/>
          <w:sz w:val="18"/>
        </w:rPr>
        <w:t>21-től.</w:t>
      </w:r>
    </w:p>
    <w:p>
      <w:pPr>
        <w:pStyle w:val="ListParagraph"/>
        <w:numPr>
          <w:ilvl w:val="0"/>
          <w:numId w:val="171"/>
        </w:numPr>
        <w:tabs>
          <w:tab w:pos="686" w:val="left" w:leader="none"/>
          <w:tab w:pos="687" w:val="left" w:leader="none"/>
        </w:tabs>
        <w:spacing w:line="200" w:lineRule="exact" w:before="0" w:after="0"/>
        <w:ind w:left="686" w:right="0" w:hanging="344"/>
        <w:jc w:val="left"/>
        <w:rPr>
          <w:i/>
          <w:sz w:val="18"/>
        </w:rPr>
      </w:pPr>
      <w:r>
        <w:rPr>
          <w:i/>
          <w:w w:val="120"/>
          <w:sz w:val="18"/>
        </w:rPr>
        <w:t>Beiktatta: 2017. évi LXIX. törvény 165. § (1). Hatályos: 2017. VII.</w:t>
      </w:r>
      <w:r>
        <w:rPr>
          <w:i/>
          <w:spacing w:val="52"/>
          <w:w w:val="120"/>
          <w:sz w:val="18"/>
        </w:rPr>
        <w:t> </w:t>
      </w:r>
      <w:r>
        <w:rPr>
          <w:i/>
          <w:w w:val="120"/>
          <w:sz w:val="18"/>
        </w:rPr>
        <w:t>1-től.</w:t>
      </w:r>
    </w:p>
    <w:p>
      <w:pPr>
        <w:pStyle w:val="ListParagraph"/>
        <w:numPr>
          <w:ilvl w:val="0"/>
          <w:numId w:val="171"/>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165. § (2). Hatályos: 2017. VII.</w:t>
      </w:r>
      <w:r>
        <w:rPr>
          <w:i/>
          <w:spacing w:val="-25"/>
          <w:w w:val="125"/>
          <w:sz w:val="18"/>
        </w:rPr>
        <w:t> </w:t>
      </w:r>
      <w:r>
        <w:rPr>
          <w:i/>
          <w:w w:val="125"/>
          <w:sz w:val="18"/>
        </w:rPr>
        <w:t>1-től.</w:t>
      </w:r>
    </w:p>
    <w:p>
      <w:pPr>
        <w:pStyle w:val="ListParagraph"/>
        <w:numPr>
          <w:ilvl w:val="0"/>
          <w:numId w:val="171"/>
        </w:numPr>
        <w:tabs>
          <w:tab w:pos="686" w:val="left" w:leader="none"/>
          <w:tab w:pos="687" w:val="left" w:leader="none"/>
        </w:tabs>
        <w:spacing w:line="200" w:lineRule="exact" w:before="0" w:after="0"/>
        <w:ind w:left="686" w:right="0" w:hanging="344"/>
        <w:jc w:val="left"/>
        <w:rPr>
          <w:i/>
          <w:sz w:val="18"/>
        </w:rPr>
      </w:pPr>
      <w:r>
        <w:rPr>
          <w:i/>
          <w:w w:val="120"/>
          <w:sz w:val="18"/>
        </w:rPr>
        <w:t>Beiktatta: 2016. évi LIII. törvény 121. § (1). Hatályos: 2016. VII.</w:t>
      </w:r>
      <w:r>
        <w:rPr>
          <w:i/>
          <w:spacing w:val="52"/>
          <w:w w:val="120"/>
          <w:sz w:val="18"/>
        </w:rPr>
        <w:t> </w:t>
      </w:r>
      <w:r>
        <w:rPr>
          <w:i/>
          <w:w w:val="120"/>
          <w:sz w:val="18"/>
        </w:rPr>
        <w:t>1-től.</w:t>
      </w:r>
    </w:p>
    <w:p>
      <w:pPr>
        <w:pStyle w:val="ListParagraph"/>
        <w:numPr>
          <w:ilvl w:val="0"/>
          <w:numId w:val="171"/>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124. § (3). Hatályos: 2016. III.</w:t>
      </w:r>
      <w:r>
        <w:rPr>
          <w:i/>
          <w:spacing w:val="-28"/>
          <w:w w:val="125"/>
          <w:sz w:val="18"/>
        </w:rPr>
        <w:t> </w:t>
      </w:r>
      <w:r>
        <w:rPr>
          <w:i/>
          <w:w w:val="125"/>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170"/>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kizárólag magánszemélyek részére a mindennapi élet</w:t>
      </w:r>
      <w:r>
        <w:rPr>
          <w:spacing w:val="49"/>
          <w:w w:val="125"/>
          <w:sz w:val="24"/>
        </w:rPr>
        <w:t> </w:t>
      </w:r>
      <w:r>
        <w:rPr>
          <w:w w:val="125"/>
          <w:sz w:val="24"/>
        </w:rPr>
        <w:t>felszerelési</w:t>
      </w:r>
    </w:p>
    <w:p>
      <w:pPr>
        <w:pStyle w:val="BodyText"/>
        <w:tabs>
          <w:tab w:pos="1695" w:val="left" w:leader="none"/>
          <w:tab w:pos="2622" w:val="left" w:leader="none"/>
          <w:tab w:pos="5539" w:val="left" w:leader="none"/>
          <w:tab w:pos="6209" w:val="left" w:leader="none"/>
          <w:tab w:pos="6943" w:val="left" w:leader="none"/>
          <w:tab w:pos="8129" w:val="left" w:leader="none"/>
        </w:tabs>
        <w:spacing w:line="225" w:lineRule="auto" w:before="12"/>
        <w:ind w:right="123" w:firstLine="0"/>
      </w:pPr>
      <w:r>
        <w:rPr>
          <w:w w:val="130"/>
        </w:rPr>
        <w:t>tárgyainak,</w:t>
        <w:tab/>
        <w:t>tartós</w:t>
        <w:tab/>
        <w:t>fogyasztási</w:t>
      </w:r>
      <w:r>
        <w:rPr>
          <w:spacing w:val="49"/>
          <w:w w:val="130"/>
        </w:rPr>
        <w:t> </w:t>
      </w:r>
      <w:r>
        <w:rPr>
          <w:w w:val="130"/>
        </w:rPr>
        <w:t>cikkeinek</w:t>
        <w:tab/>
        <w:t>(ide</w:t>
        <w:tab/>
        <w:t>nem</w:t>
        <w:tab/>
        <w:t>értve </w:t>
      </w:r>
      <w:r>
        <w:rPr>
          <w:spacing w:val="46"/>
          <w:w w:val="130"/>
        </w:rPr>
        <w:t> </w:t>
      </w:r>
      <w:r>
        <w:rPr>
          <w:w w:val="130"/>
        </w:rPr>
        <w:t>a</w:t>
        <w:tab/>
      </w:r>
      <w:r>
        <w:rPr>
          <w:spacing w:val="-1"/>
          <w:w w:val="125"/>
        </w:rPr>
        <w:t>gépjárművet) </w:t>
      </w:r>
      <w:r>
        <w:rPr>
          <w:w w:val="130"/>
        </w:rPr>
        <w:t>megvásárlásához nyújtott hitel- és pénzkölcsönt közvetítő többes ügynökre</w:t>
      </w:r>
      <w:r>
        <w:rPr>
          <w:spacing w:val="17"/>
          <w:w w:val="130"/>
        </w:rPr>
        <w:t> </w:t>
      </w:r>
      <w:r>
        <w:rPr>
          <w:w w:val="130"/>
        </w:rPr>
        <w:t>a</w:t>
      </w:r>
    </w:p>
    <w:p>
      <w:pPr>
        <w:pStyle w:val="BodyText"/>
        <w:spacing w:line="256" w:lineRule="exact"/>
        <w:ind w:firstLine="0"/>
      </w:pPr>
      <w:r>
        <w:rPr>
          <w:w w:val="125"/>
        </w:rPr>
        <w:t>21.</w:t>
      </w:r>
      <w:r>
        <w:rPr>
          <w:spacing w:val="23"/>
          <w:w w:val="125"/>
        </w:rPr>
        <w:t> </w:t>
      </w:r>
      <w:r>
        <w:rPr>
          <w:w w:val="125"/>
        </w:rPr>
        <w:t>§</w:t>
      </w:r>
      <w:r>
        <w:rPr>
          <w:spacing w:val="24"/>
          <w:w w:val="125"/>
        </w:rPr>
        <w:t> </w:t>
      </w:r>
      <w:r>
        <w:rPr>
          <w:w w:val="125"/>
        </w:rPr>
        <w:t>(3)</w:t>
      </w:r>
      <w:r>
        <w:rPr>
          <w:spacing w:val="23"/>
          <w:w w:val="125"/>
        </w:rPr>
        <w:t> </w:t>
      </w:r>
      <w:r>
        <w:rPr>
          <w:w w:val="125"/>
        </w:rPr>
        <w:t>bekezdés</w:t>
      </w:r>
      <w:r>
        <w:rPr>
          <w:spacing w:val="23"/>
          <w:w w:val="125"/>
        </w:rPr>
        <w:t> </w:t>
      </w:r>
      <w:r>
        <w:rPr>
          <w:i/>
          <w:w w:val="125"/>
        </w:rPr>
        <w:t>b)</w:t>
      </w:r>
      <w:r>
        <w:rPr>
          <w:i/>
          <w:spacing w:val="40"/>
          <w:w w:val="125"/>
        </w:rPr>
        <w:t> </w:t>
      </w:r>
      <w:r>
        <w:rPr>
          <w:w w:val="125"/>
        </w:rPr>
        <w:t>pontjában,</w:t>
      </w:r>
      <w:r>
        <w:rPr>
          <w:spacing w:val="7"/>
          <w:w w:val="125"/>
        </w:rPr>
        <w:t> </w:t>
      </w:r>
      <w:r>
        <w:rPr>
          <w:w w:val="125"/>
        </w:rPr>
        <w:t>a</w:t>
      </w:r>
      <w:r>
        <w:rPr>
          <w:spacing w:val="23"/>
          <w:w w:val="125"/>
        </w:rPr>
        <w:t> </w:t>
      </w:r>
      <w:r>
        <w:rPr>
          <w:w w:val="125"/>
        </w:rPr>
        <w:t>21.</w:t>
      </w:r>
      <w:r>
        <w:rPr>
          <w:spacing w:val="24"/>
          <w:w w:val="125"/>
        </w:rPr>
        <w:t> </w:t>
      </w:r>
      <w:r>
        <w:rPr>
          <w:w w:val="125"/>
        </w:rPr>
        <w:t>§</w:t>
      </w:r>
      <w:r>
        <w:rPr>
          <w:spacing w:val="23"/>
          <w:w w:val="125"/>
        </w:rPr>
        <w:t> </w:t>
      </w:r>
      <w:r>
        <w:rPr>
          <w:w w:val="125"/>
        </w:rPr>
        <w:t>(7)</w:t>
      </w:r>
      <w:r>
        <w:rPr>
          <w:spacing w:val="24"/>
          <w:w w:val="125"/>
        </w:rPr>
        <w:t> </w:t>
      </w:r>
      <w:r>
        <w:rPr>
          <w:w w:val="125"/>
        </w:rPr>
        <w:t>bekezdés</w:t>
      </w:r>
      <w:r>
        <w:rPr>
          <w:spacing w:val="23"/>
          <w:w w:val="125"/>
        </w:rPr>
        <w:t> </w:t>
      </w:r>
      <w:r>
        <w:rPr>
          <w:w w:val="125"/>
        </w:rPr>
        <w:t>e)</w:t>
      </w:r>
      <w:r>
        <w:rPr>
          <w:spacing w:val="24"/>
          <w:w w:val="125"/>
        </w:rPr>
        <w:t> </w:t>
      </w:r>
      <w:r>
        <w:rPr>
          <w:w w:val="125"/>
        </w:rPr>
        <w:t>pontjában,</w:t>
      </w:r>
      <w:r>
        <w:rPr>
          <w:spacing w:val="23"/>
          <w:w w:val="125"/>
        </w:rPr>
        <w:t> </w:t>
      </w:r>
      <w:r>
        <w:rPr>
          <w:w w:val="125"/>
        </w:rPr>
        <w:t>73.</w:t>
      </w:r>
      <w:r>
        <w:rPr>
          <w:spacing w:val="24"/>
          <w:w w:val="125"/>
        </w:rPr>
        <w:t> </w:t>
      </w:r>
      <w:r>
        <w:rPr>
          <w:w w:val="125"/>
        </w:rPr>
        <w:t>§-ban,</w:t>
      </w:r>
    </w:p>
    <w:p>
      <w:pPr>
        <w:pStyle w:val="BodyText"/>
        <w:spacing w:line="225" w:lineRule="auto" w:before="6"/>
        <w:ind w:firstLine="0"/>
      </w:pPr>
      <w:r>
        <w:rPr>
          <w:w w:val="125"/>
        </w:rPr>
        <w:t>74. §-ban, valamint 208. § (1) bekezdésében foglalt rendelkezéseket nem szükséges alkalmazni.</w:t>
      </w:r>
    </w:p>
    <w:p>
      <w:pPr>
        <w:pStyle w:val="ListParagraph"/>
        <w:numPr>
          <w:ilvl w:val="0"/>
          <w:numId w:val="170"/>
        </w:numPr>
        <w:tabs>
          <w:tab w:pos="798" w:val="left" w:leader="none"/>
        </w:tabs>
        <w:spacing w:line="225" w:lineRule="auto" w:before="1" w:after="0"/>
        <w:ind w:left="113" w:right="125" w:firstLine="204"/>
        <w:jc w:val="both"/>
        <w:rPr>
          <w:sz w:val="24"/>
        </w:rPr>
      </w:pPr>
      <w:r>
        <w:rPr>
          <w:w w:val="125"/>
          <w:sz w:val="24"/>
        </w:rPr>
        <w:t>A független közvetítő felelősségbiztosítási szerződésének megszűnését bejelenti és új felelősségbiztosítási szerződésének meglétére vonatkozó fedezetigazolást bemutatja a megszűnést és a  megkötést  követő  5 munkanapon belül.</w:t>
      </w:r>
    </w:p>
    <w:p>
      <w:pPr>
        <w:pStyle w:val="ListParagraph"/>
        <w:numPr>
          <w:ilvl w:val="0"/>
          <w:numId w:val="170"/>
        </w:numPr>
        <w:tabs>
          <w:tab w:pos="659" w:val="left" w:leader="none"/>
        </w:tabs>
        <w:spacing w:line="250" w:lineRule="exact" w:before="0" w:after="0"/>
        <w:ind w:left="658" w:right="0" w:hanging="341"/>
        <w:jc w:val="left"/>
        <w:rPr>
          <w:sz w:val="24"/>
        </w:rPr>
      </w:pPr>
      <w:r>
        <w:rPr>
          <w:i/>
          <w:w w:val="120"/>
          <w:position w:val="3"/>
          <w:sz w:val="18"/>
        </w:rPr>
        <w:t>2 </w:t>
      </w:r>
      <w:r>
        <w:rPr>
          <w:w w:val="120"/>
          <w:sz w:val="24"/>
        </w:rPr>
        <w:t>A többes ügynök az általa megbízott közvetítői alvállalkozó</w:t>
      </w:r>
      <w:r>
        <w:rPr>
          <w:spacing w:val="16"/>
          <w:w w:val="120"/>
          <w:sz w:val="24"/>
        </w:rPr>
        <w:t> </w:t>
      </w:r>
      <w:r>
        <w:rPr>
          <w:w w:val="120"/>
          <w:sz w:val="24"/>
        </w:rPr>
        <w:t>személyét,</w:t>
      </w:r>
    </w:p>
    <w:p>
      <w:pPr>
        <w:pStyle w:val="BodyText"/>
        <w:spacing w:line="225" w:lineRule="auto" w:before="12"/>
        <w:ind w:right="130" w:firstLine="0"/>
        <w:jc w:val="both"/>
      </w:pPr>
      <w:r>
        <w:rPr>
          <w:w w:val="125"/>
        </w:rPr>
        <w:t>valamint a közvetítői alvállalkozó megbízásának megszűnését két munkanapon belül bejelenti a megbízó pénzügyi intézményének annak érdekében, hogy a pénzügyi intézmény teljesíteni tudja a 21. § (2) bekezdésében foglalt kötelezettségét.</w:t>
      </w:r>
    </w:p>
    <w:p>
      <w:pPr>
        <w:pStyle w:val="Heading1"/>
        <w:spacing w:line="264" w:lineRule="exact"/>
        <w:rPr>
          <w:rFonts w:ascii="Times New Roman" w:hAnsi="Times New Roman"/>
          <w:b w:val="0"/>
          <w:i/>
          <w:sz w:val="18"/>
        </w:rPr>
      </w:pPr>
      <w:r>
        <w:rPr>
          <w:w w:val="120"/>
        </w:rPr>
        <w:t>70-71. §</w:t>
      </w:r>
      <w:r>
        <w:rPr>
          <w:rFonts w:ascii="Times New Roman" w:hAnsi="Times New Roman"/>
          <w:b w:val="0"/>
          <w:i/>
          <w:w w:val="120"/>
          <w:position w:val="3"/>
          <w:sz w:val="18"/>
        </w:rPr>
        <w:t>3</w:t>
      </w:r>
    </w:p>
    <w:p>
      <w:pPr>
        <w:pStyle w:val="BodyText"/>
        <w:ind w:left="0" w:firstLine="0"/>
        <w:rPr>
          <w:i/>
          <w:sz w:val="11"/>
        </w:rPr>
      </w:pPr>
    </w:p>
    <w:p>
      <w:pPr>
        <w:pStyle w:val="BodyText"/>
        <w:spacing w:before="98"/>
        <w:ind w:left="3726" w:firstLine="0"/>
      </w:pPr>
      <w:r>
        <w:rPr>
          <w:w w:val="125"/>
        </w:rPr>
        <w:t>30. Függő közvetítő</w:t>
      </w:r>
    </w:p>
    <w:p>
      <w:pPr>
        <w:pStyle w:val="BodyText"/>
        <w:spacing w:line="225" w:lineRule="auto" w:before="237"/>
        <w:ind w:right="129"/>
        <w:jc w:val="both"/>
      </w:pPr>
      <w:r>
        <w:rPr>
          <w:rFonts w:ascii="Arial" w:hAnsi="Arial"/>
          <w:b/>
          <w:w w:val="125"/>
        </w:rPr>
        <w:t>72. § </w:t>
      </w:r>
      <w:r>
        <w:rPr>
          <w:w w:val="125"/>
        </w:rPr>
        <w:t>(1) A kiemelt közvetítő és az általa az e tevékenységre igénybe vett, vele megbízási, illetve munkavégzésre irányuló egyéb jogviszonyban álló személy által e tevékenysége során okozott kárért a megbízó pénzügyi intézmény</w:t>
      </w:r>
      <w:r>
        <w:rPr>
          <w:spacing w:val="-1"/>
          <w:w w:val="125"/>
        </w:rPr>
        <w:t> </w:t>
      </w:r>
      <w:r>
        <w:rPr>
          <w:w w:val="125"/>
        </w:rPr>
        <w:t>felel.</w:t>
      </w:r>
    </w:p>
    <w:p>
      <w:pPr>
        <w:pStyle w:val="ListParagraph"/>
        <w:numPr>
          <w:ilvl w:val="0"/>
          <w:numId w:val="172"/>
        </w:numPr>
        <w:tabs>
          <w:tab w:pos="659" w:val="left" w:leader="none"/>
        </w:tabs>
        <w:spacing w:line="250" w:lineRule="exact" w:before="0" w:after="0"/>
        <w:ind w:left="658" w:right="0" w:hanging="341"/>
        <w:jc w:val="left"/>
        <w:rPr>
          <w:sz w:val="24"/>
        </w:rPr>
      </w:pPr>
      <w:r>
        <w:rPr>
          <w:i/>
          <w:w w:val="125"/>
          <w:position w:val="3"/>
          <w:sz w:val="18"/>
        </w:rPr>
        <w:t>4   </w:t>
      </w:r>
      <w:r>
        <w:rPr>
          <w:w w:val="125"/>
          <w:sz w:val="24"/>
        </w:rPr>
        <w:t>A  függő  közvetítő  a  pénzügyi  szolgáltatás  közvetítéséért  kizárólag</w:t>
      </w:r>
      <w:r>
        <w:rPr>
          <w:spacing w:val="56"/>
          <w:w w:val="125"/>
          <w:sz w:val="24"/>
        </w:rPr>
        <w:t> </w:t>
      </w:r>
      <w:r>
        <w:rPr>
          <w:w w:val="125"/>
          <w:sz w:val="24"/>
        </w:rPr>
        <w:t>a</w:t>
      </w:r>
    </w:p>
    <w:p>
      <w:pPr>
        <w:pStyle w:val="BodyText"/>
        <w:spacing w:line="225" w:lineRule="auto" w:before="12"/>
        <w:ind w:right="119" w:firstLine="0"/>
        <w:jc w:val="both"/>
      </w:pPr>
      <w:r>
        <w:rPr>
          <w:w w:val="125"/>
        </w:rPr>
        <w:t>megbízó pénzügyi intézménytől jogosult közvetítői díjra. E rendelkezés nem érinti a függő közvetítő azon jogosultságát, hogy a pénzügyi szolgáltatás közvetítését igénybe vevő ügyfele számára más - a pénzügyi szolgáltatás közvetítésének nem minősülő - szolgáltatása ellenértékeként díjat számítson   fel azzal, hogy hitel-tanácsadási tevékenység nyújtása  ellenértékeként  kizárólag akkor jogosult díjat felszámítani, ha az általa ajánlott jelzáloghitel vagy fogyasztónak nyújtott ingatlanra vonatkozó pénzügyi lízing után az érintett pénzügyi intézménytől nem kap közvetítői</w:t>
      </w:r>
      <w:r>
        <w:rPr>
          <w:spacing w:val="8"/>
          <w:w w:val="125"/>
        </w:rPr>
        <w:t> </w:t>
      </w:r>
      <w:r>
        <w:rPr>
          <w:w w:val="125"/>
        </w:rPr>
        <w:t>díjat.</w:t>
      </w:r>
    </w:p>
    <w:p>
      <w:pPr>
        <w:pStyle w:val="BodyText"/>
        <w:spacing w:line="253" w:lineRule="exact"/>
        <w:ind w:left="317" w:firstLine="0"/>
      </w:pPr>
      <w:r>
        <w:rPr>
          <w:w w:val="125"/>
        </w:rPr>
        <w:t>(2a)</w:t>
      </w:r>
      <w:r>
        <w:rPr>
          <w:i/>
          <w:w w:val="125"/>
          <w:position w:val="3"/>
          <w:sz w:val="18"/>
        </w:rPr>
        <w:t>5 </w:t>
      </w:r>
      <w:r>
        <w:rPr>
          <w:w w:val="125"/>
        </w:rPr>
        <w:t>A közvetítői díj időbeni ütemezése arányos a közvetített pénzügyi</w:t>
      </w:r>
    </w:p>
    <w:p>
      <w:pPr>
        <w:pStyle w:val="BodyText"/>
        <w:spacing w:line="260" w:lineRule="exact"/>
        <w:ind w:firstLine="0"/>
      </w:pPr>
      <w:r>
        <w:rPr>
          <w:w w:val="125"/>
        </w:rPr>
        <w:t>szolgáltatás futamidejével, valamint szerződésszerű teljesítésével.</w:t>
      </w:r>
    </w:p>
    <w:p>
      <w:pPr>
        <w:pStyle w:val="ListParagraph"/>
        <w:numPr>
          <w:ilvl w:val="0"/>
          <w:numId w:val="172"/>
        </w:numPr>
        <w:tabs>
          <w:tab w:pos="659" w:val="left" w:leader="none"/>
        </w:tabs>
        <w:spacing w:line="260" w:lineRule="exact" w:before="0" w:after="0"/>
        <w:ind w:left="658" w:right="0" w:hanging="341"/>
        <w:jc w:val="left"/>
        <w:rPr>
          <w:sz w:val="24"/>
        </w:rPr>
      </w:pPr>
      <w:r>
        <w:rPr>
          <w:i/>
          <w:w w:val="125"/>
          <w:position w:val="3"/>
          <w:sz w:val="18"/>
        </w:rPr>
        <w:t>6</w:t>
      </w:r>
      <w:r>
        <w:rPr>
          <w:i/>
          <w:spacing w:val="54"/>
          <w:w w:val="125"/>
          <w:position w:val="3"/>
          <w:sz w:val="18"/>
        </w:rPr>
        <w:t> </w:t>
      </w:r>
      <w:r>
        <w:rPr>
          <w:w w:val="125"/>
          <w:sz w:val="24"/>
        </w:rPr>
        <w:t>Jelzáloghitel</w:t>
      </w:r>
      <w:r>
        <w:rPr>
          <w:spacing w:val="35"/>
          <w:w w:val="125"/>
          <w:sz w:val="24"/>
        </w:rPr>
        <w:t> </w:t>
      </w:r>
      <w:r>
        <w:rPr>
          <w:w w:val="125"/>
          <w:sz w:val="24"/>
        </w:rPr>
        <w:t>közvetítői</w:t>
      </w:r>
      <w:r>
        <w:rPr>
          <w:spacing w:val="35"/>
          <w:w w:val="125"/>
          <w:sz w:val="24"/>
        </w:rPr>
        <w:t> </w:t>
      </w:r>
      <w:r>
        <w:rPr>
          <w:w w:val="125"/>
          <w:sz w:val="24"/>
        </w:rPr>
        <w:t>tevékenységet</w:t>
      </w:r>
      <w:r>
        <w:rPr>
          <w:spacing w:val="35"/>
          <w:w w:val="125"/>
          <w:sz w:val="24"/>
        </w:rPr>
        <w:t> </w:t>
      </w:r>
      <w:r>
        <w:rPr>
          <w:w w:val="125"/>
          <w:sz w:val="24"/>
        </w:rPr>
        <w:t>végző</w:t>
      </w:r>
      <w:r>
        <w:rPr>
          <w:spacing w:val="36"/>
          <w:w w:val="125"/>
          <w:sz w:val="24"/>
        </w:rPr>
        <w:t> </w:t>
      </w:r>
      <w:r>
        <w:rPr>
          <w:w w:val="125"/>
          <w:sz w:val="24"/>
        </w:rPr>
        <w:t>függő</w:t>
      </w:r>
      <w:r>
        <w:rPr>
          <w:spacing w:val="35"/>
          <w:w w:val="125"/>
          <w:sz w:val="24"/>
        </w:rPr>
        <w:t> </w:t>
      </w:r>
      <w:r>
        <w:rPr>
          <w:w w:val="125"/>
          <w:sz w:val="24"/>
        </w:rPr>
        <w:t>közvetítőt</w:t>
      </w:r>
      <w:r>
        <w:rPr>
          <w:spacing w:val="35"/>
          <w:w w:val="125"/>
          <w:sz w:val="24"/>
        </w:rPr>
        <w:t> </w:t>
      </w:r>
      <w:r>
        <w:rPr>
          <w:w w:val="125"/>
          <w:sz w:val="24"/>
        </w:rPr>
        <w:t>megillető</w:t>
      </w:r>
    </w:p>
    <w:p>
      <w:pPr>
        <w:pStyle w:val="BodyText"/>
        <w:spacing w:line="225" w:lineRule="auto" w:before="12"/>
        <w:ind w:right="126" w:firstLine="0"/>
        <w:jc w:val="both"/>
      </w:pPr>
      <w:r>
        <w:rPr>
          <w:w w:val="125"/>
        </w:rPr>
        <w:t>közvetítői díj mértéke nem haladhatja meg az adott  jelzáloghitel  folyósításakor, illetve ingatlanra vonatkozó pénzügyi lízing nyújtásakor meghatározott tőketartozás (pénzügyi lízing esetében ideértve a maradványértéket is) kettő százalékát. Fennálló jelzáloghitel-szerződés, illetve ingatlanra vonatkozó pénzügyi lízingszerződés módosítása során eljáró függő közvetítő tekintetében a közvetítői díj mértéke nem haladhatja meg a jelzáloghitel-szerződés módosításakor fennálló tőketartozás, illetve lízingszerződés alapján fennálló tartozás (ideértve a  maradványértéket  is)  kettő százalékát. A függő közvetítő a megbízó pénzügyi intézmény felé közvetítői díjat kizárólag az egyedi jelzáloghitelek és  lízingszerződések alapján, egyedileg számíthat fel, egyéb módon (így különösen a folyósított állomány alapján) további díjazást nem számíthat</w:t>
      </w:r>
      <w:r>
        <w:rPr>
          <w:spacing w:val="4"/>
          <w:w w:val="125"/>
        </w:rPr>
        <w:t> </w:t>
      </w:r>
      <w:r>
        <w:rPr>
          <w:w w:val="125"/>
        </w:rPr>
        <w:t>fel.</w:t>
      </w:r>
    </w:p>
    <w:p>
      <w:pPr>
        <w:pStyle w:val="BodyText"/>
        <w:spacing w:before="7"/>
        <w:ind w:left="0" w:firstLine="0"/>
        <w:rPr>
          <w:sz w:val="12"/>
        </w:rPr>
      </w:pPr>
      <w:r>
        <w:rPr/>
        <w:pict>
          <v:line style="position:absolute;mso-position-horizontal-relative:page;mso-position-vertical-relative:paragraph;z-index:104;mso-wrap-distance-left:0;mso-wrap-distance-right:0" from="56.693001pt,9.46489pt" to="538.583001pt,9.46489pt" stroked="true" strokeweight=".5pt" strokecolor="#000000">
            <v:stroke dashstyle="solid"/>
            <w10:wrap type="topAndBottom"/>
          </v:line>
        </w:pict>
      </w:r>
    </w:p>
    <w:p>
      <w:pPr>
        <w:pStyle w:val="ListParagraph"/>
        <w:numPr>
          <w:ilvl w:val="0"/>
          <w:numId w:val="173"/>
        </w:numPr>
        <w:tabs>
          <w:tab w:pos="686" w:val="left" w:leader="none"/>
          <w:tab w:pos="687" w:val="left" w:leader="none"/>
        </w:tabs>
        <w:spacing w:line="203" w:lineRule="exact" w:before="44" w:after="0"/>
        <w:ind w:left="686" w:right="0" w:hanging="344"/>
        <w:jc w:val="left"/>
        <w:rPr>
          <w:i/>
          <w:sz w:val="18"/>
        </w:rPr>
      </w:pPr>
      <w:r>
        <w:rPr>
          <w:i/>
          <w:w w:val="125"/>
          <w:sz w:val="18"/>
        </w:rPr>
        <w:t>Módosította: 2017. évi LXIX. törvény 178. §</w:t>
      </w:r>
      <w:r>
        <w:rPr>
          <w:i/>
          <w:spacing w:val="-4"/>
          <w:w w:val="125"/>
          <w:sz w:val="18"/>
        </w:rPr>
        <w:t> </w:t>
      </w:r>
      <w:r>
        <w:rPr>
          <w:i/>
          <w:w w:val="125"/>
          <w:sz w:val="18"/>
        </w:rPr>
        <w:t>a).</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0"/>
          <w:sz w:val="18"/>
        </w:rPr>
        <w:t>Beiktatta: 2016. évi LIII. törvény 121. § (2). Hatályos: 2016. VII.</w:t>
      </w:r>
      <w:r>
        <w:rPr>
          <w:i/>
          <w:spacing w:val="52"/>
          <w:w w:val="120"/>
          <w:sz w:val="18"/>
        </w:rPr>
        <w:t> </w:t>
      </w:r>
      <w:r>
        <w:rPr>
          <w:i/>
          <w:w w:val="120"/>
          <w:sz w:val="18"/>
        </w:rPr>
        <w:t>1-től.</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2016. évi LXVII. törvény 224. §. Hatálytalan: 2017. I.</w:t>
      </w:r>
      <w:r>
        <w:rPr>
          <w:i/>
          <w:spacing w:val="-22"/>
          <w:w w:val="125"/>
          <w:sz w:val="18"/>
        </w:rPr>
        <w:t> </w:t>
      </w:r>
      <w:r>
        <w:rPr>
          <w:i/>
          <w:w w:val="125"/>
          <w:sz w:val="18"/>
        </w:rPr>
        <w:t>1-től.</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126. § (1). Hatályos: 2016. III.</w:t>
      </w:r>
      <w:r>
        <w:rPr>
          <w:i/>
          <w:spacing w:val="-28"/>
          <w:w w:val="125"/>
          <w:sz w:val="18"/>
        </w:rPr>
        <w:t> </w:t>
      </w:r>
      <w:r>
        <w:rPr>
          <w:i/>
          <w:w w:val="125"/>
          <w:sz w:val="18"/>
        </w:rPr>
        <w:t>21-től.</w:t>
      </w:r>
    </w:p>
    <w:p>
      <w:pPr>
        <w:pStyle w:val="ListParagraph"/>
        <w:numPr>
          <w:ilvl w:val="0"/>
          <w:numId w:val="173"/>
        </w:numPr>
        <w:tabs>
          <w:tab w:pos="686" w:val="left" w:leader="none"/>
          <w:tab w:pos="687" w:val="left" w:leader="none"/>
        </w:tabs>
        <w:spacing w:line="200" w:lineRule="exact" w:before="0" w:after="0"/>
        <w:ind w:left="686" w:right="0" w:hanging="344"/>
        <w:jc w:val="left"/>
        <w:rPr>
          <w:i/>
          <w:sz w:val="18"/>
        </w:rPr>
      </w:pPr>
      <w:r>
        <w:rPr>
          <w:i/>
          <w:w w:val="120"/>
          <w:sz w:val="18"/>
        </w:rPr>
        <w:t>Beiktatta: 2017. évi LXIX. törvény 166. § (1). Hatályos: 2017. VII.</w:t>
      </w:r>
      <w:r>
        <w:rPr>
          <w:i/>
          <w:spacing w:val="52"/>
          <w:w w:val="120"/>
          <w:sz w:val="18"/>
        </w:rPr>
        <w:t> </w:t>
      </w:r>
      <w:r>
        <w:rPr>
          <w:i/>
          <w:w w:val="120"/>
          <w:sz w:val="18"/>
        </w:rPr>
        <w:t>1-től.</w:t>
      </w:r>
    </w:p>
    <w:p>
      <w:pPr>
        <w:pStyle w:val="ListParagraph"/>
        <w:numPr>
          <w:ilvl w:val="0"/>
          <w:numId w:val="173"/>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LXIX. törvény 166. § (2). Hatályos: 2017. VII.</w:t>
      </w:r>
      <w:r>
        <w:rPr>
          <w:i/>
          <w:spacing w:val="-25"/>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12"/>
        <w:jc w:val="both"/>
      </w:pPr>
      <w:r>
        <w:rPr>
          <w:w w:val="125"/>
        </w:rPr>
        <w:t>(3a)</w:t>
      </w:r>
      <w:r>
        <w:rPr>
          <w:i/>
          <w:w w:val="125"/>
          <w:position w:val="3"/>
          <w:sz w:val="18"/>
        </w:rPr>
        <w:t>1 </w:t>
      </w:r>
      <w:r>
        <w:rPr>
          <w:w w:val="125"/>
        </w:rPr>
        <w:t>A (3) bekezdés vonatkozásában közvetítői díjnak kell tekinteni minden olyan pénzben vagy természetben juttatott  további  térítést,  amelyet  a közvetítő vagy a közvetítővel kapcsolatban álló harmadik személy a pénzügyi szolgáltatást nyújtó személytől, pénzügyi szolgáltatást nyújtó személy felett ellenőrző befolyással rendelkező személytől vagy az utóbbi ellenőrző befolyása alatt álló más személytől kap bármely pénzügyi szolgáltatási, kiegészítő pénzügyi szolgáltatási, befektetési szolgáltatási és kiegészítő befektetési szolgáltatási tevékenységnek nem minősülő jogviszony alapján. Nem kell közvetítői díjnak tekinteni az anyavállalat által a leányvállalat, illetve a leányvállalat által az anyavállalat számára kiemelt közvetítői jogviszony keretében végzett pénzügyi szolgáltatási, kiegészítő pénzügyi szolgáltatási, befektetési szolgáltatási és kiegészítő befektetési szolgáltatási tevékenység alapján pénzben juttatott térítést, amennyiben mind az anyavállalat, mind a leányvállalat hitelintézet.</w:t>
      </w:r>
    </w:p>
    <w:p>
      <w:pPr>
        <w:spacing w:line="256" w:lineRule="exact" w:before="0"/>
        <w:ind w:left="317" w:right="0" w:firstLine="0"/>
        <w:jc w:val="left"/>
        <w:rPr>
          <w:i/>
          <w:sz w:val="18"/>
        </w:rPr>
      </w:pPr>
      <w:r>
        <w:rPr>
          <w:w w:val="125"/>
          <w:sz w:val="24"/>
        </w:rPr>
        <w:t>(4)</w:t>
      </w:r>
      <w:r>
        <w:rPr>
          <w:i/>
          <w:w w:val="125"/>
          <w:position w:val="3"/>
          <w:sz w:val="18"/>
        </w:rPr>
        <w:t>2</w:t>
      </w:r>
    </w:p>
    <w:p>
      <w:pPr>
        <w:pStyle w:val="ListParagraph"/>
        <w:numPr>
          <w:ilvl w:val="0"/>
          <w:numId w:val="174"/>
        </w:numPr>
        <w:tabs>
          <w:tab w:pos="659" w:val="left" w:leader="none"/>
        </w:tabs>
        <w:spacing w:line="260" w:lineRule="exact" w:before="0" w:after="0"/>
        <w:ind w:left="658" w:right="0" w:hanging="341"/>
        <w:jc w:val="left"/>
        <w:rPr>
          <w:sz w:val="24"/>
        </w:rPr>
      </w:pPr>
      <w:r>
        <w:rPr>
          <w:i/>
          <w:w w:val="120"/>
          <w:position w:val="3"/>
          <w:sz w:val="18"/>
        </w:rPr>
        <w:t>3 </w:t>
      </w:r>
      <w:r>
        <w:rPr>
          <w:w w:val="120"/>
          <w:sz w:val="24"/>
        </w:rPr>
        <w:t>A függő ügynök az általa megbízott közvetítői alvállalkozó</w:t>
      </w:r>
      <w:r>
        <w:rPr>
          <w:spacing w:val="32"/>
          <w:w w:val="120"/>
          <w:sz w:val="24"/>
        </w:rPr>
        <w:t> </w:t>
      </w:r>
      <w:r>
        <w:rPr>
          <w:w w:val="120"/>
          <w:sz w:val="24"/>
        </w:rPr>
        <w:t>személyét,</w:t>
      </w:r>
    </w:p>
    <w:p>
      <w:pPr>
        <w:pStyle w:val="BodyText"/>
        <w:spacing w:line="225" w:lineRule="auto" w:before="12"/>
        <w:ind w:right="130" w:firstLine="0"/>
        <w:jc w:val="both"/>
      </w:pPr>
      <w:r>
        <w:rPr>
          <w:w w:val="125"/>
        </w:rPr>
        <w:t>valamint a közvetítői alvállalkozó megbízásának megszűnését két munkanapon belül bejelenti a megbízó pénzügyi intézménynek annak érdekében, hogy a pénzügyi intézmény teljesíteni tudja a 21. § (2) bekezdésében foglalt kötelezettségét.</w:t>
      </w:r>
    </w:p>
    <w:p>
      <w:pPr>
        <w:pStyle w:val="ListParagraph"/>
        <w:numPr>
          <w:ilvl w:val="0"/>
          <w:numId w:val="174"/>
        </w:numPr>
        <w:tabs>
          <w:tab w:pos="834" w:val="left" w:leader="none"/>
        </w:tabs>
        <w:spacing w:line="225" w:lineRule="auto" w:before="2" w:after="0"/>
        <w:ind w:left="113" w:right="117" w:firstLine="204"/>
        <w:jc w:val="both"/>
        <w:rPr>
          <w:sz w:val="24"/>
        </w:rPr>
      </w:pPr>
      <w:r>
        <w:rPr>
          <w:w w:val="130"/>
          <w:sz w:val="24"/>
        </w:rPr>
        <w:t>A kizárólag magánszemélyek részére a mindennapi élet felszerelési tárgyainak, tartós fogyasztási cikkeinek (ide nem értve a gépjárművet) megvásárlásához nyújtott hitel- és pénzkölcsönt</w:t>
      </w:r>
      <w:r>
        <w:rPr>
          <w:spacing w:val="27"/>
          <w:w w:val="130"/>
          <w:sz w:val="24"/>
        </w:rPr>
        <w:t> </w:t>
      </w:r>
      <w:r>
        <w:rPr>
          <w:w w:val="130"/>
          <w:sz w:val="24"/>
        </w:rPr>
        <w:t>közvetítő függő ügynökre a</w:t>
      </w:r>
    </w:p>
    <w:p>
      <w:pPr>
        <w:pStyle w:val="ListParagraph"/>
        <w:numPr>
          <w:ilvl w:val="0"/>
          <w:numId w:val="175"/>
        </w:numPr>
        <w:tabs>
          <w:tab w:pos="572" w:val="left" w:leader="none"/>
        </w:tabs>
        <w:spacing w:line="247" w:lineRule="exact" w:before="0" w:after="0"/>
        <w:ind w:left="571" w:right="0" w:hanging="458"/>
        <w:jc w:val="both"/>
        <w:rPr>
          <w:sz w:val="24"/>
        </w:rPr>
      </w:pPr>
      <w:r>
        <w:rPr>
          <w:w w:val="130"/>
          <w:sz w:val="24"/>
        </w:rPr>
        <w:t>§-ban foglalt rendelkezéseket nem szükséges</w:t>
      </w:r>
      <w:r>
        <w:rPr>
          <w:spacing w:val="-41"/>
          <w:w w:val="130"/>
          <w:sz w:val="24"/>
        </w:rPr>
        <w:t> </w:t>
      </w:r>
      <w:r>
        <w:rPr>
          <w:w w:val="130"/>
          <w:sz w:val="24"/>
        </w:rPr>
        <w:t>alkalmazni.</w:t>
      </w:r>
    </w:p>
    <w:p>
      <w:pPr>
        <w:pStyle w:val="BodyText"/>
        <w:tabs>
          <w:tab w:pos="1301" w:val="left" w:leader="none"/>
          <w:tab w:pos="1836" w:val="left" w:leader="none"/>
          <w:tab w:pos="2296" w:val="left" w:leader="none"/>
          <w:tab w:pos="3687" w:val="left" w:leader="none"/>
          <w:tab w:pos="5406" w:val="left" w:leader="none"/>
          <w:tab w:pos="7258" w:val="left" w:leader="none"/>
          <w:tab w:pos="8160" w:val="left" w:leader="none"/>
          <w:tab w:pos="8590" w:val="left" w:leader="none"/>
        </w:tabs>
        <w:spacing w:line="262" w:lineRule="exact"/>
        <w:ind w:left="317" w:firstLine="0"/>
      </w:pPr>
      <w:r>
        <w:rPr>
          <w:rFonts w:ascii="Arial" w:hAnsi="Arial"/>
          <w:b/>
          <w:w w:val="120"/>
        </w:rPr>
        <w:t>72/A.</w:t>
        <w:tab/>
        <w:t>§</w:t>
      </w:r>
      <w:r>
        <w:rPr>
          <w:i/>
          <w:w w:val="120"/>
          <w:position w:val="3"/>
          <w:sz w:val="18"/>
        </w:rPr>
        <w:t>4</w:t>
        <w:tab/>
      </w:r>
      <w:r>
        <w:rPr>
          <w:w w:val="120"/>
        </w:rPr>
        <w:t>A</w:t>
        <w:tab/>
        <w:t>közvetítő</w:t>
        <w:tab/>
        <w:t>alvállalkozó</w:t>
        <w:tab/>
        <w:t>tájékoztatást</w:t>
        <w:tab/>
        <w:t>nyújt</w:t>
        <w:tab/>
        <w:t>a</w:t>
        <w:tab/>
        <w:t>fogyasztó</w:t>
      </w:r>
    </w:p>
    <w:p>
      <w:pPr>
        <w:pStyle w:val="BodyText"/>
        <w:spacing w:line="225" w:lineRule="auto" w:before="13"/>
        <w:ind w:firstLine="0"/>
      </w:pPr>
      <w:r>
        <w:rPr>
          <w:w w:val="130"/>
        </w:rPr>
        <w:t>megkeresésekor arról, hogy milyen minőségben jár el és melyik közvetítőt képviseli.</w:t>
      </w:r>
    </w:p>
    <w:p>
      <w:pPr>
        <w:pStyle w:val="BodyText"/>
        <w:spacing w:before="2"/>
        <w:ind w:left="0" w:firstLine="0"/>
        <w:rPr>
          <w:sz w:val="11"/>
        </w:rPr>
      </w:pPr>
    </w:p>
    <w:p>
      <w:pPr>
        <w:pStyle w:val="BodyText"/>
        <w:spacing w:before="99"/>
        <w:ind w:left="1488" w:firstLine="0"/>
      </w:pPr>
      <w:r>
        <w:rPr>
          <w:w w:val="125"/>
        </w:rPr>
        <w:t>31. Függő és független közvetítő szakmai követelményei</w:t>
      </w:r>
    </w:p>
    <w:p>
      <w:pPr>
        <w:pStyle w:val="ListParagraph"/>
        <w:numPr>
          <w:ilvl w:val="1"/>
          <w:numId w:val="175"/>
        </w:numPr>
        <w:tabs>
          <w:tab w:pos="968" w:val="left" w:leader="none"/>
        </w:tabs>
        <w:spacing w:line="225" w:lineRule="auto" w:before="236" w:after="0"/>
        <w:ind w:left="113" w:right="126" w:firstLine="204"/>
        <w:jc w:val="both"/>
        <w:rPr>
          <w:sz w:val="24"/>
        </w:rPr>
      </w:pPr>
      <w:r>
        <w:rPr>
          <w:rFonts w:ascii="Arial" w:hAnsi="Arial"/>
          <w:b/>
          <w:w w:val="125"/>
          <w:sz w:val="24"/>
        </w:rPr>
        <w:t>§ </w:t>
      </w:r>
      <w:r>
        <w:rPr>
          <w:w w:val="125"/>
          <w:sz w:val="24"/>
        </w:rPr>
        <w:t>(1) A közvetítő nem jogosult az ügyfél nevében a pénzügyi intézménytől az ügyfelet megillető pénz</w:t>
      </w:r>
      <w:r>
        <w:rPr>
          <w:spacing w:val="8"/>
          <w:w w:val="125"/>
          <w:sz w:val="24"/>
        </w:rPr>
        <w:t> </w:t>
      </w:r>
      <w:r>
        <w:rPr>
          <w:w w:val="125"/>
          <w:sz w:val="24"/>
        </w:rPr>
        <w:t>átvételére.</w:t>
      </w:r>
    </w:p>
    <w:p>
      <w:pPr>
        <w:pStyle w:val="ListParagraph"/>
        <w:numPr>
          <w:ilvl w:val="0"/>
          <w:numId w:val="176"/>
        </w:numPr>
        <w:tabs>
          <w:tab w:pos="815" w:val="left" w:leader="none"/>
        </w:tabs>
        <w:spacing w:line="225" w:lineRule="auto" w:before="1" w:after="0"/>
        <w:ind w:left="113" w:right="123" w:firstLine="204"/>
        <w:jc w:val="both"/>
        <w:rPr>
          <w:sz w:val="24"/>
        </w:rPr>
      </w:pPr>
      <w:r>
        <w:rPr>
          <w:w w:val="130"/>
          <w:sz w:val="24"/>
        </w:rPr>
        <w:t>A közvetítő köteles az ügyfél által befizetett, a pénzügyi intézményt megillető</w:t>
      </w:r>
      <w:r>
        <w:rPr>
          <w:spacing w:val="-10"/>
          <w:w w:val="130"/>
          <w:sz w:val="24"/>
        </w:rPr>
        <w:t> </w:t>
      </w:r>
      <w:r>
        <w:rPr>
          <w:w w:val="130"/>
          <w:sz w:val="24"/>
        </w:rPr>
        <w:t>pénzösszegeket</w:t>
      </w:r>
      <w:r>
        <w:rPr>
          <w:spacing w:val="-10"/>
          <w:w w:val="130"/>
          <w:sz w:val="24"/>
        </w:rPr>
        <w:t> </w:t>
      </w:r>
      <w:r>
        <w:rPr>
          <w:w w:val="130"/>
          <w:sz w:val="24"/>
        </w:rPr>
        <w:t>elkülönített</w:t>
      </w:r>
      <w:r>
        <w:rPr>
          <w:spacing w:val="-10"/>
          <w:w w:val="130"/>
          <w:sz w:val="24"/>
        </w:rPr>
        <w:t> </w:t>
      </w:r>
      <w:r>
        <w:rPr>
          <w:w w:val="130"/>
          <w:sz w:val="24"/>
        </w:rPr>
        <w:t>számlán</w:t>
      </w:r>
      <w:r>
        <w:rPr>
          <w:spacing w:val="-10"/>
          <w:w w:val="130"/>
          <w:sz w:val="24"/>
        </w:rPr>
        <w:t> </w:t>
      </w:r>
      <w:r>
        <w:rPr>
          <w:w w:val="130"/>
          <w:sz w:val="24"/>
        </w:rPr>
        <w:t>tartani.</w:t>
      </w:r>
      <w:r>
        <w:rPr>
          <w:spacing w:val="-10"/>
          <w:w w:val="130"/>
          <w:sz w:val="24"/>
        </w:rPr>
        <w:t> </w:t>
      </w:r>
      <w:r>
        <w:rPr>
          <w:w w:val="130"/>
          <w:sz w:val="24"/>
        </w:rPr>
        <w:t>Ezek</w:t>
      </w:r>
      <w:r>
        <w:rPr>
          <w:spacing w:val="-10"/>
          <w:w w:val="130"/>
          <w:sz w:val="24"/>
        </w:rPr>
        <w:t> </w:t>
      </w:r>
      <w:r>
        <w:rPr>
          <w:w w:val="130"/>
          <w:sz w:val="24"/>
        </w:rPr>
        <w:t>a</w:t>
      </w:r>
      <w:r>
        <w:rPr>
          <w:spacing w:val="-9"/>
          <w:w w:val="130"/>
          <w:sz w:val="24"/>
        </w:rPr>
        <w:t> </w:t>
      </w:r>
      <w:r>
        <w:rPr>
          <w:w w:val="130"/>
          <w:sz w:val="24"/>
        </w:rPr>
        <w:t>pénzösszegek</w:t>
      </w:r>
      <w:r>
        <w:rPr>
          <w:spacing w:val="-11"/>
          <w:w w:val="130"/>
          <w:sz w:val="24"/>
        </w:rPr>
        <w:t> </w:t>
      </w:r>
      <w:r>
        <w:rPr>
          <w:w w:val="130"/>
          <w:sz w:val="24"/>
        </w:rPr>
        <w:t>a közvetítő más hitelezői kielégítésére végrehajtási és felszámolási eljárás esetén nem használhatók</w:t>
      </w:r>
      <w:r>
        <w:rPr>
          <w:spacing w:val="-10"/>
          <w:w w:val="130"/>
          <w:sz w:val="24"/>
        </w:rPr>
        <w:t> </w:t>
      </w:r>
      <w:r>
        <w:rPr>
          <w:w w:val="130"/>
          <w:sz w:val="24"/>
        </w:rPr>
        <w:t>fel.</w:t>
      </w:r>
    </w:p>
    <w:p>
      <w:pPr>
        <w:pStyle w:val="ListParagraph"/>
        <w:numPr>
          <w:ilvl w:val="0"/>
          <w:numId w:val="176"/>
        </w:numPr>
        <w:tabs>
          <w:tab w:pos="810" w:val="left" w:leader="none"/>
        </w:tabs>
        <w:spacing w:line="225" w:lineRule="auto" w:before="3" w:after="0"/>
        <w:ind w:left="113" w:right="128" w:firstLine="204"/>
        <w:jc w:val="both"/>
        <w:rPr>
          <w:sz w:val="24"/>
        </w:rPr>
      </w:pPr>
      <w:r>
        <w:rPr>
          <w:w w:val="130"/>
          <w:sz w:val="24"/>
        </w:rPr>
        <w:t>A (2) bekezdés szerinti elkülönített számlának tekintendő az a letéti számla,</w:t>
      </w:r>
      <w:r>
        <w:rPr>
          <w:spacing w:val="-7"/>
          <w:w w:val="130"/>
          <w:sz w:val="24"/>
        </w:rPr>
        <w:t> </w:t>
      </w:r>
      <w:r>
        <w:rPr>
          <w:w w:val="130"/>
          <w:sz w:val="24"/>
        </w:rPr>
        <w:t>amelyen</w:t>
      </w:r>
      <w:r>
        <w:rPr>
          <w:spacing w:val="-6"/>
          <w:w w:val="130"/>
          <w:sz w:val="24"/>
        </w:rPr>
        <w:t> </w:t>
      </w:r>
      <w:r>
        <w:rPr>
          <w:w w:val="130"/>
          <w:sz w:val="24"/>
        </w:rPr>
        <w:t>a</w:t>
      </w:r>
      <w:r>
        <w:rPr>
          <w:spacing w:val="-7"/>
          <w:w w:val="130"/>
          <w:sz w:val="24"/>
        </w:rPr>
        <w:t> </w:t>
      </w:r>
      <w:r>
        <w:rPr>
          <w:w w:val="130"/>
          <w:sz w:val="24"/>
        </w:rPr>
        <w:t>közvetítő</w:t>
      </w:r>
      <w:r>
        <w:rPr>
          <w:spacing w:val="-7"/>
          <w:w w:val="130"/>
          <w:sz w:val="24"/>
        </w:rPr>
        <w:t> </w:t>
      </w:r>
      <w:r>
        <w:rPr>
          <w:w w:val="130"/>
          <w:sz w:val="24"/>
        </w:rPr>
        <w:t>kizárólag</w:t>
      </w:r>
      <w:r>
        <w:rPr>
          <w:spacing w:val="-7"/>
          <w:w w:val="130"/>
          <w:sz w:val="24"/>
        </w:rPr>
        <w:t> </w:t>
      </w:r>
      <w:r>
        <w:rPr>
          <w:w w:val="130"/>
          <w:sz w:val="24"/>
        </w:rPr>
        <w:t>az</w:t>
      </w:r>
      <w:r>
        <w:rPr>
          <w:spacing w:val="-7"/>
          <w:w w:val="130"/>
          <w:sz w:val="24"/>
        </w:rPr>
        <w:t> </w:t>
      </w:r>
      <w:r>
        <w:rPr>
          <w:w w:val="130"/>
          <w:sz w:val="24"/>
        </w:rPr>
        <w:t>ügyfelek</w:t>
      </w:r>
      <w:r>
        <w:rPr>
          <w:spacing w:val="-6"/>
          <w:w w:val="130"/>
          <w:sz w:val="24"/>
        </w:rPr>
        <w:t> </w:t>
      </w:r>
      <w:r>
        <w:rPr>
          <w:w w:val="130"/>
          <w:sz w:val="24"/>
        </w:rPr>
        <w:t>által</w:t>
      </w:r>
      <w:r>
        <w:rPr>
          <w:spacing w:val="-7"/>
          <w:w w:val="130"/>
          <w:sz w:val="24"/>
        </w:rPr>
        <w:t> </w:t>
      </w:r>
      <w:r>
        <w:rPr>
          <w:w w:val="130"/>
          <w:sz w:val="24"/>
        </w:rPr>
        <w:t>befizetett,</w:t>
      </w:r>
      <w:r>
        <w:rPr>
          <w:spacing w:val="-6"/>
          <w:w w:val="130"/>
          <w:sz w:val="24"/>
        </w:rPr>
        <w:t> </w:t>
      </w:r>
      <w:r>
        <w:rPr>
          <w:w w:val="130"/>
          <w:sz w:val="24"/>
        </w:rPr>
        <w:t>a</w:t>
      </w:r>
      <w:r>
        <w:rPr>
          <w:spacing w:val="-7"/>
          <w:w w:val="130"/>
          <w:sz w:val="24"/>
        </w:rPr>
        <w:t> </w:t>
      </w:r>
      <w:r>
        <w:rPr>
          <w:w w:val="130"/>
          <w:sz w:val="24"/>
        </w:rPr>
        <w:t>pénzügyi intézményt megillető pénzösszegeket</w:t>
      </w:r>
      <w:r>
        <w:rPr>
          <w:spacing w:val="-14"/>
          <w:w w:val="130"/>
          <w:sz w:val="24"/>
        </w:rPr>
        <w:t> </w:t>
      </w:r>
      <w:r>
        <w:rPr>
          <w:w w:val="130"/>
          <w:sz w:val="24"/>
        </w:rPr>
        <w:t>tarthatja.</w:t>
      </w:r>
    </w:p>
    <w:p>
      <w:pPr>
        <w:pStyle w:val="ListParagraph"/>
        <w:numPr>
          <w:ilvl w:val="1"/>
          <w:numId w:val="175"/>
        </w:numPr>
        <w:tabs>
          <w:tab w:pos="825" w:val="left" w:leader="none"/>
        </w:tabs>
        <w:spacing w:line="256" w:lineRule="exact" w:before="0" w:after="0"/>
        <w:ind w:left="824" w:right="0" w:hanging="507"/>
        <w:jc w:val="left"/>
        <w:rPr>
          <w:sz w:val="24"/>
        </w:rPr>
      </w:pPr>
      <w:r>
        <w:rPr>
          <w:rFonts w:ascii="Arial" w:hAnsi="Arial"/>
          <w:b/>
          <w:w w:val="120"/>
          <w:sz w:val="24"/>
        </w:rPr>
        <w:t>§</w:t>
      </w:r>
      <w:r>
        <w:rPr>
          <w:rFonts w:ascii="Arial" w:hAnsi="Arial"/>
          <w:b/>
          <w:spacing w:val="28"/>
          <w:w w:val="120"/>
          <w:sz w:val="24"/>
        </w:rPr>
        <w:t> </w:t>
      </w:r>
      <w:r>
        <w:rPr>
          <w:w w:val="120"/>
          <w:sz w:val="24"/>
        </w:rPr>
        <w:t>(1)</w:t>
      </w:r>
      <w:r>
        <w:rPr>
          <w:spacing w:val="19"/>
          <w:w w:val="120"/>
          <w:sz w:val="24"/>
        </w:rPr>
        <w:t> </w:t>
      </w:r>
      <w:r>
        <w:rPr>
          <w:w w:val="120"/>
          <w:sz w:val="24"/>
        </w:rPr>
        <w:t>A</w:t>
      </w:r>
      <w:r>
        <w:rPr>
          <w:spacing w:val="22"/>
          <w:w w:val="120"/>
          <w:sz w:val="24"/>
        </w:rPr>
        <w:t> </w:t>
      </w:r>
      <w:r>
        <w:rPr>
          <w:w w:val="120"/>
          <w:sz w:val="24"/>
        </w:rPr>
        <w:t>közvetítővel,</w:t>
      </w:r>
      <w:r>
        <w:rPr>
          <w:spacing w:val="23"/>
          <w:w w:val="120"/>
          <w:sz w:val="24"/>
        </w:rPr>
        <w:t> </w:t>
      </w:r>
      <w:r>
        <w:rPr>
          <w:w w:val="120"/>
          <w:sz w:val="24"/>
        </w:rPr>
        <w:t>a</w:t>
      </w:r>
      <w:r>
        <w:rPr>
          <w:spacing w:val="23"/>
          <w:w w:val="120"/>
          <w:sz w:val="24"/>
        </w:rPr>
        <w:t> </w:t>
      </w:r>
      <w:r>
        <w:rPr>
          <w:w w:val="120"/>
          <w:sz w:val="24"/>
        </w:rPr>
        <w:t>közvetítői</w:t>
      </w:r>
      <w:r>
        <w:rPr>
          <w:spacing w:val="22"/>
          <w:w w:val="120"/>
          <w:sz w:val="24"/>
        </w:rPr>
        <w:t> </w:t>
      </w:r>
      <w:r>
        <w:rPr>
          <w:w w:val="120"/>
          <w:sz w:val="24"/>
        </w:rPr>
        <w:t>alvállalkozóval</w:t>
      </w:r>
      <w:r>
        <w:rPr>
          <w:spacing w:val="23"/>
          <w:w w:val="120"/>
          <w:sz w:val="24"/>
        </w:rPr>
        <w:t> </w:t>
      </w:r>
      <w:r>
        <w:rPr>
          <w:w w:val="120"/>
          <w:sz w:val="24"/>
        </w:rPr>
        <w:t>-</w:t>
      </w:r>
      <w:r>
        <w:rPr>
          <w:spacing w:val="34"/>
          <w:w w:val="120"/>
          <w:sz w:val="24"/>
        </w:rPr>
        <w:t> </w:t>
      </w:r>
      <w:r>
        <w:rPr>
          <w:w w:val="120"/>
          <w:sz w:val="24"/>
        </w:rPr>
        <w:t>e</w:t>
      </w:r>
      <w:r>
        <w:rPr>
          <w:spacing w:val="11"/>
          <w:w w:val="120"/>
          <w:sz w:val="24"/>
        </w:rPr>
        <w:t> </w:t>
      </w:r>
      <w:r>
        <w:rPr>
          <w:w w:val="120"/>
          <w:sz w:val="24"/>
        </w:rPr>
        <w:t>tevékenységi</w:t>
      </w:r>
      <w:r>
        <w:rPr>
          <w:spacing w:val="23"/>
          <w:w w:val="120"/>
          <w:sz w:val="24"/>
        </w:rPr>
        <w:t> </w:t>
      </w:r>
      <w:r>
        <w:rPr>
          <w:w w:val="120"/>
          <w:sz w:val="24"/>
        </w:rPr>
        <w:t>körében</w:t>
      </w:r>
    </w:p>
    <w:p>
      <w:pPr>
        <w:pStyle w:val="ListParagraph"/>
        <w:numPr>
          <w:ilvl w:val="0"/>
          <w:numId w:val="6"/>
        </w:numPr>
        <w:tabs>
          <w:tab w:pos="273" w:val="left" w:leader="none"/>
        </w:tabs>
        <w:spacing w:line="225" w:lineRule="auto" w:before="5" w:after="0"/>
        <w:ind w:left="113" w:right="127" w:firstLine="0"/>
        <w:jc w:val="both"/>
        <w:rPr>
          <w:i/>
          <w:sz w:val="18"/>
        </w:rPr>
      </w:pPr>
      <w:r>
        <w:rPr>
          <w:w w:val="125"/>
          <w:sz w:val="24"/>
        </w:rPr>
        <w:t>munkaviszonyban, megbízási viszonyban vagy munkavégzésre irányuló egyéb jogviszonyban - a (3) bekezdésben meghatározott eltéréssel - csak olyan természetes személy lehet, aki büntetlen előéletű</w:t>
      </w:r>
      <w:r>
        <w:rPr>
          <w:spacing w:val="21"/>
          <w:w w:val="125"/>
          <w:sz w:val="24"/>
        </w:rPr>
        <w:t> </w:t>
      </w:r>
      <w:r>
        <w:rPr>
          <w:w w:val="125"/>
          <w:sz w:val="24"/>
        </w:rPr>
        <w:t>és</w:t>
      </w:r>
      <w:r>
        <w:rPr>
          <w:i/>
          <w:w w:val="125"/>
          <w:position w:val="3"/>
          <w:sz w:val="18"/>
        </w:rPr>
        <w:t>5</w:t>
      </w:r>
    </w:p>
    <w:p>
      <w:pPr>
        <w:pStyle w:val="ListParagraph"/>
        <w:numPr>
          <w:ilvl w:val="0"/>
          <w:numId w:val="177"/>
        </w:numPr>
        <w:tabs>
          <w:tab w:pos="631" w:val="left" w:leader="none"/>
        </w:tabs>
        <w:spacing w:line="256" w:lineRule="exact" w:before="0" w:after="0"/>
        <w:ind w:left="630" w:right="0" w:hanging="313"/>
        <w:jc w:val="left"/>
        <w:rPr>
          <w:sz w:val="24"/>
        </w:rPr>
      </w:pPr>
      <w:r>
        <w:rPr>
          <w:w w:val="125"/>
          <w:sz w:val="24"/>
        </w:rPr>
        <w:t>szakirányú felsőfokú iskolai végzettséggel, vagy</w:t>
      </w:r>
    </w:p>
    <w:p>
      <w:pPr>
        <w:pStyle w:val="ListParagraph"/>
        <w:numPr>
          <w:ilvl w:val="0"/>
          <w:numId w:val="177"/>
        </w:numPr>
        <w:tabs>
          <w:tab w:pos="653" w:val="left" w:leader="none"/>
        </w:tabs>
        <w:spacing w:line="260" w:lineRule="exact" w:before="0" w:after="0"/>
        <w:ind w:left="652" w:right="0" w:hanging="335"/>
        <w:jc w:val="left"/>
        <w:rPr>
          <w:sz w:val="24"/>
        </w:rPr>
      </w:pPr>
      <w:r>
        <w:rPr>
          <w:w w:val="130"/>
          <w:sz w:val="24"/>
        </w:rPr>
        <w:t>középiskolai végzettséggel</w:t>
      </w:r>
      <w:r>
        <w:rPr>
          <w:spacing w:val="-20"/>
          <w:w w:val="130"/>
          <w:sz w:val="24"/>
        </w:rPr>
        <w:t> </w:t>
      </w:r>
      <w:r>
        <w:rPr>
          <w:w w:val="130"/>
          <w:sz w:val="24"/>
        </w:rPr>
        <w:t>és</w:t>
      </w:r>
    </w:p>
    <w:p>
      <w:pPr>
        <w:pStyle w:val="BodyText"/>
        <w:spacing w:line="260" w:lineRule="exact"/>
        <w:ind w:left="317" w:firstLine="0"/>
      </w:pPr>
      <w:r>
        <w:rPr>
          <w:i/>
          <w:w w:val="130"/>
        </w:rPr>
        <w:t>ba) </w:t>
      </w:r>
      <w:r>
        <w:rPr>
          <w:w w:val="130"/>
        </w:rPr>
        <w:t>szakképesített bankreferensi szakképesítéssel,</w:t>
      </w:r>
    </w:p>
    <w:p>
      <w:pPr>
        <w:pStyle w:val="BodyText"/>
        <w:spacing w:line="268" w:lineRule="exact"/>
        <w:ind w:left="317" w:firstLine="0"/>
      </w:pPr>
      <w:r>
        <w:rPr>
          <w:i/>
          <w:w w:val="130"/>
        </w:rPr>
        <w:t>bb) </w:t>
      </w:r>
      <w:r>
        <w:rPr>
          <w:w w:val="130"/>
        </w:rPr>
        <w:t>banki, befektetési termékértékesítői szakképesítéssel,</w:t>
      </w:r>
    </w:p>
    <w:p>
      <w:pPr>
        <w:pStyle w:val="BodyText"/>
        <w:spacing w:before="2"/>
        <w:ind w:left="0" w:firstLine="0"/>
        <w:rPr>
          <w:sz w:val="29"/>
        </w:rPr>
      </w:pPr>
      <w:r>
        <w:rPr/>
        <w:pict>
          <v:line style="position:absolute;mso-position-horizontal-relative:page;mso-position-vertical-relative:paragraph;z-index:128;mso-wrap-distance-left:0;mso-wrap-distance-right:0" from="56.693001pt,19.004488pt" to="538.583001pt,19.004488pt" stroked="true" strokeweight=".5pt" strokecolor="#000000">
            <v:stroke dashstyle="solid"/>
            <w10:wrap type="topAndBottom"/>
          </v:line>
        </w:pict>
      </w:r>
    </w:p>
    <w:p>
      <w:pPr>
        <w:pStyle w:val="ListParagraph"/>
        <w:numPr>
          <w:ilvl w:val="0"/>
          <w:numId w:val="178"/>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LXIX. törvény 166. § (3). Hatályos: 2017. VII.</w:t>
      </w:r>
      <w:r>
        <w:rPr>
          <w:i/>
          <w:spacing w:val="-25"/>
          <w:w w:val="125"/>
          <w:sz w:val="18"/>
        </w:rPr>
        <w:t> </w:t>
      </w:r>
      <w:r>
        <w:rPr>
          <w:i/>
          <w:w w:val="125"/>
          <w:sz w:val="18"/>
        </w:rPr>
        <w:t>1-től.</w:t>
      </w:r>
    </w:p>
    <w:p>
      <w:pPr>
        <w:pStyle w:val="ListParagraph"/>
        <w:numPr>
          <w:ilvl w:val="0"/>
          <w:numId w:val="178"/>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2016. évi LXVII. törvény 224. §. Hatálytalan: 2017. I.</w:t>
      </w:r>
      <w:r>
        <w:rPr>
          <w:i/>
          <w:spacing w:val="-22"/>
          <w:w w:val="125"/>
          <w:sz w:val="18"/>
        </w:rPr>
        <w:t> </w:t>
      </w:r>
      <w:r>
        <w:rPr>
          <w:i/>
          <w:w w:val="125"/>
          <w:sz w:val="18"/>
        </w:rPr>
        <w:t>1-től.</w:t>
      </w:r>
    </w:p>
    <w:p>
      <w:pPr>
        <w:pStyle w:val="ListParagraph"/>
        <w:numPr>
          <w:ilvl w:val="0"/>
          <w:numId w:val="178"/>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LIII. törvény 122. § (2). Hatályos: 2016. VII.</w:t>
      </w:r>
      <w:r>
        <w:rPr>
          <w:i/>
          <w:spacing w:val="-22"/>
          <w:w w:val="125"/>
          <w:sz w:val="18"/>
        </w:rPr>
        <w:t> </w:t>
      </w:r>
      <w:r>
        <w:rPr>
          <w:i/>
          <w:w w:val="125"/>
          <w:sz w:val="18"/>
        </w:rPr>
        <w:t>1-től.</w:t>
      </w:r>
    </w:p>
    <w:p>
      <w:pPr>
        <w:pStyle w:val="ListParagraph"/>
        <w:numPr>
          <w:ilvl w:val="0"/>
          <w:numId w:val="178"/>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127. §. Hatályos: 2016. III.</w:t>
      </w:r>
      <w:r>
        <w:rPr>
          <w:i/>
          <w:spacing w:val="46"/>
          <w:w w:val="120"/>
          <w:sz w:val="18"/>
        </w:rPr>
        <w:t> </w:t>
      </w:r>
      <w:r>
        <w:rPr>
          <w:i/>
          <w:w w:val="120"/>
          <w:sz w:val="18"/>
        </w:rPr>
        <w:t>21-től.</w:t>
      </w:r>
    </w:p>
    <w:p>
      <w:pPr>
        <w:pStyle w:val="ListParagraph"/>
        <w:numPr>
          <w:ilvl w:val="0"/>
          <w:numId w:val="178"/>
        </w:numPr>
        <w:tabs>
          <w:tab w:pos="686" w:val="left" w:leader="none"/>
          <w:tab w:pos="687" w:val="left" w:leader="none"/>
        </w:tabs>
        <w:spacing w:line="203" w:lineRule="exact" w:before="0" w:after="0"/>
        <w:ind w:left="686" w:right="0" w:hanging="344"/>
        <w:jc w:val="left"/>
        <w:rPr>
          <w:i/>
          <w:sz w:val="18"/>
        </w:rPr>
      </w:pPr>
      <w:r>
        <w:rPr>
          <w:i/>
          <w:w w:val="125"/>
          <w:sz w:val="18"/>
        </w:rPr>
        <w:t>Módosította: 2016. évi LIII. törvény 134. §</w:t>
      </w:r>
      <w:r>
        <w:rPr>
          <w:i/>
          <w:spacing w:val="-4"/>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left="317" w:right="3953" w:firstLine="0"/>
      </w:pPr>
      <w:r>
        <w:rPr>
          <w:i/>
          <w:w w:val="125"/>
        </w:rPr>
        <w:t>bc) </w:t>
      </w:r>
      <w:r>
        <w:rPr>
          <w:w w:val="125"/>
        </w:rPr>
        <w:t>befektetési tanácsadói szakképesítéssel, </w:t>
      </w:r>
      <w:r>
        <w:rPr>
          <w:i/>
          <w:w w:val="125"/>
        </w:rPr>
        <w:t>bd) </w:t>
      </w:r>
      <w:r>
        <w:rPr>
          <w:w w:val="125"/>
        </w:rPr>
        <w:t>banki szakügyintézői  szakképesítéssel, </w:t>
      </w:r>
      <w:r>
        <w:rPr>
          <w:i/>
          <w:w w:val="125"/>
        </w:rPr>
        <w:t>be) </w:t>
      </w:r>
      <w:r>
        <w:rPr>
          <w:w w:val="125"/>
        </w:rPr>
        <w:t>pénzügyi szakügyintézői</w:t>
      </w:r>
      <w:r>
        <w:rPr>
          <w:spacing w:val="24"/>
          <w:w w:val="125"/>
        </w:rPr>
        <w:t> </w:t>
      </w:r>
      <w:r>
        <w:rPr>
          <w:w w:val="125"/>
        </w:rPr>
        <w:t>szakképesítéssel,</w:t>
      </w:r>
    </w:p>
    <w:p>
      <w:pPr>
        <w:pStyle w:val="BodyText"/>
        <w:spacing w:line="256" w:lineRule="exact"/>
        <w:ind w:left="317" w:firstLine="0"/>
      </w:pPr>
      <w:r>
        <w:rPr>
          <w:i/>
          <w:w w:val="125"/>
        </w:rPr>
        <w:t>bf) </w:t>
      </w:r>
      <w:r>
        <w:rPr>
          <w:w w:val="125"/>
        </w:rPr>
        <w:t>értékpapír-piaci szakügyintézői szakképesítéssel,</w:t>
      </w:r>
    </w:p>
    <w:p>
      <w:pPr>
        <w:pStyle w:val="BodyText"/>
        <w:spacing w:line="260" w:lineRule="exact"/>
        <w:ind w:left="317" w:firstLine="0"/>
      </w:pPr>
      <w:r>
        <w:rPr>
          <w:i/>
          <w:w w:val="125"/>
        </w:rPr>
        <w:t>bg) </w:t>
      </w:r>
      <w:r>
        <w:rPr>
          <w:w w:val="125"/>
        </w:rPr>
        <w:t>pénzügyi szervezeti mérlegképes könyvelői szakképesítéssel,</w:t>
      </w:r>
    </w:p>
    <w:p>
      <w:pPr>
        <w:pStyle w:val="BodyText"/>
        <w:spacing w:line="260" w:lineRule="exact"/>
        <w:ind w:left="317" w:firstLine="0"/>
      </w:pPr>
      <w:r>
        <w:rPr>
          <w:i/>
          <w:w w:val="125"/>
        </w:rPr>
        <w:t>bh) </w:t>
      </w:r>
      <w:r>
        <w:rPr>
          <w:w w:val="125"/>
        </w:rPr>
        <w:t>tőzsdei szakvizsgával,</w:t>
      </w:r>
    </w:p>
    <w:p>
      <w:pPr>
        <w:pStyle w:val="BodyText"/>
        <w:spacing w:line="225" w:lineRule="auto" w:before="5"/>
      </w:pPr>
      <w:r>
        <w:rPr>
          <w:i/>
          <w:w w:val="125"/>
        </w:rPr>
        <w:t>bi) </w:t>
      </w:r>
      <w:r>
        <w:rPr>
          <w:w w:val="125"/>
        </w:rPr>
        <w:t>becsüsi bizonyítvánnyal (kizárólag kézizálog fedezete mellett nyújtott pénzkölcsön közvetítése esetén),</w:t>
      </w:r>
    </w:p>
    <w:p>
      <w:pPr>
        <w:pStyle w:val="BodyText"/>
        <w:tabs>
          <w:tab w:pos="901" w:val="left" w:leader="none"/>
          <w:tab w:pos="3178" w:val="left" w:leader="none"/>
          <w:tab w:pos="5346" w:val="left" w:leader="none"/>
          <w:tab w:pos="6824" w:val="left" w:leader="none"/>
          <w:tab w:pos="8378" w:val="left" w:leader="none"/>
        </w:tabs>
        <w:spacing w:line="225" w:lineRule="auto" w:before="1"/>
        <w:ind w:right="130"/>
      </w:pPr>
      <w:r>
        <w:rPr>
          <w:i/>
          <w:w w:val="125"/>
        </w:rPr>
        <w:t>bj)</w:t>
        <w:tab/>
      </w:r>
      <w:r>
        <w:rPr>
          <w:w w:val="125"/>
        </w:rPr>
        <w:t>valutapénztárosi</w:t>
        <w:tab/>
        <w:t>bizonyítvánnyal</w:t>
        <w:tab/>
        <w:t>(kizárólag</w:t>
        <w:tab/>
        <w:t>pénzváltás</w:t>
        <w:tab/>
      </w:r>
      <w:r>
        <w:rPr>
          <w:spacing w:val="-1"/>
          <w:w w:val="125"/>
        </w:rPr>
        <w:t>közvetítése </w:t>
      </w:r>
      <w:r>
        <w:rPr>
          <w:w w:val="125"/>
        </w:rPr>
        <w:t>esetén),</w:t>
      </w:r>
    </w:p>
    <w:p>
      <w:pPr>
        <w:pStyle w:val="BodyText"/>
        <w:spacing w:line="256" w:lineRule="exact"/>
        <w:ind w:left="317" w:firstLine="0"/>
      </w:pPr>
      <w:r>
        <w:rPr>
          <w:i/>
          <w:w w:val="125"/>
        </w:rPr>
        <w:t>bk) </w:t>
      </w:r>
      <w:r>
        <w:rPr>
          <w:w w:val="125"/>
        </w:rPr>
        <w:t>a Magyar Bankszövetség Felsőfokú Bankszakmai Oklevelével,</w:t>
      </w:r>
    </w:p>
    <w:p>
      <w:pPr>
        <w:pStyle w:val="BodyText"/>
        <w:spacing w:line="253" w:lineRule="exact"/>
        <w:ind w:left="317" w:firstLine="0"/>
      </w:pPr>
      <w:r>
        <w:rPr>
          <w:i/>
          <w:w w:val="130"/>
        </w:rPr>
        <w:t>bl) </w:t>
      </w:r>
      <w:r>
        <w:rPr>
          <w:w w:val="130"/>
        </w:rPr>
        <w:t>a </w:t>
      </w:r>
      <w:r>
        <w:rPr>
          <w:i/>
          <w:w w:val="130"/>
        </w:rPr>
        <w:t>ba)-bk) </w:t>
      </w:r>
      <w:r>
        <w:rPr>
          <w:w w:val="130"/>
        </w:rPr>
        <w:t>alpontban foglaltakkal egyenértékű szakképesítéssel, vagy</w:t>
      </w:r>
    </w:p>
    <w:p>
      <w:pPr>
        <w:pStyle w:val="ListParagraph"/>
        <w:numPr>
          <w:ilvl w:val="0"/>
          <w:numId w:val="177"/>
        </w:numPr>
        <w:tabs>
          <w:tab w:pos="547" w:val="left" w:leader="none"/>
        </w:tabs>
        <w:spacing w:line="261" w:lineRule="exact" w:before="0" w:after="0"/>
        <w:ind w:left="546" w:right="0" w:hanging="229"/>
        <w:jc w:val="left"/>
        <w:rPr>
          <w:sz w:val="24"/>
        </w:rPr>
      </w:pPr>
      <w:r>
        <w:rPr>
          <w:i/>
          <w:w w:val="130"/>
          <w:position w:val="3"/>
          <w:sz w:val="18"/>
        </w:rPr>
        <w:t>1 </w:t>
      </w:r>
      <w:r>
        <w:rPr>
          <w:w w:val="130"/>
          <w:sz w:val="24"/>
        </w:rPr>
        <w:t>a pénzügyi szolgáltatás közvetítői, a biztosításközvetítői és a</w:t>
      </w:r>
      <w:r>
        <w:rPr>
          <w:spacing w:val="3"/>
          <w:w w:val="130"/>
          <w:sz w:val="24"/>
        </w:rPr>
        <w:t> </w:t>
      </w:r>
      <w:r>
        <w:rPr>
          <w:w w:val="130"/>
          <w:sz w:val="24"/>
        </w:rPr>
        <w:t>tőkepiaci</w:t>
      </w:r>
    </w:p>
    <w:p>
      <w:pPr>
        <w:pStyle w:val="BodyText"/>
        <w:spacing w:line="225" w:lineRule="auto" w:before="12"/>
        <w:ind w:right="125" w:firstLine="0"/>
        <w:jc w:val="both"/>
      </w:pPr>
      <w:r>
        <w:rPr>
          <w:w w:val="125"/>
        </w:rPr>
        <w:t>üzletkötői hatósági képzéssel és hatósági vizsgával összefüggő feladatokról szóló miniszteri rendeletben meghatározott pénzügyi szolgáltatás közvetítői hatósági vizsgával</w:t>
      </w:r>
    </w:p>
    <w:p>
      <w:pPr>
        <w:pStyle w:val="BodyText"/>
        <w:spacing w:line="256" w:lineRule="exact"/>
        <w:ind w:firstLine="0"/>
      </w:pPr>
      <w:r>
        <w:rPr>
          <w:w w:val="125"/>
        </w:rPr>
        <w:t>rendelkezik.</w:t>
      </w:r>
    </w:p>
    <w:p>
      <w:pPr>
        <w:pStyle w:val="ListParagraph"/>
        <w:numPr>
          <w:ilvl w:val="0"/>
          <w:numId w:val="179"/>
        </w:numPr>
        <w:tabs>
          <w:tab w:pos="903" w:val="left" w:leader="none"/>
        </w:tabs>
        <w:spacing w:line="225" w:lineRule="auto" w:before="5" w:after="0"/>
        <w:ind w:left="113" w:right="125" w:firstLine="204"/>
        <w:jc w:val="both"/>
        <w:rPr>
          <w:sz w:val="24"/>
        </w:rPr>
      </w:pPr>
      <w:r>
        <w:rPr>
          <w:w w:val="125"/>
          <w:sz w:val="24"/>
        </w:rPr>
        <w:t>Az (1) bekezdés </w:t>
      </w:r>
      <w:r>
        <w:rPr>
          <w:i/>
          <w:w w:val="125"/>
          <w:sz w:val="24"/>
        </w:rPr>
        <w:t>a) </w:t>
      </w:r>
      <w:r>
        <w:rPr>
          <w:w w:val="125"/>
          <w:sz w:val="24"/>
        </w:rPr>
        <w:t>pontja alkalmazásában szakirányú felsőfokú végzettségnek</w:t>
      </w:r>
      <w:r>
        <w:rPr>
          <w:spacing w:val="13"/>
          <w:w w:val="125"/>
          <w:sz w:val="24"/>
        </w:rPr>
        <w:t> </w:t>
      </w:r>
      <w:r>
        <w:rPr>
          <w:w w:val="125"/>
          <w:sz w:val="24"/>
        </w:rPr>
        <w:t>minősülnek</w:t>
      </w:r>
    </w:p>
    <w:p>
      <w:pPr>
        <w:pStyle w:val="ListParagraph"/>
        <w:numPr>
          <w:ilvl w:val="0"/>
          <w:numId w:val="180"/>
        </w:numPr>
        <w:tabs>
          <w:tab w:pos="631" w:val="left" w:leader="none"/>
        </w:tabs>
        <w:spacing w:line="256" w:lineRule="exact" w:before="0" w:after="0"/>
        <w:ind w:left="630" w:right="0" w:hanging="313"/>
        <w:jc w:val="left"/>
        <w:rPr>
          <w:sz w:val="24"/>
        </w:rPr>
      </w:pPr>
      <w:r>
        <w:rPr>
          <w:w w:val="125"/>
          <w:sz w:val="24"/>
        </w:rPr>
        <w:t>a 155. § (3) bekezdésében meghatározott</w:t>
      </w:r>
      <w:r>
        <w:rPr>
          <w:spacing w:val="21"/>
          <w:w w:val="125"/>
          <w:sz w:val="24"/>
        </w:rPr>
        <w:t> </w:t>
      </w:r>
      <w:r>
        <w:rPr>
          <w:w w:val="125"/>
          <w:sz w:val="24"/>
        </w:rPr>
        <w:t>képzettségek,</w:t>
      </w:r>
    </w:p>
    <w:p>
      <w:pPr>
        <w:pStyle w:val="ListParagraph"/>
        <w:numPr>
          <w:ilvl w:val="0"/>
          <w:numId w:val="180"/>
        </w:numPr>
        <w:tabs>
          <w:tab w:pos="735" w:val="left" w:leader="none"/>
        </w:tabs>
        <w:spacing w:line="225" w:lineRule="auto" w:before="6" w:after="0"/>
        <w:ind w:left="113" w:right="124" w:firstLine="204"/>
        <w:jc w:val="both"/>
        <w:rPr>
          <w:sz w:val="24"/>
        </w:rPr>
      </w:pPr>
      <w:r>
        <w:rPr>
          <w:w w:val="130"/>
          <w:sz w:val="24"/>
        </w:rPr>
        <w:t>a főiskolai vagy egyetemi szintű, illetve mesterképzésben szerezhető gazdasági agrármérnök szakképzettség vagy műszaki menedzser alapképzési szakon, vagy gazdasági és vidékfejlesztési agrármérnök alapképzési szakon szerezhető szakképzettség,</w:t>
      </w:r>
      <w:r>
        <w:rPr>
          <w:spacing w:val="-6"/>
          <w:w w:val="130"/>
          <w:sz w:val="24"/>
        </w:rPr>
        <w:t> </w:t>
      </w:r>
      <w:r>
        <w:rPr>
          <w:w w:val="130"/>
          <w:sz w:val="24"/>
        </w:rPr>
        <w:t>és</w:t>
      </w:r>
    </w:p>
    <w:p>
      <w:pPr>
        <w:pStyle w:val="ListParagraph"/>
        <w:numPr>
          <w:ilvl w:val="0"/>
          <w:numId w:val="180"/>
        </w:numPr>
        <w:tabs>
          <w:tab w:pos="646" w:val="left" w:leader="none"/>
        </w:tabs>
        <w:spacing w:line="225" w:lineRule="auto" w:before="2" w:after="0"/>
        <w:ind w:left="113" w:right="132" w:firstLine="204"/>
        <w:jc w:val="both"/>
        <w:rPr>
          <w:sz w:val="24"/>
        </w:rPr>
      </w:pPr>
      <w:r>
        <w:rPr>
          <w:w w:val="130"/>
          <w:sz w:val="24"/>
        </w:rPr>
        <w:t>a</w:t>
      </w:r>
      <w:r>
        <w:rPr>
          <w:spacing w:val="-18"/>
          <w:w w:val="130"/>
          <w:sz w:val="24"/>
        </w:rPr>
        <w:t> </w:t>
      </w:r>
      <w:r>
        <w:rPr>
          <w:w w:val="130"/>
          <w:sz w:val="24"/>
        </w:rPr>
        <w:t>felsőfokú</w:t>
      </w:r>
      <w:r>
        <w:rPr>
          <w:spacing w:val="-17"/>
          <w:w w:val="130"/>
          <w:sz w:val="24"/>
        </w:rPr>
        <w:t> </w:t>
      </w:r>
      <w:r>
        <w:rPr>
          <w:w w:val="130"/>
          <w:sz w:val="24"/>
        </w:rPr>
        <w:t>végzettség</w:t>
      </w:r>
      <w:r>
        <w:rPr>
          <w:spacing w:val="-17"/>
          <w:w w:val="130"/>
          <w:sz w:val="24"/>
        </w:rPr>
        <w:t> </w:t>
      </w:r>
      <w:r>
        <w:rPr>
          <w:w w:val="130"/>
          <w:sz w:val="24"/>
        </w:rPr>
        <w:t>birtokában</w:t>
      </w:r>
      <w:r>
        <w:rPr>
          <w:spacing w:val="-18"/>
          <w:w w:val="130"/>
          <w:sz w:val="24"/>
        </w:rPr>
        <w:t> </w:t>
      </w:r>
      <w:r>
        <w:rPr>
          <w:w w:val="130"/>
          <w:sz w:val="24"/>
        </w:rPr>
        <w:t>szakirányú</w:t>
      </w:r>
      <w:r>
        <w:rPr>
          <w:spacing w:val="-17"/>
          <w:w w:val="130"/>
          <w:sz w:val="24"/>
        </w:rPr>
        <w:t> </w:t>
      </w:r>
      <w:r>
        <w:rPr>
          <w:w w:val="130"/>
          <w:sz w:val="24"/>
        </w:rPr>
        <w:t>továbbképzésben,</w:t>
      </w:r>
      <w:r>
        <w:rPr>
          <w:spacing w:val="-17"/>
          <w:w w:val="130"/>
          <w:sz w:val="24"/>
        </w:rPr>
        <w:t> </w:t>
      </w:r>
      <w:r>
        <w:rPr>
          <w:w w:val="130"/>
          <w:sz w:val="24"/>
        </w:rPr>
        <w:t>szakosító továbbképzésben a közgazdasági felsőoktatásban szerzett bankszakmai szakképzettség vagy gazdasági, közgazdasági</w:t>
      </w:r>
      <w:r>
        <w:rPr>
          <w:spacing w:val="-33"/>
          <w:w w:val="130"/>
          <w:sz w:val="24"/>
        </w:rPr>
        <w:t> </w:t>
      </w:r>
      <w:r>
        <w:rPr>
          <w:w w:val="130"/>
          <w:sz w:val="24"/>
        </w:rPr>
        <w:t>szakképzettség.</w:t>
      </w:r>
    </w:p>
    <w:p>
      <w:pPr>
        <w:pStyle w:val="BodyText"/>
        <w:spacing w:line="250" w:lineRule="exact"/>
        <w:ind w:left="317" w:firstLine="0"/>
      </w:pPr>
      <w:r>
        <w:rPr>
          <w:w w:val="130"/>
        </w:rPr>
        <w:t>(2a)</w:t>
      </w:r>
      <w:r>
        <w:rPr>
          <w:i/>
          <w:w w:val="130"/>
          <w:position w:val="3"/>
          <w:sz w:val="18"/>
        </w:rPr>
        <w:t>2 </w:t>
      </w:r>
      <w:r>
        <w:rPr>
          <w:w w:val="130"/>
        </w:rPr>
        <w:t>A Felügyelet érvényteleníti annak a vizsgázónak a hatósági vizsgáját,</w:t>
      </w:r>
    </w:p>
    <w:p>
      <w:pPr>
        <w:pStyle w:val="BodyText"/>
        <w:spacing w:line="225" w:lineRule="auto" w:before="12"/>
        <w:ind w:right="126" w:firstLine="0"/>
        <w:jc w:val="both"/>
      </w:pPr>
      <w:r>
        <w:rPr>
          <w:w w:val="130"/>
        </w:rPr>
        <w:t>aki a vizsgát a Felügyelet félrevezetésével, hamis adatok közlésével, jogszabályban meghatározott feltételek hiányában vagy a vizsgáztatás szabályainak megsértésével tette le. Ha a hatósági vizsga letételét igazoló</w:t>
      </w:r>
      <w:r>
        <w:rPr>
          <w:spacing w:val="78"/>
          <w:w w:val="130"/>
        </w:rPr>
        <w:t> </w:t>
      </w:r>
      <w:r>
        <w:rPr>
          <w:w w:val="130"/>
        </w:rPr>
        <w:t>tanúsítványt a Felügyelet már kiadta, úgy intézkedik annak visszavonásáról.</w:t>
      </w:r>
    </w:p>
    <w:p>
      <w:pPr>
        <w:pStyle w:val="ListParagraph"/>
        <w:numPr>
          <w:ilvl w:val="0"/>
          <w:numId w:val="179"/>
        </w:numPr>
        <w:tabs>
          <w:tab w:pos="911" w:val="left" w:leader="none"/>
        </w:tabs>
        <w:spacing w:line="225" w:lineRule="auto" w:before="2" w:after="0"/>
        <w:ind w:left="113" w:right="126" w:firstLine="204"/>
        <w:jc w:val="both"/>
        <w:rPr>
          <w:sz w:val="24"/>
        </w:rPr>
      </w:pPr>
      <w:r>
        <w:rPr>
          <w:w w:val="125"/>
          <w:sz w:val="24"/>
        </w:rPr>
        <w:t>Közvetítői tevékenységet végző hitelintézettel, biztosítóval, Posta Elszámoló Központot működtető intézménnyel munkaviszonyban álló természetes személy kizárólag abban az esetben végezhet közvetítői tevékenységet, ha az általa közvetített pénzügyi szolgáltatással kapcsolatban megfelelő képzést kapott. A szakmai követelmények ellenőrzéséért a munkáltató felelős.</w:t>
      </w:r>
    </w:p>
    <w:p>
      <w:pPr>
        <w:pStyle w:val="ListParagraph"/>
        <w:numPr>
          <w:ilvl w:val="0"/>
          <w:numId w:val="179"/>
        </w:numPr>
        <w:tabs>
          <w:tab w:pos="794" w:val="left" w:leader="none"/>
        </w:tabs>
        <w:spacing w:line="225" w:lineRule="auto" w:before="4" w:after="0"/>
        <w:ind w:left="113" w:right="129" w:firstLine="204"/>
        <w:jc w:val="both"/>
        <w:rPr>
          <w:sz w:val="24"/>
        </w:rPr>
      </w:pPr>
      <w:r>
        <w:rPr>
          <w:w w:val="125"/>
          <w:sz w:val="24"/>
        </w:rPr>
        <w:t>A közvetítőnek minősülő megbízó vagy munkáltató gondoskodik arról, hogy a vele - e tevékenységi körében - munkaviszonyban vagy megbízási viszonyban álló természetes személy a közvetített szolgáltatással kapcsolatban részletes ismeretekkel</w:t>
      </w:r>
      <w:r>
        <w:rPr>
          <w:spacing w:val="4"/>
          <w:w w:val="125"/>
          <w:sz w:val="24"/>
        </w:rPr>
        <w:t> </w:t>
      </w:r>
      <w:r>
        <w:rPr>
          <w:w w:val="125"/>
          <w:sz w:val="24"/>
        </w:rPr>
        <w:t>rendelkezzen.</w:t>
      </w:r>
    </w:p>
    <w:p>
      <w:pPr>
        <w:pStyle w:val="ListParagraph"/>
        <w:numPr>
          <w:ilvl w:val="0"/>
          <w:numId w:val="179"/>
        </w:numPr>
        <w:tabs>
          <w:tab w:pos="735" w:val="left" w:leader="none"/>
        </w:tabs>
        <w:spacing w:line="225" w:lineRule="auto" w:before="2" w:after="0"/>
        <w:ind w:left="113" w:right="130" w:firstLine="204"/>
        <w:jc w:val="both"/>
        <w:rPr>
          <w:sz w:val="24"/>
        </w:rPr>
      </w:pPr>
      <w:r>
        <w:rPr>
          <w:w w:val="125"/>
          <w:sz w:val="24"/>
        </w:rPr>
        <w:t>A</w:t>
      </w:r>
      <w:r>
        <w:rPr>
          <w:spacing w:val="-10"/>
          <w:w w:val="125"/>
          <w:sz w:val="24"/>
        </w:rPr>
        <w:t> </w:t>
      </w:r>
      <w:r>
        <w:rPr>
          <w:w w:val="125"/>
          <w:sz w:val="24"/>
        </w:rPr>
        <w:t>közvetítőnek</w:t>
      </w:r>
      <w:r>
        <w:rPr>
          <w:spacing w:val="-9"/>
          <w:w w:val="125"/>
          <w:sz w:val="24"/>
        </w:rPr>
        <w:t> </w:t>
      </w:r>
      <w:r>
        <w:rPr>
          <w:w w:val="125"/>
          <w:sz w:val="24"/>
        </w:rPr>
        <w:t>minősülő</w:t>
      </w:r>
      <w:r>
        <w:rPr>
          <w:spacing w:val="-10"/>
          <w:w w:val="125"/>
          <w:sz w:val="24"/>
        </w:rPr>
        <w:t> </w:t>
      </w:r>
      <w:r>
        <w:rPr>
          <w:w w:val="125"/>
          <w:sz w:val="24"/>
        </w:rPr>
        <w:t>megbízó</w:t>
      </w:r>
      <w:r>
        <w:rPr>
          <w:spacing w:val="-10"/>
          <w:w w:val="125"/>
          <w:sz w:val="24"/>
        </w:rPr>
        <w:t> </w:t>
      </w:r>
      <w:r>
        <w:rPr>
          <w:w w:val="125"/>
          <w:sz w:val="24"/>
        </w:rPr>
        <w:t>vagy</w:t>
      </w:r>
      <w:r>
        <w:rPr>
          <w:spacing w:val="-9"/>
          <w:w w:val="125"/>
          <w:sz w:val="24"/>
        </w:rPr>
        <w:t> </w:t>
      </w:r>
      <w:r>
        <w:rPr>
          <w:w w:val="125"/>
          <w:sz w:val="24"/>
        </w:rPr>
        <w:t>munkáltató</w:t>
      </w:r>
      <w:r>
        <w:rPr>
          <w:spacing w:val="-10"/>
          <w:w w:val="125"/>
          <w:sz w:val="24"/>
        </w:rPr>
        <w:t> </w:t>
      </w:r>
      <w:r>
        <w:rPr>
          <w:w w:val="125"/>
          <w:sz w:val="24"/>
        </w:rPr>
        <w:t>az</w:t>
      </w:r>
      <w:r>
        <w:rPr>
          <w:spacing w:val="-9"/>
          <w:w w:val="125"/>
          <w:sz w:val="24"/>
        </w:rPr>
        <w:t> </w:t>
      </w:r>
      <w:r>
        <w:rPr>
          <w:w w:val="125"/>
          <w:sz w:val="24"/>
        </w:rPr>
        <w:t>(1)-(3)</w:t>
      </w:r>
      <w:r>
        <w:rPr>
          <w:spacing w:val="-10"/>
          <w:w w:val="125"/>
          <w:sz w:val="24"/>
        </w:rPr>
        <w:t> </w:t>
      </w:r>
      <w:r>
        <w:rPr>
          <w:w w:val="125"/>
          <w:sz w:val="24"/>
        </w:rPr>
        <w:t>bekezdésben foglalt követelményekről belső nyilvántartást</w:t>
      </w:r>
      <w:r>
        <w:rPr>
          <w:spacing w:val="5"/>
          <w:w w:val="125"/>
          <w:sz w:val="24"/>
        </w:rPr>
        <w:t> </w:t>
      </w:r>
      <w:r>
        <w:rPr>
          <w:w w:val="125"/>
          <w:sz w:val="24"/>
        </w:rPr>
        <w:t>vezet.</w:t>
      </w:r>
    </w:p>
    <w:p>
      <w:pPr>
        <w:pStyle w:val="ListParagraph"/>
        <w:numPr>
          <w:ilvl w:val="0"/>
          <w:numId w:val="179"/>
        </w:numPr>
        <w:tabs>
          <w:tab w:pos="870" w:val="left" w:leader="none"/>
        </w:tabs>
        <w:spacing w:line="225" w:lineRule="auto" w:before="1" w:after="0"/>
        <w:ind w:left="113" w:right="127" w:firstLine="204"/>
        <w:jc w:val="both"/>
        <w:rPr>
          <w:sz w:val="24"/>
        </w:rPr>
      </w:pPr>
      <w:r>
        <w:rPr>
          <w:w w:val="125"/>
          <w:sz w:val="24"/>
        </w:rPr>
        <w:t>A független közvetítő felelős a vele - e tevékenységi körében - munkaviszonyban vagy megbízási jogviszonyban, vagy munkavégzésre irányuló egyéb jogviszonyban álló természetes személyekkel szemben támasztott szakmai követelmények fennállásának</w:t>
      </w:r>
      <w:r>
        <w:rPr>
          <w:spacing w:val="19"/>
          <w:w w:val="125"/>
          <w:sz w:val="24"/>
        </w:rPr>
        <w:t> </w:t>
      </w:r>
      <w:r>
        <w:rPr>
          <w:w w:val="125"/>
          <w:sz w:val="24"/>
        </w:rPr>
        <w:t>ellenőrzéséért.</w:t>
      </w:r>
    </w:p>
    <w:p>
      <w:pPr>
        <w:pStyle w:val="BodyText"/>
        <w:ind w:left="0" w:firstLine="0"/>
        <w:rPr>
          <w:sz w:val="20"/>
        </w:rPr>
      </w:pPr>
    </w:p>
    <w:p>
      <w:pPr>
        <w:pStyle w:val="BodyText"/>
        <w:ind w:left="0" w:firstLine="0"/>
        <w:rPr>
          <w:sz w:val="20"/>
        </w:rPr>
      </w:pPr>
    </w:p>
    <w:p>
      <w:pPr>
        <w:pStyle w:val="BodyText"/>
        <w:spacing w:before="8"/>
        <w:ind w:left="0" w:firstLine="0"/>
        <w:rPr>
          <w:sz w:val="15"/>
        </w:rPr>
      </w:pPr>
      <w:r>
        <w:rPr/>
        <w:pict>
          <v:line style="position:absolute;mso-position-horizontal-relative:page;mso-position-vertical-relative:paragraph;z-index:152;mso-wrap-distance-left:0;mso-wrap-distance-right:0" from="56.693001pt,11.249657pt" to="538.583001pt,11.249657pt" stroked="true" strokeweight=".5pt" strokecolor="#000000">
            <v:stroke dashstyle="solid"/>
            <w10:wrap type="topAndBottom"/>
          </v:line>
        </w:pict>
      </w:r>
    </w:p>
    <w:p>
      <w:pPr>
        <w:pStyle w:val="ListParagraph"/>
        <w:numPr>
          <w:ilvl w:val="0"/>
          <w:numId w:val="181"/>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LXIX. törvény 167. § (1). Hatályos: 2017. VII.</w:t>
      </w:r>
      <w:r>
        <w:rPr>
          <w:i/>
          <w:spacing w:val="-25"/>
          <w:w w:val="125"/>
          <w:sz w:val="18"/>
        </w:rPr>
        <w:t> </w:t>
      </w:r>
      <w:r>
        <w:rPr>
          <w:i/>
          <w:w w:val="125"/>
          <w:sz w:val="18"/>
        </w:rPr>
        <w:t>1-től.</w:t>
      </w:r>
    </w:p>
    <w:p>
      <w:pPr>
        <w:pStyle w:val="ListParagraph"/>
        <w:numPr>
          <w:ilvl w:val="0"/>
          <w:numId w:val="181"/>
        </w:numPr>
        <w:tabs>
          <w:tab w:pos="686" w:val="left" w:leader="none"/>
          <w:tab w:pos="687" w:val="left" w:leader="none"/>
        </w:tabs>
        <w:spacing w:line="203" w:lineRule="exact" w:before="0" w:after="0"/>
        <w:ind w:left="686" w:right="0" w:hanging="344"/>
        <w:jc w:val="left"/>
        <w:rPr>
          <w:i/>
          <w:sz w:val="18"/>
        </w:rPr>
      </w:pPr>
      <w:r>
        <w:rPr>
          <w:i/>
          <w:w w:val="120"/>
          <w:sz w:val="18"/>
        </w:rPr>
        <w:t>Beiktatta: 2017. évi LXIX. törvény 167. § (2). Hatályos: 2017. VII.</w:t>
      </w:r>
      <w:r>
        <w:rPr>
          <w:i/>
          <w:spacing w:val="52"/>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79"/>
        </w:numPr>
        <w:tabs>
          <w:tab w:pos="786" w:val="left" w:leader="none"/>
        </w:tabs>
        <w:spacing w:line="225" w:lineRule="auto" w:before="173" w:after="0"/>
        <w:ind w:left="113" w:right="127" w:firstLine="204"/>
        <w:jc w:val="both"/>
        <w:rPr>
          <w:sz w:val="24"/>
        </w:rPr>
      </w:pPr>
      <w:r>
        <w:rPr>
          <w:w w:val="125"/>
          <w:sz w:val="24"/>
        </w:rPr>
        <w:t>A pénzügyi szolgáltatást nyújtó személy felelős a függő közvetítő és a vele - e tevékenységi körében - munkaviszonyban vagy megbízási jogviszonyban, vagy munkavégzésre irányuló egyéb jogviszonyban álló természetes személyekkel szemben támasztott szakmai követelmények fennállásának</w:t>
      </w:r>
      <w:r>
        <w:rPr>
          <w:spacing w:val="2"/>
          <w:w w:val="125"/>
          <w:sz w:val="24"/>
        </w:rPr>
        <w:t> </w:t>
      </w:r>
      <w:r>
        <w:rPr>
          <w:w w:val="125"/>
          <w:sz w:val="24"/>
        </w:rPr>
        <w:t>ellenőrzéséért.</w:t>
      </w:r>
    </w:p>
    <w:p>
      <w:pPr>
        <w:pStyle w:val="BodyText"/>
        <w:spacing w:line="225" w:lineRule="auto" w:before="243"/>
        <w:ind w:left="4058" w:hanging="3156"/>
      </w:pPr>
      <w:r>
        <w:rPr>
          <w:w w:val="125"/>
        </w:rPr>
        <w:t>32. Egyes kiegészítő pénzügyi szolgáltatásokra vonatkozó különös rendelkezések</w:t>
      </w:r>
    </w:p>
    <w:p>
      <w:pPr>
        <w:pStyle w:val="ListParagraph"/>
        <w:numPr>
          <w:ilvl w:val="1"/>
          <w:numId w:val="175"/>
        </w:numPr>
        <w:tabs>
          <w:tab w:pos="818" w:val="left" w:leader="none"/>
        </w:tabs>
        <w:spacing w:line="269" w:lineRule="exact" w:before="226" w:after="0"/>
        <w:ind w:left="817" w:right="0" w:hanging="500"/>
        <w:jc w:val="left"/>
        <w:rPr>
          <w:sz w:val="24"/>
        </w:rPr>
      </w:pPr>
      <w:r>
        <w:rPr>
          <w:rFonts w:ascii="Arial" w:hAnsi="Arial"/>
          <w:b/>
          <w:w w:val="125"/>
          <w:sz w:val="24"/>
        </w:rPr>
        <w:t>§ </w:t>
      </w:r>
      <w:r>
        <w:rPr>
          <w:w w:val="125"/>
          <w:sz w:val="24"/>
        </w:rPr>
        <w:t>(1) A pénzváltás közvetítésére csak kiemelt közvetítő kaphat</w:t>
      </w:r>
      <w:r>
        <w:rPr>
          <w:spacing w:val="7"/>
          <w:w w:val="125"/>
          <w:sz w:val="24"/>
        </w:rPr>
        <w:t> </w:t>
      </w:r>
      <w:r>
        <w:rPr>
          <w:w w:val="125"/>
          <w:sz w:val="24"/>
        </w:rPr>
        <w:t>engedélyt.</w:t>
      </w:r>
    </w:p>
    <w:p>
      <w:pPr>
        <w:pStyle w:val="ListParagraph"/>
        <w:numPr>
          <w:ilvl w:val="0"/>
          <w:numId w:val="182"/>
        </w:numPr>
        <w:tabs>
          <w:tab w:pos="852" w:val="left" w:leader="none"/>
        </w:tabs>
        <w:spacing w:line="225" w:lineRule="auto" w:before="6" w:after="0"/>
        <w:ind w:left="113" w:right="131" w:firstLine="204"/>
        <w:jc w:val="both"/>
        <w:rPr>
          <w:sz w:val="24"/>
        </w:rPr>
      </w:pPr>
      <w:r>
        <w:rPr>
          <w:w w:val="125"/>
          <w:sz w:val="24"/>
        </w:rPr>
        <w:t>Pénzváltási tevékenységet végzőnél vezető állású személyként nem nevezhető ki, illetve vezető állású személynek nem választható meg, pénzváltási tevékenységet közvetlenül nem irányíthat, illetve ilyen tevékenységet közvetlenül nem végezhet</w:t>
      </w:r>
      <w:r>
        <w:rPr>
          <w:spacing w:val="4"/>
          <w:w w:val="125"/>
          <w:sz w:val="24"/>
        </w:rPr>
        <w:t> </w:t>
      </w:r>
      <w:r>
        <w:rPr>
          <w:w w:val="125"/>
          <w:sz w:val="24"/>
        </w:rPr>
        <w:t>az,</w:t>
      </w:r>
    </w:p>
    <w:p>
      <w:pPr>
        <w:pStyle w:val="ListParagraph"/>
        <w:numPr>
          <w:ilvl w:val="0"/>
          <w:numId w:val="183"/>
        </w:numPr>
        <w:tabs>
          <w:tab w:pos="631" w:val="left" w:leader="none"/>
        </w:tabs>
        <w:spacing w:line="257" w:lineRule="exact" w:before="0" w:after="0"/>
        <w:ind w:left="630" w:right="0" w:hanging="313"/>
        <w:jc w:val="left"/>
        <w:rPr>
          <w:sz w:val="24"/>
        </w:rPr>
      </w:pPr>
      <w:r>
        <w:rPr>
          <w:w w:val="130"/>
          <w:sz w:val="24"/>
        </w:rPr>
        <w:t>akit</w:t>
      </w:r>
    </w:p>
    <w:p>
      <w:pPr>
        <w:pStyle w:val="BodyText"/>
        <w:spacing w:line="225" w:lineRule="auto" w:before="5"/>
        <w:ind w:right="122"/>
        <w:jc w:val="both"/>
      </w:pPr>
      <w:r>
        <w:rPr>
          <w:i/>
          <w:w w:val="125"/>
        </w:rPr>
        <w:t>aa) </w:t>
      </w:r>
      <w:r>
        <w:rPr>
          <w:w w:val="125"/>
        </w:rPr>
        <w:t>a 2013. június 30-ig hatályban volt, a Büntető Törvénykönyvről szóló 1978. évi IV. törvényben meghatározott visszaélés szigorúan titkos és titkos minősítésű adattal, visszaélés bizalmas minősítésű adattal,  visszaélés korlátozott terjesztésű minősítésű adattal bűncselekmény, hamis vád, hatóság félrevezetése, hamis tanúzás, hamis tanúzásra felhívás, mentő körülmény elhallgatása, bűnpártolás, a XV. fejezet VII. címében meghatározott közélet tisztasága elleni bűncselekmény, bűnszervezetben részvétel, önbíráskodás,</w:t>
      </w:r>
      <w:r>
        <w:rPr>
          <w:spacing w:val="36"/>
          <w:w w:val="125"/>
        </w:rPr>
        <w:t> </w:t>
      </w:r>
      <w:r>
        <w:rPr>
          <w:w w:val="125"/>
        </w:rPr>
        <w:t>a</w:t>
      </w:r>
    </w:p>
    <w:p>
      <w:pPr>
        <w:pStyle w:val="ListParagraph"/>
        <w:numPr>
          <w:ilvl w:val="0"/>
          <w:numId w:val="184"/>
        </w:numPr>
        <w:tabs>
          <w:tab w:pos="753" w:val="left" w:leader="none"/>
        </w:tabs>
        <w:spacing w:line="259" w:lineRule="exact" w:before="0" w:after="0"/>
        <w:ind w:left="752" w:right="0" w:hanging="639"/>
        <w:jc w:val="left"/>
        <w:rPr>
          <w:sz w:val="24"/>
        </w:rPr>
      </w:pPr>
      <w:r>
        <w:rPr>
          <w:w w:val="125"/>
          <w:sz w:val="24"/>
        </w:rPr>
        <w:t>fejezet</w:t>
      </w:r>
      <w:r>
        <w:rPr>
          <w:spacing w:val="53"/>
          <w:w w:val="125"/>
          <w:sz w:val="24"/>
        </w:rPr>
        <w:t> </w:t>
      </w:r>
      <w:r>
        <w:rPr>
          <w:w w:val="125"/>
          <w:sz w:val="24"/>
        </w:rPr>
        <w:t>III.</w:t>
      </w:r>
      <w:r>
        <w:rPr>
          <w:spacing w:val="54"/>
          <w:w w:val="125"/>
          <w:sz w:val="24"/>
        </w:rPr>
        <w:t> </w:t>
      </w:r>
      <w:r>
        <w:rPr>
          <w:w w:val="125"/>
          <w:sz w:val="24"/>
        </w:rPr>
        <w:t>címében</w:t>
      </w:r>
      <w:r>
        <w:rPr>
          <w:spacing w:val="53"/>
          <w:w w:val="125"/>
          <w:sz w:val="24"/>
        </w:rPr>
        <w:t> </w:t>
      </w:r>
      <w:r>
        <w:rPr>
          <w:w w:val="125"/>
          <w:sz w:val="24"/>
        </w:rPr>
        <w:t>meghatározott</w:t>
      </w:r>
      <w:r>
        <w:rPr>
          <w:spacing w:val="54"/>
          <w:w w:val="125"/>
          <w:sz w:val="24"/>
        </w:rPr>
        <w:t> </w:t>
      </w:r>
      <w:r>
        <w:rPr>
          <w:w w:val="125"/>
          <w:sz w:val="24"/>
        </w:rPr>
        <w:t>közbizalom</w:t>
      </w:r>
      <w:r>
        <w:rPr>
          <w:spacing w:val="52"/>
          <w:w w:val="125"/>
          <w:sz w:val="24"/>
        </w:rPr>
        <w:t> </w:t>
      </w:r>
      <w:r>
        <w:rPr>
          <w:w w:val="125"/>
          <w:sz w:val="24"/>
        </w:rPr>
        <w:t>elleni</w:t>
      </w:r>
      <w:r>
        <w:rPr>
          <w:spacing w:val="53"/>
          <w:w w:val="125"/>
          <w:sz w:val="24"/>
        </w:rPr>
        <w:t> </w:t>
      </w:r>
      <w:r>
        <w:rPr>
          <w:w w:val="125"/>
          <w:sz w:val="24"/>
        </w:rPr>
        <w:t>bűncselekmény,</w:t>
      </w:r>
      <w:r>
        <w:rPr>
          <w:spacing w:val="53"/>
          <w:w w:val="125"/>
          <w:sz w:val="24"/>
        </w:rPr>
        <w:t> </w:t>
      </w:r>
      <w:r>
        <w:rPr>
          <w:w w:val="125"/>
          <w:sz w:val="24"/>
        </w:rPr>
        <w:t>a</w:t>
      </w:r>
    </w:p>
    <w:p>
      <w:pPr>
        <w:pStyle w:val="ListParagraph"/>
        <w:numPr>
          <w:ilvl w:val="0"/>
          <w:numId w:val="184"/>
        </w:numPr>
        <w:tabs>
          <w:tab w:pos="822" w:val="left" w:leader="none"/>
        </w:tabs>
        <w:spacing w:line="225" w:lineRule="auto" w:before="6" w:after="0"/>
        <w:ind w:left="113" w:right="128" w:firstLine="0"/>
        <w:jc w:val="left"/>
        <w:rPr>
          <w:sz w:val="24"/>
        </w:rPr>
      </w:pPr>
      <w:r>
        <w:rPr>
          <w:w w:val="125"/>
          <w:sz w:val="24"/>
        </w:rPr>
        <w:t>fejezetben meghatározott gazdasági bűncselekmény, a XVIII. fejezetben meghatározott vagyon elleni bűncselekmény elkövetése miatt</w:t>
      </w:r>
      <w:r>
        <w:rPr>
          <w:spacing w:val="29"/>
          <w:w w:val="125"/>
          <w:sz w:val="24"/>
        </w:rPr>
        <w:t> </w:t>
      </w:r>
      <w:r>
        <w:rPr>
          <w:w w:val="125"/>
          <w:sz w:val="24"/>
        </w:rPr>
        <w:t>elítéltek,</w:t>
      </w:r>
    </w:p>
    <w:p>
      <w:pPr>
        <w:pStyle w:val="BodyText"/>
        <w:spacing w:line="225" w:lineRule="auto" w:before="1"/>
        <w:ind w:right="129"/>
        <w:jc w:val="both"/>
      </w:pPr>
      <w:r>
        <w:rPr>
          <w:i/>
          <w:w w:val="125"/>
        </w:rPr>
        <w:t>ab) </w:t>
      </w:r>
      <w:r>
        <w:rPr>
          <w:w w:val="125"/>
        </w:rPr>
        <w:t>a Büntető Törvénykönyvről szóló 2012. évi C. törvény (a továbbiakban: Btk.) szerinti minősített adattal visszaélés, hamis vád, hatóság félrevezetése, hamis tanúzás, hamis tanúzásra felhívás, mentő körülmény elhallgatása, bűnpártolás, XXVII. Fejezetében meghatározott korrupciós bűncselekmény, bűnszervezetben részvétel, XXXIII. Fejezetében meghatározott közbizalom elleni bűncselekmény vagy XXXV-XLIII. Fejezetében meghatározott bűncselekmény elkövetése miatt elítéltek,</w:t>
      </w:r>
    </w:p>
    <w:p>
      <w:pPr>
        <w:pStyle w:val="BodyText"/>
        <w:spacing w:line="259" w:lineRule="exact"/>
        <w:ind w:firstLine="0"/>
      </w:pPr>
      <w:r>
        <w:rPr>
          <w:w w:val="130"/>
        </w:rPr>
        <w:t>a büntetett előélet jogkövetkezménye alóli mentesülésig,</w:t>
      </w:r>
    </w:p>
    <w:p>
      <w:pPr>
        <w:pStyle w:val="ListParagraph"/>
        <w:numPr>
          <w:ilvl w:val="0"/>
          <w:numId w:val="183"/>
        </w:numPr>
        <w:tabs>
          <w:tab w:pos="659" w:val="left" w:leader="none"/>
        </w:tabs>
        <w:spacing w:line="225" w:lineRule="auto" w:before="5" w:after="0"/>
        <w:ind w:left="113" w:right="130" w:firstLine="204"/>
        <w:jc w:val="both"/>
        <w:rPr>
          <w:sz w:val="24"/>
        </w:rPr>
      </w:pPr>
      <w:r>
        <w:rPr>
          <w:w w:val="130"/>
          <w:sz w:val="24"/>
        </w:rPr>
        <w:t>aki</w:t>
      </w:r>
      <w:r>
        <w:rPr>
          <w:spacing w:val="-9"/>
          <w:w w:val="130"/>
          <w:sz w:val="24"/>
        </w:rPr>
        <w:t> </w:t>
      </w:r>
      <w:r>
        <w:rPr>
          <w:w w:val="130"/>
          <w:sz w:val="24"/>
        </w:rPr>
        <w:t>e</w:t>
      </w:r>
      <w:r>
        <w:rPr>
          <w:spacing w:val="-8"/>
          <w:w w:val="130"/>
          <w:sz w:val="24"/>
        </w:rPr>
        <w:t> </w:t>
      </w:r>
      <w:r>
        <w:rPr>
          <w:w w:val="130"/>
          <w:sz w:val="24"/>
        </w:rPr>
        <w:t>tevékenység</w:t>
      </w:r>
      <w:r>
        <w:rPr>
          <w:spacing w:val="-8"/>
          <w:w w:val="130"/>
          <w:sz w:val="24"/>
        </w:rPr>
        <w:t> </w:t>
      </w:r>
      <w:r>
        <w:rPr>
          <w:w w:val="130"/>
          <w:sz w:val="24"/>
        </w:rPr>
        <w:t>folytatását</w:t>
      </w:r>
      <w:r>
        <w:rPr>
          <w:spacing w:val="-8"/>
          <w:w w:val="130"/>
          <w:sz w:val="24"/>
        </w:rPr>
        <w:t> </w:t>
      </w:r>
      <w:r>
        <w:rPr>
          <w:w w:val="130"/>
          <w:sz w:val="24"/>
        </w:rPr>
        <w:t>kizáró</w:t>
      </w:r>
      <w:r>
        <w:rPr>
          <w:spacing w:val="-8"/>
          <w:w w:val="130"/>
          <w:sz w:val="24"/>
        </w:rPr>
        <w:t> </w:t>
      </w:r>
      <w:r>
        <w:rPr>
          <w:w w:val="130"/>
          <w:sz w:val="24"/>
        </w:rPr>
        <w:t>foglalkoztatástól</w:t>
      </w:r>
      <w:r>
        <w:rPr>
          <w:spacing w:val="-8"/>
          <w:w w:val="130"/>
          <w:sz w:val="24"/>
        </w:rPr>
        <w:t> </w:t>
      </w:r>
      <w:r>
        <w:rPr>
          <w:w w:val="130"/>
          <w:sz w:val="24"/>
        </w:rPr>
        <w:t>eltiltás</w:t>
      </w:r>
      <w:r>
        <w:rPr>
          <w:spacing w:val="-8"/>
          <w:w w:val="130"/>
          <w:sz w:val="24"/>
        </w:rPr>
        <w:t> </w:t>
      </w:r>
      <w:r>
        <w:rPr>
          <w:w w:val="130"/>
          <w:sz w:val="24"/>
        </w:rPr>
        <w:t>hatálya</w:t>
      </w:r>
      <w:r>
        <w:rPr>
          <w:spacing w:val="-8"/>
          <w:w w:val="130"/>
          <w:sz w:val="24"/>
        </w:rPr>
        <w:t> </w:t>
      </w:r>
      <w:r>
        <w:rPr>
          <w:w w:val="130"/>
          <w:sz w:val="24"/>
        </w:rPr>
        <w:t>alatt áll,</w:t>
      </w:r>
      <w:r>
        <w:rPr>
          <w:spacing w:val="-4"/>
          <w:w w:val="130"/>
          <w:sz w:val="24"/>
        </w:rPr>
        <w:t> </w:t>
      </w:r>
      <w:r>
        <w:rPr>
          <w:w w:val="130"/>
          <w:sz w:val="24"/>
        </w:rPr>
        <w:t>és</w:t>
      </w:r>
    </w:p>
    <w:p>
      <w:pPr>
        <w:pStyle w:val="ListParagraph"/>
        <w:numPr>
          <w:ilvl w:val="0"/>
          <w:numId w:val="183"/>
        </w:numPr>
        <w:tabs>
          <w:tab w:pos="826" w:val="left" w:leader="none"/>
        </w:tabs>
        <w:spacing w:line="225" w:lineRule="auto" w:before="1" w:after="0"/>
        <w:ind w:left="113" w:right="125" w:firstLine="204"/>
        <w:jc w:val="both"/>
        <w:rPr>
          <w:sz w:val="24"/>
        </w:rPr>
      </w:pPr>
      <w:r>
        <w:rPr>
          <w:w w:val="125"/>
          <w:sz w:val="24"/>
        </w:rPr>
        <w:t>akivel szemben az </w:t>
      </w:r>
      <w:r>
        <w:rPr>
          <w:i/>
          <w:w w:val="125"/>
          <w:sz w:val="24"/>
        </w:rPr>
        <w:t>a) </w:t>
      </w:r>
      <w:r>
        <w:rPr>
          <w:w w:val="125"/>
          <w:sz w:val="24"/>
        </w:rPr>
        <w:t>pontban meghatározott bűncselekmények bármelyike miatt büntetőeljárás van folyamatban, a  büntetőeljárás  befejezéséig.</w:t>
      </w:r>
    </w:p>
    <w:p>
      <w:pPr>
        <w:pStyle w:val="ListParagraph"/>
        <w:numPr>
          <w:ilvl w:val="0"/>
          <w:numId w:val="182"/>
        </w:numPr>
        <w:tabs>
          <w:tab w:pos="659" w:val="left" w:leader="none"/>
          <w:tab w:pos="1007" w:val="left" w:leader="none"/>
          <w:tab w:pos="1402" w:val="left" w:leader="none"/>
          <w:tab w:pos="3409" w:val="left" w:leader="none"/>
          <w:tab w:pos="4906" w:val="left" w:leader="none"/>
          <w:tab w:pos="6463" w:val="left" w:leader="none"/>
          <w:tab w:pos="6835" w:val="left" w:leader="none"/>
          <w:tab w:pos="8648" w:val="left" w:leader="none"/>
        </w:tabs>
        <w:spacing w:line="250" w:lineRule="exact" w:before="0" w:after="0"/>
        <w:ind w:left="658" w:right="0" w:hanging="341"/>
        <w:jc w:val="left"/>
        <w:rPr>
          <w:sz w:val="24"/>
        </w:rPr>
      </w:pPr>
      <w:r>
        <w:rPr>
          <w:i/>
          <w:w w:val="125"/>
          <w:position w:val="3"/>
          <w:sz w:val="18"/>
        </w:rPr>
        <w:t>1</w:t>
        <w:tab/>
      </w:r>
      <w:r>
        <w:rPr>
          <w:w w:val="125"/>
          <w:sz w:val="24"/>
        </w:rPr>
        <w:t>A</w:t>
        <w:tab/>
        <w:t>foglalkoztatási</w:t>
        <w:tab/>
        <w:t>jogviszony</w:t>
        <w:tab/>
        <w:t>létesítését,</w:t>
        <w:tab/>
        <w:t>a</w:t>
        <w:tab/>
        <w:t>tevékenységi</w:t>
        <w:tab/>
        <w:t>engedély</w:t>
      </w:r>
    </w:p>
    <w:p>
      <w:pPr>
        <w:pStyle w:val="BodyText"/>
        <w:spacing w:line="225" w:lineRule="auto" w:before="12"/>
        <w:ind w:right="124" w:firstLine="0"/>
        <w:jc w:val="both"/>
      </w:pPr>
      <w:r>
        <w:rPr>
          <w:w w:val="130"/>
        </w:rPr>
        <w:t>kiadását, illetve meghosszabbítását megelőzően, valamint a foglalkoztatás</w:t>
      </w:r>
      <w:r>
        <w:rPr>
          <w:spacing w:val="78"/>
          <w:w w:val="130"/>
        </w:rPr>
        <w:t> </w:t>
      </w:r>
      <w:r>
        <w:rPr>
          <w:w w:val="130"/>
        </w:rPr>
        <w:t>ideje</w:t>
      </w:r>
      <w:r>
        <w:rPr>
          <w:spacing w:val="-15"/>
          <w:w w:val="130"/>
        </w:rPr>
        <w:t> </w:t>
      </w:r>
      <w:r>
        <w:rPr>
          <w:w w:val="130"/>
        </w:rPr>
        <w:t>alatt</w:t>
      </w:r>
      <w:r>
        <w:rPr>
          <w:spacing w:val="-13"/>
          <w:w w:val="130"/>
        </w:rPr>
        <w:t> </w:t>
      </w:r>
      <w:r>
        <w:rPr>
          <w:w w:val="130"/>
        </w:rPr>
        <w:t>a</w:t>
      </w:r>
      <w:r>
        <w:rPr>
          <w:spacing w:val="-13"/>
          <w:w w:val="130"/>
        </w:rPr>
        <w:t> </w:t>
      </w:r>
      <w:r>
        <w:rPr>
          <w:w w:val="130"/>
        </w:rPr>
        <w:t>(2)</w:t>
      </w:r>
      <w:r>
        <w:rPr>
          <w:spacing w:val="-14"/>
          <w:w w:val="130"/>
        </w:rPr>
        <w:t> </w:t>
      </w:r>
      <w:r>
        <w:rPr>
          <w:w w:val="130"/>
        </w:rPr>
        <w:t>bekezdésben</w:t>
      </w:r>
      <w:r>
        <w:rPr>
          <w:spacing w:val="-13"/>
          <w:w w:val="130"/>
        </w:rPr>
        <w:t> </w:t>
      </w:r>
      <w:r>
        <w:rPr>
          <w:w w:val="130"/>
        </w:rPr>
        <w:t>meghatározott</w:t>
      </w:r>
      <w:r>
        <w:rPr>
          <w:spacing w:val="-14"/>
          <w:w w:val="130"/>
        </w:rPr>
        <w:t> </w:t>
      </w:r>
      <w:r>
        <w:rPr>
          <w:w w:val="130"/>
        </w:rPr>
        <w:t>foglalkoztatási</w:t>
      </w:r>
      <w:r>
        <w:rPr>
          <w:spacing w:val="-13"/>
          <w:w w:val="130"/>
        </w:rPr>
        <w:t> </w:t>
      </w:r>
      <w:r>
        <w:rPr>
          <w:w w:val="130"/>
        </w:rPr>
        <w:t>feltétel</w:t>
      </w:r>
      <w:r>
        <w:rPr>
          <w:spacing w:val="-13"/>
          <w:w w:val="130"/>
        </w:rPr>
        <w:t> </w:t>
      </w:r>
      <w:r>
        <w:rPr>
          <w:w w:val="130"/>
        </w:rPr>
        <w:t>fennállását a Felügyelet a bűnügyi nyilvántartásból történő adatigényléssel ellenőrizheti. Az így megismert személyes adatokat a Felügyelet az eljárás végleges befejezéséig</w:t>
      </w:r>
      <w:r>
        <w:rPr>
          <w:spacing w:val="-3"/>
          <w:w w:val="130"/>
        </w:rPr>
        <w:t> </w:t>
      </w:r>
      <w:r>
        <w:rPr>
          <w:w w:val="130"/>
        </w:rPr>
        <w:t>kezelheti.</w:t>
      </w:r>
    </w:p>
    <w:p>
      <w:pPr>
        <w:pStyle w:val="ListParagraph"/>
        <w:numPr>
          <w:ilvl w:val="1"/>
          <w:numId w:val="175"/>
        </w:numPr>
        <w:tabs>
          <w:tab w:pos="953" w:val="left" w:leader="none"/>
        </w:tabs>
        <w:spacing w:line="225" w:lineRule="auto" w:before="2" w:after="0"/>
        <w:ind w:left="113" w:right="127" w:firstLine="204"/>
        <w:jc w:val="both"/>
        <w:rPr>
          <w:sz w:val="24"/>
        </w:rPr>
      </w:pPr>
      <w:r>
        <w:rPr>
          <w:rFonts w:ascii="Arial" w:hAnsi="Arial"/>
          <w:b/>
          <w:w w:val="125"/>
          <w:sz w:val="24"/>
        </w:rPr>
        <w:t>§ </w:t>
      </w:r>
      <w:r>
        <w:rPr>
          <w:w w:val="125"/>
          <w:sz w:val="24"/>
        </w:rPr>
        <w:t>(1) A fizetési rendszer működtetésére pénzügyi vállalkozás az engedélyt akkor kaphatja meg, ha igazolja,</w:t>
      </w:r>
      <w:r>
        <w:rPr>
          <w:spacing w:val="5"/>
          <w:w w:val="125"/>
          <w:sz w:val="24"/>
        </w:rPr>
        <w:t> </w:t>
      </w:r>
      <w:r>
        <w:rPr>
          <w:w w:val="125"/>
          <w:sz w:val="24"/>
        </w:rPr>
        <w:t>hogy</w:t>
      </w:r>
    </w:p>
    <w:p>
      <w:pPr>
        <w:pStyle w:val="ListParagraph"/>
        <w:numPr>
          <w:ilvl w:val="0"/>
          <w:numId w:val="185"/>
        </w:numPr>
        <w:tabs>
          <w:tab w:pos="631" w:val="left" w:leader="none"/>
        </w:tabs>
        <w:spacing w:line="256" w:lineRule="exact" w:before="0" w:after="0"/>
        <w:ind w:left="630" w:right="0" w:hanging="313"/>
        <w:jc w:val="left"/>
        <w:rPr>
          <w:sz w:val="24"/>
        </w:rPr>
      </w:pPr>
      <w:r>
        <w:rPr>
          <w:w w:val="130"/>
          <w:sz w:val="24"/>
        </w:rPr>
        <w:t>az induló tőkét teljes mértékben</w:t>
      </w:r>
      <w:r>
        <w:rPr>
          <w:spacing w:val="-23"/>
          <w:w w:val="130"/>
          <w:sz w:val="24"/>
        </w:rPr>
        <w:t> </w:t>
      </w:r>
      <w:r>
        <w:rPr>
          <w:w w:val="130"/>
          <w:sz w:val="24"/>
        </w:rPr>
        <w:t>befizette,</w:t>
      </w:r>
    </w:p>
    <w:p>
      <w:pPr>
        <w:pStyle w:val="ListParagraph"/>
        <w:numPr>
          <w:ilvl w:val="0"/>
          <w:numId w:val="185"/>
        </w:numPr>
        <w:tabs>
          <w:tab w:pos="795" w:val="left" w:leader="none"/>
        </w:tabs>
        <w:spacing w:line="225" w:lineRule="auto" w:before="5" w:after="0"/>
        <w:ind w:left="113" w:right="128" w:firstLine="204"/>
        <w:jc w:val="both"/>
        <w:rPr>
          <w:sz w:val="24"/>
        </w:rPr>
      </w:pPr>
      <w:r>
        <w:rPr>
          <w:w w:val="125"/>
          <w:sz w:val="24"/>
        </w:rPr>
        <w:t>a fizetési rendszer működtetését pénzügyi vállalkozás esetében - cégjegyzékben feltüntetett - főtevékenységként végzi, egyéb tevékenysége a főtevékenységet kiegészíti vagy a főtevékenység ellátását nem befolyásolja hátrányosan,</w:t>
      </w:r>
      <w:r>
        <w:rPr>
          <w:spacing w:val="1"/>
          <w:w w:val="125"/>
          <w:sz w:val="24"/>
        </w:rPr>
        <w:t> </w:t>
      </w:r>
      <w:r>
        <w:rPr>
          <w:w w:val="125"/>
          <w:sz w:val="24"/>
        </w:rPr>
        <w:t>és</w:t>
      </w:r>
    </w:p>
    <w:p>
      <w:pPr>
        <w:pStyle w:val="BodyText"/>
        <w:spacing w:before="8"/>
        <w:ind w:left="0" w:firstLine="0"/>
        <w:rPr>
          <w:sz w:val="8"/>
        </w:rPr>
      </w:pPr>
      <w:r>
        <w:rPr/>
        <w:pict>
          <v:line style="position:absolute;mso-position-horizontal-relative:page;mso-position-vertical-relative:paragraph;z-index:176;mso-wrap-distance-left:0;mso-wrap-distance-right:0" from="56.693001pt,7.247621pt" to="538.583001pt,7.24762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ListParagraph"/>
        <w:numPr>
          <w:ilvl w:val="0"/>
          <w:numId w:val="185"/>
        </w:numPr>
        <w:tabs>
          <w:tab w:pos="623" w:val="left" w:leader="none"/>
        </w:tabs>
        <w:spacing w:line="268" w:lineRule="exact" w:before="159" w:after="0"/>
        <w:ind w:left="622" w:right="0" w:hanging="305"/>
        <w:jc w:val="left"/>
        <w:rPr>
          <w:sz w:val="24"/>
        </w:rPr>
      </w:pPr>
      <w:r>
        <w:rPr>
          <w:w w:val="130"/>
          <w:sz w:val="24"/>
        </w:rPr>
        <w:t>részvénytársaságként</w:t>
      </w:r>
      <w:r>
        <w:rPr>
          <w:spacing w:val="-16"/>
          <w:w w:val="130"/>
          <w:sz w:val="24"/>
        </w:rPr>
        <w:t> </w:t>
      </w:r>
      <w:r>
        <w:rPr>
          <w:w w:val="130"/>
          <w:sz w:val="24"/>
        </w:rPr>
        <w:t>vagy</w:t>
      </w:r>
      <w:r>
        <w:rPr>
          <w:spacing w:val="-16"/>
          <w:w w:val="130"/>
          <w:sz w:val="24"/>
        </w:rPr>
        <w:t> </w:t>
      </w:r>
      <w:r>
        <w:rPr>
          <w:w w:val="130"/>
          <w:sz w:val="24"/>
        </w:rPr>
        <w:t>részvénytársaság</w:t>
      </w:r>
      <w:r>
        <w:rPr>
          <w:spacing w:val="-5"/>
          <w:w w:val="130"/>
          <w:sz w:val="24"/>
        </w:rPr>
        <w:t> </w:t>
      </w:r>
      <w:r>
        <w:rPr>
          <w:w w:val="130"/>
          <w:sz w:val="24"/>
        </w:rPr>
        <w:t>fióktelepeként</w:t>
      </w:r>
      <w:r>
        <w:rPr>
          <w:spacing w:val="-26"/>
          <w:w w:val="130"/>
          <w:sz w:val="24"/>
        </w:rPr>
        <w:t> </w:t>
      </w:r>
      <w:r>
        <w:rPr>
          <w:w w:val="130"/>
          <w:sz w:val="24"/>
        </w:rPr>
        <w:t>működik.</w:t>
      </w:r>
    </w:p>
    <w:p>
      <w:pPr>
        <w:pStyle w:val="ListParagraph"/>
        <w:numPr>
          <w:ilvl w:val="0"/>
          <w:numId w:val="186"/>
        </w:numPr>
        <w:tabs>
          <w:tab w:pos="786" w:val="left" w:leader="none"/>
        </w:tabs>
        <w:spacing w:line="225" w:lineRule="auto" w:before="6" w:after="0"/>
        <w:ind w:left="113" w:right="112" w:firstLine="204"/>
        <w:jc w:val="both"/>
        <w:rPr>
          <w:sz w:val="24"/>
        </w:rPr>
      </w:pPr>
      <w:r>
        <w:rPr>
          <w:w w:val="125"/>
          <w:sz w:val="24"/>
        </w:rPr>
        <w:t>Fizetési rendszert működtető pénzügyi vállalkozásban tagi részesedést kizárólag a Felügyelet, hitelintézet, fizetési rendszert működtető pénzügyi vállalkozás, pénzforgalmi intézmény, elektronikuspénz-kibocsátó intézmény, hitelintézetek érdek-képviseleti szervezete, valamint a Tpt. szerinti elszámolóházi tevékenységet végző szervezet</w:t>
      </w:r>
      <w:r>
        <w:rPr>
          <w:spacing w:val="9"/>
          <w:w w:val="125"/>
          <w:sz w:val="24"/>
        </w:rPr>
        <w:t> </w:t>
      </w:r>
      <w:r>
        <w:rPr>
          <w:w w:val="125"/>
          <w:sz w:val="24"/>
        </w:rPr>
        <w:t>szerezhet.</w:t>
      </w:r>
    </w:p>
    <w:p>
      <w:pPr>
        <w:pStyle w:val="ListParagraph"/>
        <w:numPr>
          <w:ilvl w:val="0"/>
          <w:numId w:val="186"/>
        </w:numPr>
        <w:tabs>
          <w:tab w:pos="765" w:val="left" w:leader="none"/>
        </w:tabs>
        <w:spacing w:line="225" w:lineRule="auto" w:before="3" w:after="0"/>
        <w:ind w:left="113" w:right="132" w:firstLine="204"/>
        <w:jc w:val="left"/>
        <w:rPr>
          <w:sz w:val="24"/>
        </w:rPr>
      </w:pPr>
      <w:r>
        <w:rPr>
          <w:w w:val="125"/>
          <w:sz w:val="24"/>
        </w:rPr>
        <w:t>A pénzfeldolgozási tevékenység végzésére jogi személy, illetve fióktelep az engedélyt akkor kaphatja meg, ha igazolja,</w:t>
      </w:r>
      <w:r>
        <w:rPr>
          <w:spacing w:val="7"/>
          <w:w w:val="125"/>
          <w:sz w:val="24"/>
        </w:rPr>
        <w:t> </w:t>
      </w:r>
      <w:r>
        <w:rPr>
          <w:w w:val="125"/>
          <w:sz w:val="24"/>
        </w:rPr>
        <w:t>hogy</w:t>
      </w:r>
    </w:p>
    <w:p>
      <w:pPr>
        <w:pStyle w:val="ListParagraph"/>
        <w:numPr>
          <w:ilvl w:val="0"/>
          <w:numId w:val="187"/>
        </w:numPr>
        <w:tabs>
          <w:tab w:pos="631" w:val="left" w:leader="none"/>
        </w:tabs>
        <w:spacing w:line="256" w:lineRule="exact" w:before="0" w:after="0"/>
        <w:ind w:left="630" w:right="0" w:hanging="313"/>
        <w:jc w:val="left"/>
        <w:rPr>
          <w:sz w:val="24"/>
        </w:rPr>
      </w:pPr>
      <w:r>
        <w:rPr>
          <w:w w:val="125"/>
          <w:sz w:val="24"/>
        </w:rPr>
        <w:t>legalább húszmillió forint jegyzett tőkével rendelkezik,</w:t>
      </w:r>
      <w:r>
        <w:rPr>
          <w:spacing w:val="5"/>
          <w:w w:val="125"/>
          <w:sz w:val="24"/>
        </w:rPr>
        <w:t> </w:t>
      </w:r>
      <w:r>
        <w:rPr>
          <w:w w:val="125"/>
          <w:sz w:val="24"/>
        </w:rPr>
        <w:t>és</w:t>
      </w:r>
    </w:p>
    <w:p>
      <w:pPr>
        <w:pStyle w:val="ListParagraph"/>
        <w:numPr>
          <w:ilvl w:val="0"/>
          <w:numId w:val="187"/>
        </w:numPr>
        <w:tabs>
          <w:tab w:pos="653" w:val="left" w:leader="none"/>
        </w:tabs>
        <w:spacing w:line="260" w:lineRule="exact" w:before="0" w:after="0"/>
        <w:ind w:left="652" w:right="0" w:hanging="335"/>
        <w:jc w:val="left"/>
        <w:rPr>
          <w:sz w:val="24"/>
        </w:rPr>
      </w:pPr>
      <w:r>
        <w:rPr>
          <w:w w:val="125"/>
          <w:sz w:val="24"/>
        </w:rPr>
        <w:t>káreseményenként ötvenmillió forint felelősségbiztosítással</w:t>
      </w:r>
      <w:r>
        <w:rPr>
          <w:spacing w:val="19"/>
          <w:w w:val="125"/>
          <w:sz w:val="24"/>
        </w:rPr>
        <w:t> </w:t>
      </w:r>
      <w:r>
        <w:rPr>
          <w:w w:val="125"/>
          <w:sz w:val="24"/>
        </w:rPr>
        <w:t>rendelkezik.</w:t>
      </w:r>
    </w:p>
    <w:p>
      <w:pPr>
        <w:pStyle w:val="ListParagraph"/>
        <w:numPr>
          <w:ilvl w:val="0"/>
          <w:numId w:val="186"/>
        </w:numPr>
        <w:tabs>
          <w:tab w:pos="859" w:val="left" w:leader="none"/>
          <w:tab w:pos="860" w:val="left" w:leader="none"/>
          <w:tab w:pos="1234" w:val="left" w:leader="none"/>
          <w:tab w:pos="2532" w:val="left" w:leader="none"/>
          <w:tab w:pos="3699" w:val="left" w:leader="none"/>
          <w:tab w:pos="5664" w:val="left" w:leader="none"/>
          <w:tab w:pos="6009" w:val="left" w:leader="none"/>
          <w:tab w:pos="7300" w:val="left" w:leader="none"/>
          <w:tab w:pos="8308" w:val="left" w:leader="none"/>
          <w:tab w:pos="8652" w:val="left" w:leader="none"/>
        </w:tabs>
        <w:spacing w:line="225" w:lineRule="auto" w:before="5" w:after="0"/>
        <w:ind w:left="113" w:right="129" w:firstLine="204"/>
        <w:jc w:val="left"/>
        <w:rPr>
          <w:sz w:val="24"/>
        </w:rPr>
      </w:pPr>
      <w:r>
        <w:rPr>
          <w:w w:val="125"/>
          <w:sz w:val="24"/>
        </w:rPr>
        <w:t>A</w:t>
        <w:tab/>
        <w:t>pénzügyi</w:t>
        <w:tab/>
        <w:t>ügynöki</w:t>
        <w:tab/>
        <w:t>tevékenységre</w:t>
        <w:tab/>
        <w:t>a</w:t>
        <w:tab/>
        <w:t>bankközi</w:t>
        <w:tab/>
        <w:t>piacon</w:t>
        <w:tab/>
        <w:t>a</w:t>
        <w:tab/>
      </w:r>
      <w:r>
        <w:rPr>
          <w:spacing w:val="-3"/>
          <w:w w:val="125"/>
          <w:sz w:val="24"/>
        </w:rPr>
        <w:t>pénzügyi </w:t>
      </w:r>
      <w:r>
        <w:rPr>
          <w:w w:val="125"/>
          <w:sz w:val="24"/>
        </w:rPr>
        <w:t>vállalkozás az engedélyt akkor kaphatja meg, ha igazolja,</w:t>
      </w:r>
      <w:r>
        <w:rPr>
          <w:spacing w:val="7"/>
          <w:w w:val="125"/>
          <w:sz w:val="24"/>
        </w:rPr>
        <w:t> </w:t>
      </w:r>
      <w:r>
        <w:rPr>
          <w:w w:val="125"/>
          <w:sz w:val="24"/>
        </w:rPr>
        <w:t>hogy</w:t>
      </w:r>
    </w:p>
    <w:p>
      <w:pPr>
        <w:pStyle w:val="ListParagraph"/>
        <w:numPr>
          <w:ilvl w:val="0"/>
          <w:numId w:val="188"/>
        </w:numPr>
        <w:tabs>
          <w:tab w:pos="631" w:val="left" w:leader="none"/>
        </w:tabs>
        <w:spacing w:line="256" w:lineRule="exact" w:before="0" w:after="0"/>
        <w:ind w:left="630" w:right="0" w:hanging="313"/>
        <w:jc w:val="left"/>
        <w:rPr>
          <w:sz w:val="24"/>
        </w:rPr>
      </w:pPr>
      <w:r>
        <w:rPr>
          <w:w w:val="125"/>
          <w:sz w:val="24"/>
        </w:rPr>
        <w:t>legalább ötvenmillió forint készpénzből álló jegyzett tőkével</w:t>
      </w:r>
      <w:r>
        <w:rPr>
          <w:spacing w:val="-1"/>
          <w:w w:val="125"/>
          <w:sz w:val="24"/>
        </w:rPr>
        <w:t> </w:t>
      </w:r>
      <w:r>
        <w:rPr>
          <w:w w:val="125"/>
          <w:sz w:val="24"/>
        </w:rPr>
        <w:t>rendelkezik,</w:t>
      </w:r>
    </w:p>
    <w:p>
      <w:pPr>
        <w:pStyle w:val="ListParagraph"/>
        <w:numPr>
          <w:ilvl w:val="0"/>
          <w:numId w:val="188"/>
        </w:numPr>
        <w:tabs>
          <w:tab w:pos="653" w:val="left" w:leader="none"/>
        </w:tabs>
        <w:spacing w:line="260" w:lineRule="exact" w:before="0" w:after="0"/>
        <w:ind w:left="652" w:right="0" w:hanging="335"/>
        <w:jc w:val="left"/>
        <w:rPr>
          <w:sz w:val="24"/>
        </w:rPr>
      </w:pPr>
      <w:r>
        <w:rPr>
          <w:w w:val="130"/>
          <w:sz w:val="24"/>
        </w:rPr>
        <w:t>részvénytársaságként</w:t>
      </w:r>
      <w:r>
        <w:rPr>
          <w:spacing w:val="-60"/>
          <w:w w:val="130"/>
          <w:sz w:val="24"/>
        </w:rPr>
        <w:t> </w:t>
      </w:r>
      <w:r>
        <w:rPr>
          <w:w w:val="130"/>
          <w:sz w:val="24"/>
        </w:rPr>
        <w:t>vagy fióktelep formájában működik, és</w:t>
      </w:r>
    </w:p>
    <w:p>
      <w:pPr>
        <w:pStyle w:val="ListParagraph"/>
        <w:numPr>
          <w:ilvl w:val="0"/>
          <w:numId w:val="188"/>
        </w:numPr>
        <w:tabs>
          <w:tab w:pos="623" w:val="left" w:leader="none"/>
        </w:tabs>
        <w:spacing w:line="251" w:lineRule="exact" w:before="0" w:after="0"/>
        <w:ind w:left="622" w:right="0" w:hanging="305"/>
        <w:jc w:val="left"/>
        <w:rPr>
          <w:sz w:val="24"/>
        </w:rPr>
      </w:pPr>
      <w:r>
        <w:rPr>
          <w:w w:val="130"/>
          <w:sz w:val="24"/>
        </w:rPr>
        <w:t>megfelel</w:t>
      </w:r>
      <w:r>
        <w:rPr>
          <w:spacing w:val="-21"/>
          <w:w w:val="130"/>
          <w:sz w:val="24"/>
        </w:rPr>
        <w:t> </w:t>
      </w:r>
      <w:r>
        <w:rPr>
          <w:w w:val="130"/>
          <w:sz w:val="24"/>
        </w:rPr>
        <w:t>a</w:t>
      </w:r>
      <w:r>
        <w:rPr>
          <w:spacing w:val="-21"/>
          <w:w w:val="130"/>
          <w:sz w:val="24"/>
        </w:rPr>
        <w:t> </w:t>
      </w:r>
      <w:r>
        <w:rPr>
          <w:w w:val="130"/>
          <w:sz w:val="24"/>
        </w:rPr>
        <w:t>jogszabályban</w:t>
      </w:r>
      <w:r>
        <w:rPr>
          <w:spacing w:val="-21"/>
          <w:w w:val="130"/>
          <w:sz w:val="24"/>
        </w:rPr>
        <w:t> </w:t>
      </w:r>
      <w:r>
        <w:rPr>
          <w:w w:val="130"/>
          <w:sz w:val="24"/>
        </w:rPr>
        <w:t>megállapított</w:t>
      </w:r>
      <w:r>
        <w:rPr>
          <w:spacing w:val="-21"/>
          <w:w w:val="130"/>
          <w:sz w:val="24"/>
        </w:rPr>
        <w:t> </w:t>
      </w:r>
      <w:r>
        <w:rPr>
          <w:w w:val="130"/>
          <w:sz w:val="24"/>
        </w:rPr>
        <w:t>személyi</w:t>
      </w:r>
      <w:r>
        <w:rPr>
          <w:spacing w:val="-20"/>
          <w:w w:val="130"/>
          <w:sz w:val="24"/>
        </w:rPr>
        <w:t> </w:t>
      </w:r>
      <w:r>
        <w:rPr>
          <w:w w:val="130"/>
          <w:sz w:val="24"/>
        </w:rPr>
        <w:t>és</w:t>
      </w:r>
      <w:r>
        <w:rPr>
          <w:spacing w:val="-21"/>
          <w:w w:val="130"/>
          <w:sz w:val="24"/>
        </w:rPr>
        <w:t> </w:t>
      </w:r>
      <w:r>
        <w:rPr>
          <w:w w:val="130"/>
          <w:sz w:val="24"/>
        </w:rPr>
        <w:t>tárgyi</w:t>
      </w:r>
      <w:r>
        <w:rPr>
          <w:spacing w:val="-21"/>
          <w:w w:val="130"/>
          <w:sz w:val="24"/>
        </w:rPr>
        <w:t> </w:t>
      </w:r>
      <w:r>
        <w:rPr>
          <w:w w:val="130"/>
          <w:sz w:val="24"/>
        </w:rPr>
        <w:t>feltételeknek.</w:t>
      </w:r>
    </w:p>
    <w:p>
      <w:pPr>
        <w:pStyle w:val="BodyText"/>
        <w:spacing w:line="262" w:lineRule="exact"/>
        <w:ind w:left="317" w:firstLine="0"/>
      </w:pPr>
      <w:r>
        <w:rPr>
          <w:rFonts w:ascii="Arial" w:hAnsi="Arial"/>
          <w:b/>
          <w:w w:val="125"/>
        </w:rPr>
        <w:t>76/A. §</w:t>
      </w:r>
      <w:r>
        <w:rPr>
          <w:i/>
          <w:w w:val="125"/>
          <w:position w:val="3"/>
          <w:sz w:val="18"/>
        </w:rPr>
        <w:t>1 </w:t>
      </w:r>
      <w:r>
        <w:rPr>
          <w:w w:val="125"/>
        </w:rPr>
        <w:t>Hitel-tanácsadási tevékenység végzésére csak jelzáloghitel vagy</w:t>
      </w:r>
    </w:p>
    <w:p>
      <w:pPr>
        <w:pStyle w:val="BodyText"/>
        <w:spacing w:line="225" w:lineRule="auto" w:before="12"/>
        <w:ind w:right="131" w:firstLine="0"/>
        <w:jc w:val="both"/>
      </w:pPr>
      <w:r>
        <w:rPr>
          <w:w w:val="125"/>
        </w:rPr>
        <w:t>fogyasztónak nyújtott ingatlanra vonatkozó pénzügyi lízing nyújtására engedéllyel rendelkező pénzügyi intézmény, valamint jelzáloghitel közvetítői tevékenységet végző közvetítő kaphat engedélyt.</w:t>
      </w:r>
    </w:p>
    <w:p>
      <w:pPr>
        <w:pStyle w:val="BodyText"/>
        <w:spacing w:before="229"/>
        <w:ind w:left="2270" w:firstLine="0"/>
      </w:pPr>
      <w:r>
        <w:rPr>
          <w:w w:val="130"/>
        </w:rPr>
        <w:t>33. Fizetési rendszerhez történő hozzáférés</w:t>
      </w:r>
    </w:p>
    <w:p>
      <w:pPr>
        <w:pStyle w:val="ListParagraph"/>
        <w:numPr>
          <w:ilvl w:val="1"/>
          <w:numId w:val="175"/>
        </w:numPr>
        <w:tabs>
          <w:tab w:pos="920" w:val="left" w:leader="none"/>
        </w:tabs>
        <w:spacing w:line="225" w:lineRule="auto" w:before="236" w:after="0"/>
        <w:ind w:left="113" w:right="125" w:firstLine="204"/>
        <w:jc w:val="both"/>
        <w:rPr>
          <w:sz w:val="24"/>
        </w:rPr>
      </w:pPr>
      <w:r>
        <w:rPr>
          <w:rFonts w:ascii="Arial" w:hAnsi="Arial"/>
          <w:b/>
          <w:w w:val="125"/>
          <w:sz w:val="24"/>
        </w:rPr>
        <w:t>§ </w:t>
      </w:r>
      <w:r>
        <w:rPr>
          <w:w w:val="125"/>
          <w:sz w:val="24"/>
        </w:rPr>
        <w:t>(1) Fizetési rendszert működtető vállalkozás fizetési rendszerhez történő csatlakozás feltételeit  meghatározó  szabályzataiban  rögzített  feltételek objektívek, arányosak és</w:t>
      </w:r>
      <w:r>
        <w:rPr>
          <w:spacing w:val="7"/>
          <w:w w:val="125"/>
          <w:sz w:val="24"/>
        </w:rPr>
        <w:t> </w:t>
      </w:r>
      <w:r>
        <w:rPr>
          <w:w w:val="125"/>
          <w:sz w:val="24"/>
        </w:rPr>
        <w:t>diszkriminációmentesek.</w:t>
      </w:r>
    </w:p>
    <w:p>
      <w:pPr>
        <w:pStyle w:val="ListParagraph"/>
        <w:numPr>
          <w:ilvl w:val="0"/>
          <w:numId w:val="189"/>
        </w:numPr>
        <w:tabs>
          <w:tab w:pos="753" w:val="left" w:leader="none"/>
        </w:tabs>
        <w:spacing w:line="225" w:lineRule="auto" w:before="2" w:after="0"/>
        <w:ind w:left="113" w:right="133" w:firstLine="204"/>
        <w:jc w:val="both"/>
        <w:rPr>
          <w:sz w:val="24"/>
        </w:rPr>
      </w:pPr>
      <w:r>
        <w:rPr>
          <w:w w:val="130"/>
          <w:sz w:val="24"/>
        </w:rPr>
        <w:t>Fizetési</w:t>
      </w:r>
      <w:r>
        <w:rPr>
          <w:spacing w:val="-10"/>
          <w:w w:val="130"/>
          <w:sz w:val="24"/>
        </w:rPr>
        <w:t> </w:t>
      </w:r>
      <w:r>
        <w:rPr>
          <w:w w:val="130"/>
          <w:sz w:val="24"/>
        </w:rPr>
        <w:t>rendszert</w:t>
      </w:r>
      <w:r>
        <w:rPr>
          <w:spacing w:val="-10"/>
          <w:w w:val="130"/>
          <w:sz w:val="24"/>
        </w:rPr>
        <w:t> </w:t>
      </w:r>
      <w:r>
        <w:rPr>
          <w:w w:val="130"/>
          <w:sz w:val="24"/>
        </w:rPr>
        <w:t>működtető</w:t>
      </w:r>
      <w:r>
        <w:rPr>
          <w:spacing w:val="-9"/>
          <w:w w:val="130"/>
          <w:sz w:val="24"/>
        </w:rPr>
        <w:t> </w:t>
      </w:r>
      <w:r>
        <w:rPr>
          <w:w w:val="130"/>
          <w:sz w:val="24"/>
        </w:rPr>
        <w:t>vállalkozás</w:t>
      </w:r>
      <w:r>
        <w:rPr>
          <w:spacing w:val="-11"/>
          <w:w w:val="130"/>
          <w:sz w:val="24"/>
        </w:rPr>
        <w:t> </w:t>
      </w:r>
      <w:r>
        <w:rPr>
          <w:w w:val="130"/>
          <w:sz w:val="24"/>
        </w:rPr>
        <w:t>a</w:t>
      </w:r>
      <w:r>
        <w:rPr>
          <w:spacing w:val="-8"/>
          <w:w w:val="130"/>
          <w:sz w:val="24"/>
        </w:rPr>
        <w:t> </w:t>
      </w:r>
      <w:r>
        <w:rPr>
          <w:w w:val="130"/>
          <w:sz w:val="24"/>
        </w:rPr>
        <w:t>teljesítési,</w:t>
      </w:r>
      <w:r>
        <w:rPr>
          <w:spacing w:val="-11"/>
          <w:w w:val="130"/>
          <w:sz w:val="24"/>
        </w:rPr>
        <w:t> </w:t>
      </w:r>
      <w:r>
        <w:rPr>
          <w:w w:val="130"/>
          <w:sz w:val="24"/>
        </w:rPr>
        <w:t>működési</w:t>
      </w:r>
      <w:r>
        <w:rPr>
          <w:spacing w:val="-8"/>
          <w:w w:val="130"/>
          <w:sz w:val="24"/>
        </w:rPr>
        <w:t> </w:t>
      </w:r>
      <w:r>
        <w:rPr>
          <w:w w:val="130"/>
          <w:sz w:val="24"/>
        </w:rPr>
        <w:t>és</w:t>
      </w:r>
      <w:r>
        <w:rPr>
          <w:spacing w:val="-12"/>
          <w:w w:val="130"/>
          <w:sz w:val="24"/>
        </w:rPr>
        <w:t> </w:t>
      </w:r>
      <w:r>
        <w:rPr>
          <w:w w:val="130"/>
          <w:sz w:val="24"/>
        </w:rPr>
        <w:t>üzleti kockázatok kivédéséhez, valamint a fizetési rendszer pénzügyi és működési stabilitásának védelméhez szükséges mértéknél jobban nem korlátozhatja a fizetési rendszerhez történő</w:t>
      </w:r>
      <w:r>
        <w:rPr>
          <w:spacing w:val="-11"/>
          <w:w w:val="130"/>
          <w:sz w:val="24"/>
        </w:rPr>
        <w:t> </w:t>
      </w:r>
      <w:r>
        <w:rPr>
          <w:w w:val="130"/>
          <w:sz w:val="24"/>
        </w:rPr>
        <w:t>csatlakozást.</w:t>
      </w:r>
    </w:p>
    <w:p>
      <w:pPr>
        <w:pStyle w:val="ListParagraph"/>
        <w:numPr>
          <w:ilvl w:val="0"/>
          <w:numId w:val="189"/>
        </w:numPr>
        <w:tabs>
          <w:tab w:pos="734" w:val="left" w:leader="none"/>
        </w:tabs>
        <w:spacing w:line="225" w:lineRule="auto" w:before="2" w:after="0"/>
        <w:ind w:left="113" w:right="122" w:firstLine="204"/>
        <w:jc w:val="both"/>
        <w:rPr>
          <w:sz w:val="24"/>
        </w:rPr>
      </w:pPr>
      <w:r>
        <w:rPr>
          <w:w w:val="125"/>
          <w:sz w:val="24"/>
        </w:rPr>
        <w:t>A fizetési rendszert működtető vállalkozás a pénzforgalmi szolgáltatók, az ügyfelek vagy más fizetési rendszerek számára  a  csatlakozás  feltételeként nem írhat</w:t>
      </w:r>
      <w:r>
        <w:rPr>
          <w:spacing w:val="1"/>
          <w:w w:val="125"/>
          <w:sz w:val="24"/>
        </w:rPr>
        <w:t> </w:t>
      </w:r>
      <w:r>
        <w:rPr>
          <w:w w:val="125"/>
          <w:sz w:val="24"/>
        </w:rPr>
        <w:t>elő:</w:t>
      </w:r>
    </w:p>
    <w:p>
      <w:pPr>
        <w:pStyle w:val="ListParagraph"/>
        <w:numPr>
          <w:ilvl w:val="0"/>
          <w:numId w:val="190"/>
        </w:numPr>
        <w:tabs>
          <w:tab w:pos="631" w:val="left" w:leader="none"/>
        </w:tabs>
        <w:spacing w:line="256" w:lineRule="exact" w:before="0" w:after="0"/>
        <w:ind w:left="630" w:right="0" w:hanging="313"/>
        <w:jc w:val="left"/>
        <w:rPr>
          <w:sz w:val="24"/>
        </w:rPr>
      </w:pPr>
      <w:r>
        <w:rPr>
          <w:w w:val="130"/>
          <w:sz w:val="24"/>
        </w:rPr>
        <w:t>más fizetési rendszerhez történő csatlakozás</w:t>
      </w:r>
      <w:r>
        <w:rPr>
          <w:spacing w:val="-26"/>
          <w:w w:val="130"/>
          <w:sz w:val="24"/>
        </w:rPr>
        <w:t> </w:t>
      </w:r>
      <w:r>
        <w:rPr>
          <w:w w:val="130"/>
          <w:sz w:val="24"/>
        </w:rPr>
        <w:t>korlátozását,</w:t>
      </w:r>
    </w:p>
    <w:p>
      <w:pPr>
        <w:pStyle w:val="ListParagraph"/>
        <w:numPr>
          <w:ilvl w:val="0"/>
          <w:numId w:val="190"/>
        </w:numPr>
        <w:tabs>
          <w:tab w:pos="750" w:val="left" w:leader="none"/>
        </w:tabs>
        <w:spacing w:line="225" w:lineRule="auto" w:before="6" w:after="0"/>
        <w:ind w:left="113" w:right="126" w:firstLine="204"/>
        <w:jc w:val="both"/>
        <w:rPr>
          <w:sz w:val="24"/>
        </w:rPr>
      </w:pPr>
      <w:r>
        <w:rPr>
          <w:w w:val="130"/>
          <w:sz w:val="24"/>
        </w:rPr>
        <w:t>a csatlakozott pénzforgalmi szolgáltatók jogaira és kötelezettségeire vonatkozó eltérő szabályokat,</w:t>
      </w:r>
      <w:r>
        <w:rPr>
          <w:spacing w:val="-13"/>
          <w:w w:val="130"/>
          <w:sz w:val="24"/>
        </w:rPr>
        <w:t> </w:t>
      </w:r>
      <w:r>
        <w:rPr>
          <w:w w:val="130"/>
          <w:sz w:val="24"/>
        </w:rPr>
        <w:t>és</w:t>
      </w:r>
    </w:p>
    <w:p>
      <w:pPr>
        <w:pStyle w:val="ListParagraph"/>
        <w:numPr>
          <w:ilvl w:val="0"/>
          <w:numId w:val="190"/>
        </w:numPr>
        <w:tabs>
          <w:tab w:pos="623" w:val="left" w:leader="none"/>
        </w:tabs>
        <w:spacing w:line="256" w:lineRule="exact" w:before="0" w:after="0"/>
        <w:ind w:left="622" w:right="0" w:hanging="305"/>
        <w:jc w:val="left"/>
        <w:rPr>
          <w:sz w:val="24"/>
        </w:rPr>
      </w:pPr>
      <w:r>
        <w:rPr>
          <w:w w:val="125"/>
          <w:sz w:val="24"/>
        </w:rPr>
        <w:t>az intézményi formára vonatkozó bármilyen</w:t>
      </w:r>
      <w:r>
        <w:rPr>
          <w:spacing w:val="4"/>
          <w:w w:val="125"/>
          <w:sz w:val="24"/>
        </w:rPr>
        <w:t> </w:t>
      </w:r>
      <w:r>
        <w:rPr>
          <w:w w:val="125"/>
          <w:sz w:val="24"/>
        </w:rPr>
        <w:t>korlátozást.</w:t>
      </w:r>
    </w:p>
    <w:p>
      <w:pPr>
        <w:pStyle w:val="ListParagraph"/>
        <w:numPr>
          <w:ilvl w:val="0"/>
          <w:numId w:val="189"/>
        </w:numPr>
        <w:tabs>
          <w:tab w:pos="659" w:val="left" w:leader="none"/>
        </w:tabs>
        <w:spacing w:line="260" w:lineRule="exact" w:before="0" w:after="0"/>
        <w:ind w:left="658" w:right="0" w:hanging="341"/>
        <w:jc w:val="left"/>
        <w:rPr>
          <w:sz w:val="24"/>
        </w:rPr>
      </w:pPr>
      <w:r>
        <w:rPr>
          <w:i/>
          <w:w w:val="125"/>
          <w:position w:val="3"/>
          <w:sz w:val="18"/>
        </w:rPr>
        <w:t>2 </w:t>
      </w:r>
      <w:r>
        <w:rPr>
          <w:w w:val="125"/>
          <w:sz w:val="24"/>
        </w:rPr>
        <w:t>Az (1)-(3) bekezdés szerinti rendelkezések nem</w:t>
      </w:r>
      <w:r>
        <w:rPr>
          <w:spacing w:val="-35"/>
          <w:w w:val="125"/>
          <w:sz w:val="24"/>
        </w:rPr>
        <w:t> </w:t>
      </w:r>
      <w:r>
        <w:rPr>
          <w:w w:val="125"/>
          <w:sz w:val="24"/>
        </w:rPr>
        <w:t>alkalmazandók</w:t>
      </w:r>
    </w:p>
    <w:p>
      <w:pPr>
        <w:pStyle w:val="ListParagraph"/>
        <w:numPr>
          <w:ilvl w:val="0"/>
          <w:numId w:val="191"/>
        </w:numPr>
        <w:tabs>
          <w:tab w:pos="670" w:val="left" w:leader="none"/>
        </w:tabs>
        <w:spacing w:line="225" w:lineRule="auto" w:before="5" w:after="0"/>
        <w:ind w:left="113" w:right="134" w:firstLine="204"/>
        <w:jc w:val="both"/>
        <w:rPr>
          <w:sz w:val="24"/>
        </w:rPr>
      </w:pPr>
      <w:r>
        <w:rPr>
          <w:w w:val="125"/>
          <w:sz w:val="24"/>
        </w:rPr>
        <w:t>a fizetési, illetve értékpapír-elszámolási rendszerekben történő teljesítés véglegességéről szóló 2003. évi XXIII. törvény (a továbbiakban: Tvt.) alapján kijelölt</w:t>
      </w:r>
      <w:r>
        <w:rPr>
          <w:spacing w:val="16"/>
          <w:w w:val="125"/>
          <w:sz w:val="24"/>
        </w:rPr>
        <w:t> </w:t>
      </w:r>
      <w:r>
        <w:rPr>
          <w:w w:val="125"/>
          <w:sz w:val="24"/>
        </w:rPr>
        <w:t>rendszerre,</w:t>
      </w:r>
    </w:p>
    <w:p>
      <w:pPr>
        <w:pStyle w:val="ListParagraph"/>
        <w:numPr>
          <w:ilvl w:val="0"/>
          <w:numId w:val="191"/>
        </w:numPr>
        <w:tabs>
          <w:tab w:pos="666" w:val="left" w:leader="none"/>
        </w:tabs>
        <w:spacing w:line="225" w:lineRule="auto" w:before="2" w:after="0"/>
        <w:ind w:left="113" w:right="129" w:firstLine="204"/>
        <w:jc w:val="both"/>
        <w:rPr>
          <w:sz w:val="24"/>
        </w:rPr>
      </w:pPr>
      <w:r>
        <w:rPr>
          <w:w w:val="125"/>
          <w:sz w:val="24"/>
        </w:rPr>
        <w:t>a kizárólag ugyanazon csoporthoz tartozó pénzforgalmi szolgáltatók által működtetett fizetési</w:t>
      </w:r>
      <w:r>
        <w:rPr>
          <w:spacing w:val="4"/>
          <w:w w:val="125"/>
          <w:sz w:val="24"/>
        </w:rPr>
        <w:t> </w:t>
      </w:r>
      <w:r>
        <w:rPr>
          <w:w w:val="125"/>
          <w:sz w:val="24"/>
        </w:rPr>
        <w:t>rendszerre.</w:t>
      </w:r>
    </w:p>
    <w:p>
      <w:pPr>
        <w:pStyle w:val="ListParagraph"/>
        <w:numPr>
          <w:ilvl w:val="0"/>
          <w:numId w:val="189"/>
        </w:numPr>
        <w:tabs>
          <w:tab w:pos="659" w:val="left" w:leader="none"/>
        </w:tabs>
        <w:spacing w:line="249" w:lineRule="exact" w:before="0" w:after="0"/>
        <w:ind w:left="658" w:right="0" w:hanging="341"/>
        <w:jc w:val="left"/>
        <w:rPr>
          <w:sz w:val="24"/>
        </w:rPr>
      </w:pPr>
      <w:r>
        <w:rPr>
          <w:i/>
          <w:w w:val="130"/>
          <w:position w:val="3"/>
          <w:sz w:val="18"/>
        </w:rPr>
        <w:t>3</w:t>
      </w:r>
      <w:r>
        <w:rPr>
          <w:i/>
          <w:spacing w:val="9"/>
          <w:w w:val="130"/>
          <w:position w:val="3"/>
          <w:sz w:val="18"/>
        </w:rPr>
        <w:t> </w:t>
      </w:r>
      <w:r>
        <w:rPr>
          <w:w w:val="130"/>
          <w:sz w:val="24"/>
        </w:rPr>
        <w:t>Ha</w:t>
      </w:r>
      <w:r>
        <w:rPr>
          <w:spacing w:val="49"/>
          <w:w w:val="130"/>
          <w:sz w:val="24"/>
        </w:rPr>
        <w:t> </w:t>
      </w:r>
      <w:r>
        <w:rPr>
          <w:w w:val="130"/>
          <w:sz w:val="24"/>
        </w:rPr>
        <w:t>a</w:t>
      </w:r>
      <w:r>
        <w:rPr>
          <w:spacing w:val="65"/>
          <w:w w:val="130"/>
          <w:sz w:val="24"/>
        </w:rPr>
        <w:t> </w:t>
      </w:r>
      <w:r>
        <w:rPr>
          <w:w w:val="130"/>
          <w:sz w:val="24"/>
        </w:rPr>
        <w:t>(4)</w:t>
      </w:r>
      <w:r>
        <w:rPr>
          <w:spacing w:val="33"/>
          <w:w w:val="130"/>
          <w:sz w:val="24"/>
        </w:rPr>
        <w:t> </w:t>
      </w:r>
      <w:r>
        <w:rPr>
          <w:w w:val="130"/>
          <w:sz w:val="24"/>
        </w:rPr>
        <w:t>bekezdés</w:t>
      </w:r>
      <w:r>
        <w:rPr>
          <w:spacing w:val="49"/>
          <w:w w:val="130"/>
          <w:sz w:val="24"/>
        </w:rPr>
        <w:t> </w:t>
      </w:r>
      <w:r>
        <w:rPr>
          <w:i/>
          <w:w w:val="130"/>
          <w:sz w:val="24"/>
        </w:rPr>
        <w:t>a)</w:t>
      </w:r>
      <w:r>
        <w:rPr>
          <w:i/>
          <w:spacing w:val="51"/>
          <w:w w:val="130"/>
          <w:sz w:val="24"/>
        </w:rPr>
        <w:t> </w:t>
      </w:r>
      <w:r>
        <w:rPr>
          <w:w w:val="130"/>
          <w:sz w:val="24"/>
        </w:rPr>
        <w:t>pontja</w:t>
      </w:r>
      <w:r>
        <w:rPr>
          <w:spacing w:val="47"/>
          <w:w w:val="130"/>
          <w:sz w:val="24"/>
        </w:rPr>
        <w:t> </w:t>
      </w:r>
      <w:r>
        <w:rPr>
          <w:w w:val="130"/>
          <w:sz w:val="24"/>
        </w:rPr>
        <w:t>szerinti</w:t>
      </w:r>
      <w:r>
        <w:rPr>
          <w:spacing w:val="48"/>
          <w:w w:val="130"/>
          <w:sz w:val="24"/>
        </w:rPr>
        <w:t> </w:t>
      </w:r>
      <w:r>
        <w:rPr>
          <w:w w:val="130"/>
          <w:sz w:val="24"/>
        </w:rPr>
        <w:t>kijelölt</w:t>
      </w:r>
      <w:r>
        <w:rPr>
          <w:spacing w:val="49"/>
          <w:w w:val="130"/>
          <w:sz w:val="24"/>
        </w:rPr>
        <w:t> </w:t>
      </w:r>
      <w:r>
        <w:rPr>
          <w:w w:val="130"/>
          <w:sz w:val="24"/>
        </w:rPr>
        <w:t>rendszerben</w:t>
      </w:r>
      <w:r>
        <w:rPr>
          <w:spacing w:val="49"/>
          <w:w w:val="130"/>
          <w:sz w:val="24"/>
        </w:rPr>
        <w:t> </w:t>
      </w:r>
      <w:r>
        <w:rPr>
          <w:w w:val="130"/>
          <w:sz w:val="24"/>
        </w:rPr>
        <w:t>részt</w:t>
      </w:r>
      <w:r>
        <w:rPr>
          <w:spacing w:val="49"/>
          <w:w w:val="130"/>
          <w:sz w:val="24"/>
        </w:rPr>
        <w:t> </w:t>
      </w:r>
      <w:r>
        <w:rPr>
          <w:w w:val="130"/>
          <w:sz w:val="24"/>
        </w:rPr>
        <w:t>vevő</w:t>
      </w:r>
    </w:p>
    <w:p>
      <w:pPr>
        <w:pStyle w:val="BodyText"/>
        <w:spacing w:line="225" w:lineRule="auto" w:before="12"/>
        <w:ind w:right="124" w:firstLine="0"/>
        <w:jc w:val="both"/>
      </w:pPr>
      <w:r>
        <w:rPr>
          <w:w w:val="125"/>
        </w:rPr>
        <w:t>csatlakozó lehetővé teszi a rendszerben nem részt vevő pénzforgalmi szolgáltató számára, hogy a rendszeren keresztül átutalási megbízást küldjön, akkor objektív, arányos és diszkriminációmentes  módon  ugyanezen lehetőséget a rendszerhez nem csatlakozó más pénzforgalmi szolgáltató számára is biztosítja. A résztvevőnek az elutasítást teljeskörűen meg kell indokolnia a kérelmező pénzforgalmi szolgáltató</w:t>
      </w:r>
      <w:r>
        <w:rPr>
          <w:spacing w:val="6"/>
          <w:w w:val="125"/>
        </w:rPr>
        <w:t> </w:t>
      </w:r>
      <w:r>
        <w:rPr>
          <w:w w:val="125"/>
        </w:rPr>
        <w:t>számára.</w:t>
      </w:r>
    </w:p>
    <w:p>
      <w:pPr>
        <w:pStyle w:val="BodyText"/>
        <w:spacing w:before="3"/>
        <w:ind w:left="0" w:firstLine="0"/>
        <w:rPr>
          <w:sz w:val="19"/>
        </w:rPr>
      </w:pPr>
      <w:r>
        <w:rPr/>
        <w:pict>
          <v:line style="position:absolute;mso-position-horizontal-relative:page;mso-position-vertical-relative:paragraph;z-index:200;mso-wrap-distance-left:0;mso-wrap-distance-right:0" from="56.693001pt,13.290281pt" to="538.583001pt,13.290281pt" stroked="true" strokeweight=".5pt" strokecolor="#000000">
            <v:stroke dashstyle="solid"/>
            <w10:wrap type="topAndBottom"/>
          </v:line>
        </w:pict>
      </w:r>
    </w:p>
    <w:p>
      <w:pPr>
        <w:pStyle w:val="ListParagraph"/>
        <w:numPr>
          <w:ilvl w:val="0"/>
          <w:numId w:val="192"/>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128. §.  Hatályos:  2016. III. 21-től.</w:t>
      </w:r>
    </w:p>
    <w:p>
      <w:pPr>
        <w:tabs>
          <w:tab w:pos="686" w:val="left" w:leader="none"/>
        </w:tabs>
        <w:spacing w:line="200" w:lineRule="exact" w:before="0"/>
        <w:ind w:left="342" w:right="0" w:firstLine="0"/>
        <w:jc w:val="left"/>
        <w:rPr>
          <w:i/>
          <w:sz w:val="18"/>
        </w:rPr>
      </w:pPr>
      <w:r>
        <w:rPr>
          <w:i/>
          <w:w w:val="125"/>
          <w:sz w:val="18"/>
        </w:rPr>
        <w:t>2</w:t>
        <w:tab/>
        <w:t>Megállapította:</w:t>
      </w:r>
      <w:r>
        <w:rPr>
          <w:i/>
          <w:spacing w:val="-11"/>
          <w:w w:val="125"/>
          <w:sz w:val="18"/>
        </w:rPr>
        <w:t> </w:t>
      </w:r>
      <w:r>
        <w:rPr>
          <w:i/>
          <w:w w:val="125"/>
          <w:sz w:val="18"/>
        </w:rPr>
        <w:t>2017.</w:t>
      </w:r>
      <w:r>
        <w:rPr>
          <w:i/>
          <w:spacing w:val="-11"/>
          <w:w w:val="125"/>
          <w:sz w:val="18"/>
        </w:rPr>
        <w:t> </w:t>
      </w:r>
      <w:r>
        <w:rPr>
          <w:i/>
          <w:w w:val="125"/>
          <w:sz w:val="18"/>
        </w:rPr>
        <w:t>évi</w:t>
      </w:r>
      <w:r>
        <w:rPr>
          <w:i/>
          <w:spacing w:val="-10"/>
          <w:w w:val="125"/>
          <w:sz w:val="18"/>
        </w:rPr>
        <w:t> </w:t>
      </w:r>
      <w:r>
        <w:rPr>
          <w:i/>
          <w:w w:val="125"/>
          <w:sz w:val="18"/>
        </w:rPr>
        <w:t>CXLV.</w:t>
      </w:r>
      <w:r>
        <w:rPr>
          <w:i/>
          <w:spacing w:val="-10"/>
          <w:w w:val="125"/>
          <w:sz w:val="18"/>
        </w:rPr>
        <w:t> </w:t>
      </w:r>
      <w:r>
        <w:rPr>
          <w:i/>
          <w:w w:val="125"/>
          <w:sz w:val="18"/>
        </w:rPr>
        <w:t>törvény</w:t>
      </w:r>
      <w:r>
        <w:rPr>
          <w:i/>
          <w:spacing w:val="-11"/>
          <w:w w:val="125"/>
          <w:sz w:val="18"/>
        </w:rPr>
        <w:t> </w:t>
      </w:r>
      <w:r>
        <w:rPr>
          <w:i/>
          <w:w w:val="125"/>
          <w:sz w:val="18"/>
        </w:rPr>
        <w:t>125.</w:t>
      </w:r>
      <w:r>
        <w:rPr>
          <w:i/>
          <w:spacing w:val="-11"/>
          <w:w w:val="125"/>
          <w:sz w:val="18"/>
        </w:rPr>
        <w:t> </w:t>
      </w:r>
      <w:r>
        <w:rPr>
          <w:i/>
          <w:w w:val="125"/>
          <w:sz w:val="18"/>
        </w:rPr>
        <w:t>§</w:t>
      </w:r>
      <w:r>
        <w:rPr>
          <w:i/>
          <w:spacing w:val="-9"/>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2018.</w:t>
      </w:r>
      <w:r>
        <w:rPr>
          <w:i/>
          <w:spacing w:val="-11"/>
          <w:w w:val="125"/>
          <w:sz w:val="18"/>
        </w:rPr>
        <w:t> </w:t>
      </w:r>
      <w:r>
        <w:rPr>
          <w:i/>
          <w:w w:val="125"/>
          <w:sz w:val="18"/>
        </w:rPr>
        <w:t>I.</w:t>
      </w:r>
      <w:r>
        <w:rPr>
          <w:i/>
          <w:spacing w:val="-10"/>
          <w:w w:val="125"/>
          <w:sz w:val="18"/>
        </w:rPr>
        <w:t> </w:t>
      </w:r>
      <w:r>
        <w:rPr>
          <w:i/>
          <w:w w:val="125"/>
          <w:sz w:val="18"/>
        </w:rPr>
        <w:t>13-tól.</w:t>
      </w:r>
    </w:p>
    <w:p>
      <w:pPr>
        <w:tabs>
          <w:tab w:pos="686" w:val="left" w:leader="none"/>
        </w:tabs>
        <w:spacing w:line="203" w:lineRule="exact" w:before="0"/>
        <w:ind w:left="342" w:right="0" w:firstLine="0"/>
        <w:jc w:val="left"/>
        <w:rPr>
          <w:i/>
          <w:sz w:val="18"/>
        </w:rPr>
      </w:pPr>
      <w:r>
        <w:rPr>
          <w:i/>
          <w:w w:val="125"/>
          <w:sz w:val="18"/>
        </w:rPr>
        <w:t>3</w:t>
        <w:tab/>
        <w:t>Beiktatta: 2017. évi CXLV. törvény 125. § (2). Hatályos: 2018. I.</w:t>
      </w:r>
      <w:r>
        <w:rPr>
          <w:i/>
          <w:spacing w:val="-15"/>
          <w:w w:val="125"/>
          <w:sz w:val="18"/>
        </w:rPr>
        <w:t> </w:t>
      </w:r>
      <w:r>
        <w:rPr>
          <w:i/>
          <w:w w:val="125"/>
          <w:sz w:val="18"/>
        </w:rPr>
        <w:t>13-tól.</w:t>
      </w:r>
    </w:p>
    <w:p>
      <w:pPr>
        <w:spacing w:after="0" w:line="203" w:lineRule="exact"/>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2894" w:firstLine="0"/>
      </w:pPr>
      <w:r>
        <w:rPr>
          <w:w w:val="125"/>
        </w:rPr>
        <w:t>34. Pénzfeldolgozási tevékenység</w:t>
      </w:r>
    </w:p>
    <w:p>
      <w:pPr>
        <w:pStyle w:val="ListParagraph"/>
        <w:numPr>
          <w:ilvl w:val="1"/>
          <w:numId w:val="175"/>
        </w:numPr>
        <w:tabs>
          <w:tab w:pos="835" w:val="left" w:leader="none"/>
        </w:tabs>
        <w:spacing w:line="225" w:lineRule="auto" w:before="237" w:after="0"/>
        <w:ind w:left="113" w:right="131" w:firstLine="204"/>
        <w:jc w:val="both"/>
        <w:rPr>
          <w:sz w:val="24"/>
        </w:rPr>
      </w:pPr>
      <w:r>
        <w:rPr>
          <w:rFonts w:ascii="Arial" w:hAnsi="Arial"/>
          <w:b/>
          <w:w w:val="125"/>
          <w:sz w:val="24"/>
        </w:rPr>
        <w:t>§ </w:t>
      </w:r>
      <w:r>
        <w:rPr>
          <w:w w:val="125"/>
          <w:sz w:val="24"/>
        </w:rPr>
        <w:t>(1) Pénzfeldolgozási tevékenységet végző jogi személynél, fióktelepnél vezető állású személy és a pénzfeldolgozási tevékenység irányításáért közvetlenül felelős vezető, valamint a pénzfeldolgozási tevékenységet közvetlenül végző személy nem lehet olyan személy,</w:t>
      </w:r>
      <w:r>
        <w:rPr>
          <w:spacing w:val="-5"/>
          <w:w w:val="125"/>
          <w:sz w:val="24"/>
        </w:rPr>
        <w:t> </w:t>
      </w:r>
      <w:r>
        <w:rPr>
          <w:w w:val="125"/>
          <w:sz w:val="24"/>
        </w:rPr>
        <w:t>aki</w:t>
      </w:r>
    </w:p>
    <w:p>
      <w:pPr>
        <w:pStyle w:val="ListParagraph"/>
        <w:numPr>
          <w:ilvl w:val="0"/>
          <w:numId w:val="193"/>
        </w:numPr>
        <w:tabs>
          <w:tab w:pos="631" w:val="left" w:leader="none"/>
        </w:tabs>
        <w:spacing w:line="257" w:lineRule="exact" w:before="0" w:after="0"/>
        <w:ind w:left="630" w:right="0" w:hanging="313"/>
        <w:jc w:val="left"/>
        <w:rPr>
          <w:sz w:val="24"/>
        </w:rPr>
      </w:pPr>
      <w:r>
        <w:rPr>
          <w:w w:val="130"/>
          <w:sz w:val="24"/>
        </w:rPr>
        <w:t>büntetett előéletű,</w:t>
      </w:r>
      <w:r>
        <w:rPr>
          <w:spacing w:val="-6"/>
          <w:w w:val="130"/>
          <w:sz w:val="24"/>
        </w:rPr>
        <w:t> </w:t>
      </w:r>
      <w:r>
        <w:rPr>
          <w:w w:val="130"/>
          <w:sz w:val="24"/>
        </w:rPr>
        <w:t>vagy</w:t>
      </w:r>
    </w:p>
    <w:p>
      <w:pPr>
        <w:pStyle w:val="ListParagraph"/>
        <w:numPr>
          <w:ilvl w:val="0"/>
          <w:numId w:val="193"/>
        </w:numPr>
        <w:tabs>
          <w:tab w:pos="723" w:val="left" w:leader="none"/>
        </w:tabs>
        <w:spacing w:line="225" w:lineRule="auto" w:before="5" w:after="0"/>
        <w:ind w:left="113" w:right="128" w:firstLine="204"/>
        <w:jc w:val="both"/>
        <w:rPr>
          <w:sz w:val="24"/>
        </w:rPr>
      </w:pPr>
      <w:r>
        <w:rPr>
          <w:w w:val="130"/>
          <w:sz w:val="24"/>
        </w:rPr>
        <w:t>a kérelem benyújtását megelőző két éven belül jogerős határozatban megállapított, tulajdon elleni, pénzügyi és kereskedelmi szabálysértést követett</w:t>
      </w:r>
      <w:r>
        <w:rPr>
          <w:spacing w:val="-4"/>
          <w:w w:val="130"/>
          <w:sz w:val="24"/>
        </w:rPr>
        <w:t> </w:t>
      </w:r>
      <w:r>
        <w:rPr>
          <w:w w:val="130"/>
          <w:sz w:val="24"/>
        </w:rPr>
        <w:t>el.</w:t>
      </w:r>
    </w:p>
    <w:p>
      <w:pPr>
        <w:pStyle w:val="ListParagraph"/>
        <w:numPr>
          <w:ilvl w:val="0"/>
          <w:numId w:val="194"/>
        </w:numPr>
        <w:tabs>
          <w:tab w:pos="800" w:val="left" w:leader="none"/>
        </w:tabs>
        <w:spacing w:line="225" w:lineRule="auto" w:before="2" w:after="0"/>
        <w:ind w:left="113" w:right="128" w:firstLine="204"/>
        <w:jc w:val="both"/>
        <w:rPr>
          <w:sz w:val="24"/>
        </w:rPr>
      </w:pPr>
      <w:r>
        <w:rPr>
          <w:w w:val="125"/>
          <w:sz w:val="24"/>
        </w:rPr>
        <w:t>A pénzfeldolgozási tevékenységet végző jogi személynél, fióktelepnél a vezető állású személy felsőfokú végzettséggel, valamint a pénzfeldolgozási tevékenység irányításáért közvetlenül felelős vezető vagy a pénzfeldolgozási tevékenységet közvetlenül végző legalább egy személy felsőfokú végzettséggel és legalább hároméves szakirányú gyakorlattal</w:t>
      </w:r>
      <w:r>
        <w:rPr>
          <w:spacing w:val="18"/>
          <w:w w:val="125"/>
          <w:sz w:val="24"/>
        </w:rPr>
        <w:t> </w:t>
      </w:r>
      <w:r>
        <w:rPr>
          <w:w w:val="125"/>
          <w:sz w:val="24"/>
        </w:rPr>
        <w:t>rendelkezik.</w:t>
      </w:r>
    </w:p>
    <w:p>
      <w:pPr>
        <w:pStyle w:val="ListParagraph"/>
        <w:numPr>
          <w:ilvl w:val="0"/>
          <w:numId w:val="194"/>
        </w:numPr>
        <w:tabs>
          <w:tab w:pos="749" w:val="left" w:leader="none"/>
        </w:tabs>
        <w:spacing w:line="225" w:lineRule="auto" w:before="3" w:after="0"/>
        <w:ind w:left="113" w:right="125" w:firstLine="204"/>
        <w:jc w:val="both"/>
        <w:rPr>
          <w:sz w:val="24"/>
        </w:rPr>
      </w:pPr>
      <w:r>
        <w:rPr>
          <w:w w:val="125"/>
          <w:sz w:val="24"/>
        </w:rPr>
        <w:t>A (2) bekezdés alkalmazásában szakirányú gyakorlatként kell figyelembe venni a Felügyeletnél vagy hitelintézetnél legalább érdemi ügyintézői munkakörben vagy a pénzfeldolgozással kapcsolatos munkakörben, valamint pénzügyi vállalkozásnál vagy pénzfeldolgozási tevékenységet végző jogi személynél, fióktelepnél a pénzfeldolgozással kapcsolatos munkakörben eltöltött munkaviszonyt.</w:t>
      </w:r>
    </w:p>
    <w:p>
      <w:pPr>
        <w:pStyle w:val="ListParagraph"/>
        <w:numPr>
          <w:ilvl w:val="0"/>
          <w:numId w:val="194"/>
        </w:numPr>
        <w:tabs>
          <w:tab w:pos="659" w:val="left" w:leader="none"/>
          <w:tab w:pos="1007" w:val="left" w:leader="none"/>
          <w:tab w:pos="1402" w:val="left" w:leader="none"/>
          <w:tab w:pos="3409" w:val="left" w:leader="none"/>
          <w:tab w:pos="4906" w:val="left" w:leader="none"/>
          <w:tab w:pos="6463" w:val="left" w:leader="none"/>
          <w:tab w:pos="6835" w:val="left" w:leader="none"/>
          <w:tab w:pos="8648" w:val="left" w:leader="none"/>
        </w:tabs>
        <w:spacing w:line="251" w:lineRule="exact" w:before="0" w:after="0"/>
        <w:ind w:left="658" w:right="0" w:hanging="341"/>
        <w:jc w:val="left"/>
        <w:rPr>
          <w:sz w:val="24"/>
        </w:rPr>
      </w:pPr>
      <w:r>
        <w:rPr>
          <w:i/>
          <w:w w:val="125"/>
          <w:position w:val="3"/>
          <w:sz w:val="18"/>
        </w:rPr>
        <w:t>1</w:t>
        <w:tab/>
      </w:r>
      <w:r>
        <w:rPr>
          <w:w w:val="125"/>
          <w:sz w:val="24"/>
        </w:rPr>
        <w:t>A</w:t>
        <w:tab/>
        <w:t>foglalkoztatási</w:t>
        <w:tab/>
        <w:t>jogviszony</w:t>
        <w:tab/>
        <w:t>létesítését,</w:t>
        <w:tab/>
        <w:t>a</w:t>
        <w:tab/>
        <w:t>tevékenységi</w:t>
        <w:tab/>
        <w:t>engedély</w:t>
      </w:r>
    </w:p>
    <w:p>
      <w:pPr>
        <w:pStyle w:val="BodyText"/>
        <w:spacing w:line="225" w:lineRule="auto" w:before="12"/>
        <w:ind w:right="124" w:firstLine="0"/>
        <w:jc w:val="both"/>
      </w:pPr>
      <w:r>
        <w:rPr>
          <w:w w:val="130"/>
        </w:rPr>
        <w:t>kiadását, illetve meghosszabbítását megelőzően, valamint a foglalkoztatás</w:t>
      </w:r>
      <w:r>
        <w:rPr>
          <w:spacing w:val="78"/>
          <w:w w:val="130"/>
        </w:rPr>
        <w:t> </w:t>
      </w:r>
      <w:r>
        <w:rPr>
          <w:w w:val="130"/>
        </w:rPr>
        <w:t>ideje alatt az (1) bekezdés </w:t>
      </w:r>
      <w:r>
        <w:rPr>
          <w:i/>
          <w:w w:val="130"/>
        </w:rPr>
        <w:t>b) </w:t>
      </w:r>
      <w:r>
        <w:rPr>
          <w:w w:val="130"/>
        </w:rPr>
        <w:t>pontjában meghatározott foglalkoztatási feltétel fennállását a Felügyelet a bűnügyi nyilvántartásból történő adatigényléssel ellenőrizheti. Az így megismert személyes adatokat a Felügyelet az eljárás végleges befejezéséig kezelheti.</w:t>
      </w:r>
    </w:p>
    <w:p>
      <w:pPr>
        <w:pStyle w:val="BodyText"/>
        <w:spacing w:before="1"/>
        <w:ind w:left="0" w:firstLine="0"/>
        <w:rPr>
          <w:sz w:val="11"/>
        </w:rPr>
      </w:pPr>
    </w:p>
    <w:p>
      <w:pPr>
        <w:pStyle w:val="Heading2"/>
        <w:numPr>
          <w:ilvl w:val="1"/>
          <w:numId w:val="184"/>
        </w:numPr>
        <w:tabs>
          <w:tab w:pos="4684" w:val="left" w:leader="none"/>
        </w:tabs>
        <w:spacing w:line="240" w:lineRule="auto" w:before="106" w:after="0"/>
        <w:ind w:left="4683" w:right="0" w:hanging="464"/>
        <w:jc w:val="left"/>
      </w:pPr>
      <w:r>
        <w:rPr>
          <w:w w:val="110"/>
        </w:rPr>
        <w:t>Fejezet</w:t>
      </w:r>
    </w:p>
    <w:p>
      <w:pPr>
        <w:pStyle w:val="BodyText"/>
        <w:spacing w:before="1"/>
        <w:ind w:left="0" w:firstLine="0"/>
        <w:rPr>
          <w:rFonts w:ascii="Georgia-BoldItalic"/>
          <w:b/>
          <w:i/>
          <w:sz w:val="41"/>
        </w:rPr>
      </w:pPr>
    </w:p>
    <w:p>
      <w:pPr>
        <w:spacing w:before="0"/>
        <w:ind w:left="1834" w:right="0" w:firstLine="0"/>
        <w:jc w:val="left"/>
        <w:rPr>
          <w:rFonts w:ascii="Georgia-BoldItalic" w:hAnsi="Georgia-BoldItalic"/>
          <w:b/>
          <w:i/>
          <w:sz w:val="24"/>
        </w:rPr>
      </w:pPr>
      <w:r>
        <w:rPr>
          <w:rFonts w:ascii="Georgia-BoldItalic" w:hAnsi="Georgia-BoldItalic"/>
          <w:b/>
          <w:i/>
          <w:w w:val="105"/>
          <w:sz w:val="24"/>
        </w:rPr>
        <w:t>Prudens működésre vonatkozó követelmények</w:t>
      </w:r>
    </w:p>
    <w:p>
      <w:pPr>
        <w:pStyle w:val="BodyText"/>
        <w:spacing w:before="9"/>
        <w:ind w:left="0" w:firstLine="0"/>
        <w:rPr>
          <w:rFonts w:ascii="Georgia-BoldItalic"/>
          <w:b/>
          <w:i/>
          <w:sz w:val="40"/>
        </w:rPr>
      </w:pPr>
    </w:p>
    <w:p>
      <w:pPr>
        <w:pStyle w:val="BodyText"/>
        <w:ind w:left="3505" w:firstLine="0"/>
      </w:pPr>
      <w:r>
        <w:rPr>
          <w:w w:val="125"/>
        </w:rPr>
        <w:t>35. Általános szabályok</w:t>
      </w:r>
    </w:p>
    <w:p>
      <w:pPr>
        <w:pStyle w:val="ListParagraph"/>
        <w:numPr>
          <w:ilvl w:val="1"/>
          <w:numId w:val="175"/>
        </w:numPr>
        <w:tabs>
          <w:tab w:pos="998" w:val="left" w:leader="none"/>
        </w:tabs>
        <w:spacing w:line="225" w:lineRule="auto" w:before="237" w:after="0"/>
        <w:ind w:left="113" w:right="114" w:firstLine="204"/>
        <w:jc w:val="both"/>
        <w:rPr>
          <w:sz w:val="24"/>
        </w:rPr>
      </w:pPr>
      <w:r>
        <w:rPr>
          <w:rFonts w:ascii="Arial" w:hAnsi="Arial"/>
          <w:b/>
          <w:w w:val="125"/>
          <w:sz w:val="24"/>
        </w:rPr>
        <w:t>§ </w:t>
      </w:r>
      <w:r>
        <w:rPr>
          <w:w w:val="125"/>
          <w:sz w:val="24"/>
        </w:rPr>
        <w:t>(1) A hitelintézet a prudens működésre vonatkozó előírások betartásával úgy köteles a rábízott idegen és saját forrásokkal  gazdálkodni, hogy folyamatosan fenntartsa azonnali fizetőképességét (likviditását) és mindenkori fizetőképességét</w:t>
      </w:r>
      <w:r>
        <w:rPr>
          <w:spacing w:val="1"/>
          <w:w w:val="125"/>
          <w:sz w:val="24"/>
        </w:rPr>
        <w:t> </w:t>
      </w:r>
      <w:r>
        <w:rPr>
          <w:w w:val="125"/>
          <w:sz w:val="24"/>
        </w:rPr>
        <w:t>(szolvenciáját).</w:t>
      </w:r>
    </w:p>
    <w:p>
      <w:pPr>
        <w:pStyle w:val="ListParagraph"/>
        <w:numPr>
          <w:ilvl w:val="0"/>
          <w:numId w:val="195"/>
        </w:numPr>
        <w:tabs>
          <w:tab w:pos="746" w:val="left" w:leader="none"/>
        </w:tabs>
        <w:spacing w:line="225" w:lineRule="auto" w:before="2" w:after="0"/>
        <w:ind w:left="113" w:right="124" w:firstLine="204"/>
        <w:jc w:val="both"/>
        <w:rPr>
          <w:sz w:val="24"/>
        </w:rPr>
      </w:pPr>
      <w:r>
        <w:rPr>
          <w:w w:val="125"/>
          <w:sz w:val="24"/>
        </w:rPr>
        <w:t>A hitelintézet - a mindenkori fizetőképesség (szolvencia) fenntartása és a kötelezettségek teljesíthetősége érdekében - az általa végzett tevékenység kockázatának fedezetét mindenkor biztosító megfelelő nagyságú szavatoló tőkével rendelkezik, amely</w:t>
      </w:r>
      <w:r>
        <w:rPr>
          <w:spacing w:val="1"/>
          <w:w w:val="125"/>
          <w:sz w:val="24"/>
        </w:rPr>
        <w:t> </w:t>
      </w:r>
      <w:r>
        <w:rPr>
          <w:w w:val="125"/>
          <w:sz w:val="24"/>
        </w:rPr>
        <w:t>legalább</w:t>
      </w:r>
    </w:p>
    <w:p>
      <w:pPr>
        <w:pStyle w:val="ListParagraph"/>
        <w:numPr>
          <w:ilvl w:val="0"/>
          <w:numId w:val="196"/>
        </w:numPr>
        <w:tabs>
          <w:tab w:pos="826" w:val="left" w:leader="none"/>
        </w:tabs>
        <w:spacing w:line="225" w:lineRule="auto" w:before="2" w:after="0"/>
        <w:ind w:left="113" w:right="124" w:firstLine="204"/>
        <w:jc w:val="both"/>
        <w:rPr>
          <w:sz w:val="24"/>
        </w:rPr>
      </w:pPr>
      <w:r>
        <w:rPr>
          <w:w w:val="125"/>
          <w:sz w:val="24"/>
        </w:rPr>
        <w:t>az 575/2013/EU rendelet 92. cikkében meghatározott minimum tőkekövetelmény,</w:t>
      </w:r>
    </w:p>
    <w:p>
      <w:pPr>
        <w:pStyle w:val="ListParagraph"/>
        <w:numPr>
          <w:ilvl w:val="0"/>
          <w:numId w:val="196"/>
        </w:numPr>
        <w:tabs>
          <w:tab w:pos="774" w:val="left" w:leader="none"/>
        </w:tabs>
        <w:spacing w:line="225" w:lineRule="auto" w:before="1" w:after="0"/>
        <w:ind w:left="113" w:right="129" w:firstLine="204"/>
        <w:jc w:val="both"/>
        <w:rPr>
          <w:sz w:val="24"/>
        </w:rPr>
      </w:pPr>
      <w:r>
        <w:rPr>
          <w:w w:val="125"/>
          <w:sz w:val="24"/>
        </w:rPr>
        <w:t>a felügyeleti felülvizsgálat keretében előírt többlettőke-követelmény, valamint</w:t>
      </w:r>
    </w:p>
    <w:p>
      <w:pPr>
        <w:pStyle w:val="ListParagraph"/>
        <w:numPr>
          <w:ilvl w:val="0"/>
          <w:numId w:val="196"/>
        </w:numPr>
        <w:tabs>
          <w:tab w:pos="547" w:val="left" w:leader="none"/>
        </w:tabs>
        <w:spacing w:line="264" w:lineRule="exact" w:before="0" w:after="0"/>
        <w:ind w:left="546" w:right="0" w:hanging="229"/>
        <w:jc w:val="left"/>
        <w:rPr>
          <w:sz w:val="18"/>
        </w:rPr>
      </w:pPr>
      <w:r>
        <w:rPr>
          <w:i/>
          <w:w w:val="127"/>
          <w:position w:val="3"/>
          <w:sz w:val="18"/>
        </w:rPr>
        <w:t>2</w:t>
      </w:r>
      <w:r>
        <w:rPr>
          <w:sz w:val="18"/>
        </w:rPr>
      </w:r>
    </w:p>
    <w:p>
      <w:pPr>
        <w:pStyle w:val="BodyText"/>
        <w:ind w:left="0" w:firstLine="0"/>
        <w:rPr>
          <w:i/>
        </w:rPr>
      </w:pPr>
      <w:r>
        <w:rPr/>
        <w:pict>
          <v:line style="position:absolute;mso-position-horizontal-relative:page;mso-position-vertical-relative:paragraph;z-index:224;mso-wrap-distance-left:0;mso-wrap-distance-right:0" from="56.693001pt,16.012665pt" to="538.583001pt,16.012665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a).</w:t>
      </w:r>
    </w:p>
    <w:p>
      <w:pPr>
        <w:pStyle w:val="ListParagraph"/>
        <w:numPr>
          <w:ilvl w:val="0"/>
          <w:numId w:val="19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2014.</w:t>
      </w:r>
      <w:r>
        <w:rPr>
          <w:i/>
          <w:spacing w:val="6"/>
          <w:w w:val="120"/>
          <w:sz w:val="18"/>
        </w:rPr>
        <w:t> </w:t>
      </w:r>
      <w:r>
        <w:rPr>
          <w:i/>
          <w:w w:val="120"/>
          <w:sz w:val="18"/>
        </w:rPr>
        <w:t>évi</w:t>
      </w:r>
      <w:r>
        <w:rPr>
          <w:i/>
          <w:spacing w:val="7"/>
          <w:w w:val="120"/>
          <w:sz w:val="18"/>
        </w:rPr>
        <w:t> </w:t>
      </w:r>
      <w:r>
        <w:rPr>
          <w:i/>
          <w:w w:val="120"/>
          <w:sz w:val="18"/>
        </w:rPr>
        <w:t>CIV.</w:t>
      </w:r>
      <w:r>
        <w:rPr>
          <w:i/>
          <w:spacing w:val="7"/>
          <w:w w:val="120"/>
          <w:sz w:val="18"/>
        </w:rPr>
        <w:t> </w:t>
      </w:r>
      <w:r>
        <w:rPr>
          <w:i/>
          <w:w w:val="120"/>
          <w:sz w:val="18"/>
        </w:rPr>
        <w:t>törvény</w:t>
      </w:r>
      <w:r>
        <w:rPr>
          <w:i/>
          <w:spacing w:val="7"/>
          <w:w w:val="120"/>
          <w:sz w:val="18"/>
        </w:rPr>
        <w:t> </w:t>
      </w:r>
      <w:r>
        <w:rPr>
          <w:i/>
          <w:w w:val="120"/>
          <w:sz w:val="18"/>
        </w:rPr>
        <w:t>97.</w:t>
      </w:r>
      <w:r>
        <w:rPr>
          <w:i/>
          <w:spacing w:val="6"/>
          <w:w w:val="120"/>
          <w:sz w:val="18"/>
        </w:rPr>
        <w:t> </w:t>
      </w:r>
      <w:r>
        <w:rPr>
          <w:i/>
          <w:w w:val="120"/>
          <w:sz w:val="18"/>
        </w:rPr>
        <w:t>§</w:t>
      </w:r>
      <w:r>
        <w:rPr>
          <w:i/>
          <w:spacing w:val="8"/>
          <w:w w:val="120"/>
          <w:sz w:val="18"/>
        </w:rPr>
        <w:t> </w:t>
      </w:r>
      <w:r>
        <w:rPr>
          <w:i/>
          <w:w w:val="120"/>
          <w:sz w:val="18"/>
        </w:rPr>
        <w:t>b).</w:t>
      </w:r>
      <w:r>
        <w:rPr>
          <w:i/>
          <w:spacing w:val="7"/>
          <w:w w:val="120"/>
          <w:sz w:val="18"/>
        </w:rPr>
        <w:t> </w:t>
      </w:r>
      <w:r>
        <w:rPr>
          <w:i/>
          <w:w w:val="120"/>
          <w:sz w:val="18"/>
        </w:rPr>
        <w:t>Hatálytalan:</w:t>
      </w:r>
      <w:r>
        <w:rPr>
          <w:i/>
          <w:spacing w:val="8"/>
          <w:w w:val="120"/>
          <w:sz w:val="18"/>
        </w:rPr>
        <w:t> </w:t>
      </w:r>
      <w:r>
        <w:rPr>
          <w:i/>
          <w:w w:val="120"/>
          <w:sz w:val="18"/>
        </w:rPr>
        <w:t>2015.</w:t>
      </w:r>
      <w:r>
        <w:rPr>
          <w:i/>
          <w:spacing w:val="6"/>
          <w:w w:val="120"/>
          <w:sz w:val="18"/>
        </w:rPr>
        <w:t> </w:t>
      </w:r>
      <w:r>
        <w:rPr>
          <w:i/>
          <w:w w:val="120"/>
          <w:sz w:val="18"/>
        </w:rPr>
        <w:t>I.</w:t>
      </w:r>
      <w:r>
        <w:rPr>
          <w:i/>
          <w:spacing w:val="8"/>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firstLine="0"/>
      </w:pPr>
      <w:r>
        <w:rPr>
          <w:w w:val="130"/>
        </w:rPr>
        <w:t>összegének értéke azzal, hogy az összeg nem lehet kevesebb az engedélyezés feltételeként előírt legkisebb jegyzett tőke értékénél.</w:t>
      </w:r>
    </w:p>
    <w:p>
      <w:pPr>
        <w:pStyle w:val="ListParagraph"/>
        <w:numPr>
          <w:ilvl w:val="0"/>
          <w:numId w:val="195"/>
        </w:numPr>
        <w:tabs>
          <w:tab w:pos="906" w:val="left" w:leader="none"/>
        </w:tabs>
        <w:spacing w:line="225" w:lineRule="auto" w:before="1" w:after="0"/>
        <w:ind w:left="113" w:right="129" w:firstLine="204"/>
        <w:jc w:val="both"/>
        <w:rPr>
          <w:sz w:val="24"/>
        </w:rPr>
      </w:pPr>
      <w:r>
        <w:rPr>
          <w:w w:val="125"/>
          <w:sz w:val="24"/>
        </w:rPr>
        <w:t>A hitelintézet a forrásgyűjtését és eszközkihelyezését likviditása folyamatos fenntartása mellett</w:t>
      </w:r>
      <w:r>
        <w:rPr>
          <w:spacing w:val="11"/>
          <w:w w:val="125"/>
          <w:sz w:val="24"/>
        </w:rPr>
        <w:t> </w:t>
      </w:r>
      <w:r>
        <w:rPr>
          <w:w w:val="125"/>
          <w:sz w:val="24"/>
        </w:rPr>
        <w:t>végzi.</w:t>
      </w:r>
    </w:p>
    <w:p>
      <w:pPr>
        <w:pStyle w:val="ListParagraph"/>
        <w:numPr>
          <w:ilvl w:val="0"/>
          <w:numId w:val="195"/>
        </w:numPr>
        <w:tabs>
          <w:tab w:pos="1003" w:val="left" w:leader="none"/>
        </w:tabs>
        <w:spacing w:line="225" w:lineRule="auto" w:before="1" w:after="0"/>
        <w:ind w:left="113" w:right="128" w:firstLine="204"/>
        <w:jc w:val="both"/>
        <w:rPr>
          <w:sz w:val="24"/>
        </w:rPr>
      </w:pPr>
      <w:r>
        <w:rPr>
          <w:w w:val="125"/>
          <w:sz w:val="24"/>
        </w:rPr>
        <w:t>A hitelintézet a (3) bekezdésben foglalt kötelezettségét - tevékenységének jellegére, terjedelmére és kockázataira figyelemmel - követelései és kötelezettségei lejárati időpontjainak és összegeinek megfelelő összhangjával, valamint az irányítási és kockázatkezelési követelmények teljesítésével biztosítja.</w:t>
      </w:r>
    </w:p>
    <w:p>
      <w:pPr>
        <w:pStyle w:val="ListParagraph"/>
        <w:numPr>
          <w:ilvl w:val="0"/>
          <w:numId w:val="195"/>
        </w:numPr>
        <w:tabs>
          <w:tab w:pos="804" w:val="left" w:leader="none"/>
        </w:tabs>
        <w:spacing w:line="225" w:lineRule="auto" w:before="3" w:after="0"/>
        <w:ind w:left="113" w:right="127" w:firstLine="204"/>
        <w:jc w:val="both"/>
        <w:rPr>
          <w:sz w:val="24"/>
        </w:rPr>
      </w:pPr>
      <w:r>
        <w:rPr>
          <w:w w:val="130"/>
          <w:sz w:val="24"/>
        </w:rPr>
        <w:t>Hitelintézetek egyesülése esetén az általános jogutód vagy az átvevő</w:t>
      </w:r>
      <w:r>
        <w:rPr>
          <w:spacing w:val="78"/>
          <w:w w:val="130"/>
          <w:sz w:val="24"/>
        </w:rPr>
        <w:t> </w:t>
      </w:r>
      <w:r>
        <w:rPr>
          <w:w w:val="130"/>
          <w:sz w:val="24"/>
        </w:rPr>
        <w:t>hitelintézet szavatoló tőkéje nem lehet kevesebb, mint az egyesülő hitelintézetek egyesülés előtti szavatoló tőkéjének</w:t>
      </w:r>
      <w:r>
        <w:rPr>
          <w:spacing w:val="-37"/>
          <w:w w:val="130"/>
          <w:sz w:val="24"/>
        </w:rPr>
        <w:t> </w:t>
      </w:r>
      <w:r>
        <w:rPr>
          <w:w w:val="130"/>
          <w:sz w:val="24"/>
        </w:rPr>
        <w:t>összege.</w:t>
      </w:r>
    </w:p>
    <w:p>
      <w:pPr>
        <w:pStyle w:val="ListParagraph"/>
        <w:numPr>
          <w:ilvl w:val="0"/>
          <w:numId w:val="195"/>
        </w:numPr>
        <w:tabs>
          <w:tab w:pos="888" w:val="left" w:leader="none"/>
        </w:tabs>
        <w:spacing w:line="225" w:lineRule="auto" w:before="2" w:after="0"/>
        <w:ind w:left="113" w:right="123" w:firstLine="204"/>
        <w:jc w:val="both"/>
        <w:rPr>
          <w:sz w:val="24"/>
        </w:rPr>
      </w:pPr>
      <w:r>
        <w:rPr>
          <w:w w:val="130"/>
          <w:sz w:val="24"/>
        </w:rPr>
        <w:t>Harmadik országbeli hitelintézet fióktelepe folyamatosan legalább százszázalékos eszközfenntartási mutatót</w:t>
      </w:r>
      <w:r>
        <w:rPr>
          <w:spacing w:val="-16"/>
          <w:w w:val="130"/>
          <w:sz w:val="24"/>
        </w:rPr>
        <w:t> </w:t>
      </w:r>
      <w:r>
        <w:rPr>
          <w:w w:val="130"/>
          <w:sz w:val="24"/>
        </w:rPr>
        <w:t>teljesít.</w:t>
      </w:r>
    </w:p>
    <w:p>
      <w:pPr>
        <w:pStyle w:val="BodyText"/>
        <w:spacing w:before="227"/>
        <w:ind w:left="4091" w:firstLine="0"/>
      </w:pPr>
      <w:r>
        <w:rPr>
          <w:w w:val="130"/>
        </w:rPr>
        <w:t>36. Saját tőke</w:t>
      </w:r>
    </w:p>
    <w:p>
      <w:pPr>
        <w:pStyle w:val="ListParagraph"/>
        <w:numPr>
          <w:ilvl w:val="1"/>
          <w:numId w:val="175"/>
        </w:numPr>
        <w:tabs>
          <w:tab w:pos="835" w:val="left" w:leader="none"/>
        </w:tabs>
        <w:spacing w:line="225" w:lineRule="auto" w:before="237" w:after="0"/>
        <w:ind w:left="113" w:right="131" w:firstLine="204"/>
        <w:jc w:val="both"/>
        <w:rPr>
          <w:sz w:val="24"/>
        </w:rPr>
      </w:pPr>
      <w:r>
        <w:rPr>
          <w:rFonts w:ascii="Arial" w:hAnsi="Arial"/>
          <w:b/>
          <w:w w:val="125"/>
          <w:sz w:val="24"/>
        </w:rPr>
        <w:t>§ </w:t>
      </w:r>
      <w:r>
        <w:rPr>
          <w:w w:val="125"/>
          <w:sz w:val="24"/>
        </w:rPr>
        <w:t>(1) A pénzügyi intézmény saját tőkéjének összege nem lehet kevesebb az e törvényben az engedélyezés feltételeként előírt legkisebb jegyzett tőke összegénél.</w:t>
      </w:r>
    </w:p>
    <w:p>
      <w:pPr>
        <w:pStyle w:val="BodyText"/>
        <w:spacing w:line="225" w:lineRule="auto" w:before="1"/>
        <w:ind w:right="129"/>
        <w:jc w:val="both"/>
      </w:pPr>
      <w:r>
        <w:rPr>
          <w:w w:val="125"/>
        </w:rPr>
        <w:t>(2) Ha a pénzügyi intézmény saját tőkéjének összege az (1) bekezdésben előírt legalacsonyabb szint alá csökken, a saját tőke feltöltésére a Felügyelet legfeljebb tizennyolc hónapra meghatározott időt</w:t>
      </w:r>
      <w:r>
        <w:rPr>
          <w:spacing w:val="15"/>
          <w:w w:val="125"/>
        </w:rPr>
        <w:t> </w:t>
      </w:r>
      <w:r>
        <w:rPr>
          <w:w w:val="125"/>
        </w:rPr>
        <w:t>biztosíthat.</w:t>
      </w:r>
    </w:p>
    <w:p>
      <w:pPr>
        <w:pStyle w:val="ListParagraph"/>
        <w:numPr>
          <w:ilvl w:val="1"/>
          <w:numId w:val="175"/>
        </w:numPr>
        <w:tabs>
          <w:tab w:pos="825" w:val="left" w:leader="none"/>
        </w:tabs>
        <w:spacing w:line="225" w:lineRule="auto" w:before="1" w:after="0"/>
        <w:ind w:left="113" w:right="129" w:firstLine="204"/>
        <w:jc w:val="both"/>
        <w:rPr>
          <w:sz w:val="24"/>
        </w:rPr>
      </w:pPr>
      <w:r>
        <w:rPr>
          <w:rFonts w:ascii="Arial" w:hAnsi="Arial"/>
          <w:b/>
          <w:w w:val="125"/>
          <w:sz w:val="24"/>
        </w:rPr>
        <w:t>§ </w:t>
      </w:r>
      <w:r>
        <w:rPr>
          <w:w w:val="125"/>
          <w:sz w:val="24"/>
        </w:rPr>
        <w:t>(1) Ha a pénzügyi intézmény saját tőkéje a jegyzett tőke alá csökken, a Felügyelet kötelezheti a pénzügyi intézmény igazgatóságát a közgyűlés összehívására.</w:t>
      </w:r>
    </w:p>
    <w:p>
      <w:pPr>
        <w:pStyle w:val="BodyText"/>
        <w:spacing w:line="225" w:lineRule="auto" w:before="2"/>
        <w:ind w:right="124"/>
        <w:jc w:val="both"/>
      </w:pPr>
      <w:r>
        <w:rPr>
          <w:w w:val="130"/>
        </w:rPr>
        <w:t>(2)</w:t>
      </w:r>
      <w:r>
        <w:rPr>
          <w:spacing w:val="-23"/>
          <w:w w:val="130"/>
        </w:rPr>
        <w:t> </w:t>
      </w:r>
      <w:r>
        <w:rPr>
          <w:w w:val="130"/>
        </w:rPr>
        <w:t>Az</w:t>
      </w:r>
      <w:r>
        <w:rPr>
          <w:spacing w:val="-23"/>
          <w:w w:val="130"/>
        </w:rPr>
        <w:t> </w:t>
      </w:r>
      <w:r>
        <w:rPr>
          <w:w w:val="130"/>
        </w:rPr>
        <w:t>(1)</w:t>
      </w:r>
      <w:r>
        <w:rPr>
          <w:spacing w:val="-23"/>
          <w:w w:val="130"/>
        </w:rPr>
        <w:t> </w:t>
      </w:r>
      <w:r>
        <w:rPr>
          <w:w w:val="130"/>
        </w:rPr>
        <w:t>bekezdésben</w:t>
      </w:r>
      <w:r>
        <w:rPr>
          <w:spacing w:val="-22"/>
          <w:w w:val="130"/>
        </w:rPr>
        <w:t> </w:t>
      </w:r>
      <w:r>
        <w:rPr>
          <w:w w:val="130"/>
        </w:rPr>
        <w:t>meghatározott</w:t>
      </w:r>
      <w:r>
        <w:rPr>
          <w:spacing w:val="-23"/>
          <w:w w:val="130"/>
        </w:rPr>
        <w:t> </w:t>
      </w:r>
      <w:r>
        <w:rPr>
          <w:w w:val="130"/>
        </w:rPr>
        <w:t>esetben</w:t>
      </w:r>
      <w:r>
        <w:rPr>
          <w:spacing w:val="-23"/>
          <w:w w:val="130"/>
        </w:rPr>
        <w:t> </w:t>
      </w:r>
      <w:r>
        <w:rPr>
          <w:w w:val="130"/>
        </w:rPr>
        <w:t>a</w:t>
      </w:r>
      <w:r>
        <w:rPr>
          <w:spacing w:val="-23"/>
          <w:w w:val="130"/>
        </w:rPr>
        <w:t> </w:t>
      </w:r>
      <w:r>
        <w:rPr>
          <w:w w:val="130"/>
        </w:rPr>
        <w:t>közgyűlés</w:t>
      </w:r>
      <w:r>
        <w:rPr>
          <w:spacing w:val="-24"/>
          <w:w w:val="130"/>
        </w:rPr>
        <w:t> </w:t>
      </w:r>
      <w:r>
        <w:rPr>
          <w:w w:val="130"/>
        </w:rPr>
        <w:t>dönt</w:t>
      </w:r>
      <w:r>
        <w:rPr>
          <w:spacing w:val="-22"/>
          <w:w w:val="130"/>
        </w:rPr>
        <w:t> </w:t>
      </w:r>
      <w:r>
        <w:rPr>
          <w:w w:val="130"/>
        </w:rPr>
        <w:t>arról,</w:t>
      </w:r>
      <w:r>
        <w:rPr>
          <w:spacing w:val="-23"/>
          <w:w w:val="130"/>
        </w:rPr>
        <w:t> </w:t>
      </w:r>
      <w:r>
        <w:rPr>
          <w:w w:val="130"/>
        </w:rPr>
        <w:t>hogy</w:t>
      </w:r>
      <w:r>
        <w:rPr>
          <w:spacing w:val="-23"/>
          <w:w w:val="130"/>
        </w:rPr>
        <w:t> </w:t>
      </w:r>
      <w:r>
        <w:rPr>
          <w:w w:val="130"/>
        </w:rPr>
        <w:t>a pénzügyi intézmény jegyzett tőkéjét leszállítja, vagy a befolyásoló részesedéssel rendelkező tagok gondoskodnak arról, hogy a pénzügyi</w:t>
      </w:r>
      <w:r>
        <w:rPr>
          <w:spacing w:val="78"/>
          <w:w w:val="130"/>
        </w:rPr>
        <w:t> </w:t>
      </w:r>
      <w:r>
        <w:rPr>
          <w:w w:val="130"/>
        </w:rPr>
        <w:t>intézmény</w:t>
      </w:r>
      <w:r>
        <w:rPr>
          <w:spacing w:val="-11"/>
          <w:w w:val="130"/>
        </w:rPr>
        <w:t> </w:t>
      </w:r>
      <w:r>
        <w:rPr>
          <w:w w:val="130"/>
        </w:rPr>
        <w:t>saját</w:t>
      </w:r>
      <w:r>
        <w:rPr>
          <w:spacing w:val="-11"/>
          <w:w w:val="130"/>
        </w:rPr>
        <w:t> </w:t>
      </w:r>
      <w:r>
        <w:rPr>
          <w:w w:val="130"/>
        </w:rPr>
        <w:t>tőkéjének</w:t>
      </w:r>
      <w:r>
        <w:rPr>
          <w:spacing w:val="-11"/>
          <w:w w:val="130"/>
        </w:rPr>
        <w:t> </w:t>
      </w:r>
      <w:r>
        <w:rPr>
          <w:w w:val="130"/>
        </w:rPr>
        <w:t>összege</w:t>
      </w:r>
      <w:r>
        <w:rPr>
          <w:spacing w:val="-11"/>
          <w:w w:val="130"/>
        </w:rPr>
        <w:t> </w:t>
      </w:r>
      <w:r>
        <w:rPr>
          <w:w w:val="130"/>
        </w:rPr>
        <w:t>legalább</w:t>
      </w:r>
      <w:r>
        <w:rPr>
          <w:spacing w:val="-11"/>
          <w:w w:val="130"/>
        </w:rPr>
        <w:t> </w:t>
      </w:r>
      <w:r>
        <w:rPr>
          <w:w w:val="130"/>
        </w:rPr>
        <w:t>a</w:t>
      </w:r>
      <w:r>
        <w:rPr>
          <w:spacing w:val="-11"/>
          <w:w w:val="130"/>
        </w:rPr>
        <w:t> </w:t>
      </w:r>
      <w:r>
        <w:rPr>
          <w:w w:val="130"/>
        </w:rPr>
        <w:t>jegyzett</w:t>
      </w:r>
      <w:r>
        <w:rPr>
          <w:spacing w:val="-11"/>
          <w:w w:val="130"/>
        </w:rPr>
        <w:t> </w:t>
      </w:r>
      <w:r>
        <w:rPr>
          <w:w w:val="130"/>
        </w:rPr>
        <w:t>tőkére</w:t>
      </w:r>
      <w:r>
        <w:rPr>
          <w:spacing w:val="-10"/>
          <w:w w:val="130"/>
        </w:rPr>
        <w:t> </w:t>
      </w:r>
      <w:r>
        <w:rPr>
          <w:w w:val="130"/>
        </w:rPr>
        <w:t>előírt</w:t>
      </w:r>
      <w:r>
        <w:rPr>
          <w:spacing w:val="-11"/>
          <w:w w:val="130"/>
        </w:rPr>
        <w:t> </w:t>
      </w:r>
      <w:r>
        <w:rPr>
          <w:w w:val="130"/>
        </w:rPr>
        <w:t>mértéknek megfelelően</w:t>
      </w:r>
      <w:r>
        <w:rPr>
          <w:spacing w:val="-5"/>
          <w:w w:val="130"/>
        </w:rPr>
        <w:t> </w:t>
      </w:r>
      <w:r>
        <w:rPr>
          <w:w w:val="130"/>
        </w:rPr>
        <w:t>helyreálljon.</w:t>
      </w:r>
    </w:p>
    <w:p>
      <w:pPr>
        <w:pStyle w:val="BodyText"/>
        <w:spacing w:before="229"/>
        <w:ind w:left="3083" w:firstLine="0"/>
      </w:pPr>
      <w:r>
        <w:rPr>
          <w:w w:val="120"/>
        </w:rPr>
        <w:t>37. A jegyzett tőke leszállítása</w:t>
      </w:r>
    </w:p>
    <w:p>
      <w:pPr>
        <w:pStyle w:val="BodyText"/>
        <w:spacing w:before="8"/>
        <w:ind w:left="0" w:firstLine="0"/>
        <w:rPr>
          <w:sz w:val="10"/>
        </w:rPr>
      </w:pPr>
    </w:p>
    <w:p>
      <w:pPr>
        <w:pStyle w:val="ListParagraph"/>
        <w:numPr>
          <w:ilvl w:val="1"/>
          <w:numId w:val="175"/>
        </w:numPr>
        <w:tabs>
          <w:tab w:pos="947" w:val="left" w:leader="none"/>
          <w:tab w:pos="948" w:val="left" w:leader="none"/>
          <w:tab w:pos="1286" w:val="left" w:leader="none"/>
          <w:tab w:pos="1946" w:val="left" w:leader="none"/>
          <w:tab w:pos="2325" w:val="left" w:leader="none"/>
          <w:tab w:pos="3911" w:val="left" w:leader="none"/>
          <w:tab w:pos="5098" w:val="left" w:leader="none"/>
          <w:tab w:pos="8021" w:val="left" w:leader="none"/>
          <w:tab w:pos="9100" w:val="left" w:leader="none"/>
          <w:tab w:pos="9604" w:val="left" w:leader="none"/>
        </w:tabs>
        <w:spacing w:line="262" w:lineRule="exact" w:before="100" w:after="0"/>
        <w:ind w:left="947" w:right="0" w:hanging="630"/>
        <w:jc w:val="left"/>
        <w:rPr>
          <w:sz w:val="24"/>
        </w:rPr>
      </w:pPr>
      <w:r>
        <w:rPr>
          <w:rFonts w:ascii="Arial" w:hAnsi="Arial"/>
          <w:b/>
          <w:w w:val="120"/>
          <w:sz w:val="24"/>
        </w:rPr>
        <w:t>§</w:t>
        <w:tab/>
      </w:r>
      <w:r>
        <w:rPr>
          <w:w w:val="120"/>
          <w:sz w:val="24"/>
        </w:rPr>
        <w:t>(1)</w:t>
      </w:r>
      <w:r>
        <w:rPr>
          <w:i/>
          <w:w w:val="120"/>
          <w:position w:val="3"/>
          <w:sz w:val="18"/>
        </w:rPr>
        <w:t>1</w:t>
        <w:tab/>
      </w:r>
      <w:r>
        <w:rPr>
          <w:w w:val="120"/>
          <w:sz w:val="24"/>
        </w:rPr>
        <w:t>A</w:t>
        <w:tab/>
        <w:t>hitelintézet</w:t>
        <w:tab/>
        <w:t>jegyzett</w:t>
        <w:tab/>
        <w:t>tőkéjének  </w:t>
      </w:r>
      <w:r>
        <w:rPr>
          <w:spacing w:val="49"/>
          <w:w w:val="120"/>
          <w:sz w:val="24"/>
        </w:rPr>
        <w:t> </w:t>
      </w:r>
      <w:r>
        <w:rPr>
          <w:w w:val="120"/>
          <w:sz w:val="24"/>
        </w:rPr>
        <w:t>leszállítása</w:t>
        <w:tab/>
        <w:t>esetén,</w:t>
        <w:tab/>
        <w:t>ha</w:t>
        <w:tab/>
        <w:t>a</w:t>
      </w:r>
    </w:p>
    <w:p>
      <w:pPr>
        <w:pStyle w:val="BodyText"/>
        <w:spacing w:line="225" w:lineRule="auto" w:before="13"/>
        <w:ind w:right="125" w:firstLine="0"/>
        <w:jc w:val="both"/>
      </w:pPr>
      <w:r>
        <w:rPr>
          <w:w w:val="130"/>
        </w:rPr>
        <w:t>hitelintézet tőkemegfelelése a jegyzett tőke leszállított értéke tekintetében is eléri vagy meghaladja a 79. § (2) bekezdése szerinti összeget, valamint az e törvényben előírt mértéket, a vele szemben fennálló követelések a Ptk. jogi személyekre vonatkozó rendelkezéseinek szempontjából biztosítékkal ellátottnak tekintendőek.</w:t>
      </w:r>
    </w:p>
    <w:p>
      <w:pPr>
        <w:pStyle w:val="ListParagraph"/>
        <w:numPr>
          <w:ilvl w:val="0"/>
          <w:numId w:val="197"/>
        </w:numPr>
        <w:tabs>
          <w:tab w:pos="857" w:val="left" w:leader="none"/>
        </w:tabs>
        <w:spacing w:line="225" w:lineRule="auto" w:before="2" w:after="0"/>
        <w:ind w:left="113" w:right="125" w:firstLine="204"/>
        <w:jc w:val="both"/>
        <w:rPr>
          <w:sz w:val="24"/>
        </w:rPr>
      </w:pPr>
      <w:r>
        <w:rPr>
          <w:w w:val="130"/>
          <w:sz w:val="24"/>
        </w:rPr>
        <w:t>Az (1) bekezdés szerinti esetben a hitelintézet jegyzett tőkéjének leszállítását kimondó közgyűlési határozatot kétszer egymás után legalább tizenöt napos időközzel az igazgatóság az alapszabályban megjelölt módon közzéteszi. A jegyzett tőke leszállítás közzétételének igazolását követően a cégbíróság kérelemre a jegyzett tőke leszállítását</w:t>
      </w:r>
      <w:r>
        <w:rPr>
          <w:spacing w:val="-39"/>
          <w:w w:val="130"/>
          <w:sz w:val="24"/>
        </w:rPr>
        <w:t> </w:t>
      </w:r>
      <w:r>
        <w:rPr>
          <w:w w:val="130"/>
          <w:sz w:val="24"/>
        </w:rPr>
        <w:t>bejegyzi.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1"/>
        <w:ind w:left="0" w:firstLine="0"/>
        <w:rPr>
          <w:sz w:val="27"/>
        </w:rPr>
      </w:pPr>
      <w:r>
        <w:rPr/>
        <w:pict>
          <v:line style="position:absolute;mso-position-horizontal-relative:page;mso-position-vertical-relative:paragraph;z-index:248;mso-wrap-distance-left:0;mso-wrap-distance-right:0" from="56.693001pt,18.295906pt" to="538.583001pt,18.29590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ugyane törvény 306. § (3). Hatályos: 2014. III.</w:t>
      </w:r>
      <w:r>
        <w:rPr>
          <w:i/>
          <w:spacing w:val="-10"/>
          <w:w w:val="125"/>
          <w:sz w:val="18"/>
        </w:rPr>
        <w:t> </w:t>
      </w:r>
      <w:r>
        <w:rPr>
          <w:i/>
          <w:w w:val="125"/>
          <w:sz w:val="18"/>
        </w:rPr>
        <w:t>15-től.</w:t>
      </w:r>
    </w:p>
    <w:p>
      <w:pPr>
        <w:spacing w:after="0"/>
        <w:jc w:val="left"/>
        <w:rPr>
          <w:sz w:val="18"/>
        </w:rPr>
        <w:sectPr>
          <w:pgSz w:w="11900" w:h="16820"/>
          <w:pgMar w:header="1104" w:footer="0" w:top="1840" w:bottom="280" w:left="1020" w:right="1000"/>
        </w:sectPr>
      </w:pPr>
    </w:p>
    <w:p>
      <w:pPr>
        <w:pStyle w:val="ListParagraph"/>
        <w:numPr>
          <w:ilvl w:val="0"/>
          <w:numId w:val="197"/>
        </w:numPr>
        <w:tabs>
          <w:tab w:pos="659" w:val="left" w:leader="none"/>
        </w:tabs>
        <w:spacing w:line="261" w:lineRule="exact" w:before="159" w:after="0"/>
        <w:ind w:left="658" w:right="0" w:hanging="341"/>
        <w:jc w:val="left"/>
        <w:rPr>
          <w:sz w:val="24"/>
        </w:rPr>
      </w:pPr>
      <w:r>
        <w:rPr>
          <w:i/>
          <w:w w:val="130"/>
          <w:position w:val="3"/>
          <w:sz w:val="18"/>
        </w:rPr>
        <w:t>1</w:t>
      </w:r>
      <w:r>
        <w:rPr>
          <w:i/>
          <w:spacing w:val="4"/>
          <w:w w:val="130"/>
          <w:position w:val="3"/>
          <w:sz w:val="18"/>
        </w:rPr>
        <w:t> </w:t>
      </w:r>
      <w:r>
        <w:rPr>
          <w:w w:val="130"/>
          <w:sz w:val="24"/>
        </w:rPr>
        <w:t>A</w:t>
      </w:r>
      <w:r>
        <w:rPr>
          <w:spacing w:val="43"/>
          <w:w w:val="130"/>
          <w:sz w:val="24"/>
        </w:rPr>
        <w:t> </w:t>
      </w:r>
      <w:r>
        <w:rPr>
          <w:w w:val="130"/>
          <w:sz w:val="24"/>
        </w:rPr>
        <w:t>hitelintézet</w:t>
      </w:r>
      <w:r>
        <w:rPr>
          <w:spacing w:val="44"/>
          <w:w w:val="130"/>
          <w:sz w:val="24"/>
        </w:rPr>
        <w:t> </w:t>
      </w:r>
      <w:r>
        <w:rPr>
          <w:w w:val="130"/>
          <w:sz w:val="24"/>
        </w:rPr>
        <w:t>jegyzett</w:t>
      </w:r>
      <w:r>
        <w:rPr>
          <w:spacing w:val="43"/>
          <w:w w:val="130"/>
          <w:sz w:val="24"/>
        </w:rPr>
        <w:t> </w:t>
      </w:r>
      <w:r>
        <w:rPr>
          <w:w w:val="130"/>
          <w:sz w:val="24"/>
        </w:rPr>
        <w:t>tőkéjének</w:t>
      </w:r>
      <w:r>
        <w:rPr>
          <w:spacing w:val="58"/>
          <w:w w:val="130"/>
          <w:sz w:val="24"/>
        </w:rPr>
        <w:t> </w:t>
      </w:r>
      <w:r>
        <w:rPr>
          <w:w w:val="130"/>
          <w:sz w:val="24"/>
        </w:rPr>
        <w:t>leszállítása</w:t>
      </w:r>
      <w:r>
        <w:rPr>
          <w:spacing w:val="28"/>
          <w:w w:val="130"/>
          <w:sz w:val="24"/>
        </w:rPr>
        <w:t> </w:t>
      </w:r>
      <w:r>
        <w:rPr>
          <w:w w:val="130"/>
          <w:sz w:val="24"/>
        </w:rPr>
        <w:t>esetén,</w:t>
      </w:r>
      <w:r>
        <w:rPr>
          <w:spacing w:val="42"/>
          <w:w w:val="130"/>
          <w:sz w:val="24"/>
        </w:rPr>
        <w:t> </w:t>
      </w:r>
      <w:r>
        <w:rPr>
          <w:w w:val="130"/>
          <w:sz w:val="24"/>
        </w:rPr>
        <w:t>ha</w:t>
      </w:r>
      <w:r>
        <w:rPr>
          <w:spacing w:val="44"/>
          <w:w w:val="130"/>
          <w:sz w:val="24"/>
        </w:rPr>
        <w:t> </w:t>
      </w:r>
      <w:r>
        <w:rPr>
          <w:w w:val="130"/>
          <w:sz w:val="24"/>
        </w:rPr>
        <w:t>a</w:t>
      </w:r>
      <w:r>
        <w:rPr>
          <w:spacing w:val="43"/>
          <w:w w:val="130"/>
          <w:sz w:val="24"/>
        </w:rPr>
        <w:t> </w:t>
      </w:r>
      <w:r>
        <w:rPr>
          <w:w w:val="130"/>
          <w:sz w:val="24"/>
        </w:rPr>
        <w:t>hitelintézet</w:t>
      </w:r>
    </w:p>
    <w:p>
      <w:pPr>
        <w:pStyle w:val="BodyText"/>
        <w:spacing w:line="225" w:lineRule="auto" w:before="12"/>
        <w:ind w:right="125" w:firstLine="0"/>
        <w:jc w:val="both"/>
      </w:pPr>
      <w:r>
        <w:rPr>
          <w:w w:val="130"/>
        </w:rPr>
        <w:t>tőkemegfelelése a jegyzett tőke leszállított értéke tekintetében nem éri el az</w:t>
      </w:r>
      <w:r>
        <w:rPr>
          <w:spacing w:val="-52"/>
          <w:w w:val="130"/>
        </w:rPr>
        <w:t> </w:t>
      </w:r>
      <w:r>
        <w:rPr>
          <w:w w:val="130"/>
        </w:rPr>
        <w:t>e törvényben az induló tőkére előírt mértéket, de a leszállítást elrendelő közgyűlés egyidejűleg dönt a tőkeemelésről is, amelynek következtében a</w:t>
      </w:r>
      <w:r>
        <w:rPr>
          <w:spacing w:val="78"/>
          <w:w w:val="130"/>
        </w:rPr>
        <w:t> </w:t>
      </w:r>
      <w:r>
        <w:rPr>
          <w:w w:val="130"/>
        </w:rPr>
        <w:t>hitelintézet tőkemegfelelése eléri vagy meghaladja az e törvényben az induló tőkére előírt mértéket, akkor a hitelintézettel szemben fennálló követelések a Ptk.</w:t>
      </w:r>
      <w:r>
        <w:rPr>
          <w:spacing w:val="-36"/>
          <w:w w:val="130"/>
        </w:rPr>
        <w:t> </w:t>
      </w:r>
      <w:r>
        <w:rPr>
          <w:w w:val="130"/>
        </w:rPr>
        <w:t>jogi</w:t>
      </w:r>
      <w:r>
        <w:rPr>
          <w:spacing w:val="-48"/>
          <w:w w:val="130"/>
        </w:rPr>
        <w:t> </w:t>
      </w:r>
      <w:r>
        <w:rPr>
          <w:w w:val="130"/>
        </w:rPr>
        <w:t>személyekre</w:t>
      </w:r>
      <w:r>
        <w:rPr>
          <w:spacing w:val="-42"/>
          <w:w w:val="130"/>
        </w:rPr>
        <w:t> </w:t>
      </w:r>
      <w:r>
        <w:rPr>
          <w:w w:val="130"/>
        </w:rPr>
        <w:t>vonatkozó</w:t>
      </w:r>
      <w:r>
        <w:rPr>
          <w:spacing w:val="-43"/>
          <w:w w:val="130"/>
        </w:rPr>
        <w:t> </w:t>
      </w:r>
      <w:r>
        <w:rPr>
          <w:w w:val="130"/>
        </w:rPr>
        <w:t>rendelkezéseinek</w:t>
      </w:r>
      <w:r>
        <w:rPr>
          <w:spacing w:val="-42"/>
          <w:w w:val="130"/>
        </w:rPr>
        <w:t> </w:t>
      </w:r>
      <w:r>
        <w:rPr>
          <w:w w:val="130"/>
        </w:rPr>
        <w:t>szempontjából</w:t>
      </w:r>
      <w:r>
        <w:rPr>
          <w:spacing w:val="-42"/>
          <w:w w:val="130"/>
        </w:rPr>
        <w:t> </w:t>
      </w:r>
      <w:r>
        <w:rPr>
          <w:w w:val="130"/>
        </w:rPr>
        <w:t>biztosítékkal ellátottnak tekintendőek és a Ptk. 3:312-3:313. §-ában foglaltak nem</w:t>
      </w:r>
      <w:r>
        <w:rPr>
          <w:spacing w:val="78"/>
          <w:w w:val="130"/>
        </w:rPr>
        <w:t> </w:t>
      </w:r>
      <w:r>
        <w:rPr>
          <w:w w:val="130"/>
        </w:rPr>
        <w:t>alkalmazandóak.</w:t>
      </w:r>
    </w:p>
    <w:p>
      <w:pPr>
        <w:pStyle w:val="ListParagraph"/>
        <w:numPr>
          <w:ilvl w:val="0"/>
          <w:numId w:val="197"/>
        </w:numPr>
        <w:tabs>
          <w:tab w:pos="739" w:val="left" w:leader="none"/>
        </w:tabs>
        <w:spacing w:line="225" w:lineRule="auto" w:before="5" w:after="0"/>
        <w:ind w:left="113" w:right="127" w:firstLine="204"/>
        <w:jc w:val="both"/>
        <w:rPr>
          <w:sz w:val="24"/>
        </w:rPr>
      </w:pPr>
      <w:r>
        <w:rPr>
          <w:w w:val="130"/>
          <w:sz w:val="24"/>
        </w:rPr>
        <w:t>Nem</w:t>
      </w:r>
      <w:r>
        <w:rPr>
          <w:spacing w:val="-15"/>
          <w:w w:val="130"/>
          <w:sz w:val="24"/>
        </w:rPr>
        <w:t> </w:t>
      </w:r>
      <w:r>
        <w:rPr>
          <w:w w:val="130"/>
          <w:sz w:val="24"/>
        </w:rPr>
        <w:t>kerülhet</w:t>
      </w:r>
      <w:r>
        <w:rPr>
          <w:spacing w:val="-15"/>
          <w:w w:val="130"/>
          <w:sz w:val="24"/>
        </w:rPr>
        <w:t> </w:t>
      </w:r>
      <w:r>
        <w:rPr>
          <w:w w:val="130"/>
          <w:sz w:val="24"/>
        </w:rPr>
        <w:t>sor</w:t>
      </w:r>
      <w:r>
        <w:rPr>
          <w:spacing w:val="-14"/>
          <w:w w:val="130"/>
          <w:sz w:val="24"/>
        </w:rPr>
        <w:t> </w:t>
      </w:r>
      <w:r>
        <w:rPr>
          <w:w w:val="130"/>
          <w:sz w:val="24"/>
        </w:rPr>
        <w:t>a</w:t>
      </w:r>
      <w:r>
        <w:rPr>
          <w:spacing w:val="-14"/>
          <w:w w:val="130"/>
          <w:sz w:val="24"/>
        </w:rPr>
        <w:t> </w:t>
      </w:r>
      <w:r>
        <w:rPr>
          <w:w w:val="130"/>
          <w:sz w:val="24"/>
        </w:rPr>
        <w:t>jegyzett</w:t>
      </w:r>
      <w:r>
        <w:rPr>
          <w:spacing w:val="-11"/>
          <w:w w:val="130"/>
          <w:sz w:val="24"/>
        </w:rPr>
        <w:t> </w:t>
      </w:r>
      <w:r>
        <w:rPr>
          <w:w w:val="130"/>
          <w:sz w:val="24"/>
        </w:rPr>
        <w:t>tőke</w:t>
      </w:r>
      <w:r>
        <w:rPr>
          <w:spacing w:val="-19"/>
          <w:w w:val="130"/>
          <w:sz w:val="24"/>
        </w:rPr>
        <w:t> </w:t>
      </w:r>
      <w:r>
        <w:rPr>
          <w:w w:val="130"/>
          <w:sz w:val="24"/>
        </w:rPr>
        <w:t>(3)</w:t>
      </w:r>
      <w:r>
        <w:rPr>
          <w:spacing w:val="-14"/>
          <w:w w:val="130"/>
          <w:sz w:val="24"/>
        </w:rPr>
        <w:t> </w:t>
      </w:r>
      <w:r>
        <w:rPr>
          <w:w w:val="130"/>
          <w:sz w:val="24"/>
        </w:rPr>
        <w:t>bekezdésben</w:t>
      </w:r>
      <w:r>
        <w:rPr>
          <w:spacing w:val="-15"/>
          <w:w w:val="130"/>
          <w:sz w:val="24"/>
        </w:rPr>
        <w:t> </w:t>
      </w:r>
      <w:r>
        <w:rPr>
          <w:w w:val="130"/>
          <w:sz w:val="24"/>
        </w:rPr>
        <w:t>említett</w:t>
      </w:r>
      <w:r>
        <w:rPr>
          <w:spacing w:val="-15"/>
          <w:w w:val="130"/>
          <w:sz w:val="24"/>
        </w:rPr>
        <w:t> </w:t>
      </w:r>
      <w:r>
        <w:rPr>
          <w:w w:val="130"/>
          <w:sz w:val="24"/>
        </w:rPr>
        <w:t>leszállításának és felemelésének cégbírósági bejegyzésére, ha a tőkeemelés meghiúsul vagy nem éri el azt a mértéket, amelynek következtében a hitelintézet jegyzett</w:t>
      </w:r>
      <w:r>
        <w:rPr>
          <w:spacing w:val="78"/>
          <w:w w:val="130"/>
          <w:sz w:val="24"/>
        </w:rPr>
        <w:t> </w:t>
      </w:r>
      <w:r>
        <w:rPr>
          <w:w w:val="130"/>
          <w:sz w:val="24"/>
        </w:rPr>
        <w:t>tőkéje</w:t>
      </w:r>
      <w:r>
        <w:rPr>
          <w:spacing w:val="-12"/>
          <w:w w:val="130"/>
          <w:sz w:val="24"/>
        </w:rPr>
        <w:t> </w:t>
      </w:r>
      <w:r>
        <w:rPr>
          <w:w w:val="130"/>
          <w:sz w:val="24"/>
        </w:rPr>
        <w:t>elérné vagy</w:t>
      </w:r>
      <w:r>
        <w:rPr>
          <w:spacing w:val="-22"/>
          <w:w w:val="130"/>
          <w:sz w:val="24"/>
        </w:rPr>
        <w:t> </w:t>
      </w:r>
      <w:r>
        <w:rPr>
          <w:w w:val="130"/>
          <w:sz w:val="24"/>
        </w:rPr>
        <w:t>meghaladná</w:t>
      </w:r>
      <w:r>
        <w:rPr>
          <w:spacing w:val="-12"/>
          <w:w w:val="130"/>
          <w:sz w:val="24"/>
        </w:rPr>
        <w:t> </w:t>
      </w:r>
      <w:r>
        <w:rPr>
          <w:w w:val="130"/>
          <w:sz w:val="24"/>
        </w:rPr>
        <w:t>a</w:t>
      </w:r>
      <w:r>
        <w:rPr>
          <w:spacing w:val="-12"/>
          <w:w w:val="130"/>
          <w:sz w:val="24"/>
        </w:rPr>
        <w:t> </w:t>
      </w:r>
      <w:r>
        <w:rPr>
          <w:w w:val="130"/>
          <w:sz w:val="24"/>
        </w:rPr>
        <w:t>79.</w:t>
      </w:r>
      <w:r>
        <w:rPr>
          <w:spacing w:val="-11"/>
          <w:w w:val="130"/>
          <w:sz w:val="24"/>
        </w:rPr>
        <w:t> </w:t>
      </w:r>
      <w:r>
        <w:rPr>
          <w:w w:val="130"/>
          <w:sz w:val="24"/>
        </w:rPr>
        <w:t>§</w:t>
      </w:r>
      <w:r>
        <w:rPr>
          <w:spacing w:val="-11"/>
          <w:w w:val="130"/>
          <w:sz w:val="24"/>
        </w:rPr>
        <w:t> </w:t>
      </w:r>
      <w:r>
        <w:rPr>
          <w:w w:val="130"/>
          <w:sz w:val="24"/>
        </w:rPr>
        <w:t>(2)</w:t>
      </w:r>
      <w:r>
        <w:rPr>
          <w:spacing w:val="-5"/>
          <w:w w:val="130"/>
          <w:sz w:val="24"/>
        </w:rPr>
        <w:t> </w:t>
      </w:r>
      <w:r>
        <w:rPr>
          <w:w w:val="130"/>
          <w:sz w:val="24"/>
        </w:rPr>
        <w:t>bekezdésében</w:t>
      </w:r>
      <w:r>
        <w:rPr>
          <w:spacing w:val="-17"/>
          <w:w w:val="130"/>
          <w:sz w:val="24"/>
        </w:rPr>
        <w:t> </w:t>
      </w:r>
      <w:r>
        <w:rPr>
          <w:w w:val="130"/>
          <w:sz w:val="24"/>
        </w:rPr>
        <w:t>előírt</w:t>
      </w:r>
      <w:r>
        <w:rPr>
          <w:spacing w:val="-12"/>
          <w:w w:val="130"/>
          <w:sz w:val="24"/>
        </w:rPr>
        <w:t> </w:t>
      </w:r>
      <w:r>
        <w:rPr>
          <w:w w:val="130"/>
          <w:sz w:val="24"/>
        </w:rPr>
        <w:t>mértéket.</w:t>
      </w:r>
    </w:p>
    <w:p>
      <w:pPr>
        <w:pStyle w:val="ListParagraph"/>
        <w:numPr>
          <w:ilvl w:val="0"/>
          <w:numId w:val="197"/>
        </w:numPr>
        <w:tabs>
          <w:tab w:pos="786" w:val="left" w:leader="none"/>
        </w:tabs>
        <w:spacing w:line="225" w:lineRule="auto" w:before="2" w:after="0"/>
        <w:ind w:left="113" w:right="121" w:firstLine="204"/>
        <w:jc w:val="both"/>
        <w:rPr>
          <w:sz w:val="24"/>
        </w:rPr>
      </w:pPr>
      <w:r>
        <w:rPr>
          <w:w w:val="130"/>
          <w:sz w:val="24"/>
        </w:rPr>
        <w:t>Ha a pénzügyi intézmény saját tőkéjének elemei között negatív értékű szerepel, akkor elsődlegesen a negatív értéket szükséges megszüntetni a saját tőke jegyzett tőkén felüli elemeinek - Szmt. szerinti - átcsoportosításával,</w:t>
      </w:r>
      <w:r>
        <w:rPr>
          <w:spacing w:val="78"/>
          <w:w w:val="130"/>
          <w:sz w:val="24"/>
        </w:rPr>
        <w:t> </w:t>
      </w:r>
      <w:r>
        <w:rPr>
          <w:w w:val="130"/>
          <w:sz w:val="24"/>
        </w:rPr>
        <w:t>illetve veszteségrendezés érdekében a saját tőke más elemeinek növelése céljából megvalósuló tőkeleszállítással és csak a fennmaradó jegyzett tőke tekintetében</w:t>
      </w:r>
      <w:r>
        <w:rPr>
          <w:spacing w:val="-16"/>
          <w:w w:val="130"/>
          <w:sz w:val="24"/>
        </w:rPr>
        <w:t> </w:t>
      </w:r>
      <w:r>
        <w:rPr>
          <w:w w:val="130"/>
          <w:sz w:val="24"/>
        </w:rPr>
        <w:t>rendelkezhetnek</w:t>
      </w:r>
      <w:r>
        <w:rPr>
          <w:spacing w:val="-14"/>
          <w:w w:val="130"/>
          <w:sz w:val="24"/>
        </w:rPr>
        <w:t> </w:t>
      </w:r>
      <w:r>
        <w:rPr>
          <w:w w:val="130"/>
          <w:sz w:val="24"/>
        </w:rPr>
        <w:t>a</w:t>
      </w:r>
      <w:r>
        <w:rPr>
          <w:spacing w:val="-16"/>
          <w:w w:val="130"/>
          <w:sz w:val="24"/>
        </w:rPr>
        <w:t> </w:t>
      </w:r>
      <w:r>
        <w:rPr>
          <w:w w:val="130"/>
          <w:sz w:val="24"/>
        </w:rPr>
        <w:t>tagok</w:t>
      </w:r>
      <w:r>
        <w:rPr>
          <w:spacing w:val="-15"/>
          <w:w w:val="130"/>
          <w:sz w:val="24"/>
        </w:rPr>
        <w:t> </w:t>
      </w:r>
      <w:r>
        <w:rPr>
          <w:w w:val="130"/>
          <w:sz w:val="24"/>
        </w:rPr>
        <w:t>tőkekivonási</w:t>
      </w:r>
      <w:r>
        <w:rPr>
          <w:spacing w:val="-16"/>
          <w:w w:val="130"/>
          <w:sz w:val="24"/>
        </w:rPr>
        <w:t> </w:t>
      </w:r>
      <w:r>
        <w:rPr>
          <w:w w:val="130"/>
          <w:sz w:val="24"/>
        </w:rPr>
        <w:t>célú</w:t>
      </w:r>
      <w:r>
        <w:rPr>
          <w:spacing w:val="-6"/>
          <w:w w:val="130"/>
          <w:sz w:val="24"/>
        </w:rPr>
        <w:t> </w:t>
      </w:r>
      <w:r>
        <w:rPr>
          <w:w w:val="130"/>
          <w:sz w:val="24"/>
        </w:rPr>
        <w:t>tőkeleszállításról.</w:t>
      </w:r>
    </w:p>
    <w:p>
      <w:pPr>
        <w:pStyle w:val="BodyText"/>
        <w:spacing w:before="230"/>
        <w:ind w:left="3206" w:firstLine="0"/>
      </w:pPr>
      <w:r>
        <w:rPr>
          <w:w w:val="125"/>
        </w:rPr>
        <w:t>38. Általános tartalékképzés</w:t>
      </w:r>
    </w:p>
    <w:p>
      <w:pPr>
        <w:pStyle w:val="ListParagraph"/>
        <w:numPr>
          <w:ilvl w:val="1"/>
          <w:numId w:val="175"/>
        </w:numPr>
        <w:tabs>
          <w:tab w:pos="818" w:val="left" w:leader="none"/>
        </w:tabs>
        <w:spacing w:line="269" w:lineRule="exact" w:before="223" w:after="0"/>
        <w:ind w:left="817" w:right="0" w:hanging="500"/>
        <w:jc w:val="left"/>
        <w:rPr>
          <w:sz w:val="24"/>
        </w:rPr>
      </w:pPr>
      <w:r>
        <w:rPr>
          <w:rFonts w:ascii="Arial" w:hAnsi="Arial"/>
          <w:b/>
          <w:w w:val="120"/>
          <w:sz w:val="24"/>
        </w:rPr>
        <w:t>§</w:t>
      </w:r>
      <w:r>
        <w:rPr>
          <w:rFonts w:ascii="Arial" w:hAnsi="Arial"/>
          <w:b/>
          <w:spacing w:val="35"/>
          <w:w w:val="120"/>
          <w:sz w:val="24"/>
        </w:rPr>
        <w:t> </w:t>
      </w:r>
      <w:r>
        <w:rPr>
          <w:w w:val="120"/>
          <w:sz w:val="24"/>
        </w:rPr>
        <w:t>(1)</w:t>
      </w:r>
      <w:r>
        <w:rPr>
          <w:i/>
          <w:w w:val="120"/>
          <w:position w:val="3"/>
          <w:sz w:val="18"/>
        </w:rPr>
        <w:t>2</w:t>
      </w:r>
      <w:r>
        <w:rPr>
          <w:i/>
          <w:spacing w:val="52"/>
          <w:w w:val="120"/>
          <w:position w:val="3"/>
          <w:sz w:val="18"/>
        </w:rPr>
        <w:t> </w:t>
      </w:r>
      <w:r>
        <w:rPr>
          <w:w w:val="120"/>
          <w:sz w:val="24"/>
        </w:rPr>
        <w:t>A</w:t>
      </w:r>
      <w:r>
        <w:rPr>
          <w:spacing w:val="33"/>
          <w:w w:val="120"/>
          <w:sz w:val="24"/>
        </w:rPr>
        <w:t> </w:t>
      </w:r>
      <w:r>
        <w:rPr>
          <w:w w:val="120"/>
          <w:sz w:val="24"/>
        </w:rPr>
        <w:t>hitelintézet</w:t>
      </w:r>
      <w:r>
        <w:rPr>
          <w:spacing w:val="34"/>
          <w:w w:val="120"/>
          <w:sz w:val="24"/>
        </w:rPr>
        <w:t> </w:t>
      </w:r>
      <w:r>
        <w:rPr>
          <w:w w:val="120"/>
          <w:sz w:val="24"/>
        </w:rPr>
        <w:t>az</w:t>
      </w:r>
      <w:r>
        <w:rPr>
          <w:spacing w:val="33"/>
          <w:w w:val="120"/>
          <w:sz w:val="24"/>
        </w:rPr>
        <w:t> </w:t>
      </w:r>
      <w:r>
        <w:rPr>
          <w:w w:val="120"/>
          <w:sz w:val="24"/>
        </w:rPr>
        <w:t>adózott</w:t>
      </w:r>
      <w:r>
        <w:rPr>
          <w:spacing w:val="32"/>
          <w:w w:val="120"/>
          <w:sz w:val="24"/>
        </w:rPr>
        <w:t> </w:t>
      </w:r>
      <w:r>
        <w:rPr>
          <w:w w:val="120"/>
          <w:sz w:val="24"/>
        </w:rPr>
        <w:t>eredményéből</w:t>
      </w:r>
      <w:r>
        <w:rPr>
          <w:spacing w:val="33"/>
          <w:w w:val="120"/>
          <w:sz w:val="24"/>
        </w:rPr>
        <w:t> </w:t>
      </w:r>
      <w:r>
        <w:rPr>
          <w:w w:val="120"/>
          <w:sz w:val="24"/>
        </w:rPr>
        <w:t>általános</w:t>
      </w:r>
      <w:r>
        <w:rPr>
          <w:spacing w:val="32"/>
          <w:w w:val="120"/>
          <w:sz w:val="24"/>
        </w:rPr>
        <w:t> </w:t>
      </w:r>
      <w:r>
        <w:rPr>
          <w:w w:val="120"/>
          <w:sz w:val="24"/>
        </w:rPr>
        <w:t>tartalékot</w:t>
      </w:r>
      <w:r>
        <w:rPr>
          <w:spacing w:val="33"/>
          <w:w w:val="120"/>
          <w:sz w:val="24"/>
        </w:rPr>
        <w:t> </w:t>
      </w:r>
      <w:r>
        <w:rPr>
          <w:w w:val="120"/>
          <w:sz w:val="24"/>
        </w:rPr>
        <w:t>képez.</w:t>
      </w:r>
    </w:p>
    <w:p>
      <w:pPr>
        <w:pStyle w:val="ListParagraph"/>
        <w:numPr>
          <w:ilvl w:val="0"/>
          <w:numId w:val="198"/>
        </w:numPr>
        <w:tabs>
          <w:tab w:pos="838" w:val="left" w:leader="none"/>
        </w:tabs>
        <w:spacing w:line="225" w:lineRule="auto" w:before="6" w:after="0"/>
        <w:ind w:left="113" w:right="128" w:firstLine="204"/>
        <w:jc w:val="both"/>
        <w:rPr>
          <w:sz w:val="24"/>
        </w:rPr>
      </w:pPr>
      <w:r>
        <w:rPr>
          <w:w w:val="125"/>
          <w:sz w:val="24"/>
        </w:rPr>
        <w:t>A hitelintézet a tárgyévi adózott eredmény tíz százalékát általános tartalékba helyezi.</w:t>
      </w:r>
    </w:p>
    <w:p>
      <w:pPr>
        <w:pStyle w:val="ListParagraph"/>
        <w:numPr>
          <w:ilvl w:val="0"/>
          <w:numId w:val="198"/>
        </w:numPr>
        <w:tabs>
          <w:tab w:pos="773" w:val="left" w:leader="none"/>
        </w:tabs>
        <w:spacing w:line="225" w:lineRule="auto" w:before="1" w:after="0"/>
        <w:ind w:left="113" w:right="127" w:firstLine="204"/>
        <w:jc w:val="both"/>
        <w:rPr>
          <w:sz w:val="24"/>
        </w:rPr>
      </w:pPr>
      <w:r>
        <w:rPr>
          <w:w w:val="125"/>
          <w:sz w:val="24"/>
        </w:rPr>
        <w:t>A hitelintézetet kérelmére a Felügyelet az általános tartalékképzés alól mentesítheti, ha a szavatoló tőkéje eléri a 79. § (2) bekezdése szerint meghatározott tőkekövetelményének a másfélszeresét, és nincs negatív eredménytartaléka.</w:t>
      </w:r>
    </w:p>
    <w:p>
      <w:pPr>
        <w:pStyle w:val="ListParagraph"/>
        <w:numPr>
          <w:ilvl w:val="0"/>
          <w:numId w:val="198"/>
        </w:numPr>
        <w:tabs>
          <w:tab w:pos="765" w:val="left" w:leader="none"/>
        </w:tabs>
        <w:spacing w:line="225" w:lineRule="auto" w:before="2" w:after="0"/>
        <w:ind w:left="113" w:right="121" w:firstLine="204"/>
        <w:jc w:val="both"/>
        <w:rPr>
          <w:sz w:val="24"/>
        </w:rPr>
      </w:pPr>
      <w:r>
        <w:rPr>
          <w:w w:val="130"/>
          <w:sz w:val="24"/>
        </w:rPr>
        <w:t>A hitelintézet osztalékot és részesedést csak akkor fizethet, ha az adott naptári évben a (2) bekezdés szerint általános tartalékot képzett, vagy ha a Felügyelet az általános tartalékképzés alól a (3) bekezdés alapján mentesítette.</w:t>
      </w:r>
    </w:p>
    <w:p>
      <w:pPr>
        <w:pStyle w:val="ListParagraph"/>
        <w:numPr>
          <w:ilvl w:val="0"/>
          <w:numId w:val="198"/>
        </w:numPr>
        <w:tabs>
          <w:tab w:pos="832" w:val="left" w:leader="none"/>
        </w:tabs>
        <w:spacing w:line="225" w:lineRule="auto" w:before="3" w:after="0"/>
        <w:ind w:left="113" w:right="131" w:firstLine="204"/>
        <w:jc w:val="both"/>
        <w:rPr>
          <w:sz w:val="24"/>
        </w:rPr>
      </w:pPr>
      <w:r>
        <w:rPr>
          <w:w w:val="125"/>
          <w:sz w:val="24"/>
        </w:rPr>
        <w:t>A hitelintézet az általános tartalékot csak a tevékenységéből eredő veszteségek rendezésére használhatja</w:t>
      </w:r>
      <w:r>
        <w:rPr>
          <w:spacing w:val="16"/>
          <w:w w:val="125"/>
          <w:sz w:val="24"/>
        </w:rPr>
        <w:t> </w:t>
      </w:r>
      <w:r>
        <w:rPr>
          <w:w w:val="125"/>
          <w:sz w:val="24"/>
        </w:rPr>
        <w:t>fel.</w:t>
      </w:r>
    </w:p>
    <w:p>
      <w:pPr>
        <w:pStyle w:val="ListParagraph"/>
        <w:numPr>
          <w:ilvl w:val="0"/>
          <w:numId w:val="198"/>
        </w:numPr>
        <w:tabs>
          <w:tab w:pos="844" w:val="left" w:leader="none"/>
        </w:tabs>
        <w:spacing w:line="225" w:lineRule="auto" w:before="1" w:after="0"/>
        <w:ind w:left="113" w:right="127" w:firstLine="204"/>
        <w:jc w:val="both"/>
        <w:rPr>
          <w:sz w:val="24"/>
        </w:rPr>
      </w:pPr>
      <w:r>
        <w:rPr>
          <w:w w:val="130"/>
          <w:sz w:val="24"/>
        </w:rPr>
        <w:t>A hitelintézet a rendelkezésre álló eredménytartalékot az általános tartalékba részben vagy egészben</w:t>
      </w:r>
      <w:r>
        <w:rPr>
          <w:spacing w:val="-17"/>
          <w:w w:val="130"/>
          <w:sz w:val="24"/>
        </w:rPr>
        <w:t> </w:t>
      </w:r>
      <w:r>
        <w:rPr>
          <w:w w:val="130"/>
          <w:sz w:val="24"/>
        </w:rPr>
        <w:t>átcsoportosíthatja.</w:t>
      </w:r>
    </w:p>
    <w:p>
      <w:pPr>
        <w:pStyle w:val="ListParagraph"/>
        <w:numPr>
          <w:ilvl w:val="0"/>
          <w:numId w:val="198"/>
        </w:numPr>
        <w:tabs>
          <w:tab w:pos="659" w:val="left" w:leader="none"/>
        </w:tabs>
        <w:spacing w:line="249" w:lineRule="exact" w:before="0" w:after="0"/>
        <w:ind w:left="658" w:right="0" w:hanging="341"/>
        <w:jc w:val="left"/>
        <w:rPr>
          <w:sz w:val="24"/>
        </w:rPr>
      </w:pPr>
      <w:r>
        <w:rPr>
          <w:i/>
          <w:w w:val="130"/>
          <w:position w:val="3"/>
          <w:sz w:val="18"/>
        </w:rPr>
        <w:t>3</w:t>
      </w:r>
      <w:r>
        <w:rPr>
          <w:i/>
          <w:spacing w:val="1"/>
          <w:w w:val="130"/>
          <w:position w:val="3"/>
          <w:sz w:val="18"/>
        </w:rPr>
        <w:t> </w:t>
      </w:r>
      <w:r>
        <w:rPr>
          <w:w w:val="130"/>
          <w:sz w:val="24"/>
        </w:rPr>
        <w:t>Amennyiben</w:t>
      </w:r>
      <w:r>
        <w:rPr>
          <w:spacing w:val="41"/>
          <w:w w:val="130"/>
          <w:sz w:val="24"/>
        </w:rPr>
        <w:t> </w:t>
      </w:r>
      <w:r>
        <w:rPr>
          <w:w w:val="130"/>
          <w:sz w:val="24"/>
        </w:rPr>
        <w:t>a</w:t>
      </w:r>
      <w:r>
        <w:rPr>
          <w:spacing w:val="41"/>
          <w:w w:val="130"/>
          <w:sz w:val="24"/>
        </w:rPr>
        <w:t> </w:t>
      </w:r>
      <w:r>
        <w:rPr>
          <w:w w:val="130"/>
          <w:sz w:val="24"/>
        </w:rPr>
        <w:t>hitelintézet</w:t>
      </w:r>
      <w:r>
        <w:rPr>
          <w:spacing w:val="41"/>
          <w:w w:val="130"/>
          <w:sz w:val="24"/>
        </w:rPr>
        <w:t> </w:t>
      </w:r>
      <w:r>
        <w:rPr>
          <w:w w:val="130"/>
          <w:sz w:val="24"/>
        </w:rPr>
        <w:t>az</w:t>
      </w:r>
      <w:r>
        <w:rPr>
          <w:spacing w:val="41"/>
          <w:w w:val="130"/>
          <w:sz w:val="24"/>
        </w:rPr>
        <w:t> </w:t>
      </w:r>
      <w:r>
        <w:rPr>
          <w:w w:val="130"/>
          <w:sz w:val="24"/>
        </w:rPr>
        <w:t>Szmt.</w:t>
      </w:r>
      <w:r>
        <w:rPr>
          <w:spacing w:val="41"/>
          <w:w w:val="130"/>
          <w:sz w:val="24"/>
        </w:rPr>
        <w:t> </w:t>
      </w:r>
      <w:r>
        <w:rPr>
          <w:w w:val="130"/>
          <w:sz w:val="24"/>
        </w:rPr>
        <w:t>3.</w:t>
      </w:r>
      <w:r>
        <w:rPr>
          <w:spacing w:val="41"/>
          <w:w w:val="130"/>
          <w:sz w:val="24"/>
        </w:rPr>
        <w:t> </w:t>
      </w:r>
      <w:r>
        <w:rPr>
          <w:w w:val="130"/>
          <w:sz w:val="24"/>
        </w:rPr>
        <w:t>§</w:t>
      </w:r>
      <w:r>
        <w:rPr>
          <w:spacing w:val="41"/>
          <w:w w:val="130"/>
          <w:sz w:val="24"/>
        </w:rPr>
        <w:t> </w:t>
      </w:r>
      <w:r>
        <w:rPr>
          <w:w w:val="130"/>
          <w:sz w:val="24"/>
        </w:rPr>
        <w:t>(10)</w:t>
      </w:r>
      <w:r>
        <w:rPr>
          <w:spacing w:val="41"/>
          <w:w w:val="130"/>
          <w:sz w:val="24"/>
        </w:rPr>
        <w:t> </w:t>
      </w:r>
      <w:r>
        <w:rPr>
          <w:w w:val="130"/>
          <w:sz w:val="24"/>
        </w:rPr>
        <w:t>bekezdés</w:t>
      </w:r>
      <w:r>
        <w:rPr>
          <w:spacing w:val="41"/>
          <w:w w:val="130"/>
          <w:sz w:val="24"/>
        </w:rPr>
        <w:t> </w:t>
      </w:r>
      <w:r>
        <w:rPr>
          <w:w w:val="130"/>
          <w:sz w:val="24"/>
        </w:rPr>
        <w:t>2.</w:t>
      </w:r>
      <w:r>
        <w:rPr>
          <w:spacing w:val="41"/>
          <w:w w:val="130"/>
          <w:sz w:val="24"/>
        </w:rPr>
        <w:t> </w:t>
      </w:r>
      <w:r>
        <w:rPr>
          <w:w w:val="130"/>
          <w:sz w:val="24"/>
        </w:rPr>
        <w:t>pontjában</w:t>
      </w:r>
    </w:p>
    <w:p>
      <w:pPr>
        <w:pStyle w:val="BodyText"/>
        <w:spacing w:line="225" w:lineRule="auto" w:before="12"/>
        <w:ind w:right="124" w:firstLine="0"/>
        <w:jc w:val="both"/>
      </w:pPr>
      <w:r>
        <w:rPr>
          <w:w w:val="130"/>
        </w:rPr>
        <w:t>meghatározott</w:t>
      </w:r>
      <w:r>
        <w:rPr>
          <w:spacing w:val="-10"/>
          <w:w w:val="130"/>
        </w:rPr>
        <w:t> </w:t>
      </w:r>
      <w:r>
        <w:rPr>
          <w:w w:val="130"/>
        </w:rPr>
        <w:t>IFRS-ek</w:t>
      </w:r>
      <w:r>
        <w:rPr>
          <w:spacing w:val="-9"/>
          <w:w w:val="130"/>
        </w:rPr>
        <w:t> </w:t>
      </w:r>
      <w:r>
        <w:rPr>
          <w:w w:val="130"/>
        </w:rPr>
        <w:t>szerint</w:t>
      </w:r>
      <w:r>
        <w:rPr>
          <w:spacing w:val="-9"/>
          <w:w w:val="130"/>
        </w:rPr>
        <w:t> </w:t>
      </w:r>
      <w:r>
        <w:rPr>
          <w:w w:val="130"/>
        </w:rPr>
        <w:t>állítja</w:t>
      </w:r>
      <w:r>
        <w:rPr>
          <w:spacing w:val="-4"/>
          <w:w w:val="130"/>
        </w:rPr>
        <w:t> </w:t>
      </w:r>
      <w:r>
        <w:rPr>
          <w:w w:val="130"/>
        </w:rPr>
        <w:t>össze</w:t>
      </w:r>
      <w:r>
        <w:rPr>
          <w:spacing w:val="-15"/>
          <w:w w:val="130"/>
        </w:rPr>
        <w:t> </w:t>
      </w:r>
      <w:r>
        <w:rPr>
          <w:w w:val="130"/>
        </w:rPr>
        <w:t>éves</w:t>
      </w:r>
      <w:r>
        <w:rPr>
          <w:spacing w:val="-9"/>
          <w:w w:val="130"/>
        </w:rPr>
        <w:t> </w:t>
      </w:r>
      <w:r>
        <w:rPr>
          <w:w w:val="130"/>
        </w:rPr>
        <w:t>beszámolóját,</w:t>
      </w:r>
      <w:r>
        <w:rPr>
          <w:spacing w:val="-10"/>
          <w:w w:val="130"/>
        </w:rPr>
        <w:t> </w:t>
      </w:r>
      <w:r>
        <w:rPr>
          <w:w w:val="130"/>
        </w:rPr>
        <w:t>a</w:t>
      </w:r>
      <w:r>
        <w:rPr>
          <w:spacing w:val="-9"/>
          <w:w w:val="130"/>
        </w:rPr>
        <w:t> </w:t>
      </w:r>
      <w:r>
        <w:rPr>
          <w:w w:val="130"/>
        </w:rPr>
        <w:t>(2)</w:t>
      </w:r>
      <w:r>
        <w:rPr>
          <w:spacing w:val="-9"/>
          <w:w w:val="130"/>
        </w:rPr>
        <w:t> </w:t>
      </w:r>
      <w:r>
        <w:rPr>
          <w:w w:val="130"/>
        </w:rPr>
        <w:t>bekezdés szerint meghatározott összeget az eredménytartalékból el kell különítenie és azt az Szmt. szerinti saját tőke megfeleltetési táblában, a 114/B. § (4) bekezdés </w:t>
      </w:r>
      <w:r>
        <w:rPr>
          <w:i/>
          <w:w w:val="130"/>
        </w:rPr>
        <w:t>h) </w:t>
      </w:r>
      <w:r>
        <w:rPr>
          <w:w w:val="130"/>
        </w:rPr>
        <w:t>pontja szerinti lekötött tartalékként kell</w:t>
      </w:r>
      <w:r>
        <w:rPr>
          <w:spacing w:val="-49"/>
          <w:w w:val="130"/>
        </w:rPr>
        <w:t> </w:t>
      </w:r>
      <w:r>
        <w:rPr>
          <w:w w:val="130"/>
        </w:rPr>
        <w:t>kimutatnia.</w:t>
      </w:r>
    </w:p>
    <w:p>
      <w:pPr>
        <w:pStyle w:val="BodyText"/>
        <w:spacing w:before="229"/>
        <w:ind w:left="3009" w:firstLine="0"/>
      </w:pPr>
      <w:r>
        <w:rPr>
          <w:w w:val="125"/>
        </w:rPr>
        <w:t>39. Kockázati céltartalékképzés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3"/>
        </w:rPr>
      </w:pPr>
      <w:r>
        <w:rPr/>
        <w:pict>
          <v:line style="position:absolute;mso-position-horizontal-relative:page;mso-position-vertical-relative:paragraph;z-index:272;mso-wrap-distance-left:0;mso-wrap-distance-right:0" from="56.693001pt,9.989109pt" to="538.583001pt,9.989109pt" stroked="true" strokeweight=".5pt" strokecolor="#000000">
            <v:stroke dashstyle="solid"/>
            <w10:wrap type="topAndBottom"/>
          </v:line>
        </w:pict>
      </w:r>
    </w:p>
    <w:p>
      <w:pPr>
        <w:pStyle w:val="ListParagraph"/>
        <w:numPr>
          <w:ilvl w:val="0"/>
          <w:numId w:val="199"/>
        </w:numPr>
        <w:tabs>
          <w:tab w:pos="686" w:val="left" w:leader="none"/>
          <w:tab w:pos="687" w:val="left" w:leader="none"/>
        </w:tabs>
        <w:spacing w:line="203" w:lineRule="exact" w:before="44" w:after="0"/>
        <w:ind w:left="686" w:right="0" w:hanging="344"/>
        <w:jc w:val="left"/>
        <w:rPr>
          <w:i/>
          <w:sz w:val="18"/>
        </w:rPr>
      </w:pPr>
      <w:r>
        <w:rPr>
          <w:i/>
          <w:w w:val="125"/>
          <w:sz w:val="18"/>
        </w:rPr>
        <w:t>Megállapította: ugyane törvény 306. § (4). Hatályos: 2014. III.</w:t>
      </w:r>
      <w:r>
        <w:rPr>
          <w:i/>
          <w:spacing w:val="-10"/>
          <w:w w:val="125"/>
          <w:sz w:val="18"/>
        </w:rPr>
        <w:t> </w:t>
      </w:r>
      <w:r>
        <w:rPr>
          <w:i/>
          <w:w w:val="125"/>
          <w:sz w:val="18"/>
        </w:rPr>
        <w:t>15-től.</w:t>
      </w:r>
    </w:p>
    <w:p>
      <w:pPr>
        <w:pStyle w:val="ListParagraph"/>
        <w:numPr>
          <w:ilvl w:val="0"/>
          <w:numId w:val="199"/>
        </w:numPr>
        <w:tabs>
          <w:tab w:pos="686" w:val="left" w:leader="none"/>
          <w:tab w:pos="687" w:val="left" w:leader="none"/>
        </w:tabs>
        <w:spacing w:line="200" w:lineRule="exact" w:before="0" w:after="0"/>
        <w:ind w:left="686" w:right="0" w:hanging="344"/>
        <w:jc w:val="left"/>
        <w:rPr>
          <w:i/>
          <w:sz w:val="18"/>
        </w:rPr>
      </w:pPr>
      <w:r>
        <w:rPr>
          <w:i/>
          <w:w w:val="125"/>
          <w:sz w:val="18"/>
        </w:rPr>
        <w:t>Módosította: 2015. évi CI. törvény 55.</w:t>
      </w:r>
      <w:r>
        <w:rPr>
          <w:i/>
          <w:spacing w:val="-3"/>
          <w:w w:val="125"/>
          <w:sz w:val="18"/>
        </w:rPr>
        <w:t> </w:t>
      </w:r>
      <w:r>
        <w:rPr>
          <w:i/>
          <w:w w:val="125"/>
          <w:sz w:val="18"/>
        </w:rPr>
        <w:t>§.</w:t>
      </w:r>
    </w:p>
    <w:p>
      <w:pPr>
        <w:pStyle w:val="ListParagraph"/>
        <w:numPr>
          <w:ilvl w:val="0"/>
          <w:numId w:val="199"/>
        </w:numPr>
        <w:tabs>
          <w:tab w:pos="686" w:val="left" w:leader="none"/>
          <w:tab w:pos="687" w:val="left" w:leader="none"/>
        </w:tabs>
        <w:spacing w:line="203" w:lineRule="exact" w:before="0" w:after="0"/>
        <w:ind w:left="686" w:right="0" w:hanging="344"/>
        <w:jc w:val="left"/>
        <w:rPr>
          <w:i/>
          <w:sz w:val="18"/>
        </w:rPr>
      </w:pPr>
      <w:r>
        <w:rPr>
          <w:i/>
          <w:w w:val="125"/>
          <w:sz w:val="18"/>
        </w:rPr>
        <w:t>Beiktatta: 2015. évi CLXXVIII. törvény 40. §. Hatályos: 2016. I.</w:t>
      </w:r>
      <w:r>
        <w:rPr>
          <w:i/>
          <w:spacing w:val="-16"/>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1"/>
          <w:numId w:val="175"/>
        </w:numPr>
        <w:tabs>
          <w:tab w:pos="846" w:val="left" w:leader="none"/>
        </w:tabs>
        <w:spacing w:line="225" w:lineRule="auto" w:before="172" w:after="0"/>
        <w:ind w:left="113" w:right="122" w:firstLine="204"/>
        <w:jc w:val="both"/>
        <w:rPr>
          <w:sz w:val="24"/>
        </w:rPr>
      </w:pPr>
      <w:r>
        <w:rPr>
          <w:rFonts w:ascii="Arial" w:hAnsi="Arial"/>
          <w:b/>
          <w:w w:val="125"/>
          <w:sz w:val="24"/>
        </w:rPr>
        <w:t>§ </w:t>
      </w:r>
      <w:r>
        <w:rPr>
          <w:w w:val="125"/>
          <w:sz w:val="24"/>
        </w:rPr>
        <w:t>(1) A hitelintézet az eszközökkel összefüggésben felmerülő hitelezési, befektetési és országkockázatokat az eszközök után elszámolt értékvesztéssel  és annak visszaírásával veszi figyelembe az eredményben, a felmerült kamat   és árfolyamkockázat, valamint a mérlegen kívüli  kötelezettségekhez kapcsolódó kockázat és minden egyéb kockázat fedezetére pedig kockázati céltartalékot</w:t>
      </w:r>
      <w:r>
        <w:rPr>
          <w:spacing w:val="4"/>
          <w:w w:val="125"/>
          <w:sz w:val="24"/>
        </w:rPr>
        <w:t> </w:t>
      </w:r>
      <w:r>
        <w:rPr>
          <w:w w:val="125"/>
          <w:sz w:val="24"/>
        </w:rPr>
        <w:t>képez.</w:t>
      </w:r>
    </w:p>
    <w:p>
      <w:pPr>
        <w:pStyle w:val="BodyText"/>
        <w:spacing w:line="225" w:lineRule="auto" w:before="3"/>
        <w:ind w:right="126"/>
        <w:jc w:val="both"/>
      </w:pPr>
      <w:r>
        <w:rPr>
          <w:w w:val="125"/>
        </w:rPr>
        <w:t>(2) A hitelintézet a kockázati céltartalékot ráfordításként  történő elszámolással képzi. A kockázatvállalásból származó veszteségre először a kockázati céltartalékot vagy az e törvény hatálybalépése  előtt  képzett  általános kockázati céltartalékot használja</w:t>
      </w:r>
      <w:r>
        <w:rPr>
          <w:spacing w:val="8"/>
          <w:w w:val="125"/>
        </w:rPr>
        <w:t> </w:t>
      </w:r>
      <w:r>
        <w:rPr>
          <w:w w:val="125"/>
        </w:rPr>
        <w:t>fel.</w:t>
      </w:r>
    </w:p>
    <w:p>
      <w:pPr>
        <w:pStyle w:val="BodyText"/>
        <w:spacing w:before="229"/>
        <w:ind w:left="3448" w:firstLine="0"/>
      </w:pPr>
      <w:r>
        <w:rPr>
          <w:w w:val="125"/>
        </w:rPr>
        <w:t>40. Eszközök minősítése</w:t>
      </w:r>
    </w:p>
    <w:p>
      <w:pPr>
        <w:pStyle w:val="ListParagraph"/>
        <w:numPr>
          <w:ilvl w:val="1"/>
          <w:numId w:val="175"/>
        </w:numPr>
        <w:tabs>
          <w:tab w:pos="971" w:val="left" w:leader="none"/>
        </w:tabs>
        <w:spacing w:line="225" w:lineRule="auto" w:before="236" w:after="0"/>
        <w:ind w:left="113" w:right="126" w:firstLine="204"/>
        <w:jc w:val="both"/>
        <w:rPr>
          <w:sz w:val="24"/>
        </w:rPr>
      </w:pPr>
      <w:r>
        <w:rPr>
          <w:rFonts w:ascii="Arial" w:hAnsi="Arial"/>
          <w:b/>
          <w:w w:val="125"/>
          <w:sz w:val="24"/>
        </w:rPr>
        <w:t>§ </w:t>
      </w:r>
      <w:r>
        <w:rPr>
          <w:w w:val="125"/>
          <w:sz w:val="24"/>
        </w:rPr>
        <w:t>(1) A hitelintézet rendszeresen értékeli és minősíti eszközeit (befektetett pénzügyi eszközeit, követeléseit, értékpapírjait, illetve pénzeszközeit és készleteit) vállalt kötelezettségeit, valamint egyéb kihelyezéseit.</w:t>
      </w:r>
    </w:p>
    <w:p>
      <w:pPr>
        <w:pStyle w:val="BodyText"/>
        <w:spacing w:line="225" w:lineRule="auto" w:before="3"/>
        <w:ind w:right="123"/>
        <w:jc w:val="both"/>
      </w:pPr>
      <w:r>
        <w:rPr>
          <w:w w:val="125"/>
        </w:rPr>
        <w:t>(2) A hitelintézet - a hatályos jogszabályok és a szokásos banküzemi  gyakorlat keretei között - mindent megtesz az esedékes,  illetve  lejárt követelése behajtására.</w:t>
      </w:r>
    </w:p>
    <w:p>
      <w:pPr>
        <w:pStyle w:val="BodyText"/>
        <w:tabs>
          <w:tab w:pos="1267" w:val="left" w:leader="none"/>
          <w:tab w:pos="1768" w:val="left" w:leader="none"/>
          <w:tab w:pos="2194" w:val="left" w:leader="none"/>
          <w:tab w:pos="3543" w:val="left" w:leader="none"/>
          <w:tab w:pos="5489" w:val="left" w:leader="none"/>
          <w:tab w:pos="5885" w:val="left" w:leader="none"/>
          <w:tab w:pos="7133" w:val="left" w:leader="none"/>
          <w:tab w:pos="8130" w:val="left" w:leader="none"/>
          <w:tab w:pos="9477" w:val="left" w:leader="none"/>
        </w:tabs>
        <w:spacing w:line="250" w:lineRule="exact"/>
        <w:ind w:left="317" w:firstLine="0"/>
      </w:pPr>
      <w:r>
        <w:rPr>
          <w:rFonts w:ascii="Arial" w:hAnsi="Arial"/>
          <w:b/>
          <w:w w:val="125"/>
        </w:rPr>
        <w:t>85/A.</w:t>
        <w:tab/>
        <w:t>§</w:t>
      </w:r>
      <w:r>
        <w:rPr>
          <w:i/>
          <w:w w:val="125"/>
          <w:position w:val="3"/>
          <w:sz w:val="18"/>
        </w:rPr>
        <w:t>1</w:t>
        <w:tab/>
      </w:r>
      <w:r>
        <w:rPr>
          <w:w w:val="125"/>
        </w:rPr>
        <w:t>A</w:t>
        <w:tab/>
        <w:t>pénzügyi</w:t>
        <w:tab/>
        <w:t>intézménynek</w:t>
        <w:tab/>
        <w:t>a</w:t>
        <w:tab/>
        <w:t>kölcsön,</w:t>
        <w:tab/>
        <w:t>illetve</w:t>
        <w:tab/>
        <w:t>kezesség</w:t>
        <w:tab/>
        <w:t>és</w:t>
      </w:r>
    </w:p>
    <w:p>
      <w:pPr>
        <w:pStyle w:val="BodyText"/>
        <w:spacing w:line="225" w:lineRule="auto" w:before="12"/>
        <w:ind w:right="123" w:firstLine="0"/>
        <w:jc w:val="both"/>
      </w:pPr>
      <w:r>
        <w:rPr>
          <w:w w:val="130"/>
        </w:rPr>
        <w:t>bankgarancia, valamint egyéb bankári kötelezettség fedezetéül szolgáló termőföld hitelbiztosítéki értékét a termőföld hitelbiztosítéki értéke meghatározásának módszertani elveiről szóló miniszteri rendeletben meghatározott szabályoknak megfelelően kell megállapítania.</w:t>
      </w:r>
    </w:p>
    <w:p>
      <w:pPr>
        <w:pStyle w:val="BodyText"/>
        <w:spacing w:before="229"/>
        <w:ind w:left="3332" w:firstLine="0"/>
      </w:pPr>
      <w:r>
        <w:rPr>
          <w:w w:val="125"/>
        </w:rPr>
        <w:t>41. Tőkefenntartási puffer</w:t>
      </w:r>
    </w:p>
    <w:p>
      <w:pPr>
        <w:pStyle w:val="ListParagraph"/>
        <w:numPr>
          <w:ilvl w:val="1"/>
          <w:numId w:val="175"/>
        </w:numPr>
        <w:tabs>
          <w:tab w:pos="825" w:val="left" w:leader="none"/>
        </w:tabs>
        <w:spacing w:line="225" w:lineRule="auto" w:before="236" w:after="0"/>
        <w:ind w:left="113" w:right="122" w:firstLine="204"/>
        <w:jc w:val="both"/>
        <w:rPr>
          <w:sz w:val="24"/>
        </w:rPr>
      </w:pPr>
      <w:r>
        <w:rPr>
          <w:rFonts w:ascii="Arial" w:hAnsi="Arial"/>
          <w:b/>
          <w:w w:val="125"/>
          <w:sz w:val="24"/>
        </w:rPr>
        <w:t>§ </w:t>
      </w:r>
      <w:r>
        <w:rPr>
          <w:w w:val="125"/>
          <w:sz w:val="24"/>
        </w:rPr>
        <w:t>(1) A hitelintézet az 575/2013/EU rendelet 92. cikkében meghatározott minimum tőkekövetelményen felül tőkefenntartási puffert</w:t>
      </w:r>
      <w:r>
        <w:rPr>
          <w:spacing w:val="22"/>
          <w:w w:val="125"/>
          <w:sz w:val="24"/>
        </w:rPr>
        <w:t> </w:t>
      </w:r>
      <w:r>
        <w:rPr>
          <w:w w:val="125"/>
          <w:sz w:val="24"/>
        </w:rPr>
        <w:t>képez.</w:t>
      </w:r>
    </w:p>
    <w:p>
      <w:pPr>
        <w:pStyle w:val="ListParagraph"/>
        <w:numPr>
          <w:ilvl w:val="0"/>
          <w:numId w:val="200"/>
        </w:numPr>
        <w:tabs>
          <w:tab w:pos="772" w:val="left" w:leader="none"/>
        </w:tabs>
        <w:spacing w:line="225" w:lineRule="auto" w:before="1" w:after="0"/>
        <w:ind w:left="113" w:right="126" w:firstLine="204"/>
        <w:jc w:val="both"/>
        <w:rPr>
          <w:sz w:val="24"/>
        </w:rPr>
      </w:pPr>
      <w:r>
        <w:rPr>
          <w:w w:val="125"/>
          <w:sz w:val="24"/>
        </w:rPr>
        <w:t>A hitelintézet a tőkefenntartási puffert elsődleges alapvető tőkéből - az 575/2013/EU rendelet 1. rész II. címében meghatározottak szerint - egyedi és összevont alapon képzi, amelynek értéke a teljes kockázati kitettségérték 2,5 százaléka.</w:t>
      </w:r>
    </w:p>
    <w:p>
      <w:pPr>
        <w:pStyle w:val="ListParagraph"/>
        <w:numPr>
          <w:ilvl w:val="0"/>
          <w:numId w:val="200"/>
        </w:numPr>
        <w:tabs>
          <w:tab w:pos="768" w:val="left" w:leader="none"/>
        </w:tabs>
        <w:spacing w:line="225" w:lineRule="auto" w:before="3" w:after="0"/>
        <w:ind w:left="113" w:right="127" w:firstLine="204"/>
        <w:jc w:val="both"/>
        <w:rPr>
          <w:sz w:val="24"/>
        </w:rPr>
      </w:pPr>
      <w:r>
        <w:rPr>
          <w:w w:val="125"/>
          <w:sz w:val="24"/>
        </w:rPr>
        <w:t>A tőkefenntartási puffer nem használható fel a felügyeleti felülvizsgálat keretében előírt többlettőke-követelmény</w:t>
      </w:r>
      <w:r>
        <w:rPr>
          <w:spacing w:val="10"/>
          <w:w w:val="125"/>
          <w:sz w:val="24"/>
        </w:rPr>
        <w:t> </w:t>
      </w:r>
      <w:r>
        <w:rPr>
          <w:w w:val="125"/>
          <w:sz w:val="24"/>
        </w:rPr>
        <w:t>teljesítésére.</w:t>
      </w:r>
    </w:p>
    <w:p>
      <w:pPr>
        <w:pStyle w:val="BodyText"/>
        <w:spacing w:before="227"/>
        <w:ind w:left="3314" w:firstLine="0"/>
      </w:pPr>
      <w:r>
        <w:rPr>
          <w:w w:val="125"/>
        </w:rPr>
        <w:t>42. Anticiklikus tőkepuffer</w:t>
      </w:r>
    </w:p>
    <w:p>
      <w:pPr>
        <w:pStyle w:val="ListParagraph"/>
        <w:numPr>
          <w:ilvl w:val="1"/>
          <w:numId w:val="175"/>
        </w:numPr>
        <w:tabs>
          <w:tab w:pos="825" w:val="left" w:leader="none"/>
        </w:tabs>
        <w:spacing w:line="225" w:lineRule="auto" w:before="237" w:after="0"/>
        <w:ind w:left="113" w:right="122" w:firstLine="204"/>
        <w:jc w:val="both"/>
        <w:rPr>
          <w:sz w:val="24"/>
        </w:rPr>
      </w:pPr>
      <w:r>
        <w:rPr>
          <w:rFonts w:ascii="Arial" w:hAnsi="Arial"/>
          <w:b/>
          <w:w w:val="125"/>
          <w:sz w:val="24"/>
        </w:rPr>
        <w:t>§ </w:t>
      </w:r>
      <w:r>
        <w:rPr>
          <w:w w:val="125"/>
          <w:sz w:val="24"/>
        </w:rPr>
        <w:t>(1) A hitelintézet az 575/2013/EU rendelet 92. cikkében meghatározott minimum tőkekövetelményen, a tőkefenntartási pufferen és a felügyeleti felülvizsgálat keretében előírt többlettőke-követelményen felül intézményspecifikus anticiklikus tőkepuffert</w:t>
      </w:r>
      <w:r>
        <w:rPr>
          <w:spacing w:val="1"/>
          <w:w w:val="125"/>
          <w:sz w:val="24"/>
        </w:rPr>
        <w:t> </w:t>
      </w:r>
      <w:r>
        <w:rPr>
          <w:w w:val="125"/>
          <w:sz w:val="24"/>
        </w:rPr>
        <w:t>képez.</w:t>
      </w:r>
    </w:p>
    <w:p>
      <w:pPr>
        <w:pStyle w:val="ListParagraph"/>
        <w:numPr>
          <w:ilvl w:val="0"/>
          <w:numId w:val="201"/>
        </w:numPr>
        <w:tabs>
          <w:tab w:pos="766" w:val="left" w:leader="none"/>
        </w:tabs>
        <w:spacing w:line="225" w:lineRule="auto" w:before="2" w:after="0"/>
        <w:ind w:left="113" w:right="114" w:firstLine="204"/>
        <w:jc w:val="both"/>
        <w:rPr>
          <w:sz w:val="24"/>
        </w:rPr>
      </w:pPr>
      <w:r>
        <w:rPr>
          <w:w w:val="125"/>
          <w:sz w:val="24"/>
        </w:rPr>
        <w:t>A hitelintézet az intézményspecifikus anticiklikus tőkepuffert elsődleges alapvető tőkéből - az 575/2013/EU rendelet 1. rész II.  címében meghatározottak szerint - egyedi és összevont alapon képzi, amelynek összege  a teljes kockázati kitettségérték és az anticiklikus tőkepufferráta a</w:t>
      </w:r>
      <w:r>
        <w:rPr>
          <w:spacing w:val="56"/>
          <w:w w:val="125"/>
          <w:sz w:val="24"/>
        </w:rPr>
        <w:t> </w:t>
      </w:r>
      <w:r>
        <w:rPr>
          <w:w w:val="125"/>
          <w:sz w:val="24"/>
        </w:rPr>
        <w:t>szorzata.</w:t>
      </w:r>
    </w:p>
    <w:p>
      <w:pPr>
        <w:pStyle w:val="ListParagraph"/>
        <w:numPr>
          <w:ilvl w:val="0"/>
          <w:numId w:val="201"/>
        </w:numPr>
        <w:tabs>
          <w:tab w:pos="750" w:val="left" w:leader="none"/>
        </w:tabs>
        <w:spacing w:line="225" w:lineRule="auto" w:before="2" w:after="0"/>
        <w:ind w:left="113" w:right="127" w:firstLine="204"/>
        <w:jc w:val="both"/>
        <w:rPr>
          <w:sz w:val="24"/>
        </w:rPr>
      </w:pPr>
      <w:r>
        <w:rPr>
          <w:w w:val="125"/>
          <w:sz w:val="24"/>
        </w:rPr>
        <w:t>Az anticiklikus tőkepufferráta azon anticiklikus tőkepufferráták súlyozott átlaga, amelyek a hitelintézet jelentős hitelkockázati kitettségeihez kapcsolódó fél földrajzi elhelyezkedése alapján</w:t>
      </w:r>
      <w:r>
        <w:rPr>
          <w:spacing w:val="2"/>
          <w:w w:val="125"/>
          <w:sz w:val="24"/>
        </w:rPr>
        <w:t> </w:t>
      </w:r>
      <w:r>
        <w:rPr>
          <w:w w:val="125"/>
          <w:sz w:val="24"/>
        </w:rPr>
        <w:t>alkalmazandóak.</w:t>
      </w:r>
    </w:p>
    <w:p>
      <w:pPr>
        <w:pStyle w:val="BodyText"/>
        <w:ind w:left="0" w:firstLine="0"/>
        <w:rPr>
          <w:sz w:val="20"/>
        </w:rPr>
      </w:pPr>
    </w:p>
    <w:p>
      <w:pPr>
        <w:pStyle w:val="BodyText"/>
        <w:spacing w:before="3"/>
        <w:ind w:left="0" w:firstLine="0"/>
        <w:rPr>
          <w:sz w:val="18"/>
        </w:rPr>
      </w:pPr>
      <w:r>
        <w:rPr/>
        <w:pict>
          <v:line style="position:absolute;mso-position-horizontal-relative:page;mso-position-vertical-relative:paragraph;z-index:296;mso-wrap-distance-left:0;mso-wrap-distance-right:0" from="56.693001pt,12.73286pt" to="538.583001pt,12.7328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CCXV. törvény 129. §. Hatályos: 2016. III.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0"/>
          <w:numId w:val="201"/>
        </w:numPr>
        <w:tabs>
          <w:tab w:pos="851" w:val="left" w:leader="none"/>
        </w:tabs>
        <w:spacing w:line="225" w:lineRule="auto" w:before="173" w:after="0"/>
        <w:ind w:left="113" w:right="122" w:firstLine="204"/>
        <w:jc w:val="both"/>
        <w:rPr>
          <w:sz w:val="24"/>
        </w:rPr>
      </w:pPr>
      <w:r>
        <w:rPr>
          <w:w w:val="130"/>
          <w:sz w:val="24"/>
        </w:rPr>
        <w:t>A (3) bekezdésben meghatározott súlyozott átlag kiszámításakor a hitelintézet az egyes országokban előírt anticiklikus tőkepufferrátákat súlyozza a hitelintézet adott országban jelentős hitelezési kitettségeire</w:t>
      </w:r>
      <w:r>
        <w:rPr>
          <w:spacing w:val="78"/>
          <w:w w:val="130"/>
          <w:sz w:val="24"/>
        </w:rPr>
        <w:t> </w:t>
      </w:r>
      <w:r>
        <w:rPr>
          <w:w w:val="130"/>
          <w:sz w:val="24"/>
        </w:rPr>
        <w:t>vonatkozó hitelkockázati tőkekövetelmény és a hitelintézet összes jelentős hitelezési kitettségére vonatkozó hitelkockázati tőkekövetelmény arányának megfelelően.</w:t>
      </w:r>
    </w:p>
    <w:p>
      <w:pPr>
        <w:pStyle w:val="ListParagraph"/>
        <w:numPr>
          <w:ilvl w:val="0"/>
          <w:numId w:val="201"/>
        </w:numPr>
        <w:tabs>
          <w:tab w:pos="909" w:val="left" w:leader="none"/>
        </w:tabs>
        <w:spacing w:line="225" w:lineRule="auto" w:before="3" w:after="0"/>
        <w:ind w:left="113" w:right="124" w:firstLine="204"/>
        <w:jc w:val="both"/>
        <w:rPr>
          <w:sz w:val="24"/>
        </w:rPr>
      </w:pPr>
      <w:r>
        <w:rPr>
          <w:w w:val="125"/>
          <w:sz w:val="24"/>
        </w:rPr>
        <w:t>A (4) bekezdésben meghatározott jelentős hitelezési kitettségek magukban foglalják az 575/2013/EU rendelet 112. cikk </w:t>
      </w:r>
      <w:r>
        <w:rPr>
          <w:i/>
          <w:w w:val="125"/>
          <w:sz w:val="24"/>
        </w:rPr>
        <w:t>g)-q) </w:t>
      </w:r>
      <w:r>
        <w:rPr>
          <w:w w:val="125"/>
          <w:sz w:val="24"/>
        </w:rPr>
        <w:t>pontjában meghatározott kitettségi osztályokba sorolható azon kitettségeket,</w:t>
      </w:r>
      <w:r>
        <w:rPr>
          <w:spacing w:val="70"/>
          <w:w w:val="125"/>
          <w:sz w:val="24"/>
        </w:rPr>
        <w:t> </w:t>
      </w:r>
      <w:r>
        <w:rPr>
          <w:w w:val="125"/>
          <w:sz w:val="24"/>
        </w:rPr>
        <w:t>amelyekhez</w:t>
      </w:r>
    </w:p>
    <w:p>
      <w:pPr>
        <w:pStyle w:val="ListParagraph"/>
        <w:numPr>
          <w:ilvl w:val="0"/>
          <w:numId w:val="202"/>
        </w:numPr>
        <w:tabs>
          <w:tab w:pos="631" w:val="left" w:leader="none"/>
        </w:tabs>
        <w:spacing w:line="256" w:lineRule="exact" w:before="0" w:after="0"/>
        <w:ind w:left="630" w:right="0" w:hanging="313"/>
        <w:jc w:val="left"/>
        <w:rPr>
          <w:sz w:val="24"/>
        </w:rPr>
      </w:pPr>
      <w:r>
        <w:rPr>
          <w:w w:val="125"/>
          <w:sz w:val="24"/>
        </w:rPr>
        <w:t>a hitelkockázati</w:t>
      </w:r>
      <w:r>
        <w:rPr>
          <w:spacing w:val="1"/>
          <w:w w:val="125"/>
          <w:sz w:val="24"/>
        </w:rPr>
        <w:t> </w:t>
      </w:r>
      <w:r>
        <w:rPr>
          <w:w w:val="125"/>
          <w:sz w:val="24"/>
        </w:rPr>
        <w:t>tőkekövetelmény,</w:t>
      </w:r>
    </w:p>
    <w:p>
      <w:pPr>
        <w:pStyle w:val="ListParagraph"/>
        <w:numPr>
          <w:ilvl w:val="0"/>
          <w:numId w:val="202"/>
        </w:numPr>
        <w:tabs>
          <w:tab w:pos="724" w:val="left" w:leader="none"/>
        </w:tabs>
        <w:spacing w:line="225" w:lineRule="auto" w:before="6" w:after="0"/>
        <w:ind w:left="113" w:right="126" w:firstLine="204"/>
        <w:jc w:val="both"/>
        <w:rPr>
          <w:sz w:val="24"/>
        </w:rPr>
      </w:pPr>
      <w:r>
        <w:rPr>
          <w:w w:val="125"/>
          <w:sz w:val="24"/>
        </w:rPr>
        <w:t>a kereskedési könyvben nyilvántartott kitettségek esetében az egyedi pozíciókockázatra vagy a járulékos nemteljesítési és átminősítési kockázatra vonatkozó tőkekövetelmény</w:t>
      </w:r>
      <w:r>
        <w:rPr>
          <w:spacing w:val="-2"/>
          <w:w w:val="125"/>
          <w:sz w:val="24"/>
        </w:rPr>
        <w:t> </w:t>
      </w:r>
      <w:r>
        <w:rPr>
          <w:w w:val="125"/>
          <w:sz w:val="24"/>
        </w:rPr>
        <w:t>vagy</w:t>
      </w:r>
    </w:p>
    <w:p>
      <w:pPr>
        <w:pStyle w:val="ListParagraph"/>
        <w:numPr>
          <w:ilvl w:val="0"/>
          <w:numId w:val="202"/>
        </w:numPr>
        <w:tabs>
          <w:tab w:pos="623" w:val="left" w:leader="none"/>
        </w:tabs>
        <w:spacing w:line="256" w:lineRule="exact" w:before="0" w:after="0"/>
        <w:ind w:left="622" w:right="0" w:hanging="305"/>
        <w:jc w:val="left"/>
        <w:rPr>
          <w:sz w:val="24"/>
        </w:rPr>
      </w:pPr>
      <w:r>
        <w:rPr>
          <w:w w:val="125"/>
          <w:sz w:val="24"/>
        </w:rPr>
        <w:t>az értékpapírosítási tőkekövetelmény</w:t>
      </w:r>
      <w:r>
        <w:rPr>
          <w:spacing w:val="41"/>
          <w:w w:val="125"/>
          <w:sz w:val="24"/>
        </w:rPr>
        <w:t> </w:t>
      </w:r>
      <w:r>
        <w:rPr>
          <w:w w:val="125"/>
          <w:sz w:val="24"/>
        </w:rPr>
        <w:t>kapcsolódik.</w:t>
      </w:r>
    </w:p>
    <w:p>
      <w:pPr>
        <w:pStyle w:val="ListParagraph"/>
        <w:numPr>
          <w:ilvl w:val="0"/>
          <w:numId w:val="201"/>
        </w:numPr>
        <w:tabs>
          <w:tab w:pos="775" w:val="left" w:leader="none"/>
        </w:tabs>
        <w:spacing w:line="225" w:lineRule="auto" w:before="5" w:after="0"/>
        <w:ind w:left="113" w:right="124" w:firstLine="204"/>
        <w:jc w:val="both"/>
        <w:rPr>
          <w:sz w:val="24"/>
        </w:rPr>
      </w:pPr>
      <w:r>
        <w:rPr>
          <w:w w:val="125"/>
          <w:sz w:val="24"/>
        </w:rPr>
        <w:t>A hitelintézet számára a makroprudenciális feladatkörében eljáró MNB  az 575/2013/EU rendelet 92. cikk (3) bekezdésében meghatározott teljes kockázati kitettségérték 2,5 százalékáig terjedően határozhatja meg az anticiklikus tőkepufferráta mértékét a Magyarországon székhellyel rendelkező hitelintézet számára az ezen hitelintézetnek a Magyarországon lévő féllel szembeni kitettségei vonatkozásában azzal, hogy a</w:t>
      </w:r>
      <w:r>
        <w:rPr>
          <w:spacing w:val="18"/>
          <w:w w:val="125"/>
          <w:sz w:val="24"/>
        </w:rPr>
        <w:t> </w:t>
      </w:r>
      <w:r>
        <w:rPr>
          <w:w w:val="125"/>
          <w:sz w:val="24"/>
        </w:rPr>
        <w:t>mértéke</w:t>
      </w:r>
    </w:p>
    <w:p>
      <w:pPr>
        <w:pStyle w:val="ListParagraph"/>
        <w:numPr>
          <w:ilvl w:val="0"/>
          <w:numId w:val="203"/>
        </w:numPr>
        <w:tabs>
          <w:tab w:pos="631" w:val="left" w:leader="none"/>
        </w:tabs>
        <w:spacing w:line="258" w:lineRule="exact" w:before="0" w:after="0"/>
        <w:ind w:left="630" w:right="0" w:hanging="313"/>
        <w:jc w:val="left"/>
        <w:rPr>
          <w:sz w:val="24"/>
        </w:rPr>
      </w:pPr>
      <w:r>
        <w:rPr>
          <w:w w:val="125"/>
          <w:sz w:val="24"/>
        </w:rPr>
        <w:t>0 százalék</w:t>
      </w:r>
      <w:r>
        <w:rPr>
          <w:spacing w:val="6"/>
          <w:w w:val="125"/>
          <w:sz w:val="24"/>
        </w:rPr>
        <w:t> </w:t>
      </w:r>
      <w:r>
        <w:rPr>
          <w:w w:val="125"/>
          <w:sz w:val="24"/>
        </w:rPr>
        <w:t>vagy</w:t>
      </w:r>
    </w:p>
    <w:p>
      <w:pPr>
        <w:pStyle w:val="ListParagraph"/>
        <w:numPr>
          <w:ilvl w:val="0"/>
          <w:numId w:val="203"/>
        </w:numPr>
        <w:tabs>
          <w:tab w:pos="653" w:val="left" w:leader="none"/>
        </w:tabs>
        <w:spacing w:line="260" w:lineRule="exact" w:before="0" w:after="0"/>
        <w:ind w:left="652" w:right="0" w:hanging="335"/>
        <w:jc w:val="left"/>
        <w:rPr>
          <w:sz w:val="24"/>
        </w:rPr>
      </w:pPr>
      <w:r>
        <w:rPr>
          <w:w w:val="130"/>
          <w:sz w:val="24"/>
        </w:rPr>
        <w:t>0,25</w:t>
      </w:r>
      <w:r>
        <w:rPr>
          <w:spacing w:val="-26"/>
          <w:w w:val="130"/>
          <w:sz w:val="24"/>
        </w:rPr>
        <w:t> </w:t>
      </w:r>
      <w:r>
        <w:rPr>
          <w:w w:val="130"/>
          <w:sz w:val="24"/>
        </w:rPr>
        <w:t>százalék</w:t>
      </w:r>
      <w:r>
        <w:rPr>
          <w:spacing w:val="-16"/>
          <w:w w:val="130"/>
          <w:sz w:val="24"/>
        </w:rPr>
        <w:t> </w:t>
      </w:r>
      <w:r>
        <w:rPr>
          <w:w w:val="130"/>
          <w:sz w:val="24"/>
        </w:rPr>
        <w:t>valamely</w:t>
      </w:r>
      <w:r>
        <w:rPr>
          <w:spacing w:val="-17"/>
          <w:w w:val="130"/>
          <w:sz w:val="24"/>
        </w:rPr>
        <w:t> </w:t>
      </w:r>
      <w:r>
        <w:rPr>
          <w:w w:val="130"/>
          <w:sz w:val="24"/>
        </w:rPr>
        <w:t>egész</w:t>
      </w:r>
      <w:r>
        <w:rPr>
          <w:spacing w:val="-17"/>
          <w:w w:val="130"/>
          <w:sz w:val="24"/>
        </w:rPr>
        <w:t> </w:t>
      </w:r>
      <w:r>
        <w:rPr>
          <w:w w:val="130"/>
          <w:sz w:val="24"/>
        </w:rPr>
        <w:t>számértékkel</w:t>
      </w:r>
      <w:r>
        <w:rPr>
          <w:spacing w:val="-16"/>
          <w:w w:val="130"/>
          <w:sz w:val="24"/>
        </w:rPr>
        <w:t> </w:t>
      </w:r>
      <w:r>
        <w:rPr>
          <w:w w:val="130"/>
          <w:sz w:val="24"/>
        </w:rPr>
        <w:t>szorzott</w:t>
      </w:r>
      <w:r>
        <w:rPr>
          <w:spacing w:val="-16"/>
          <w:w w:val="130"/>
          <w:sz w:val="24"/>
        </w:rPr>
        <w:t> </w:t>
      </w:r>
      <w:r>
        <w:rPr>
          <w:w w:val="130"/>
          <w:sz w:val="24"/>
        </w:rPr>
        <w:t>többszöröse</w:t>
      </w:r>
      <w:r>
        <w:rPr>
          <w:spacing w:val="-15"/>
          <w:w w:val="130"/>
          <w:sz w:val="24"/>
        </w:rPr>
        <w:t> </w:t>
      </w:r>
      <w:r>
        <w:rPr>
          <w:w w:val="130"/>
          <w:sz w:val="24"/>
        </w:rPr>
        <w:t>lehet.</w:t>
      </w:r>
    </w:p>
    <w:p>
      <w:pPr>
        <w:pStyle w:val="ListParagraph"/>
        <w:numPr>
          <w:ilvl w:val="0"/>
          <w:numId w:val="201"/>
        </w:numPr>
        <w:tabs>
          <w:tab w:pos="764" w:val="left" w:leader="none"/>
        </w:tabs>
        <w:spacing w:line="225" w:lineRule="auto" w:before="5" w:after="0"/>
        <w:ind w:left="113" w:right="125" w:firstLine="204"/>
        <w:jc w:val="both"/>
        <w:rPr>
          <w:sz w:val="24"/>
        </w:rPr>
      </w:pPr>
      <w:r>
        <w:rPr>
          <w:w w:val="130"/>
          <w:sz w:val="24"/>
        </w:rPr>
        <w:t>A (6) bekezdéstől eltérve, a hitelintintézet számára a makroprudenciális feladatkörében eljáró MNB 2,5 százalékot meghaladó anticiklikus tőkepufferrátát is meghatározhat, ha a gazdaságban jelentős a hitel-betét arány vagy a hitel-GDP arány kedvezőtlen folyamatain túlmenően a makrogazdasági környezet jelentős kedvezőtlen tendenciát</w:t>
      </w:r>
      <w:r>
        <w:rPr>
          <w:spacing w:val="-45"/>
          <w:w w:val="130"/>
          <w:sz w:val="24"/>
        </w:rPr>
        <w:t> </w:t>
      </w:r>
      <w:r>
        <w:rPr>
          <w:w w:val="130"/>
          <w:sz w:val="24"/>
        </w:rPr>
        <w:t>mutat.</w:t>
      </w:r>
    </w:p>
    <w:p>
      <w:pPr>
        <w:pStyle w:val="ListParagraph"/>
        <w:numPr>
          <w:ilvl w:val="1"/>
          <w:numId w:val="175"/>
        </w:numPr>
        <w:tabs>
          <w:tab w:pos="887" w:val="left" w:leader="none"/>
        </w:tabs>
        <w:spacing w:line="225" w:lineRule="auto" w:before="2" w:after="0"/>
        <w:ind w:left="113" w:right="120" w:firstLine="204"/>
        <w:jc w:val="both"/>
        <w:rPr>
          <w:sz w:val="24"/>
        </w:rPr>
      </w:pPr>
      <w:r>
        <w:rPr>
          <w:rFonts w:ascii="Arial" w:hAnsi="Arial"/>
          <w:b/>
          <w:w w:val="125"/>
          <w:sz w:val="24"/>
        </w:rPr>
        <w:t>§ </w:t>
      </w:r>
      <w:r>
        <w:rPr>
          <w:w w:val="125"/>
          <w:sz w:val="24"/>
        </w:rPr>
        <w:t>(1) Ha a hitelintézet EGT-államban végzett tevékenységének helye szerinti EGT-állam erre kijelölt hatósága az anticiklikus  tőkepufferráta mértékét legfeljebb 2,5 százalék mértékben határozza meg,  akkor  a  hitelintézet az intézményspecifikus anticiklikus tőkepuffer  meghatározása során az adott EGT-államban lévő féllel szembeni kitettsége tekintetében az adott EGT-állam erre kijelölt hatósága által megállapított anticiklikus tőkepufferrátát alkalmazza.</w:t>
      </w:r>
    </w:p>
    <w:p>
      <w:pPr>
        <w:pStyle w:val="ListParagraph"/>
        <w:numPr>
          <w:ilvl w:val="0"/>
          <w:numId w:val="204"/>
        </w:numPr>
        <w:tabs>
          <w:tab w:pos="804" w:val="left" w:leader="none"/>
        </w:tabs>
        <w:spacing w:line="225" w:lineRule="auto" w:before="4" w:after="0"/>
        <w:ind w:left="113" w:right="115" w:firstLine="204"/>
        <w:jc w:val="both"/>
        <w:rPr>
          <w:sz w:val="24"/>
        </w:rPr>
      </w:pPr>
      <w:r>
        <w:rPr>
          <w:w w:val="125"/>
          <w:sz w:val="24"/>
        </w:rPr>
        <w:t>Ha a hitelintézet harmadik országban végzett tevékenységének helye szerinti állam erre kijelölt hatósága anticiklikus tőkepufferrátát vagy annak megfelelő tőkekövetelményt ír elő legfeljebb 2,5 százalék mértékben, akkor a makroprudenciális feladatkörében eljáró MNB kötelezheti a  hitelintézetet,  hogy az intézményspecifikus anticiklikus tőkepuffer meghatározása során az adott harmadik országban lévő féllel szembeni kitettsége tekintetében az adott harmadik állam erre kijelölt hatósága által megállapított anticiklikus tőkepufferrátát alkalmazza.</w:t>
      </w:r>
    </w:p>
    <w:p>
      <w:pPr>
        <w:spacing w:after="0" w:line="225" w:lineRule="auto"/>
        <w:jc w:val="both"/>
        <w:rPr>
          <w:sz w:val="24"/>
        </w:rPr>
        <w:sectPr>
          <w:pgSz w:w="11900" w:h="16820"/>
          <w:pgMar w:header="1104" w:footer="0" w:top="1840" w:bottom="280" w:left="1020" w:right="1000"/>
        </w:sectPr>
      </w:pPr>
    </w:p>
    <w:p>
      <w:pPr>
        <w:pStyle w:val="ListParagraph"/>
        <w:numPr>
          <w:ilvl w:val="0"/>
          <w:numId w:val="204"/>
        </w:numPr>
        <w:tabs>
          <w:tab w:pos="804" w:val="left" w:leader="none"/>
        </w:tabs>
        <w:spacing w:line="225" w:lineRule="auto" w:before="173" w:after="0"/>
        <w:ind w:left="113" w:right="107" w:firstLine="204"/>
        <w:jc w:val="both"/>
        <w:rPr>
          <w:sz w:val="24"/>
        </w:rPr>
      </w:pPr>
      <w:r>
        <w:rPr>
          <w:w w:val="125"/>
          <w:sz w:val="24"/>
        </w:rPr>
        <w:t>Ha a hitelintézet harmadik országban végzett tevékenységének helye szerinti állam erre kijelölt hatósága az anticiklikus tőkepufferráta mértékét legfeljebb 2,5 százalék mértékben határozza meg, de a makroprudenciális feladatkörében eljáró MNB ezt a mértéket nem  tartja  elegendőnek  ahhoz, hogy megóvja a hitelintézetet az érintett harmadik országbeli hitelállománya növekedésének a kockázatától, akkor a makroprudenciális feladatkörében  eljáró MNB magasabb anticiklikus tőkepufferráta mértéket is meghatározhat.   A makroprudenciális feladatkörében eljáró MNB kötelezheti a hitelintézetet, hogy az általa meghatározott, magasabb anticiklikus tőkepufferráta mértéket alkalmazza a harmadik országban lévő féllel szembeni kitettsége tekintetében  az intézményspecifikus anticiklikus tőkepuffer meghatározása</w:t>
      </w:r>
      <w:r>
        <w:rPr>
          <w:spacing w:val="19"/>
          <w:w w:val="125"/>
          <w:sz w:val="24"/>
        </w:rPr>
        <w:t> </w:t>
      </w:r>
      <w:r>
        <w:rPr>
          <w:w w:val="125"/>
          <w:sz w:val="24"/>
        </w:rPr>
        <w:t>során.</w:t>
      </w:r>
    </w:p>
    <w:p>
      <w:pPr>
        <w:pStyle w:val="ListParagraph"/>
        <w:numPr>
          <w:ilvl w:val="0"/>
          <w:numId w:val="204"/>
        </w:numPr>
        <w:tabs>
          <w:tab w:pos="777" w:val="left" w:leader="none"/>
        </w:tabs>
        <w:spacing w:line="225" w:lineRule="auto" w:before="6" w:after="0"/>
        <w:ind w:left="113" w:right="116" w:firstLine="204"/>
        <w:jc w:val="both"/>
        <w:rPr>
          <w:sz w:val="24"/>
        </w:rPr>
      </w:pPr>
      <w:r>
        <w:rPr>
          <w:w w:val="130"/>
          <w:sz w:val="24"/>
        </w:rPr>
        <w:t>Ha a hitelintézet EGT-államban végzett tevékenységének helye szerinti EGT-állam vagy egy érintett harmadik ország erre kijelölt hatósága az anticiklikus tőkepufferráta mértékét 2,5 százalék feletti mértékben határozza meg, akkor a makroprudenciális feladatkörében eljáró MNB a hitelintézetet kötelezheti</w:t>
      </w:r>
    </w:p>
    <w:p>
      <w:pPr>
        <w:pStyle w:val="ListParagraph"/>
        <w:numPr>
          <w:ilvl w:val="0"/>
          <w:numId w:val="205"/>
        </w:numPr>
        <w:tabs>
          <w:tab w:pos="683" w:val="left" w:leader="none"/>
        </w:tabs>
        <w:spacing w:line="225" w:lineRule="auto" w:before="3" w:after="0"/>
        <w:ind w:left="113" w:right="126" w:firstLine="204"/>
        <w:jc w:val="both"/>
        <w:rPr>
          <w:sz w:val="24"/>
        </w:rPr>
      </w:pPr>
      <w:r>
        <w:rPr>
          <w:w w:val="130"/>
          <w:sz w:val="24"/>
        </w:rPr>
        <w:t>a hitelezési tevékenység végzésének helye szerinti EGT-állam vagy egy érintett</w:t>
      </w:r>
      <w:r>
        <w:rPr>
          <w:spacing w:val="-9"/>
          <w:w w:val="130"/>
          <w:sz w:val="24"/>
        </w:rPr>
        <w:t> </w:t>
      </w:r>
      <w:r>
        <w:rPr>
          <w:w w:val="130"/>
          <w:sz w:val="24"/>
        </w:rPr>
        <w:t>harmadik</w:t>
      </w:r>
      <w:r>
        <w:rPr>
          <w:spacing w:val="-8"/>
          <w:w w:val="130"/>
          <w:sz w:val="24"/>
        </w:rPr>
        <w:t> </w:t>
      </w:r>
      <w:r>
        <w:rPr>
          <w:w w:val="130"/>
          <w:sz w:val="24"/>
        </w:rPr>
        <w:t>ország</w:t>
      </w:r>
      <w:r>
        <w:rPr>
          <w:spacing w:val="-8"/>
          <w:w w:val="130"/>
          <w:sz w:val="24"/>
        </w:rPr>
        <w:t> </w:t>
      </w:r>
      <w:r>
        <w:rPr>
          <w:w w:val="130"/>
          <w:sz w:val="24"/>
        </w:rPr>
        <w:t>erre</w:t>
      </w:r>
      <w:r>
        <w:rPr>
          <w:spacing w:val="-9"/>
          <w:w w:val="130"/>
          <w:sz w:val="24"/>
        </w:rPr>
        <w:t> </w:t>
      </w:r>
      <w:r>
        <w:rPr>
          <w:w w:val="130"/>
          <w:sz w:val="24"/>
        </w:rPr>
        <w:t>kijelölt</w:t>
      </w:r>
      <w:r>
        <w:rPr>
          <w:spacing w:val="-2"/>
          <w:w w:val="130"/>
          <w:sz w:val="24"/>
        </w:rPr>
        <w:t> </w:t>
      </w:r>
      <w:r>
        <w:rPr>
          <w:w w:val="130"/>
          <w:sz w:val="24"/>
        </w:rPr>
        <w:t>hatósága</w:t>
      </w:r>
      <w:r>
        <w:rPr>
          <w:spacing w:val="-16"/>
          <w:w w:val="130"/>
          <w:sz w:val="24"/>
        </w:rPr>
        <w:t> </w:t>
      </w:r>
      <w:r>
        <w:rPr>
          <w:w w:val="130"/>
          <w:sz w:val="24"/>
        </w:rPr>
        <w:t>által</w:t>
      </w:r>
      <w:r>
        <w:rPr>
          <w:spacing w:val="-9"/>
          <w:w w:val="130"/>
          <w:sz w:val="24"/>
        </w:rPr>
        <w:t> </w:t>
      </w:r>
      <w:r>
        <w:rPr>
          <w:w w:val="130"/>
          <w:sz w:val="24"/>
        </w:rPr>
        <w:t>megállapított,</w:t>
      </w:r>
      <w:r>
        <w:rPr>
          <w:spacing w:val="-8"/>
          <w:w w:val="130"/>
          <w:sz w:val="24"/>
        </w:rPr>
        <w:t> </w:t>
      </w:r>
      <w:r>
        <w:rPr>
          <w:w w:val="130"/>
          <w:sz w:val="24"/>
        </w:rPr>
        <w:t>vagy</w:t>
      </w:r>
    </w:p>
    <w:p>
      <w:pPr>
        <w:pStyle w:val="ListParagraph"/>
        <w:numPr>
          <w:ilvl w:val="0"/>
          <w:numId w:val="205"/>
        </w:numPr>
        <w:tabs>
          <w:tab w:pos="653" w:val="left" w:leader="none"/>
        </w:tabs>
        <w:spacing w:line="256" w:lineRule="exact" w:before="0" w:after="0"/>
        <w:ind w:left="652" w:right="0" w:hanging="335"/>
        <w:jc w:val="left"/>
        <w:rPr>
          <w:sz w:val="24"/>
        </w:rPr>
      </w:pPr>
      <w:r>
        <w:rPr>
          <w:w w:val="125"/>
          <w:sz w:val="24"/>
        </w:rPr>
        <w:t>2,5</w:t>
      </w:r>
      <w:r>
        <w:rPr>
          <w:spacing w:val="-11"/>
          <w:w w:val="125"/>
          <w:sz w:val="24"/>
        </w:rPr>
        <w:t> </w:t>
      </w:r>
      <w:r>
        <w:rPr>
          <w:w w:val="125"/>
          <w:sz w:val="24"/>
        </w:rPr>
        <w:t>százalékos</w:t>
      </w:r>
    </w:p>
    <w:p>
      <w:pPr>
        <w:pStyle w:val="BodyText"/>
        <w:spacing w:line="225" w:lineRule="auto" w:before="5"/>
        <w:ind w:right="131" w:firstLine="0"/>
        <w:jc w:val="both"/>
      </w:pPr>
      <w:r>
        <w:rPr>
          <w:w w:val="125"/>
        </w:rPr>
        <w:t>mértékű anticiklikus tőkepufferáta alkalmazására az adott EGT-államban vagy harmadik országban lévő féllel szembeni kitettség tekintetében az intézményspecifikus anticiklikus tőkepuffer meghatározása során.</w:t>
      </w:r>
    </w:p>
    <w:p>
      <w:pPr>
        <w:pStyle w:val="ListParagraph"/>
        <w:numPr>
          <w:ilvl w:val="0"/>
          <w:numId w:val="204"/>
        </w:numPr>
        <w:tabs>
          <w:tab w:pos="804" w:val="left" w:leader="none"/>
        </w:tabs>
        <w:spacing w:line="225" w:lineRule="auto" w:before="2" w:after="0"/>
        <w:ind w:left="113" w:right="115" w:firstLine="204"/>
        <w:jc w:val="both"/>
        <w:rPr>
          <w:sz w:val="24"/>
        </w:rPr>
      </w:pPr>
      <w:r>
        <w:rPr>
          <w:w w:val="130"/>
          <w:sz w:val="24"/>
        </w:rPr>
        <w:t>Ha a hitelintézet harmadik országban végzett tevékenységének helye szerinti állam erre kijelölt hatósága nem határoz meg anticiklikus tőkepuferrátát, akkor ezen harmadik országban lévő féllel szembeni kitettségek tekintetében a makroprudenciális feladatkörében eljáró MNB anticiklikus tőkepufferrátát határozhat</w:t>
      </w:r>
      <w:r>
        <w:rPr>
          <w:spacing w:val="-12"/>
          <w:w w:val="130"/>
          <w:sz w:val="24"/>
        </w:rPr>
        <w:t> </w:t>
      </w:r>
      <w:r>
        <w:rPr>
          <w:w w:val="130"/>
          <w:sz w:val="24"/>
        </w:rPr>
        <w:t>meg.</w:t>
      </w:r>
    </w:p>
    <w:p>
      <w:pPr>
        <w:pStyle w:val="BodyText"/>
        <w:spacing w:line="225" w:lineRule="auto" w:before="243"/>
        <w:ind w:left="4297" w:hanging="3986"/>
      </w:pPr>
      <w:r>
        <w:rPr>
          <w:w w:val="130"/>
        </w:rPr>
        <w:t>43.</w:t>
      </w:r>
      <w:r>
        <w:rPr>
          <w:spacing w:val="-32"/>
          <w:w w:val="130"/>
        </w:rPr>
        <w:t> </w:t>
      </w:r>
      <w:r>
        <w:rPr>
          <w:w w:val="130"/>
        </w:rPr>
        <w:t>Globálisan</w:t>
      </w:r>
      <w:r>
        <w:rPr>
          <w:spacing w:val="-32"/>
          <w:w w:val="130"/>
        </w:rPr>
        <w:t> </w:t>
      </w:r>
      <w:r>
        <w:rPr>
          <w:w w:val="130"/>
        </w:rPr>
        <w:t>és</w:t>
      </w:r>
      <w:r>
        <w:rPr>
          <w:spacing w:val="-31"/>
          <w:w w:val="130"/>
        </w:rPr>
        <w:t> </w:t>
      </w:r>
      <w:r>
        <w:rPr>
          <w:w w:val="130"/>
        </w:rPr>
        <w:t>egyéb</w:t>
      </w:r>
      <w:r>
        <w:rPr>
          <w:spacing w:val="-32"/>
          <w:w w:val="130"/>
        </w:rPr>
        <w:t> </w:t>
      </w:r>
      <w:r>
        <w:rPr>
          <w:w w:val="130"/>
        </w:rPr>
        <w:t>rendszerszinten</w:t>
      </w:r>
      <w:r>
        <w:rPr>
          <w:spacing w:val="-30"/>
          <w:w w:val="130"/>
        </w:rPr>
        <w:t> </w:t>
      </w:r>
      <w:r>
        <w:rPr>
          <w:w w:val="130"/>
        </w:rPr>
        <w:t>jelentős</w:t>
      </w:r>
      <w:r>
        <w:rPr>
          <w:spacing w:val="-28"/>
          <w:w w:val="130"/>
        </w:rPr>
        <w:t> </w:t>
      </w:r>
      <w:r>
        <w:rPr>
          <w:w w:val="130"/>
        </w:rPr>
        <w:t>hitelintézetekre</w:t>
      </w:r>
      <w:r>
        <w:rPr>
          <w:spacing w:val="-35"/>
          <w:w w:val="130"/>
        </w:rPr>
        <w:t> </w:t>
      </w:r>
      <w:r>
        <w:rPr>
          <w:w w:val="130"/>
        </w:rPr>
        <w:t>vonatkozó tőkepuffer</w:t>
      </w:r>
    </w:p>
    <w:p>
      <w:pPr>
        <w:pStyle w:val="ListParagraph"/>
        <w:numPr>
          <w:ilvl w:val="0"/>
          <w:numId w:val="206"/>
        </w:numPr>
        <w:tabs>
          <w:tab w:pos="843" w:val="left" w:leader="none"/>
        </w:tabs>
        <w:spacing w:line="269" w:lineRule="exact" w:before="227" w:after="0"/>
        <w:ind w:left="842" w:right="0" w:hanging="525"/>
        <w:jc w:val="left"/>
        <w:rPr>
          <w:sz w:val="24"/>
        </w:rPr>
      </w:pPr>
      <w:r>
        <w:rPr>
          <w:rFonts w:ascii="Arial" w:hAnsi="Arial"/>
          <w:b/>
          <w:w w:val="120"/>
          <w:sz w:val="24"/>
        </w:rPr>
        <w:t>§</w:t>
      </w:r>
      <w:r>
        <w:rPr>
          <w:rFonts w:ascii="Arial" w:hAnsi="Arial"/>
          <w:b/>
          <w:spacing w:val="42"/>
          <w:w w:val="120"/>
          <w:sz w:val="24"/>
        </w:rPr>
        <w:t> </w:t>
      </w:r>
      <w:r>
        <w:rPr>
          <w:w w:val="120"/>
          <w:sz w:val="24"/>
        </w:rPr>
        <w:t>(1)</w:t>
      </w:r>
      <w:r>
        <w:rPr>
          <w:spacing w:val="42"/>
          <w:w w:val="120"/>
          <w:sz w:val="24"/>
        </w:rPr>
        <w:t> </w:t>
      </w:r>
      <w:r>
        <w:rPr>
          <w:w w:val="120"/>
          <w:sz w:val="24"/>
        </w:rPr>
        <w:t>A</w:t>
      </w:r>
      <w:r>
        <w:rPr>
          <w:spacing w:val="41"/>
          <w:w w:val="120"/>
          <w:sz w:val="24"/>
        </w:rPr>
        <w:t> </w:t>
      </w:r>
      <w:r>
        <w:rPr>
          <w:w w:val="120"/>
          <w:sz w:val="24"/>
        </w:rPr>
        <w:t>makroprudenciális</w:t>
      </w:r>
      <w:r>
        <w:rPr>
          <w:spacing w:val="41"/>
          <w:w w:val="120"/>
          <w:sz w:val="24"/>
        </w:rPr>
        <w:t> </w:t>
      </w:r>
      <w:r>
        <w:rPr>
          <w:w w:val="120"/>
          <w:sz w:val="24"/>
        </w:rPr>
        <w:t>feladatkörében</w:t>
      </w:r>
      <w:r>
        <w:rPr>
          <w:spacing w:val="42"/>
          <w:w w:val="120"/>
          <w:sz w:val="24"/>
        </w:rPr>
        <w:t> </w:t>
      </w:r>
      <w:r>
        <w:rPr>
          <w:w w:val="120"/>
          <w:sz w:val="24"/>
        </w:rPr>
        <w:t>eljáró</w:t>
      </w:r>
      <w:r>
        <w:rPr>
          <w:spacing w:val="41"/>
          <w:w w:val="120"/>
          <w:sz w:val="24"/>
        </w:rPr>
        <w:t> </w:t>
      </w:r>
      <w:r>
        <w:rPr>
          <w:w w:val="120"/>
          <w:sz w:val="24"/>
        </w:rPr>
        <w:t>MNB</w:t>
      </w:r>
      <w:r>
        <w:rPr>
          <w:spacing w:val="41"/>
          <w:w w:val="120"/>
          <w:sz w:val="24"/>
        </w:rPr>
        <w:t> </w:t>
      </w:r>
      <w:r>
        <w:rPr>
          <w:w w:val="120"/>
          <w:sz w:val="24"/>
        </w:rPr>
        <w:t>az</w:t>
      </w:r>
      <w:r>
        <w:rPr>
          <w:spacing w:val="42"/>
          <w:w w:val="120"/>
          <w:sz w:val="24"/>
        </w:rPr>
        <w:t> </w:t>
      </w:r>
      <w:r>
        <w:rPr>
          <w:w w:val="120"/>
          <w:sz w:val="24"/>
        </w:rPr>
        <w:t>MNB</w:t>
      </w:r>
      <w:r>
        <w:rPr>
          <w:spacing w:val="52"/>
          <w:w w:val="120"/>
          <w:sz w:val="24"/>
        </w:rPr>
        <w:t> </w:t>
      </w:r>
      <w:r>
        <w:rPr>
          <w:w w:val="120"/>
          <w:sz w:val="24"/>
        </w:rPr>
        <w:t>tv.</w:t>
      </w:r>
      <w:r>
        <w:rPr>
          <w:spacing w:val="30"/>
          <w:w w:val="120"/>
          <w:sz w:val="24"/>
        </w:rPr>
        <w:t> </w:t>
      </w:r>
      <w:r>
        <w:rPr>
          <w:w w:val="120"/>
          <w:sz w:val="24"/>
        </w:rPr>
        <w:t>35.</w:t>
      </w:r>
      <w:r>
        <w:rPr>
          <w:spacing w:val="42"/>
          <w:w w:val="120"/>
          <w:sz w:val="24"/>
        </w:rPr>
        <w:t> </w:t>
      </w:r>
      <w:r>
        <w:rPr>
          <w:w w:val="120"/>
          <w:sz w:val="24"/>
        </w:rPr>
        <w:t>§</w:t>
      </w:r>
    </w:p>
    <w:p>
      <w:pPr>
        <w:pStyle w:val="ListParagraph"/>
        <w:numPr>
          <w:ilvl w:val="0"/>
          <w:numId w:val="207"/>
        </w:numPr>
        <w:tabs>
          <w:tab w:pos="824" w:val="left" w:leader="none"/>
        </w:tabs>
        <w:spacing w:line="225" w:lineRule="auto" w:before="5" w:after="0"/>
        <w:ind w:left="113" w:right="125" w:firstLine="0"/>
        <w:jc w:val="both"/>
        <w:rPr>
          <w:sz w:val="24"/>
        </w:rPr>
      </w:pPr>
      <w:r>
        <w:rPr>
          <w:w w:val="130"/>
          <w:sz w:val="24"/>
        </w:rPr>
        <w:t>bekezdése szerint meghatározza a</w:t>
      </w:r>
      <w:r>
        <w:rPr>
          <w:spacing w:val="78"/>
          <w:w w:val="130"/>
          <w:sz w:val="24"/>
        </w:rPr>
        <w:t> </w:t>
      </w:r>
      <w:r>
        <w:rPr>
          <w:w w:val="130"/>
          <w:sz w:val="24"/>
        </w:rPr>
        <w:t>magyarországi, globálisan rendszerszinten jelentős hitelintézetek</w:t>
      </w:r>
      <w:r>
        <w:rPr>
          <w:spacing w:val="-10"/>
          <w:w w:val="130"/>
          <w:sz w:val="24"/>
        </w:rPr>
        <w:t> </w:t>
      </w:r>
      <w:r>
        <w:rPr>
          <w:w w:val="130"/>
          <w:sz w:val="24"/>
        </w:rPr>
        <w:t>körét.</w:t>
      </w:r>
    </w:p>
    <w:p>
      <w:pPr>
        <w:pStyle w:val="ListParagraph"/>
        <w:numPr>
          <w:ilvl w:val="0"/>
          <w:numId w:val="207"/>
        </w:numPr>
        <w:tabs>
          <w:tab w:pos="744" w:val="left" w:leader="none"/>
        </w:tabs>
        <w:spacing w:line="225" w:lineRule="auto" w:before="1" w:after="0"/>
        <w:ind w:left="113" w:right="122" w:firstLine="204"/>
        <w:jc w:val="both"/>
        <w:rPr>
          <w:sz w:val="24"/>
        </w:rPr>
      </w:pPr>
      <w:r>
        <w:rPr>
          <w:w w:val="125"/>
          <w:sz w:val="24"/>
        </w:rPr>
        <w:t>A globálisan rendszerszinten jelentős hitelintézetek meghatározása során  a makroprudenciális feladatkörében eljáró MNB a következő szempontokat azonos arányban veszi figyelembe és számszerűen fejezi</w:t>
      </w:r>
      <w:r>
        <w:rPr>
          <w:spacing w:val="4"/>
          <w:w w:val="125"/>
          <w:sz w:val="24"/>
        </w:rPr>
        <w:t> </w:t>
      </w:r>
      <w:r>
        <w:rPr>
          <w:w w:val="125"/>
          <w:sz w:val="24"/>
        </w:rPr>
        <w:t>ki:</w:t>
      </w:r>
    </w:p>
    <w:p>
      <w:pPr>
        <w:pStyle w:val="ListParagraph"/>
        <w:numPr>
          <w:ilvl w:val="0"/>
          <w:numId w:val="208"/>
        </w:numPr>
        <w:tabs>
          <w:tab w:pos="631" w:val="left" w:leader="none"/>
        </w:tabs>
        <w:spacing w:line="256" w:lineRule="exact" w:before="0" w:after="0"/>
        <w:ind w:left="630" w:right="0" w:hanging="313"/>
        <w:jc w:val="left"/>
        <w:rPr>
          <w:sz w:val="24"/>
        </w:rPr>
      </w:pPr>
      <w:r>
        <w:rPr>
          <w:w w:val="130"/>
          <w:sz w:val="24"/>
        </w:rPr>
        <w:t>a csoport</w:t>
      </w:r>
      <w:r>
        <w:rPr>
          <w:spacing w:val="-6"/>
          <w:w w:val="130"/>
          <w:sz w:val="24"/>
        </w:rPr>
        <w:t> </w:t>
      </w:r>
      <w:r>
        <w:rPr>
          <w:w w:val="130"/>
          <w:sz w:val="24"/>
        </w:rPr>
        <w:t>mérete,</w:t>
      </w:r>
    </w:p>
    <w:p>
      <w:pPr>
        <w:pStyle w:val="ListParagraph"/>
        <w:numPr>
          <w:ilvl w:val="0"/>
          <w:numId w:val="208"/>
        </w:numPr>
        <w:tabs>
          <w:tab w:pos="653" w:val="left" w:leader="none"/>
        </w:tabs>
        <w:spacing w:line="260" w:lineRule="exact" w:before="0" w:after="0"/>
        <w:ind w:left="652" w:right="0" w:hanging="335"/>
        <w:jc w:val="left"/>
        <w:rPr>
          <w:sz w:val="24"/>
        </w:rPr>
      </w:pPr>
      <w:r>
        <w:rPr>
          <w:w w:val="130"/>
          <w:sz w:val="24"/>
        </w:rPr>
        <w:t>a csoport pénzügyi közvetítőrendszerrel</w:t>
      </w:r>
      <w:r>
        <w:rPr>
          <w:spacing w:val="-56"/>
          <w:w w:val="130"/>
          <w:sz w:val="24"/>
        </w:rPr>
        <w:t> </w:t>
      </w:r>
      <w:r>
        <w:rPr>
          <w:w w:val="130"/>
          <w:sz w:val="24"/>
        </w:rPr>
        <w:t>való összekapcsolódása,</w:t>
      </w:r>
    </w:p>
    <w:p>
      <w:pPr>
        <w:pStyle w:val="ListParagraph"/>
        <w:numPr>
          <w:ilvl w:val="0"/>
          <w:numId w:val="208"/>
        </w:numPr>
        <w:tabs>
          <w:tab w:pos="740" w:val="left" w:leader="none"/>
        </w:tabs>
        <w:spacing w:line="225" w:lineRule="auto" w:before="6" w:after="0"/>
        <w:ind w:left="113" w:right="127" w:firstLine="204"/>
        <w:jc w:val="both"/>
        <w:rPr>
          <w:sz w:val="24"/>
        </w:rPr>
      </w:pPr>
      <w:r>
        <w:rPr>
          <w:w w:val="130"/>
          <w:sz w:val="24"/>
        </w:rPr>
        <w:t>a csoport által nyújtott szolgáltatások vagy pénzügyi infrastruktúra helyettesíthetősége,</w:t>
      </w:r>
    </w:p>
    <w:p>
      <w:pPr>
        <w:pStyle w:val="ListParagraph"/>
        <w:numPr>
          <w:ilvl w:val="0"/>
          <w:numId w:val="208"/>
        </w:numPr>
        <w:tabs>
          <w:tab w:pos="653" w:val="left" w:leader="none"/>
        </w:tabs>
        <w:spacing w:line="256" w:lineRule="exact" w:before="0" w:after="0"/>
        <w:ind w:left="652" w:right="0" w:hanging="335"/>
        <w:jc w:val="left"/>
        <w:rPr>
          <w:sz w:val="24"/>
        </w:rPr>
      </w:pPr>
      <w:r>
        <w:rPr>
          <w:w w:val="130"/>
          <w:sz w:val="24"/>
        </w:rPr>
        <w:t>a csoport</w:t>
      </w:r>
      <w:r>
        <w:rPr>
          <w:spacing w:val="-16"/>
          <w:w w:val="130"/>
          <w:sz w:val="24"/>
        </w:rPr>
        <w:t> </w:t>
      </w:r>
      <w:r>
        <w:rPr>
          <w:w w:val="130"/>
          <w:sz w:val="24"/>
        </w:rPr>
        <w:t>összetettsége,</w:t>
      </w:r>
    </w:p>
    <w:p>
      <w:pPr>
        <w:pStyle w:val="ListParagraph"/>
        <w:numPr>
          <w:ilvl w:val="0"/>
          <w:numId w:val="208"/>
        </w:numPr>
        <w:tabs>
          <w:tab w:pos="698" w:val="left" w:leader="none"/>
        </w:tabs>
        <w:spacing w:line="225" w:lineRule="auto" w:before="5" w:after="0"/>
        <w:ind w:left="113" w:right="135" w:firstLine="204"/>
        <w:jc w:val="both"/>
        <w:rPr>
          <w:sz w:val="24"/>
        </w:rPr>
      </w:pPr>
      <w:r>
        <w:rPr>
          <w:w w:val="130"/>
          <w:sz w:val="24"/>
        </w:rPr>
        <w:t>a csoport határon átnyúló tevékenysége, ideértve az EGT-államban és harmadik országban nyújtott szolgáltatását</w:t>
      </w:r>
      <w:r>
        <w:rPr>
          <w:spacing w:val="-15"/>
          <w:w w:val="130"/>
          <w:sz w:val="24"/>
        </w:rPr>
        <w:t> </w:t>
      </w:r>
      <w:r>
        <w:rPr>
          <w:w w:val="130"/>
          <w:sz w:val="24"/>
        </w:rPr>
        <w:t>is.</w:t>
      </w:r>
    </w:p>
    <w:p>
      <w:pPr>
        <w:pStyle w:val="ListParagraph"/>
        <w:numPr>
          <w:ilvl w:val="0"/>
          <w:numId w:val="207"/>
        </w:numPr>
        <w:tabs>
          <w:tab w:pos="734" w:val="left" w:leader="none"/>
        </w:tabs>
        <w:spacing w:line="225" w:lineRule="auto" w:before="1" w:after="0"/>
        <w:ind w:left="113" w:right="125" w:firstLine="204"/>
        <w:jc w:val="both"/>
        <w:rPr>
          <w:sz w:val="24"/>
        </w:rPr>
      </w:pPr>
      <w:r>
        <w:rPr>
          <w:w w:val="125"/>
          <w:sz w:val="24"/>
        </w:rPr>
        <w:t>A makroprudenciális feladatkörében eljáró MNB meghatározza, és évente felülvizsgálja a Magyarországon székhellyel  rendelkező,  egyéb rendszerszinten jelentős hitelintézetek körét egyedi, szubkonszolidált vagy összevont alapon, és a Felügyelet folyamatosan figyelemmel kíséri azok működését.</w:t>
      </w:r>
    </w:p>
    <w:p>
      <w:pPr>
        <w:pStyle w:val="ListParagraph"/>
        <w:numPr>
          <w:ilvl w:val="0"/>
          <w:numId w:val="207"/>
        </w:numPr>
        <w:tabs>
          <w:tab w:pos="773" w:val="left" w:leader="none"/>
        </w:tabs>
        <w:spacing w:line="225" w:lineRule="auto" w:before="3" w:after="0"/>
        <w:ind w:left="113" w:right="124" w:firstLine="204"/>
        <w:jc w:val="both"/>
        <w:rPr>
          <w:sz w:val="24"/>
        </w:rPr>
      </w:pPr>
      <w:r>
        <w:rPr>
          <w:w w:val="125"/>
          <w:sz w:val="24"/>
        </w:rPr>
        <w:t>Az egyéb rendszerszinten jelentős hitelintézetek meghatározása során a makroprudenciális feladatkörében eljáró MNB legalább a következő szempontok valamelyikét veszi</w:t>
      </w:r>
      <w:r>
        <w:rPr>
          <w:spacing w:val="12"/>
          <w:w w:val="125"/>
          <w:sz w:val="24"/>
        </w:rPr>
        <w:t> </w:t>
      </w:r>
      <w:r>
        <w:rPr>
          <w:w w:val="125"/>
          <w:sz w:val="24"/>
        </w:rPr>
        <w:t>figyelembe:</w:t>
      </w:r>
    </w:p>
    <w:p>
      <w:pPr>
        <w:spacing w:after="0" w:line="225" w:lineRule="auto"/>
        <w:jc w:val="both"/>
        <w:rPr>
          <w:sz w:val="24"/>
        </w:rPr>
        <w:sectPr>
          <w:pgSz w:w="11900" w:h="16820"/>
          <w:pgMar w:header="1104" w:footer="0" w:top="1840" w:bottom="280" w:left="1020" w:right="1000"/>
        </w:sectPr>
      </w:pPr>
    </w:p>
    <w:p>
      <w:pPr>
        <w:pStyle w:val="ListParagraph"/>
        <w:numPr>
          <w:ilvl w:val="0"/>
          <w:numId w:val="209"/>
        </w:numPr>
        <w:tabs>
          <w:tab w:pos="631" w:val="left" w:leader="none"/>
        </w:tabs>
        <w:spacing w:line="268" w:lineRule="exact" w:before="159" w:after="0"/>
        <w:ind w:left="630" w:right="0" w:hanging="313"/>
        <w:jc w:val="left"/>
        <w:rPr>
          <w:sz w:val="24"/>
        </w:rPr>
      </w:pPr>
      <w:r>
        <w:rPr>
          <w:w w:val="130"/>
          <w:sz w:val="24"/>
        </w:rPr>
        <w:t>méret,</w:t>
      </w:r>
    </w:p>
    <w:p>
      <w:pPr>
        <w:pStyle w:val="ListParagraph"/>
        <w:numPr>
          <w:ilvl w:val="0"/>
          <w:numId w:val="209"/>
        </w:numPr>
        <w:tabs>
          <w:tab w:pos="748" w:val="left" w:leader="none"/>
        </w:tabs>
        <w:spacing w:line="225" w:lineRule="auto" w:before="6" w:after="0"/>
        <w:ind w:left="113" w:right="134" w:firstLine="204"/>
        <w:jc w:val="both"/>
        <w:rPr>
          <w:sz w:val="24"/>
        </w:rPr>
      </w:pPr>
      <w:r>
        <w:rPr>
          <w:w w:val="125"/>
          <w:sz w:val="24"/>
        </w:rPr>
        <w:t>az Európai Unió vagy Magyarország szempontjából betöltött szerep jelentősége,</w:t>
      </w:r>
    </w:p>
    <w:p>
      <w:pPr>
        <w:pStyle w:val="ListParagraph"/>
        <w:numPr>
          <w:ilvl w:val="0"/>
          <w:numId w:val="209"/>
        </w:numPr>
        <w:tabs>
          <w:tab w:pos="623" w:val="left" w:leader="none"/>
        </w:tabs>
        <w:spacing w:line="256" w:lineRule="exact" w:before="0" w:after="0"/>
        <w:ind w:left="622" w:right="0" w:hanging="305"/>
        <w:jc w:val="left"/>
        <w:rPr>
          <w:sz w:val="24"/>
        </w:rPr>
      </w:pPr>
      <w:r>
        <w:rPr>
          <w:w w:val="130"/>
          <w:sz w:val="24"/>
        </w:rPr>
        <w:t>határon átnyúló tevékenység jelentősége,</w:t>
      </w:r>
      <w:r>
        <w:rPr>
          <w:spacing w:val="-21"/>
          <w:w w:val="130"/>
          <w:sz w:val="24"/>
        </w:rPr>
        <w:t> </w:t>
      </w:r>
      <w:r>
        <w:rPr>
          <w:w w:val="130"/>
          <w:sz w:val="24"/>
        </w:rPr>
        <w:t>vagy</w:t>
      </w:r>
    </w:p>
    <w:p>
      <w:pPr>
        <w:pStyle w:val="ListParagraph"/>
        <w:numPr>
          <w:ilvl w:val="0"/>
          <w:numId w:val="209"/>
        </w:numPr>
        <w:tabs>
          <w:tab w:pos="808" w:val="left" w:leader="none"/>
        </w:tabs>
        <w:spacing w:line="225" w:lineRule="auto" w:before="5" w:after="0"/>
        <w:ind w:left="113" w:right="132" w:firstLine="204"/>
        <w:jc w:val="both"/>
        <w:rPr>
          <w:sz w:val="24"/>
        </w:rPr>
      </w:pPr>
      <w:r>
        <w:rPr>
          <w:w w:val="130"/>
          <w:sz w:val="24"/>
        </w:rPr>
        <w:t>a hitelintézet vagy a csoport pénzügyi közvetítőrendszerrel való összekapcsolódása.</w:t>
      </w:r>
    </w:p>
    <w:p>
      <w:pPr>
        <w:pStyle w:val="ListParagraph"/>
        <w:numPr>
          <w:ilvl w:val="0"/>
          <w:numId w:val="207"/>
        </w:numPr>
        <w:tabs>
          <w:tab w:pos="969" w:val="left" w:leader="none"/>
        </w:tabs>
        <w:spacing w:line="225" w:lineRule="auto" w:before="1" w:after="0"/>
        <w:ind w:left="113" w:right="123" w:firstLine="204"/>
        <w:jc w:val="both"/>
        <w:rPr>
          <w:sz w:val="24"/>
        </w:rPr>
      </w:pPr>
      <w:r>
        <w:rPr>
          <w:w w:val="125"/>
          <w:sz w:val="24"/>
        </w:rPr>
        <w:t>A globálisan és egyéb rendszerszinten jelentős hitelintézetek meghatározásának módszertanára vonatkozó adatok nem</w:t>
      </w:r>
      <w:r>
        <w:rPr>
          <w:spacing w:val="42"/>
          <w:w w:val="125"/>
          <w:sz w:val="24"/>
        </w:rPr>
        <w:t> </w:t>
      </w:r>
      <w:r>
        <w:rPr>
          <w:w w:val="125"/>
          <w:sz w:val="24"/>
        </w:rPr>
        <w:t>nyilvánosak.</w:t>
      </w:r>
    </w:p>
    <w:p>
      <w:pPr>
        <w:pStyle w:val="ListParagraph"/>
        <w:numPr>
          <w:ilvl w:val="0"/>
          <w:numId w:val="207"/>
        </w:numPr>
        <w:tabs>
          <w:tab w:pos="816" w:val="left" w:leader="none"/>
        </w:tabs>
        <w:spacing w:line="225" w:lineRule="auto" w:before="1" w:after="0"/>
        <w:ind w:left="113" w:right="126" w:firstLine="204"/>
        <w:jc w:val="both"/>
        <w:rPr>
          <w:sz w:val="24"/>
        </w:rPr>
      </w:pPr>
      <w:r>
        <w:rPr>
          <w:w w:val="130"/>
          <w:sz w:val="24"/>
        </w:rPr>
        <w:t>Ha a makroprudenciális feladatkörében eljáró MNB az (1) bekezdés alapján tőkepuffert határoz meg vagy mértékét módosítja az egyéb rendszerszinten jelentős hitelintézetekre vonatkozóan, akkor az arról szóló határozat nyilvánosságra hozatala előtt 1 hónappal tájékoztatnia kell az érintett</w:t>
      </w:r>
      <w:r>
        <w:rPr>
          <w:spacing w:val="-10"/>
          <w:w w:val="130"/>
          <w:sz w:val="24"/>
        </w:rPr>
        <w:t> </w:t>
      </w:r>
      <w:r>
        <w:rPr>
          <w:w w:val="130"/>
          <w:sz w:val="24"/>
        </w:rPr>
        <w:t>tagállamok</w:t>
      </w:r>
      <w:r>
        <w:rPr>
          <w:spacing w:val="-10"/>
          <w:w w:val="130"/>
          <w:sz w:val="24"/>
        </w:rPr>
        <w:t> </w:t>
      </w:r>
      <w:r>
        <w:rPr>
          <w:w w:val="130"/>
          <w:sz w:val="24"/>
        </w:rPr>
        <w:t>illetékes</w:t>
      </w:r>
      <w:r>
        <w:rPr>
          <w:spacing w:val="-10"/>
          <w:w w:val="130"/>
          <w:sz w:val="24"/>
        </w:rPr>
        <w:t> </w:t>
      </w:r>
      <w:r>
        <w:rPr>
          <w:w w:val="130"/>
          <w:sz w:val="24"/>
        </w:rPr>
        <w:t>és</w:t>
      </w:r>
      <w:r>
        <w:rPr>
          <w:spacing w:val="-10"/>
          <w:w w:val="130"/>
          <w:sz w:val="24"/>
        </w:rPr>
        <w:t> </w:t>
      </w:r>
      <w:r>
        <w:rPr>
          <w:w w:val="130"/>
          <w:sz w:val="24"/>
        </w:rPr>
        <w:t>kijelölt</w:t>
      </w:r>
      <w:r>
        <w:rPr>
          <w:spacing w:val="-10"/>
          <w:w w:val="130"/>
          <w:sz w:val="24"/>
        </w:rPr>
        <w:t> </w:t>
      </w:r>
      <w:r>
        <w:rPr>
          <w:w w:val="130"/>
          <w:sz w:val="24"/>
        </w:rPr>
        <w:t>hatóságait</w:t>
      </w:r>
      <w:r>
        <w:rPr>
          <w:spacing w:val="-8"/>
          <w:w w:val="130"/>
          <w:sz w:val="24"/>
        </w:rPr>
        <w:t> </w:t>
      </w:r>
      <w:r>
        <w:rPr>
          <w:w w:val="130"/>
          <w:sz w:val="24"/>
        </w:rPr>
        <w:t>a</w:t>
      </w:r>
      <w:r>
        <w:rPr>
          <w:spacing w:val="-10"/>
          <w:w w:val="130"/>
          <w:sz w:val="24"/>
        </w:rPr>
        <w:t> </w:t>
      </w:r>
      <w:r>
        <w:rPr>
          <w:w w:val="130"/>
          <w:sz w:val="24"/>
        </w:rPr>
        <w:t>következőkről:</w:t>
      </w:r>
    </w:p>
    <w:p>
      <w:pPr>
        <w:pStyle w:val="ListParagraph"/>
        <w:numPr>
          <w:ilvl w:val="0"/>
          <w:numId w:val="210"/>
        </w:numPr>
        <w:tabs>
          <w:tab w:pos="675" w:val="left" w:leader="none"/>
        </w:tabs>
        <w:spacing w:line="225" w:lineRule="auto" w:before="3" w:after="0"/>
        <w:ind w:left="113" w:right="122" w:firstLine="204"/>
        <w:jc w:val="both"/>
        <w:rPr>
          <w:sz w:val="24"/>
        </w:rPr>
      </w:pPr>
      <w:r>
        <w:rPr>
          <w:w w:val="130"/>
          <w:sz w:val="24"/>
        </w:rPr>
        <w:t>indokolás arról, hogy várhatóan miért fogja a tőkepuffer hatékonyan és arányosan csökkenteni az egyéb rendszerszinten jelentős hitelintézetek rendszerszintű</w:t>
      </w:r>
      <w:r>
        <w:rPr>
          <w:spacing w:val="-3"/>
          <w:w w:val="130"/>
          <w:sz w:val="24"/>
        </w:rPr>
        <w:t> </w:t>
      </w:r>
      <w:r>
        <w:rPr>
          <w:w w:val="130"/>
          <w:sz w:val="24"/>
        </w:rPr>
        <w:t>kockázatát,</w:t>
      </w:r>
    </w:p>
    <w:p>
      <w:pPr>
        <w:pStyle w:val="ListParagraph"/>
        <w:numPr>
          <w:ilvl w:val="0"/>
          <w:numId w:val="210"/>
        </w:numPr>
        <w:tabs>
          <w:tab w:pos="653" w:val="left" w:leader="none"/>
        </w:tabs>
        <w:spacing w:line="256" w:lineRule="exact" w:before="0" w:after="0"/>
        <w:ind w:left="652" w:right="0" w:hanging="335"/>
        <w:jc w:val="left"/>
        <w:rPr>
          <w:sz w:val="24"/>
        </w:rPr>
      </w:pPr>
      <w:r>
        <w:rPr>
          <w:w w:val="130"/>
          <w:sz w:val="24"/>
        </w:rPr>
        <w:t>a tőkepuffer belső piacra gyakorolt várható</w:t>
      </w:r>
      <w:r>
        <w:rPr>
          <w:spacing w:val="-30"/>
          <w:w w:val="130"/>
          <w:sz w:val="24"/>
        </w:rPr>
        <w:t> </w:t>
      </w:r>
      <w:r>
        <w:rPr>
          <w:w w:val="130"/>
          <w:sz w:val="24"/>
        </w:rPr>
        <w:t>hatása,</w:t>
      </w:r>
    </w:p>
    <w:p>
      <w:pPr>
        <w:pStyle w:val="ListParagraph"/>
        <w:numPr>
          <w:ilvl w:val="0"/>
          <w:numId w:val="210"/>
        </w:numPr>
        <w:tabs>
          <w:tab w:pos="906" w:val="left" w:leader="none"/>
        </w:tabs>
        <w:spacing w:line="225" w:lineRule="auto" w:before="6" w:after="0"/>
        <w:ind w:left="113" w:right="124" w:firstLine="204"/>
        <w:jc w:val="both"/>
        <w:rPr>
          <w:sz w:val="24"/>
        </w:rPr>
      </w:pPr>
      <w:r>
        <w:rPr>
          <w:w w:val="130"/>
          <w:sz w:val="24"/>
        </w:rPr>
        <w:t>az egyéb rendszerszinten jelentős hitelintézetekre vonatkozó tőkepufferráta</w:t>
      </w:r>
      <w:r>
        <w:rPr>
          <w:spacing w:val="-4"/>
          <w:w w:val="130"/>
          <w:sz w:val="24"/>
        </w:rPr>
        <w:t> </w:t>
      </w:r>
      <w:r>
        <w:rPr>
          <w:w w:val="130"/>
          <w:sz w:val="24"/>
        </w:rPr>
        <w:t>mértéke.</w:t>
      </w:r>
    </w:p>
    <w:p>
      <w:pPr>
        <w:pStyle w:val="ListParagraph"/>
        <w:numPr>
          <w:ilvl w:val="0"/>
          <w:numId w:val="207"/>
        </w:numPr>
        <w:tabs>
          <w:tab w:pos="857" w:val="left" w:leader="none"/>
        </w:tabs>
        <w:spacing w:line="225" w:lineRule="auto" w:before="1" w:after="0"/>
        <w:ind w:left="113" w:right="116" w:firstLine="204"/>
        <w:jc w:val="both"/>
        <w:rPr>
          <w:sz w:val="24"/>
        </w:rPr>
      </w:pPr>
      <w:r>
        <w:rPr>
          <w:w w:val="125"/>
          <w:sz w:val="24"/>
        </w:rPr>
        <w:t>A globálisan rendszerszinten jelentős hitelintézet összevont alapon globálisan rendszerszinten jelentős hitelintézetre vonatkozó tőkepuffert  tart fenn az 575/2013/EU rendelet 92. cikkében meghatározott minimum tőkekövetelményen, a tőkefenntartási pufferen, az intézményspecifikus anticiklikus tőkepufferen és a felügyeleti felülvizsgálat keretében előírt többlettőke-követelményen</w:t>
      </w:r>
      <w:r>
        <w:rPr>
          <w:spacing w:val="-1"/>
          <w:w w:val="125"/>
          <w:sz w:val="24"/>
        </w:rPr>
        <w:t> </w:t>
      </w:r>
      <w:r>
        <w:rPr>
          <w:w w:val="125"/>
          <w:sz w:val="24"/>
        </w:rPr>
        <w:t>felül.</w:t>
      </w:r>
    </w:p>
    <w:p>
      <w:pPr>
        <w:pStyle w:val="ListParagraph"/>
        <w:numPr>
          <w:ilvl w:val="0"/>
          <w:numId w:val="207"/>
        </w:numPr>
        <w:tabs>
          <w:tab w:pos="790" w:val="left" w:leader="none"/>
        </w:tabs>
        <w:spacing w:line="225" w:lineRule="auto" w:before="3" w:after="0"/>
        <w:ind w:left="113" w:right="124" w:firstLine="204"/>
        <w:jc w:val="both"/>
        <w:rPr>
          <w:sz w:val="24"/>
        </w:rPr>
      </w:pPr>
      <w:r>
        <w:rPr>
          <w:w w:val="130"/>
          <w:sz w:val="24"/>
        </w:rPr>
        <w:t>A hitelintézet a (7) bekezdésben meghatározott tőkepuffert elsődleges alapvető tőkéből képzi, amelynek összege a globálisan rendszerszinten jelentős hitelintézet (9) bekezdésben meghatározott alkategórába való besorolásától függően kerül</w:t>
      </w:r>
      <w:r>
        <w:rPr>
          <w:spacing w:val="-12"/>
          <w:w w:val="130"/>
          <w:sz w:val="24"/>
        </w:rPr>
        <w:t> </w:t>
      </w:r>
      <w:r>
        <w:rPr>
          <w:w w:val="130"/>
          <w:sz w:val="24"/>
        </w:rPr>
        <w:t>meghatározásra.</w:t>
      </w:r>
    </w:p>
    <w:p>
      <w:pPr>
        <w:pStyle w:val="ListParagraph"/>
        <w:numPr>
          <w:ilvl w:val="0"/>
          <w:numId w:val="207"/>
        </w:numPr>
        <w:tabs>
          <w:tab w:pos="1113" w:val="left" w:leader="none"/>
        </w:tabs>
        <w:spacing w:line="225" w:lineRule="auto" w:before="3" w:after="0"/>
        <w:ind w:left="113" w:right="121" w:firstLine="204"/>
        <w:jc w:val="both"/>
        <w:rPr>
          <w:sz w:val="24"/>
        </w:rPr>
      </w:pPr>
      <w:r>
        <w:rPr>
          <w:w w:val="130"/>
          <w:sz w:val="24"/>
        </w:rPr>
        <w:t>A globálisan rendszerszinten</w:t>
      </w:r>
      <w:r>
        <w:rPr>
          <w:spacing w:val="78"/>
          <w:w w:val="130"/>
          <w:sz w:val="24"/>
        </w:rPr>
        <w:t> </w:t>
      </w:r>
      <w:r>
        <w:rPr>
          <w:w w:val="130"/>
          <w:sz w:val="24"/>
        </w:rPr>
        <w:t>jelentős</w:t>
      </w:r>
      <w:r>
        <w:rPr>
          <w:spacing w:val="78"/>
          <w:w w:val="130"/>
          <w:sz w:val="24"/>
        </w:rPr>
        <w:t> </w:t>
      </w:r>
      <w:r>
        <w:rPr>
          <w:w w:val="130"/>
          <w:sz w:val="24"/>
        </w:rPr>
        <w:t>hitelintézeteket</w:t>
      </w:r>
      <w:r>
        <w:rPr>
          <w:spacing w:val="78"/>
          <w:w w:val="130"/>
          <w:sz w:val="24"/>
        </w:rPr>
        <w:t> </w:t>
      </w:r>
      <w:r>
        <w:rPr>
          <w:w w:val="130"/>
          <w:sz w:val="24"/>
        </w:rPr>
        <w:t>a makroprudenciális feladatkörében eljáró MNB legalább öt alkategóriába sorolja. Az alkategóriák közötti határértékek egyértelműen meghatározottak. A legalacsonyabb alkategóriába a rendszerszinten legkevésbé jelentős hitelintézetet kell sorolni azzal, hogy alkategóriánként azonos mértékben növekedik a rendszerszintű jelentőség mértéke. A makroprudenciális feladatkörében eljáró</w:t>
      </w:r>
      <w:r>
        <w:rPr>
          <w:spacing w:val="78"/>
          <w:w w:val="130"/>
          <w:sz w:val="24"/>
        </w:rPr>
        <w:t> </w:t>
      </w:r>
      <w:r>
        <w:rPr>
          <w:w w:val="130"/>
          <w:sz w:val="24"/>
        </w:rPr>
        <w:t>MNB évente felülvizsgálja a hitelintézetek alkategóriákba való</w:t>
      </w:r>
      <w:r>
        <w:rPr>
          <w:spacing w:val="-9"/>
          <w:w w:val="130"/>
          <w:sz w:val="24"/>
        </w:rPr>
        <w:t> </w:t>
      </w:r>
      <w:r>
        <w:rPr>
          <w:w w:val="130"/>
          <w:sz w:val="24"/>
        </w:rPr>
        <w:t>besorolását.</w:t>
      </w:r>
    </w:p>
    <w:p>
      <w:pPr>
        <w:pStyle w:val="ListParagraph"/>
        <w:numPr>
          <w:ilvl w:val="0"/>
          <w:numId w:val="207"/>
        </w:numPr>
        <w:tabs>
          <w:tab w:pos="967" w:val="left" w:leader="none"/>
        </w:tabs>
        <w:spacing w:line="225" w:lineRule="auto" w:before="4" w:after="0"/>
        <w:ind w:left="113" w:right="113" w:firstLine="204"/>
        <w:jc w:val="both"/>
        <w:rPr>
          <w:sz w:val="24"/>
        </w:rPr>
      </w:pPr>
      <w:r>
        <w:rPr>
          <w:w w:val="125"/>
          <w:sz w:val="24"/>
        </w:rPr>
        <w:t>A legalacsonyabb alkategóriába tartozó hitelintézet az 575/2013/EU rendelet 92. cikke szerinti teljes kockázati kitettségérték 1 százalékának megfelelő, globálisan rendszerszinten jelentős hitelintézetre vonatkozó tőkepuffert képez. Az egyes alkategóriákba sorolt hitelintézetekre vonatkozó tőkepufferráta a negyedik alkategóriáig bezárólag 0,5  százalékponttal növekszik azzal, hogy a legmagasabb alkategóriába tartozó hitelintézetre 3,5 százalékos tőkepufferráta</w:t>
      </w:r>
      <w:r>
        <w:rPr>
          <w:spacing w:val="1"/>
          <w:w w:val="125"/>
          <w:sz w:val="24"/>
        </w:rPr>
        <w:t> </w:t>
      </w:r>
      <w:r>
        <w:rPr>
          <w:w w:val="125"/>
          <w:sz w:val="24"/>
        </w:rPr>
        <w:t>vonatkozik.</w:t>
      </w:r>
    </w:p>
    <w:p>
      <w:pPr>
        <w:pStyle w:val="ListParagraph"/>
        <w:numPr>
          <w:ilvl w:val="0"/>
          <w:numId w:val="207"/>
        </w:numPr>
        <w:tabs>
          <w:tab w:pos="918" w:val="left" w:leader="none"/>
        </w:tabs>
        <w:spacing w:line="225" w:lineRule="auto" w:before="4" w:after="0"/>
        <w:ind w:left="113" w:right="127" w:firstLine="204"/>
        <w:jc w:val="both"/>
        <w:rPr>
          <w:sz w:val="24"/>
        </w:rPr>
      </w:pPr>
      <w:r>
        <w:rPr>
          <w:w w:val="120"/>
          <w:sz w:val="24"/>
        </w:rPr>
        <w:t>A makroprudenciális feladatkörében eljáró MNB a hatékony felügyelet sérelme</w:t>
      </w:r>
      <w:r>
        <w:rPr>
          <w:spacing w:val="4"/>
          <w:w w:val="120"/>
          <w:sz w:val="24"/>
        </w:rPr>
        <w:t> </w:t>
      </w:r>
      <w:r>
        <w:rPr>
          <w:w w:val="120"/>
          <w:sz w:val="24"/>
        </w:rPr>
        <w:t>nélkül</w:t>
      </w:r>
    </w:p>
    <w:p>
      <w:pPr>
        <w:pStyle w:val="ListParagraph"/>
        <w:numPr>
          <w:ilvl w:val="0"/>
          <w:numId w:val="211"/>
        </w:numPr>
        <w:tabs>
          <w:tab w:pos="679" w:val="left" w:leader="none"/>
        </w:tabs>
        <w:spacing w:line="225" w:lineRule="auto" w:before="2" w:after="0"/>
        <w:ind w:left="113" w:right="122" w:firstLine="204"/>
        <w:jc w:val="both"/>
        <w:rPr>
          <w:sz w:val="24"/>
        </w:rPr>
      </w:pPr>
      <w:r>
        <w:rPr>
          <w:w w:val="130"/>
          <w:sz w:val="24"/>
        </w:rPr>
        <w:t>egy adott globálisan rendszerszinten jelentős hitelintézetet alacsonyabb alkategóriából magasabb alkategóriába sorolhat,</w:t>
      </w:r>
      <w:r>
        <w:rPr>
          <w:spacing w:val="-19"/>
          <w:w w:val="130"/>
          <w:sz w:val="24"/>
        </w:rPr>
        <w:t> </w:t>
      </w:r>
      <w:r>
        <w:rPr>
          <w:w w:val="130"/>
          <w:sz w:val="24"/>
        </w:rPr>
        <w:t>és</w:t>
      </w:r>
    </w:p>
    <w:p>
      <w:pPr>
        <w:pStyle w:val="ListParagraph"/>
        <w:numPr>
          <w:ilvl w:val="0"/>
          <w:numId w:val="211"/>
        </w:numPr>
        <w:tabs>
          <w:tab w:pos="758" w:val="left" w:leader="none"/>
        </w:tabs>
        <w:spacing w:line="225" w:lineRule="auto" w:before="1" w:after="0"/>
        <w:ind w:left="113" w:right="128" w:firstLine="204"/>
        <w:jc w:val="both"/>
        <w:rPr>
          <w:sz w:val="24"/>
        </w:rPr>
      </w:pPr>
      <w:r>
        <w:rPr>
          <w:w w:val="130"/>
          <w:sz w:val="24"/>
        </w:rPr>
        <w:t>a hitelintézetet, amely nem érte el a legalacsonyabb alkategóriára vonatkozó határértéket, valamely alkategóriába sorolhatja és ezáltal globálisan rendszerszinten jelentős hitelintézetnek</w:t>
      </w:r>
      <w:r>
        <w:rPr>
          <w:spacing w:val="-21"/>
          <w:w w:val="130"/>
          <w:sz w:val="24"/>
        </w:rPr>
        <w:t> </w:t>
      </w:r>
      <w:r>
        <w:rPr>
          <w:w w:val="130"/>
          <w:sz w:val="24"/>
        </w:rPr>
        <w:t>minősítheti.</w:t>
      </w:r>
    </w:p>
    <w:p>
      <w:pPr>
        <w:spacing w:after="0" w:line="225" w:lineRule="auto"/>
        <w:jc w:val="both"/>
        <w:rPr>
          <w:sz w:val="24"/>
        </w:rPr>
        <w:sectPr>
          <w:pgSz w:w="11900" w:h="16820"/>
          <w:pgMar w:header="1104" w:footer="0" w:top="1840" w:bottom="280" w:left="1020" w:right="1000"/>
        </w:sectPr>
      </w:pPr>
    </w:p>
    <w:p>
      <w:pPr>
        <w:pStyle w:val="ListParagraph"/>
        <w:numPr>
          <w:ilvl w:val="0"/>
          <w:numId w:val="206"/>
        </w:numPr>
        <w:tabs>
          <w:tab w:pos="835" w:val="left" w:leader="none"/>
        </w:tabs>
        <w:spacing w:line="225" w:lineRule="auto" w:before="172" w:after="0"/>
        <w:ind w:left="113" w:right="124" w:firstLine="204"/>
        <w:jc w:val="both"/>
        <w:rPr>
          <w:sz w:val="24"/>
        </w:rPr>
      </w:pPr>
      <w:r>
        <w:rPr>
          <w:rFonts w:ascii="Arial" w:hAnsi="Arial"/>
          <w:b/>
          <w:w w:val="125"/>
          <w:sz w:val="24"/>
        </w:rPr>
        <w:t>§ </w:t>
      </w:r>
      <w:r>
        <w:rPr>
          <w:w w:val="125"/>
          <w:sz w:val="24"/>
        </w:rPr>
        <w:t>(1) Az MNB tv. alapján meghatározott, egyéb rendszerszinten jelentős hitelintézet egyedi, szubkonszolidált vagy összevont alapon egyéb rendszerszinten jelentős hitelintézetre vonatkozó tőkepuffert tart fenn az 575/2013/EU rendelet 92. cikkében meghatározott minimum tőkekövetelményen, a tőkefenntartási pufferen, az anticiklikus  tőkepufferen és a felügyeleti felülvizsgálat keretében előírt többlettőke-követelményen</w:t>
      </w:r>
      <w:r>
        <w:rPr>
          <w:spacing w:val="27"/>
          <w:w w:val="125"/>
          <w:sz w:val="24"/>
        </w:rPr>
        <w:t> </w:t>
      </w:r>
      <w:r>
        <w:rPr>
          <w:w w:val="125"/>
          <w:sz w:val="24"/>
        </w:rPr>
        <w:t>felül.</w:t>
      </w:r>
    </w:p>
    <w:p>
      <w:pPr>
        <w:pStyle w:val="ListParagraph"/>
        <w:numPr>
          <w:ilvl w:val="0"/>
          <w:numId w:val="212"/>
        </w:numPr>
        <w:tabs>
          <w:tab w:pos="872" w:val="left" w:leader="none"/>
        </w:tabs>
        <w:spacing w:line="225" w:lineRule="auto" w:before="3" w:after="0"/>
        <w:ind w:left="113" w:right="126" w:firstLine="204"/>
        <w:jc w:val="both"/>
        <w:rPr>
          <w:sz w:val="24"/>
        </w:rPr>
      </w:pPr>
      <w:r>
        <w:rPr>
          <w:w w:val="130"/>
          <w:sz w:val="24"/>
        </w:rPr>
        <w:t>Az (1) bekezdésben meghatározott tőkepuffer összegét elsődleges alapvető tőkéből kell képezni, amelynek mértékét a makroprudenciális feladatkörében eljáró MNB a (3) bekezdésben meghatározottakkal összhangban határozza</w:t>
      </w:r>
      <w:r>
        <w:rPr>
          <w:spacing w:val="-6"/>
          <w:w w:val="130"/>
          <w:sz w:val="24"/>
        </w:rPr>
        <w:t> </w:t>
      </w:r>
      <w:r>
        <w:rPr>
          <w:w w:val="130"/>
          <w:sz w:val="24"/>
        </w:rPr>
        <w:t>meg.</w:t>
      </w:r>
    </w:p>
    <w:p>
      <w:pPr>
        <w:pStyle w:val="ListParagraph"/>
        <w:numPr>
          <w:ilvl w:val="0"/>
          <w:numId w:val="212"/>
        </w:numPr>
        <w:tabs>
          <w:tab w:pos="737" w:val="left" w:leader="none"/>
        </w:tabs>
        <w:spacing w:line="257" w:lineRule="exact" w:before="0" w:after="0"/>
        <w:ind w:left="736" w:right="0" w:hanging="419"/>
        <w:jc w:val="left"/>
        <w:rPr>
          <w:sz w:val="24"/>
        </w:rPr>
      </w:pPr>
      <w:r>
        <w:rPr>
          <w:w w:val="125"/>
          <w:sz w:val="24"/>
        </w:rPr>
        <w:t>Az (1) bekezdés szerinti tőkepuffer-követelmény az 575/2013/EU</w:t>
      </w:r>
      <w:r>
        <w:rPr>
          <w:spacing w:val="17"/>
          <w:w w:val="125"/>
          <w:sz w:val="24"/>
        </w:rPr>
        <w:t> </w:t>
      </w:r>
      <w:r>
        <w:rPr>
          <w:w w:val="125"/>
          <w:sz w:val="24"/>
        </w:rPr>
        <w:t>rendelet</w:t>
      </w:r>
    </w:p>
    <w:p>
      <w:pPr>
        <w:pStyle w:val="ListParagraph"/>
        <w:numPr>
          <w:ilvl w:val="0"/>
          <w:numId w:val="213"/>
        </w:numPr>
        <w:tabs>
          <w:tab w:pos="710" w:val="left" w:leader="none"/>
          <w:tab w:pos="711" w:val="left" w:leader="none"/>
          <w:tab w:pos="2019" w:val="left" w:leader="none"/>
          <w:tab w:pos="4016" w:val="left" w:leader="none"/>
          <w:tab w:pos="4884" w:val="left" w:leader="none"/>
          <w:tab w:pos="6251" w:val="left" w:leader="none"/>
          <w:tab w:pos="8183" w:val="left" w:leader="none"/>
          <w:tab w:pos="9587" w:val="left" w:leader="none"/>
        </w:tabs>
        <w:spacing w:line="225" w:lineRule="auto" w:before="6" w:after="0"/>
        <w:ind w:left="113" w:right="137" w:firstLine="0"/>
        <w:jc w:val="left"/>
        <w:rPr>
          <w:sz w:val="24"/>
        </w:rPr>
      </w:pPr>
      <w:r>
        <w:rPr>
          <w:w w:val="130"/>
          <w:sz w:val="24"/>
        </w:rPr>
        <w:t>cikkében</w:t>
        <w:tab/>
        <w:t>meghatározott</w:t>
        <w:tab/>
        <w:t>teljes</w:t>
        <w:tab/>
        <w:t>kockázati</w:t>
        <w:tab/>
        <w:t>kitettségérték</w:t>
        <w:tab/>
        <w:t>legfeljebb</w:t>
        <w:tab/>
      </w:r>
      <w:r>
        <w:rPr>
          <w:spacing w:val="-17"/>
          <w:w w:val="130"/>
          <w:sz w:val="24"/>
        </w:rPr>
        <w:t>2 </w:t>
      </w:r>
      <w:r>
        <w:rPr>
          <w:w w:val="130"/>
          <w:sz w:val="24"/>
        </w:rPr>
        <w:t>százaléka azzal,</w:t>
      </w:r>
      <w:r>
        <w:rPr>
          <w:spacing w:val="-8"/>
          <w:w w:val="130"/>
          <w:sz w:val="24"/>
        </w:rPr>
        <w:t> </w:t>
      </w:r>
      <w:r>
        <w:rPr>
          <w:w w:val="130"/>
          <w:sz w:val="24"/>
        </w:rPr>
        <w:t>hogy</w:t>
      </w:r>
    </w:p>
    <w:p>
      <w:pPr>
        <w:pStyle w:val="ListParagraph"/>
        <w:numPr>
          <w:ilvl w:val="0"/>
          <w:numId w:val="214"/>
        </w:numPr>
        <w:tabs>
          <w:tab w:pos="787" w:val="left" w:leader="none"/>
        </w:tabs>
        <w:spacing w:line="225" w:lineRule="auto" w:before="1" w:after="0"/>
        <w:ind w:left="113" w:right="127" w:firstLine="204"/>
        <w:jc w:val="both"/>
        <w:rPr>
          <w:sz w:val="24"/>
        </w:rPr>
      </w:pPr>
      <w:r>
        <w:rPr>
          <w:w w:val="130"/>
          <w:sz w:val="24"/>
        </w:rPr>
        <w:t>a tőkepuffer nem járhat aránytalan mértékű negatív hatással az EGT-államban vagy az EGT-államok összességében a pénzügyi közvetítőrendszer egészére vagy részére nézve,</w:t>
      </w:r>
      <w:r>
        <w:rPr>
          <w:spacing w:val="-24"/>
          <w:w w:val="130"/>
          <w:sz w:val="24"/>
        </w:rPr>
        <w:t> </w:t>
      </w:r>
      <w:r>
        <w:rPr>
          <w:w w:val="130"/>
          <w:sz w:val="24"/>
        </w:rPr>
        <w:t>és</w:t>
      </w:r>
    </w:p>
    <w:p>
      <w:pPr>
        <w:pStyle w:val="ListParagraph"/>
        <w:numPr>
          <w:ilvl w:val="0"/>
          <w:numId w:val="214"/>
        </w:numPr>
        <w:tabs>
          <w:tab w:pos="815" w:val="left" w:leader="none"/>
        </w:tabs>
        <w:spacing w:line="225" w:lineRule="auto" w:before="1" w:after="0"/>
        <w:ind w:left="113" w:right="131" w:firstLine="204"/>
        <w:jc w:val="both"/>
        <w:rPr>
          <w:sz w:val="24"/>
        </w:rPr>
      </w:pPr>
      <w:r>
        <w:rPr>
          <w:w w:val="130"/>
          <w:sz w:val="24"/>
        </w:rPr>
        <w:t>a makroprudenciális feladatkörében eljáró MNB legalább évente</w:t>
      </w:r>
      <w:r>
        <w:rPr>
          <w:spacing w:val="78"/>
          <w:w w:val="130"/>
          <w:sz w:val="24"/>
        </w:rPr>
        <w:t> </w:t>
      </w:r>
      <w:r>
        <w:rPr>
          <w:w w:val="130"/>
          <w:sz w:val="24"/>
        </w:rPr>
        <w:t>felülvizsgálja a tőkepufferráta</w:t>
      </w:r>
      <w:r>
        <w:rPr>
          <w:spacing w:val="-13"/>
          <w:w w:val="130"/>
          <w:sz w:val="24"/>
        </w:rPr>
        <w:t> </w:t>
      </w:r>
      <w:r>
        <w:rPr>
          <w:w w:val="130"/>
          <w:sz w:val="24"/>
        </w:rPr>
        <w:t>mértékét.</w:t>
      </w:r>
    </w:p>
    <w:p>
      <w:pPr>
        <w:pStyle w:val="ListParagraph"/>
        <w:numPr>
          <w:ilvl w:val="1"/>
          <w:numId w:val="213"/>
        </w:numPr>
        <w:tabs>
          <w:tab w:pos="827" w:val="left" w:leader="none"/>
        </w:tabs>
        <w:spacing w:line="225" w:lineRule="auto" w:before="1" w:after="0"/>
        <w:ind w:left="113" w:right="124" w:firstLine="204"/>
        <w:jc w:val="both"/>
        <w:rPr>
          <w:sz w:val="24"/>
        </w:rPr>
      </w:pPr>
      <w:r>
        <w:rPr>
          <w:rFonts w:ascii="Arial" w:hAnsi="Arial"/>
          <w:b/>
          <w:w w:val="125"/>
          <w:sz w:val="24"/>
        </w:rPr>
        <w:t>§ </w:t>
      </w:r>
      <w:r>
        <w:rPr>
          <w:w w:val="125"/>
          <w:sz w:val="24"/>
        </w:rPr>
        <w:t>Ha valamely egyéb rendszerszinten jelentős hitelintézet egy globálisan rendszerszinten jelentős hitelintézet leányvállalata vagy egy olyan egyéb rendszerszinten jelentős hitelintézet leányvállalata, amelyre összevont alapon alkalmazandó az egyéb rendszerszinten jelentős hitelintézetekre vonatkozó tőkepuffer-követelmény, akkor az egyéb  rendszerszinten  jelentős  hitelintézetre egyedi vagy szubkonszolidált alapon alkalmazandó tőkepuffer-követelmény szintje nem haladhatja</w:t>
      </w:r>
      <w:r>
        <w:rPr>
          <w:spacing w:val="4"/>
          <w:w w:val="125"/>
          <w:sz w:val="24"/>
        </w:rPr>
        <w:t> </w:t>
      </w:r>
      <w:r>
        <w:rPr>
          <w:w w:val="125"/>
          <w:sz w:val="24"/>
        </w:rPr>
        <w:t>meg</w:t>
      </w:r>
    </w:p>
    <w:p>
      <w:pPr>
        <w:pStyle w:val="ListParagraph"/>
        <w:numPr>
          <w:ilvl w:val="0"/>
          <w:numId w:val="215"/>
        </w:numPr>
        <w:tabs>
          <w:tab w:pos="709" w:val="left" w:leader="none"/>
        </w:tabs>
        <w:spacing w:line="225" w:lineRule="auto" w:before="4" w:after="0"/>
        <w:ind w:left="113" w:right="127" w:firstLine="204"/>
        <w:jc w:val="both"/>
        <w:rPr>
          <w:sz w:val="24"/>
        </w:rPr>
      </w:pPr>
      <w:r>
        <w:rPr>
          <w:w w:val="130"/>
          <w:sz w:val="24"/>
        </w:rPr>
        <w:t>az 575/2013/EU rendelet 92. cikkében meghatározott teljes kockázati</w:t>
      </w:r>
      <w:r>
        <w:rPr>
          <w:spacing w:val="78"/>
          <w:w w:val="130"/>
          <w:sz w:val="24"/>
        </w:rPr>
        <w:t> </w:t>
      </w:r>
      <w:r>
        <w:rPr>
          <w:w w:val="130"/>
          <w:sz w:val="24"/>
        </w:rPr>
        <w:t>kitettségérték 1 százaléka</w:t>
      </w:r>
      <w:r>
        <w:rPr>
          <w:spacing w:val="-10"/>
          <w:w w:val="130"/>
          <w:sz w:val="24"/>
        </w:rPr>
        <w:t> </w:t>
      </w:r>
      <w:r>
        <w:rPr>
          <w:w w:val="130"/>
          <w:sz w:val="24"/>
        </w:rPr>
        <w:t>vagy</w:t>
      </w:r>
    </w:p>
    <w:p>
      <w:pPr>
        <w:pStyle w:val="ListParagraph"/>
        <w:numPr>
          <w:ilvl w:val="0"/>
          <w:numId w:val="215"/>
        </w:numPr>
        <w:tabs>
          <w:tab w:pos="663" w:val="left" w:leader="none"/>
        </w:tabs>
        <w:spacing w:line="225" w:lineRule="auto" w:before="1" w:after="0"/>
        <w:ind w:left="113" w:right="123" w:firstLine="204"/>
        <w:jc w:val="both"/>
        <w:rPr>
          <w:sz w:val="24"/>
        </w:rPr>
      </w:pPr>
      <w:r>
        <w:rPr>
          <w:w w:val="125"/>
          <w:sz w:val="24"/>
        </w:rPr>
        <w:t>a globálisan vagy egyéb rendszerszinten jelentős hitelintézetre összevont alapon alkalmazandó, egyéb rendszerszinten jelentős hitelintézetre vonatkozó vagy globálisan rendszerszinten jelentős hitelintézetre vonatkozó tőkepuffer-követelmény</w:t>
      </w:r>
    </w:p>
    <w:p>
      <w:pPr>
        <w:pStyle w:val="BodyText"/>
        <w:spacing w:line="265" w:lineRule="exact"/>
        <w:ind w:firstLine="0"/>
      </w:pPr>
      <w:r>
        <w:rPr>
          <w:w w:val="130"/>
        </w:rPr>
        <w:t>közül a magasabb értéket.</w:t>
      </w:r>
    </w:p>
    <w:p>
      <w:pPr>
        <w:pStyle w:val="BodyText"/>
        <w:spacing w:before="224"/>
        <w:ind w:left="2885" w:firstLine="0"/>
      </w:pPr>
      <w:r>
        <w:rPr>
          <w:w w:val="125"/>
        </w:rPr>
        <w:t>44. Rendszerkockázati tőkepuffer</w:t>
      </w:r>
    </w:p>
    <w:p>
      <w:pPr>
        <w:pStyle w:val="ListParagraph"/>
        <w:numPr>
          <w:ilvl w:val="1"/>
          <w:numId w:val="213"/>
        </w:numPr>
        <w:tabs>
          <w:tab w:pos="823" w:val="left" w:leader="none"/>
        </w:tabs>
        <w:spacing w:line="225" w:lineRule="auto" w:before="236" w:after="0"/>
        <w:ind w:left="113" w:right="126" w:firstLine="204"/>
        <w:jc w:val="both"/>
        <w:rPr>
          <w:sz w:val="24"/>
        </w:rPr>
      </w:pPr>
      <w:r>
        <w:rPr>
          <w:rFonts w:ascii="Arial" w:hAnsi="Arial"/>
          <w:b/>
          <w:w w:val="125"/>
          <w:sz w:val="24"/>
        </w:rPr>
        <w:t>§ </w:t>
      </w:r>
      <w:r>
        <w:rPr>
          <w:w w:val="125"/>
          <w:sz w:val="24"/>
        </w:rPr>
        <w:t>(1) A makroprudenciális feladatkörében eljáró MNB határozata alapján a hitelintézet egyedi, szubkonszolidált vagy összevont  alapon rendszerkockázati tőkepuffert képez a (6) bekezdésben foglalt</w:t>
      </w:r>
      <w:r>
        <w:rPr>
          <w:spacing w:val="63"/>
          <w:w w:val="125"/>
          <w:sz w:val="24"/>
        </w:rPr>
        <w:t> </w:t>
      </w:r>
      <w:r>
        <w:rPr>
          <w:w w:val="125"/>
          <w:sz w:val="24"/>
        </w:rPr>
        <w:t>eltéréssel</w:t>
      </w:r>
    </w:p>
    <w:p>
      <w:pPr>
        <w:pStyle w:val="ListParagraph"/>
        <w:numPr>
          <w:ilvl w:val="0"/>
          <w:numId w:val="216"/>
        </w:numPr>
        <w:tabs>
          <w:tab w:pos="631" w:val="left" w:leader="none"/>
        </w:tabs>
        <w:spacing w:line="256" w:lineRule="exact" w:before="0" w:after="0"/>
        <w:ind w:left="630" w:right="0" w:hanging="313"/>
        <w:jc w:val="left"/>
        <w:rPr>
          <w:sz w:val="24"/>
        </w:rPr>
      </w:pPr>
      <w:r>
        <w:rPr>
          <w:w w:val="125"/>
          <w:sz w:val="24"/>
        </w:rPr>
        <w:t>a Magyarországon lévő féllel szembeni</w:t>
      </w:r>
      <w:r>
        <w:rPr>
          <w:spacing w:val="8"/>
          <w:w w:val="125"/>
          <w:sz w:val="24"/>
        </w:rPr>
        <w:t> </w:t>
      </w:r>
      <w:r>
        <w:rPr>
          <w:w w:val="125"/>
          <w:sz w:val="24"/>
        </w:rPr>
        <w:t>kitettségeire,</w:t>
      </w:r>
    </w:p>
    <w:p>
      <w:pPr>
        <w:pStyle w:val="ListParagraph"/>
        <w:numPr>
          <w:ilvl w:val="0"/>
          <w:numId w:val="216"/>
        </w:numPr>
        <w:tabs>
          <w:tab w:pos="653" w:val="left" w:leader="none"/>
        </w:tabs>
        <w:spacing w:line="260" w:lineRule="exact" w:before="0" w:after="0"/>
        <w:ind w:left="652" w:right="0" w:hanging="335"/>
        <w:jc w:val="left"/>
        <w:rPr>
          <w:sz w:val="24"/>
        </w:rPr>
      </w:pPr>
      <w:r>
        <w:rPr>
          <w:w w:val="125"/>
          <w:sz w:val="24"/>
        </w:rPr>
        <w:t>az EGT-államban lévő féllel szembeni kitettségeire,</w:t>
      </w:r>
      <w:r>
        <w:rPr>
          <w:spacing w:val="-10"/>
          <w:w w:val="125"/>
          <w:sz w:val="24"/>
        </w:rPr>
        <w:t> </w:t>
      </w:r>
      <w:r>
        <w:rPr>
          <w:w w:val="125"/>
          <w:sz w:val="24"/>
        </w:rPr>
        <w:t>és</w:t>
      </w:r>
    </w:p>
    <w:p>
      <w:pPr>
        <w:pStyle w:val="ListParagraph"/>
        <w:numPr>
          <w:ilvl w:val="0"/>
          <w:numId w:val="216"/>
        </w:numPr>
        <w:tabs>
          <w:tab w:pos="623" w:val="left" w:leader="none"/>
        </w:tabs>
        <w:spacing w:line="260" w:lineRule="exact" w:before="0" w:after="0"/>
        <w:ind w:left="622" w:right="0" w:hanging="305"/>
        <w:jc w:val="left"/>
        <w:rPr>
          <w:sz w:val="24"/>
        </w:rPr>
      </w:pPr>
      <w:r>
        <w:rPr>
          <w:w w:val="130"/>
          <w:sz w:val="24"/>
        </w:rPr>
        <w:t>a harmadik országban lévő féllel szembeni</w:t>
      </w:r>
      <w:r>
        <w:rPr>
          <w:spacing w:val="-24"/>
          <w:w w:val="130"/>
          <w:sz w:val="24"/>
        </w:rPr>
        <w:t> </w:t>
      </w:r>
      <w:r>
        <w:rPr>
          <w:w w:val="130"/>
          <w:sz w:val="24"/>
        </w:rPr>
        <w:t>kitettségeire.</w:t>
      </w:r>
    </w:p>
    <w:p>
      <w:pPr>
        <w:pStyle w:val="BodyText"/>
        <w:spacing w:line="260" w:lineRule="exact"/>
        <w:ind w:left="317" w:firstLine="0"/>
      </w:pPr>
      <w:r>
        <w:rPr>
          <w:w w:val="125"/>
        </w:rPr>
        <w:t>(2) Ha a makroprudenciális feladatkörében eljáró MNB az MNB tv. 35/A. §</w:t>
      </w:r>
    </w:p>
    <w:p>
      <w:pPr>
        <w:pStyle w:val="ListParagraph"/>
        <w:numPr>
          <w:ilvl w:val="0"/>
          <w:numId w:val="217"/>
        </w:numPr>
        <w:tabs>
          <w:tab w:pos="530" w:val="left" w:leader="none"/>
        </w:tabs>
        <w:spacing w:line="260" w:lineRule="exact" w:before="0" w:after="0"/>
        <w:ind w:left="529" w:right="0" w:hanging="416"/>
        <w:jc w:val="left"/>
        <w:rPr>
          <w:sz w:val="24"/>
        </w:rPr>
      </w:pPr>
      <w:r>
        <w:rPr>
          <w:w w:val="130"/>
          <w:sz w:val="24"/>
        </w:rPr>
        <w:t>bekezdése</w:t>
      </w:r>
      <w:r>
        <w:rPr>
          <w:spacing w:val="-12"/>
          <w:w w:val="130"/>
          <w:sz w:val="24"/>
        </w:rPr>
        <w:t> </w:t>
      </w:r>
      <w:r>
        <w:rPr>
          <w:w w:val="130"/>
          <w:sz w:val="24"/>
        </w:rPr>
        <w:t>alapján</w:t>
      </w:r>
      <w:r>
        <w:rPr>
          <w:spacing w:val="-13"/>
          <w:w w:val="130"/>
          <w:sz w:val="24"/>
        </w:rPr>
        <w:t> </w:t>
      </w:r>
      <w:r>
        <w:rPr>
          <w:w w:val="130"/>
          <w:sz w:val="24"/>
        </w:rPr>
        <w:t>rendszerkockázati</w:t>
      </w:r>
      <w:r>
        <w:rPr>
          <w:spacing w:val="-10"/>
          <w:w w:val="130"/>
          <w:sz w:val="24"/>
        </w:rPr>
        <w:t> </w:t>
      </w:r>
      <w:r>
        <w:rPr>
          <w:w w:val="130"/>
          <w:sz w:val="24"/>
        </w:rPr>
        <w:t>tőkepufferrátát</w:t>
      </w:r>
      <w:r>
        <w:rPr>
          <w:spacing w:val="-16"/>
          <w:w w:val="130"/>
          <w:sz w:val="24"/>
        </w:rPr>
        <w:t> </w:t>
      </w:r>
      <w:r>
        <w:rPr>
          <w:w w:val="130"/>
          <w:sz w:val="24"/>
        </w:rPr>
        <w:t>határoz</w:t>
      </w:r>
      <w:r>
        <w:rPr>
          <w:spacing w:val="-12"/>
          <w:w w:val="130"/>
          <w:sz w:val="24"/>
        </w:rPr>
        <w:t> </w:t>
      </w:r>
      <w:r>
        <w:rPr>
          <w:w w:val="130"/>
          <w:sz w:val="24"/>
        </w:rPr>
        <w:t>meg,</w:t>
      </w:r>
      <w:r>
        <w:rPr>
          <w:spacing w:val="-13"/>
          <w:w w:val="130"/>
          <w:sz w:val="24"/>
        </w:rPr>
        <w:t> </w:t>
      </w:r>
      <w:r>
        <w:rPr>
          <w:w w:val="130"/>
          <w:sz w:val="24"/>
        </w:rPr>
        <w:t>akkor</w:t>
      </w:r>
    </w:p>
    <w:p>
      <w:pPr>
        <w:pStyle w:val="ListParagraph"/>
        <w:numPr>
          <w:ilvl w:val="1"/>
          <w:numId w:val="217"/>
        </w:numPr>
        <w:tabs>
          <w:tab w:pos="690" w:val="left" w:leader="none"/>
        </w:tabs>
        <w:spacing w:line="225" w:lineRule="auto" w:before="6" w:after="0"/>
        <w:ind w:left="113" w:right="126" w:firstLine="204"/>
        <w:jc w:val="both"/>
        <w:rPr>
          <w:sz w:val="24"/>
        </w:rPr>
      </w:pPr>
      <w:r>
        <w:rPr>
          <w:w w:val="130"/>
          <w:sz w:val="24"/>
        </w:rPr>
        <w:t>a rendszerkockázati tőkepuffer nem járhat aránytalan mértékű negatív hatással az EGT-államban vagy az EGT egészében a pénzügyi közvetítőrendszer egészére vagy részére nézve,</w:t>
      </w:r>
      <w:r>
        <w:rPr>
          <w:spacing w:val="-24"/>
          <w:w w:val="130"/>
          <w:sz w:val="24"/>
        </w:rPr>
        <w:t> </w:t>
      </w:r>
      <w:r>
        <w:rPr>
          <w:w w:val="130"/>
          <w:sz w:val="24"/>
        </w:rPr>
        <w:t>és</w:t>
      </w:r>
    </w:p>
    <w:p>
      <w:pPr>
        <w:pStyle w:val="ListParagraph"/>
        <w:numPr>
          <w:ilvl w:val="1"/>
          <w:numId w:val="217"/>
        </w:numPr>
        <w:tabs>
          <w:tab w:pos="653" w:val="left" w:leader="none"/>
        </w:tabs>
        <w:spacing w:line="256" w:lineRule="exact" w:before="0" w:after="0"/>
        <w:ind w:left="652" w:right="0" w:hanging="335"/>
        <w:jc w:val="left"/>
        <w:rPr>
          <w:sz w:val="24"/>
        </w:rPr>
      </w:pPr>
      <w:r>
        <w:rPr>
          <w:w w:val="130"/>
          <w:sz w:val="24"/>
        </w:rPr>
        <w:t>az</w:t>
      </w:r>
      <w:r>
        <w:rPr>
          <w:spacing w:val="-23"/>
          <w:w w:val="130"/>
          <w:sz w:val="24"/>
        </w:rPr>
        <w:t> </w:t>
      </w:r>
      <w:r>
        <w:rPr>
          <w:w w:val="130"/>
          <w:sz w:val="24"/>
        </w:rPr>
        <w:t>MNB</w:t>
      </w:r>
      <w:r>
        <w:rPr>
          <w:spacing w:val="-15"/>
          <w:w w:val="130"/>
          <w:sz w:val="24"/>
        </w:rPr>
        <w:t> </w:t>
      </w:r>
      <w:r>
        <w:rPr>
          <w:w w:val="130"/>
          <w:sz w:val="24"/>
        </w:rPr>
        <w:t>legalább</w:t>
      </w:r>
      <w:r>
        <w:rPr>
          <w:spacing w:val="-14"/>
          <w:w w:val="130"/>
          <w:sz w:val="24"/>
        </w:rPr>
        <w:t> </w:t>
      </w:r>
      <w:r>
        <w:rPr>
          <w:w w:val="130"/>
          <w:sz w:val="24"/>
        </w:rPr>
        <w:t>kétévente</w:t>
      </w:r>
      <w:r>
        <w:rPr>
          <w:spacing w:val="-15"/>
          <w:w w:val="130"/>
          <w:sz w:val="24"/>
        </w:rPr>
        <w:t> </w:t>
      </w:r>
      <w:r>
        <w:rPr>
          <w:w w:val="130"/>
          <w:sz w:val="24"/>
        </w:rPr>
        <w:t>felülvizsgálja</w:t>
      </w:r>
      <w:r>
        <w:rPr>
          <w:spacing w:val="-13"/>
          <w:w w:val="130"/>
          <w:sz w:val="24"/>
        </w:rPr>
        <w:t> </w:t>
      </w:r>
      <w:r>
        <w:rPr>
          <w:w w:val="130"/>
          <w:sz w:val="24"/>
        </w:rPr>
        <w:t>a</w:t>
      </w:r>
      <w:r>
        <w:rPr>
          <w:spacing w:val="-15"/>
          <w:w w:val="130"/>
          <w:sz w:val="24"/>
        </w:rPr>
        <w:t> </w:t>
      </w:r>
      <w:r>
        <w:rPr>
          <w:w w:val="130"/>
          <w:sz w:val="24"/>
        </w:rPr>
        <w:t>tőkepufferráta</w:t>
      </w:r>
      <w:r>
        <w:rPr>
          <w:spacing w:val="-14"/>
          <w:w w:val="130"/>
          <w:sz w:val="24"/>
        </w:rPr>
        <w:t> </w:t>
      </w:r>
      <w:r>
        <w:rPr>
          <w:w w:val="130"/>
          <w:sz w:val="24"/>
        </w:rPr>
        <w:t>mértékét.</w:t>
      </w:r>
    </w:p>
    <w:p>
      <w:pPr>
        <w:pStyle w:val="ListParagraph"/>
        <w:numPr>
          <w:ilvl w:val="0"/>
          <w:numId w:val="218"/>
        </w:numPr>
        <w:tabs>
          <w:tab w:pos="872" w:val="left" w:leader="none"/>
        </w:tabs>
        <w:spacing w:line="225" w:lineRule="auto" w:before="5" w:after="0"/>
        <w:ind w:left="113" w:right="120" w:firstLine="204"/>
        <w:jc w:val="both"/>
        <w:rPr>
          <w:sz w:val="24"/>
        </w:rPr>
      </w:pPr>
      <w:r>
        <w:rPr>
          <w:w w:val="125"/>
          <w:sz w:val="24"/>
        </w:rPr>
        <w:t>A hitelintézet a rendszerkockázati tőkepuffert elsődleges  alapvető tőkéből képzi az 575/2013/EU rendelet 92. cikkében meghatározott minimum tőkekövetelményen, a tőkefenntartási pufferen, az intézményspecifikus anticiklikus tőkepufferen és a felügyeleti felülvizsgálat keretében előírt többlettőke-követelményen</w:t>
      </w:r>
      <w:r>
        <w:rPr>
          <w:spacing w:val="-1"/>
          <w:w w:val="125"/>
          <w:sz w:val="24"/>
        </w:rPr>
        <w:t> </w:t>
      </w:r>
      <w:r>
        <w:rPr>
          <w:w w:val="125"/>
          <w:sz w:val="24"/>
        </w:rPr>
        <w:t>felül.</w:t>
      </w:r>
    </w:p>
    <w:p>
      <w:pPr>
        <w:spacing w:after="0" w:line="225" w:lineRule="auto"/>
        <w:jc w:val="both"/>
        <w:rPr>
          <w:sz w:val="24"/>
        </w:rPr>
        <w:sectPr>
          <w:pgSz w:w="11900" w:h="16820"/>
          <w:pgMar w:header="1104" w:footer="0" w:top="1840" w:bottom="280" w:left="1020" w:right="1000"/>
        </w:sectPr>
      </w:pPr>
    </w:p>
    <w:p>
      <w:pPr>
        <w:pStyle w:val="ListParagraph"/>
        <w:numPr>
          <w:ilvl w:val="0"/>
          <w:numId w:val="218"/>
        </w:numPr>
        <w:tabs>
          <w:tab w:pos="892" w:val="left" w:leader="none"/>
        </w:tabs>
        <w:spacing w:line="225" w:lineRule="auto" w:before="173" w:after="0"/>
        <w:ind w:left="113" w:right="126" w:firstLine="204"/>
        <w:jc w:val="both"/>
        <w:rPr>
          <w:sz w:val="24"/>
        </w:rPr>
      </w:pPr>
      <w:r>
        <w:rPr>
          <w:w w:val="125"/>
          <w:sz w:val="24"/>
        </w:rPr>
        <w:t>A rendszerkockázati tőkepufferráta mértékét a makroprudenciális feladatkörében eljáró MNB határozza meg az  (5)  bekezdésben meghatározottak</w:t>
      </w:r>
      <w:r>
        <w:rPr>
          <w:spacing w:val="5"/>
          <w:w w:val="125"/>
          <w:sz w:val="24"/>
        </w:rPr>
        <w:t> </w:t>
      </w:r>
      <w:r>
        <w:rPr>
          <w:w w:val="125"/>
          <w:sz w:val="24"/>
        </w:rPr>
        <w:t>szerint.</w:t>
      </w:r>
    </w:p>
    <w:p>
      <w:pPr>
        <w:pStyle w:val="ListParagraph"/>
        <w:numPr>
          <w:ilvl w:val="0"/>
          <w:numId w:val="218"/>
        </w:numPr>
        <w:tabs>
          <w:tab w:pos="784" w:val="left" w:leader="none"/>
        </w:tabs>
        <w:spacing w:line="225" w:lineRule="auto" w:before="1" w:after="0"/>
        <w:ind w:left="113" w:right="126" w:firstLine="204"/>
        <w:jc w:val="both"/>
        <w:rPr>
          <w:sz w:val="24"/>
        </w:rPr>
      </w:pPr>
      <w:r>
        <w:rPr>
          <w:w w:val="130"/>
          <w:sz w:val="24"/>
        </w:rPr>
        <w:t>A rendszerkockázati tőkepufferráta mértéke legalább 1 százalék azzal, hogy ez a százalékérték a növekvő érték meghatározásakor 0,5 százalékponttal vagy annak valamely egész számértékkel szorzott többszörösével</w:t>
      </w:r>
      <w:r>
        <w:rPr>
          <w:spacing w:val="-5"/>
          <w:w w:val="130"/>
          <w:sz w:val="24"/>
        </w:rPr>
        <w:t> </w:t>
      </w:r>
      <w:r>
        <w:rPr>
          <w:w w:val="130"/>
          <w:sz w:val="24"/>
        </w:rPr>
        <w:t>növekedhet.</w:t>
      </w:r>
    </w:p>
    <w:p>
      <w:pPr>
        <w:pStyle w:val="ListParagraph"/>
        <w:numPr>
          <w:ilvl w:val="0"/>
          <w:numId w:val="218"/>
        </w:numPr>
        <w:tabs>
          <w:tab w:pos="659" w:val="left" w:leader="none"/>
        </w:tabs>
        <w:spacing w:line="225" w:lineRule="auto" w:before="3" w:after="0"/>
        <w:ind w:left="113" w:right="124" w:firstLine="204"/>
        <w:jc w:val="both"/>
        <w:rPr>
          <w:sz w:val="24"/>
        </w:rPr>
      </w:pPr>
      <w:r>
        <w:rPr>
          <w:i/>
          <w:w w:val="130"/>
          <w:position w:val="3"/>
          <w:sz w:val="18"/>
        </w:rPr>
        <w:t>1</w:t>
      </w:r>
      <w:r>
        <w:rPr>
          <w:i/>
          <w:spacing w:val="9"/>
          <w:w w:val="130"/>
          <w:position w:val="3"/>
          <w:sz w:val="18"/>
        </w:rPr>
        <w:t> </w:t>
      </w:r>
      <w:r>
        <w:rPr>
          <w:w w:val="130"/>
          <w:sz w:val="24"/>
        </w:rPr>
        <w:t>Az</w:t>
      </w:r>
      <w:r>
        <w:rPr>
          <w:spacing w:val="-11"/>
          <w:w w:val="130"/>
          <w:sz w:val="24"/>
        </w:rPr>
        <w:t> </w:t>
      </w:r>
      <w:r>
        <w:rPr>
          <w:w w:val="130"/>
          <w:sz w:val="24"/>
        </w:rPr>
        <w:t>575/2013/EU</w:t>
      </w:r>
      <w:r>
        <w:rPr>
          <w:spacing w:val="-10"/>
          <w:w w:val="130"/>
          <w:sz w:val="24"/>
        </w:rPr>
        <w:t> </w:t>
      </w:r>
      <w:r>
        <w:rPr>
          <w:w w:val="130"/>
          <w:sz w:val="24"/>
        </w:rPr>
        <w:t>rendelet</w:t>
      </w:r>
      <w:r>
        <w:rPr>
          <w:spacing w:val="-11"/>
          <w:w w:val="130"/>
          <w:sz w:val="24"/>
        </w:rPr>
        <w:t> </w:t>
      </w:r>
      <w:r>
        <w:rPr>
          <w:w w:val="130"/>
          <w:sz w:val="24"/>
        </w:rPr>
        <w:t>alapján</w:t>
      </w:r>
      <w:r>
        <w:rPr>
          <w:spacing w:val="-10"/>
          <w:w w:val="130"/>
          <w:sz w:val="24"/>
        </w:rPr>
        <w:t> </w:t>
      </w:r>
      <w:r>
        <w:rPr>
          <w:w w:val="130"/>
          <w:sz w:val="24"/>
        </w:rPr>
        <w:t>összevont</w:t>
      </w:r>
      <w:r>
        <w:rPr>
          <w:spacing w:val="-11"/>
          <w:w w:val="130"/>
          <w:sz w:val="24"/>
        </w:rPr>
        <w:t> </w:t>
      </w:r>
      <w:r>
        <w:rPr>
          <w:w w:val="130"/>
          <w:sz w:val="24"/>
        </w:rPr>
        <w:t>alapú</w:t>
      </w:r>
      <w:r>
        <w:rPr>
          <w:spacing w:val="-10"/>
          <w:w w:val="130"/>
          <w:sz w:val="24"/>
        </w:rPr>
        <w:t> </w:t>
      </w:r>
      <w:r>
        <w:rPr>
          <w:w w:val="130"/>
          <w:sz w:val="24"/>
        </w:rPr>
        <w:t>felügyelet</w:t>
      </w:r>
      <w:r>
        <w:rPr>
          <w:spacing w:val="-11"/>
          <w:w w:val="130"/>
          <w:sz w:val="24"/>
        </w:rPr>
        <w:t> </w:t>
      </w:r>
      <w:r>
        <w:rPr>
          <w:w w:val="130"/>
          <w:sz w:val="24"/>
        </w:rPr>
        <w:t>alá</w:t>
      </w:r>
      <w:r>
        <w:rPr>
          <w:spacing w:val="-10"/>
          <w:w w:val="130"/>
          <w:sz w:val="24"/>
        </w:rPr>
        <w:t> </w:t>
      </w:r>
      <w:r>
        <w:rPr>
          <w:w w:val="130"/>
          <w:sz w:val="24"/>
        </w:rPr>
        <w:t>tartozó hitelintézet számára a makroprudenciális feladatkörében eljáró MNB határozatban előírhatja, hogy egyedi és összevont alapon is képezzen rendszerkockázati</w:t>
      </w:r>
      <w:r>
        <w:rPr>
          <w:spacing w:val="-3"/>
          <w:w w:val="130"/>
          <w:sz w:val="24"/>
        </w:rPr>
        <w:t> </w:t>
      </w:r>
      <w:r>
        <w:rPr>
          <w:w w:val="130"/>
          <w:sz w:val="24"/>
        </w:rPr>
        <w:t>tőkepuffert.</w:t>
      </w:r>
    </w:p>
    <w:p>
      <w:pPr>
        <w:pStyle w:val="BodyText"/>
        <w:spacing w:before="229"/>
        <w:ind w:left="2097" w:firstLine="0"/>
      </w:pPr>
      <w:r>
        <w:rPr>
          <w:w w:val="125"/>
        </w:rPr>
        <w:t>45. Tőkepufferekre vonatkozó közös szabályok</w:t>
      </w:r>
    </w:p>
    <w:p>
      <w:pPr>
        <w:pStyle w:val="ListParagraph"/>
        <w:numPr>
          <w:ilvl w:val="1"/>
          <w:numId w:val="213"/>
        </w:numPr>
        <w:tabs>
          <w:tab w:pos="818" w:val="left" w:leader="none"/>
        </w:tabs>
        <w:spacing w:line="269" w:lineRule="exact" w:before="223" w:after="0"/>
        <w:ind w:left="817" w:right="0" w:hanging="500"/>
        <w:jc w:val="left"/>
        <w:rPr>
          <w:sz w:val="24"/>
        </w:rPr>
      </w:pPr>
      <w:r>
        <w:rPr>
          <w:rFonts w:ascii="Arial" w:hAnsi="Arial"/>
          <w:b/>
          <w:w w:val="120"/>
          <w:sz w:val="24"/>
        </w:rPr>
        <w:t>§ </w:t>
      </w:r>
      <w:r>
        <w:rPr>
          <w:w w:val="120"/>
          <w:sz w:val="24"/>
        </w:rPr>
        <w:t>(1) A kombinált pufferkövetelmény a tőkefenntartási puffer</w:t>
      </w:r>
      <w:r>
        <w:rPr>
          <w:spacing w:val="38"/>
          <w:w w:val="120"/>
          <w:sz w:val="24"/>
        </w:rPr>
        <w:t> </w:t>
      </w:r>
      <w:r>
        <w:rPr>
          <w:w w:val="120"/>
          <w:sz w:val="24"/>
        </w:rPr>
        <w:t>és</w:t>
      </w:r>
    </w:p>
    <w:p>
      <w:pPr>
        <w:pStyle w:val="ListParagraph"/>
        <w:numPr>
          <w:ilvl w:val="0"/>
          <w:numId w:val="219"/>
        </w:numPr>
        <w:tabs>
          <w:tab w:pos="631" w:val="left" w:leader="none"/>
        </w:tabs>
        <w:spacing w:line="260" w:lineRule="exact" w:before="0" w:after="0"/>
        <w:ind w:left="630" w:right="0" w:hanging="313"/>
        <w:jc w:val="left"/>
        <w:rPr>
          <w:sz w:val="24"/>
        </w:rPr>
      </w:pPr>
      <w:r>
        <w:rPr>
          <w:w w:val="125"/>
          <w:sz w:val="24"/>
        </w:rPr>
        <w:t>az intézményspecifikus anticiklikus</w:t>
      </w:r>
      <w:r>
        <w:rPr>
          <w:spacing w:val="-5"/>
          <w:w w:val="125"/>
          <w:sz w:val="24"/>
        </w:rPr>
        <w:t> </w:t>
      </w:r>
      <w:r>
        <w:rPr>
          <w:w w:val="125"/>
          <w:sz w:val="24"/>
        </w:rPr>
        <w:t>tőkepuffer-követelménynek,</w:t>
      </w:r>
    </w:p>
    <w:p>
      <w:pPr>
        <w:pStyle w:val="ListParagraph"/>
        <w:numPr>
          <w:ilvl w:val="0"/>
          <w:numId w:val="219"/>
        </w:numPr>
        <w:tabs>
          <w:tab w:pos="856" w:val="left" w:leader="none"/>
        </w:tabs>
        <w:spacing w:line="225" w:lineRule="auto" w:before="5" w:after="0"/>
        <w:ind w:left="113" w:right="123" w:firstLine="204"/>
        <w:jc w:val="both"/>
        <w:rPr>
          <w:sz w:val="24"/>
        </w:rPr>
      </w:pPr>
      <w:r>
        <w:rPr>
          <w:w w:val="125"/>
          <w:sz w:val="24"/>
        </w:rPr>
        <w:t>a globálisan rendszerszinten jelentős hitelintézetekre vonatkozó tőkepuffer-követelménynek,</w:t>
      </w:r>
    </w:p>
    <w:p>
      <w:pPr>
        <w:pStyle w:val="ListParagraph"/>
        <w:numPr>
          <w:ilvl w:val="0"/>
          <w:numId w:val="219"/>
        </w:numPr>
        <w:tabs>
          <w:tab w:pos="906" w:val="left" w:leader="none"/>
        </w:tabs>
        <w:spacing w:line="225" w:lineRule="auto" w:before="1" w:after="0"/>
        <w:ind w:left="113" w:right="124" w:firstLine="204"/>
        <w:jc w:val="both"/>
        <w:rPr>
          <w:sz w:val="24"/>
        </w:rPr>
      </w:pPr>
      <w:r>
        <w:rPr>
          <w:w w:val="125"/>
          <w:sz w:val="24"/>
        </w:rPr>
        <w:t>az egyéb rendszerszinten jelentős hitelintézetekre vonatkozó tőkepuffer-követelménynek,</w:t>
      </w:r>
      <w:r>
        <w:rPr>
          <w:spacing w:val="-1"/>
          <w:w w:val="125"/>
          <w:sz w:val="24"/>
        </w:rPr>
        <w:t> </w:t>
      </w:r>
      <w:r>
        <w:rPr>
          <w:w w:val="125"/>
          <w:sz w:val="24"/>
        </w:rPr>
        <w:t>és</w:t>
      </w:r>
    </w:p>
    <w:p>
      <w:pPr>
        <w:pStyle w:val="ListParagraph"/>
        <w:numPr>
          <w:ilvl w:val="0"/>
          <w:numId w:val="219"/>
        </w:numPr>
        <w:tabs>
          <w:tab w:pos="653" w:val="left" w:leader="none"/>
        </w:tabs>
        <w:spacing w:line="256" w:lineRule="exact" w:before="0" w:after="0"/>
        <w:ind w:left="652" w:right="0" w:hanging="335"/>
        <w:jc w:val="left"/>
        <w:rPr>
          <w:sz w:val="24"/>
        </w:rPr>
      </w:pPr>
      <w:r>
        <w:rPr>
          <w:w w:val="130"/>
          <w:sz w:val="24"/>
        </w:rPr>
        <w:t>a rendszerkockázati</w:t>
      </w:r>
      <w:r>
        <w:rPr>
          <w:spacing w:val="-11"/>
          <w:w w:val="130"/>
          <w:sz w:val="24"/>
        </w:rPr>
        <w:t> </w:t>
      </w:r>
      <w:r>
        <w:rPr>
          <w:w w:val="130"/>
          <w:sz w:val="24"/>
        </w:rPr>
        <w:t>tőkepuffer-követelménynek</w:t>
      </w:r>
    </w:p>
    <w:p>
      <w:pPr>
        <w:pStyle w:val="BodyText"/>
        <w:spacing w:line="225" w:lineRule="auto" w:before="6"/>
        <w:ind w:right="133" w:firstLine="0"/>
      </w:pPr>
      <w:r>
        <w:rPr>
          <w:w w:val="125"/>
        </w:rPr>
        <w:t>a (2), (3), (4), (5), (6) vagy (7) bekezdés szerinti kombinált összegzés eredménye.</w:t>
      </w:r>
    </w:p>
    <w:p>
      <w:pPr>
        <w:pStyle w:val="ListParagraph"/>
        <w:numPr>
          <w:ilvl w:val="0"/>
          <w:numId w:val="220"/>
        </w:numPr>
        <w:tabs>
          <w:tab w:pos="865" w:val="left" w:leader="none"/>
        </w:tabs>
        <w:spacing w:line="225" w:lineRule="auto" w:before="1" w:after="0"/>
        <w:ind w:left="113" w:right="122" w:firstLine="204"/>
        <w:jc w:val="both"/>
        <w:rPr>
          <w:sz w:val="24"/>
        </w:rPr>
      </w:pPr>
      <w:r>
        <w:rPr>
          <w:w w:val="125"/>
          <w:sz w:val="24"/>
        </w:rPr>
        <w:t>Ha a hitelintézetre összevont alapon előírásra kerül a globálisan rendszerszinten jelentős hitelintézetre és az egyéb rendszerszinten jelentős hitelintézetre vonatkozó tőkepuffer-követelmény is, akkor a kettő közül a magasabb értéket</w:t>
      </w:r>
      <w:r>
        <w:rPr>
          <w:spacing w:val="2"/>
          <w:w w:val="125"/>
          <w:sz w:val="24"/>
        </w:rPr>
        <w:t> </w:t>
      </w:r>
      <w:r>
        <w:rPr>
          <w:w w:val="125"/>
          <w:sz w:val="24"/>
        </w:rPr>
        <w:t>alkalmazza.</w:t>
      </w:r>
    </w:p>
    <w:p>
      <w:pPr>
        <w:pStyle w:val="ListParagraph"/>
        <w:numPr>
          <w:ilvl w:val="0"/>
          <w:numId w:val="220"/>
        </w:numPr>
        <w:tabs>
          <w:tab w:pos="865" w:val="left" w:leader="none"/>
          <w:tab w:pos="2409" w:val="left" w:leader="none"/>
          <w:tab w:pos="4284" w:val="left" w:leader="none"/>
          <w:tab w:pos="7897" w:val="left" w:leader="none"/>
          <w:tab w:pos="9598" w:val="left" w:leader="none"/>
        </w:tabs>
        <w:spacing w:line="225" w:lineRule="auto" w:before="2" w:after="0"/>
        <w:ind w:left="113" w:right="122" w:firstLine="204"/>
        <w:jc w:val="both"/>
        <w:rPr>
          <w:sz w:val="24"/>
        </w:rPr>
      </w:pPr>
      <w:r>
        <w:rPr>
          <w:w w:val="130"/>
          <w:sz w:val="24"/>
        </w:rPr>
        <w:t>Ha a hitelintézetre összevont alapon előírásra kerül a globálisan rendszerszinten jelentős hitelintézetre és az egyéb rendszerszinten jelentős hitelintézetre</w:t>
        <w:tab/>
        <w:t>vonatkozó</w:t>
        <w:tab/>
      </w:r>
      <w:r>
        <w:rPr>
          <w:w w:val="125"/>
          <w:sz w:val="24"/>
        </w:rPr>
        <w:t>tőkepuffer-követelmény,</w:t>
        <w:tab/>
      </w:r>
      <w:r>
        <w:rPr>
          <w:w w:val="130"/>
          <w:sz w:val="24"/>
        </w:rPr>
        <w:t>valamint</w:t>
        <w:tab/>
        <w:t>a rendszerkockázati tőkepuffer-követelmény is, akkor a három közül a legmagasabbat</w:t>
      </w:r>
      <w:r>
        <w:rPr>
          <w:spacing w:val="11"/>
          <w:w w:val="130"/>
          <w:sz w:val="24"/>
        </w:rPr>
        <w:t> </w:t>
      </w:r>
      <w:r>
        <w:rPr>
          <w:w w:val="130"/>
          <w:sz w:val="24"/>
        </w:rPr>
        <w:t>alkalmazza.</w:t>
      </w:r>
    </w:p>
    <w:p>
      <w:pPr>
        <w:pStyle w:val="ListParagraph"/>
        <w:numPr>
          <w:ilvl w:val="0"/>
          <w:numId w:val="220"/>
        </w:numPr>
        <w:tabs>
          <w:tab w:pos="736" w:val="left" w:leader="none"/>
          <w:tab w:pos="1624" w:val="left" w:leader="none"/>
          <w:tab w:pos="4356" w:val="left" w:leader="none"/>
          <w:tab w:pos="6096" w:val="left" w:leader="none"/>
          <w:tab w:pos="8520" w:val="left" w:leader="none"/>
        </w:tabs>
        <w:spacing w:line="225" w:lineRule="auto" w:before="3" w:after="0"/>
        <w:ind w:left="113" w:right="124" w:firstLine="204"/>
        <w:jc w:val="both"/>
        <w:rPr>
          <w:sz w:val="24"/>
        </w:rPr>
      </w:pPr>
      <w:r>
        <w:rPr>
          <w:w w:val="125"/>
          <w:sz w:val="24"/>
        </w:rPr>
        <w:t>Ha a hitelintézetre egyedi vagy szubkonszolidált alapon előírásra kerül az egyéb</w:t>
        <w:tab/>
        <w:t>rendszerszinten</w:t>
        <w:tab/>
        <w:t>jelentős</w:t>
        <w:tab/>
        <w:t>hitelintézetre</w:t>
        <w:tab/>
      </w:r>
      <w:r>
        <w:rPr>
          <w:spacing w:val="-3"/>
          <w:w w:val="125"/>
          <w:sz w:val="24"/>
        </w:rPr>
        <w:t>vonatkozó </w:t>
      </w:r>
      <w:r>
        <w:rPr>
          <w:w w:val="125"/>
          <w:sz w:val="24"/>
        </w:rPr>
        <w:t>tőkepuffer-követelmény és a rendszerkockázati tőkepuffer-követelmény, akkor a kettő közül a magasabbat</w:t>
      </w:r>
      <w:r>
        <w:rPr>
          <w:spacing w:val="4"/>
          <w:w w:val="125"/>
          <w:sz w:val="24"/>
        </w:rPr>
        <w:t> </w:t>
      </w:r>
      <w:r>
        <w:rPr>
          <w:w w:val="125"/>
          <w:sz w:val="24"/>
        </w:rPr>
        <w:t>alkalmazza.</w:t>
      </w:r>
    </w:p>
    <w:p>
      <w:pPr>
        <w:pStyle w:val="ListParagraph"/>
        <w:numPr>
          <w:ilvl w:val="0"/>
          <w:numId w:val="220"/>
        </w:numPr>
        <w:tabs>
          <w:tab w:pos="933" w:val="left" w:leader="none"/>
        </w:tabs>
        <w:spacing w:line="225" w:lineRule="auto" w:before="2" w:after="0"/>
        <w:ind w:left="113" w:right="122" w:firstLine="204"/>
        <w:jc w:val="both"/>
        <w:rPr>
          <w:sz w:val="24"/>
        </w:rPr>
      </w:pPr>
      <w:r>
        <w:rPr>
          <w:w w:val="125"/>
          <w:sz w:val="24"/>
        </w:rPr>
        <w:t>A (3) és a (4) bekezdéstől eltérően, ha a rendszerkockázati tőkepuffer-követelmény nem alkalmazandó a Magyarországon kívüli féllel szembeni kitettségre, akkor a kombinált pufferkövetelmény  a rendszerkockázati tőkepuffer-követelménynek, valamint a globálisan rendszerszinten jelentős hitelintézetre vagy az egyéb rendszerszinten jelentős hitelintézetre vonatkozó tőkepuffer-követelményének</w:t>
      </w:r>
      <w:r>
        <w:rPr>
          <w:spacing w:val="4"/>
          <w:w w:val="125"/>
          <w:sz w:val="24"/>
        </w:rPr>
        <w:t> </w:t>
      </w:r>
      <w:r>
        <w:rPr>
          <w:w w:val="125"/>
          <w:sz w:val="24"/>
        </w:rPr>
        <w:t>összege.</w:t>
      </w:r>
    </w:p>
    <w:p>
      <w:pPr>
        <w:pStyle w:val="ListParagraph"/>
        <w:numPr>
          <w:ilvl w:val="0"/>
          <w:numId w:val="220"/>
        </w:numPr>
        <w:tabs>
          <w:tab w:pos="827" w:val="left" w:leader="none"/>
        </w:tabs>
        <w:spacing w:line="225" w:lineRule="auto" w:before="4" w:after="0"/>
        <w:ind w:left="113" w:right="124" w:firstLine="204"/>
        <w:jc w:val="both"/>
        <w:rPr>
          <w:sz w:val="24"/>
        </w:rPr>
      </w:pPr>
      <w:r>
        <w:rPr>
          <w:w w:val="125"/>
          <w:sz w:val="24"/>
        </w:rPr>
        <w:t>Ha a hitelintézet egy olyan összevont alapú felügyelet alá tartozik, amelyhez egy globálisan rendszerszinten vagy egyéb rendszerszinten jelentős hitelintézet tartozik, akkor a hitelintézet egyedi kombinált pufferkövetelménye nem lehet alacsonyabb,</w:t>
      </w:r>
      <w:r>
        <w:rPr>
          <w:spacing w:val="3"/>
          <w:w w:val="125"/>
          <w:sz w:val="24"/>
        </w:rPr>
        <w:t> </w:t>
      </w:r>
      <w:r>
        <w:rPr>
          <w:w w:val="125"/>
          <w:sz w:val="24"/>
        </w:rPr>
        <w:t>mint</w:t>
      </w:r>
    </w:p>
    <w:p>
      <w:pPr>
        <w:pStyle w:val="ListParagraph"/>
        <w:numPr>
          <w:ilvl w:val="0"/>
          <w:numId w:val="221"/>
        </w:numPr>
        <w:tabs>
          <w:tab w:pos="631" w:val="left" w:leader="none"/>
        </w:tabs>
        <w:spacing w:line="257" w:lineRule="exact" w:before="0" w:after="0"/>
        <w:ind w:left="630" w:right="0" w:hanging="313"/>
        <w:jc w:val="left"/>
        <w:rPr>
          <w:sz w:val="24"/>
        </w:rPr>
      </w:pPr>
      <w:r>
        <w:rPr>
          <w:w w:val="130"/>
          <w:sz w:val="24"/>
        </w:rPr>
        <w:t>a tőkefenntartási</w:t>
      </w:r>
      <w:r>
        <w:rPr>
          <w:spacing w:val="-10"/>
          <w:w w:val="130"/>
          <w:sz w:val="24"/>
        </w:rPr>
        <w:t> </w:t>
      </w:r>
      <w:r>
        <w:rPr>
          <w:w w:val="130"/>
          <w:sz w:val="24"/>
        </w:rPr>
        <w:t>pufferkövetelmény,</w:t>
      </w:r>
    </w:p>
    <w:p>
      <w:pPr>
        <w:pStyle w:val="ListParagraph"/>
        <w:numPr>
          <w:ilvl w:val="0"/>
          <w:numId w:val="221"/>
        </w:numPr>
        <w:tabs>
          <w:tab w:pos="653" w:val="left" w:leader="none"/>
        </w:tabs>
        <w:spacing w:line="260" w:lineRule="exact" w:before="0" w:after="0"/>
        <w:ind w:left="652" w:right="0" w:hanging="335"/>
        <w:jc w:val="left"/>
        <w:rPr>
          <w:sz w:val="24"/>
        </w:rPr>
      </w:pPr>
      <w:r>
        <w:rPr>
          <w:w w:val="125"/>
          <w:sz w:val="24"/>
        </w:rPr>
        <w:t>az intézményspecifikus anticiklikus tőkepuffer-követelmény</w:t>
      </w:r>
      <w:r>
        <w:rPr>
          <w:spacing w:val="1"/>
          <w:w w:val="125"/>
          <w:sz w:val="24"/>
        </w:rPr>
        <w:t> </w:t>
      </w:r>
      <w:r>
        <w:rPr>
          <w:w w:val="125"/>
          <w:sz w:val="24"/>
        </w:rPr>
        <w:t>és</w:t>
      </w:r>
    </w:p>
    <w:p>
      <w:pPr>
        <w:pStyle w:val="ListParagraph"/>
        <w:numPr>
          <w:ilvl w:val="0"/>
          <w:numId w:val="221"/>
        </w:numPr>
        <w:tabs>
          <w:tab w:pos="631" w:val="left" w:leader="none"/>
        </w:tabs>
        <w:spacing w:line="225" w:lineRule="auto" w:before="5" w:after="0"/>
        <w:ind w:left="113" w:right="123" w:firstLine="204"/>
        <w:jc w:val="both"/>
        <w:rPr>
          <w:sz w:val="24"/>
        </w:rPr>
      </w:pPr>
      <w:r>
        <w:rPr>
          <w:w w:val="125"/>
          <w:sz w:val="24"/>
        </w:rPr>
        <w:t>a globálisan rendszerszinten jelentős és az egyéb rendszerszinten jelentős hitelintézetre vonatkozó tőkepuffer-követelmény vagy a rendszerkockázati tőkepuffer-követelmény közül a magasabb</w:t>
      </w:r>
      <w:r>
        <w:rPr>
          <w:spacing w:val="1"/>
          <w:w w:val="125"/>
          <w:sz w:val="24"/>
        </w:rPr>
        <w:t> </w:t>
      </w:r>
      <w:r>
        <w:rPr>
          <w:w w:val="125"/>
          <w:sz w:val="24"/>
        </w:rPr>
        <w:t>tőkepuffer-követelmény</w:t>
      </w:r>
    </w:p>
    <w:p>
      <w:pPr>
        <w:pStyle w:val="BodyText"/>
        <w:spacing w:before="8"/>
        <w:ind w:left="0" w:firstLine="0"/>
        <w:rPr>
          <w:sz w:val="8"/>
        </w:rPr>
      </w:pPr>
      <w:r>
        <w:rPr/>
        <w:pict>
          <v:line style="position:absolute;mso-position-horizontal-relative:page;mso-position-vertical-relative:paragraph;z-index:320;mso-wrap-distance-left:0;mso-wrap-distance-right:0" from="56.693001pt,7.22532pt" to="538.583001pt,7.2253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LXXXV. törvény 237. §</w:t>
      </w:r>
      <w:r>
        <w:rPr>
          <w:i/>
          <w:spacing w:val="-5"/>
          <w:w w:val="125"/>
          <w:sz w:val="18"/>
        </w:rPr>
        <w:t> </w:t>
      </w:r>
      <w:r>
        <w:rPr>
          <w:i/>
          <w:w w:val="125"/>
          <w:sz w:val="18"/>
        </w:rPr>
        <w:t>d).</w:t>
      </w:r>
    </w:p>
    <w:p>
      <w:pPr>
        <w:spacing w:after="0"/>
        <w:jc w:val="left"/>
        <w:rPr>
          <w:sz w:val="18"/>
        </w:rPr>
        <w:sectPr>
          <w:pgSz w:w="11900" w:h="16820"/>
          <w:pgMar w:header="1104" w:footer="0" w:top="1840" w:bottom="280" w:left="1020" w:right="1000"/>
        </w:sectPr>
      </w:pPr>
    </w:p>
    <w:p>
      <w:pPr>
        <w:pStyle w:val="BodyText"/>
        <w:spacing w:line="268" w:lineRule="exact" w:before="159"/>
        <w:ind w:firstLine="0"/>
      </w:pPr>
      <w:r>
        <w:rPr>
          <w:w w:val="130"/>
        </w:rPr>
        <w:t>összege.</w:t>
      </w:r>
    </w:p>
    <w:p>
      <w:pPr>
        <w:pStyle w:val="ListParagraph"/>
        <w:numPr>
          <w:ilvl w:val="0"/>
          <w:numId w:val="220"/>
        </w:numPr>
        <w:tabs>
          <w:tab w:pos="774" w:val="left" w:leader="none"/>
        </w:tabs>
        <w:spacing w:line="225" w:lineRule="auto" w:before="6" w:after="0"/>
        <w:ind w:left="113" w:right="124" w:firstLine="204"/>
        <w:jc w:val="both"/>
        <w:rPr>
          <w:sz w:val="24"/>
        </w:rPr>
      </w:pPr>
      <w:r>
        <w:rPr>
          <w:w w:val="125"/>
          <w:sz w:val="24"/>
        </w:rPr>
        <w:t>Az (5) bekezdésben meghatározott esetben, ha a hitelintézet egy olyan összevont alapú felügyelet alá tartozik, amelyhez valamely globálisan vagy egyéb rendszerszinten jelentős hitelintézet  tartozik,  akkor  a  hitelintézet egyedi kombinált pufferkövetelménye nem lehet alacsonyabb,</w:t>
      </w:r>
      <w:r>
        <w:rPr>
          <w:spacing w:val="9"/>
          <w:w w:val="125"/>
          <w:sz w:val="24"/>
        </w:rPr>
        <w:t> </w:t>
      </w:r>
      <w:r>
        <w:rPr>
          <w:w w:val="125"/>
          <w:sz w:val="24"/>
        </w:rPr>
        <w:t>mint</w:t>
      </w:r>
    </w:p>
    <w:p>
      <w:pPr>
        <w:pStyle w:val="ListParagraph"/>
        <w:numPr>
          <w:ilvl w:val="0"/>
          <w:numId w:val="222"/>
        </w:numPr>
        <w:tabs>
          <w:tab w:pos="631" w:val="left" w:leader="none"/>
        </w:tabs>
        <w:spacing w:line="257" w:lineRule="exact" w:before="0" w:after="0"/>
        <w:ind w:left="630" w:right="0" w:hanging="313"/>
        <w:jc w:val="left"/>
        <w:rPr>
          <w:sz w:val="24"/>
        </w:rPr>
      </w:pPr>
      <w:r>
        <w:rPr>
          <w:w w:val="130"/>
          <w:sz w:val="24"/>
        </w:rPr>
        <w:t>a tőkefenntartási</w:t>
      </w:r>
      <w:r>
        <w:rPr>
          <w:spacing w:val="-10"/>
          <w:w w:val="130"/>
          <w:sz w:val="24"/>
        </w:rPr>
        <w:t> </w:t>
      </w:r>
      <w:r>
        <w:rPr>
          <w:w w:val="130"/>
          <w:sz w:val="24"/>
        </w:rPr>
        <w:t>pufferkövetelmény,</w:t>
      </w:r>
    </w:p>
    <w:p>
      <w:pPr>
        <w:pStyle w:val="ListParagraph"/>
        <w:numPr>
          <w:ilvl w:val="0"/>
          <w:numId w:val="222"/>
        </w:numPr>
        <w:tabs>
          <w:tab w:pos="653" w:val="left" w:leader="none"/>
        </w:tabs>
        <w:spacing w:line="260" w:lineRule="exact" w:before="0" w:after="0"/>
        <w:ind w:left="652" w:right="0" w:hanging="335"/>
        <w:jc w:val="left"/>
        <w:rPr>
          <w:sz w:val="24"/>
        </w:rPr>
      </w:pPr>
      <w:r>
        <w:rPr>
          <w:w w:val="125"/>
          <w:sz w:val="24"/>
        </w:rPr>
        <w:t>az intézményspecifikus anticiklikus</w:t>
      </w:r>
      <w:r>
        <w:rPr>
          <w:spacing w:val="-14"/>
          <w:w w:val="125"/>
          <w:sz w:val="24"/>
        </w:rPr>
        <w:t> </w:t>
      </w:r>
      <w:r>
        <w:rPr>
          <w:w w:val="125"/>
          <w:sz w:val="24"/>
        </w:rPr>
        <w:t>tőkepuffer-követelmény,</w:t>
      </w:r>
    </w:p>
    <w:p>
      <w:pPr>
        <w:pStyle w:val="ListParagraph"/>
        <w:numPr>
          <w:ilvl w:val="0"/>
          <w:numId w:val="222"/>
        </w:numPr>
        <w:tabs>
          <w:tab w:pos="631" w:val="left" w:leader="none"/>
        </w:tabs>
        <w:spacing w:line="225" w:lineRule="auto" w:before="5" w:after="0"/>
        <w:ind w:left="113" w:right="123" w:firstLine="204"/>
        <w:jc w:val="left"/>
        <w:rPr>
          <w:sz w:val="24"/>
        </w:rPr>
      </w:pPr>
      <w:r>
        <w:rPr>
          <w:w w:val="125"/>
          <w:sz w:val="24"/>
        </w:rPr>
        <w:t>a globálisan rendszerszinten jelentős és az egyéb rendszerszinten jelentős hitelintézetre vonatkozó tőkepuffer-követelmény</w:t>
      </w:r>
      <w:r>
        <w:rPr>
          <w:spacing w:val="2"/>
          <w:w w:val="125"/>
          <w:sz w:val="24"/>
        </w:rPr>
        <w:t> </w:t>
      </w:r>
      <w:r>
        <w:rPr>
          <w:w w:val="125"/>
          <w:sz w:val="24"/>
        </w:rPr>
        <w:t>és</w:t>
      </w:r>
    </w:p>
    <w:p>
      <w:pPr>
        <w:pStyle w:val="ListParagraph"/>
        <w:numPr>
          <w:ilvl w:val="0"/>
          <w:numId w:val="222"/>
        </w:numPr>
        <w:tabs>
          <w:tab w:pos="653" w:val="left" w:leader="none"/>
        </w:tabs>
        <w:spacing w:line="225" w:lineRule="auto" w:before="1" w:after="0"/>
        <w:ind w:left="113" w:right="3811" w:firstLine="204"/>
        <w:jc w:val="left"/>
        <w:rPr>
          <w:sz w:val="24"/>
        </w:rPr>
      </w:pPr>
      <w:r>
        <w:rPr>
          <w:w w:val="125"/>
          <w:sz w:val="24"/>
        </w:rPr>
        <w:t>a rendszerkockázati tőkepuffer-követelmény összege.</w:t>
      </w:r>
    </w:p>
    <w:p>
      <w:pPr>
        <w:pStyle w:val="ListParagraph"/>
        <w:numPr>
          <w:ilvl w:val="0"/>
          <w:numId w:val="220"/>
        </w:numPr>
        <w:tabs>
          <w:tab w:pos="736" w:val="left" w:leader="none"/>
        </w:tabs>
        <w:spacing w:line="225" w:lineRule="auto" w:before="1" w:after="0"/>
        <w:ind w:left="113" w:right="135" w:firstLine="204"/>
        <w:jc w:val="left"/>
        <w:rPr>
          <w:sz w:val="24"/>
        </w:rPr>
      </w:pPr>
      <w:r>
        <w:rPr>
          <w:w w:val="130"/>
          <w:sz w:val="24"/>
        </w:rPr>
        <w:t>A</w:t>
      </w:r>
      <w:r>
        <w:rPr>
          <w:spacing w:val="-33"/>
          <w:w w:val="130"/>
          <w:sz w:val="24"/>
        </w:rPr>
        <w:t> </w:t>
      </w:r>
      <w:r>
        <w:rPr>
          <w:w w:val="130"/>
          <w:sz w:val="24"/>
        </w:rPr>
        <w:t>tőkepufferekre</w:t>
      </w:r>
      <w:r>
        <w:rPr>
          <w:spacing w:val="-32"/>
          <w:w w:val="130"/>
          <w:sz w:val="24"/>
        </w:rPr>
        <w:t> </w:t>
      </w:r>
      <w:r>
        <w:rPr>
          <w:w w:val="130"/>
          <w:sz w:val="24"/>
        </w:rPr>
        <w:t>vonatkozó</w:t>
      </w:r>
      <w:r>
        <w:rPr>
          <w:spacing w:val="-33"/>
          <w:w w:val="130"/>
          <w:sz w:val="24"/>
        </w:rPr>
        <w:t> </w:t>
      </w:r>
      <w:r>
        <w:rPr>
          <w:w w:val="130"/>
          <w:sz w:val="24"/>
        </w:rPr>
        <w:t>rendelkezéseket</w:t>
      </w:r>
      <w:r>
        <w:rPr>
          <w:spacing w:val="-33"/>
          <w:w w:val="130"/>
          <w:sz w:val="24"/>
        </w:rPr>
        <w:t> </w:t>
      </w:r>
      <w:r>
        <w:rPr>
          <w:w w:val="130"/>
          <w:sz w:val="24"/>
        </w:rPr>
        <w:t>a</w:t>
      </w:r>
      <w:r>
        <w:rPr>
          <w:spacing w:val="-32"/>
          <w:w w:val="130"/>
          <w:sz w:val="24"/>
        </w:rPr>
        <w:t> </w:t>
      </w:r>
      <w:r>
        <w:rPr>
          <w:w w:val="130"/>
          <w:sz w:val="24"/>
        </w:rPr>
        <w:t>központi</w:t>
      </w:r>
      <w:r>
        <w:rPr>
          <w:spacing w:val="-33"/>
          <w:w w:val="130"/>
          <w:sz w:val="24"/>
        </w:rPr>
        <w:t> </w:t>
      </w:r>
      <w:r>
        <w:rPr>
          <w:w w:val="130"/>
          <w:sz w:val="24"/>
        </w:rPr>
        <w:t>szervhez</w:t>
      </w:r>
      <w:r>
        <w:rPr>
          <w:spacing w:val="-32"/>
          <w:w w:val="130"/>
          <w:sz w:val="24"/>
        </w:rPr>
        <w:t> </w:t>
      </w:r>
      <w:r>
        <w:rPr>
          <w:w w:val="130"/>
          <w:sz w:val="24"/>
        </w:rPr>
        <w:t>tartósan kapcsolt hitelintézet a központi szervével együttesen</w:t>
      </w:r>
      <w:r>
        <w:rPr>
          <w:spacing w:val="-45"/>
          <w:w w:val="130"/>
          <w:sz w:val="24"/>
        </w:rPr>
        <w:t> </w:t>
      </w:r>
      <w:r>
        <w:rPr>
          <w:w w:val="130"/>
          <w:sz w:val="24"/>
        </w:rPr>
        <w:t>teljesíti.</w:t>
      </w:r>
    </w:p>
    <w:p>
      <w:pPr>
        <w:pStyle w:val="ListParagraph"/>
        <w:numPr>
          <w:ilvl w:val="1"/>
          <w:numId w:val="213"/>
        </w:numPr>
        <w:tabs>
          <w:tab w:pos="954" w:val="left" w:leader="none"/>
          <w:tab w:pos="955" w:val="left" w:leader="none"/>
          <w:tab w:pos="1316" w:val="left" w:leader="none"/>
          <w:tab w:pos="2534" w:val="left" w:leader="none"/>
          <w:tab w:pos="2890" w:val="left" w:leader="none"/>
          <w:tab w:pos="4485" w:val="left" w:leader="none"/>
          <w:tab w:pos="5228" w:val="left" w:leader="none"/>
          <w:tab w:pos="6336" w:val="left" w:leader="none"/>
          <w:tab w:pos="6693" w:val="left" w:leader="none"/>
          <w:tab w:pos="7287" w:val="left" w:leader="none"/>
          <w:tab w:pos="7632" w:val="left" w:leader="none"/>
          <w:tab w:pos="8173" w:val="left" w:leader="none"/>
        </w:tabs>
        <w:spacing w:line="250" w:lineRule="exact" w:before="0" w:after="0"/>
        <w:ind w:left="955" w:right="0" w:hanging="638"/>
        <w:jc w:val="left"/>
        <w:rPr>
          <w:sz w:val="24"/>
        </w:rPr>
      </w:pPr>
      <w:r>
        <w:rPr>
          <w:rFonts w:ascii="Arial" w:hAnsi="Arial"/>
          <w:b/>
          <w:w w:val="125"/>
          <w:sz w:val="24"/>
        </w:rPr>
        <w:t>§</w:t>
        <w:tab/>
      </w:r>
      <w:r>
        <w:rPr>
          <w:w w:val="125"/>
          <w:sz w:val="24"/>
        </w:rPr>
        <w:t>(1)</w:t>
      </w:r>
      <w:r>
        <w:rPr>
          <w:i/>
          <w:w w:val="125"/>
          <w:position w:val="3"/>
          <w:sz w:val="18"/>
        </w:rPr>
        <w:t>1  </w:t>
      </w:r>
      <w:r>
        <w:rPr>
          <w:i/>
          <w:spacing w:val="24"/>
          <w:w w:val="125"/>
          <w:position w:val="3"/>
          <w:sz w:val="18"/>
        </w:rPr>
        <w:t> </w:t>
      </w:r>
      <w:r>
        <w:rPr>
          <w:w w:val="125"/>
          <w:sz w:val="24"/>
        </w:rPr>
        <w:t>Ha</w:t>
        <w:tab/>
        <w:t>a</w:t>
        <w:tab/>
        <w:t>hitelintézet</w:t>
        <w:tab/>
        <w:t>nem</w:t>
        <w:tab/>
        <w:t>teljesíti</w:t>
        <w:tab/>
        <w:t>a</w:t>
        <w:tab/>
        <w:t>93.</w:t>
        <w:tab/>
        <w:t>§</w:t>
        <w:tab/>
        <w:t>(1)</w:t>
        <w:tab/>
        <w:t>bekezdésben</w:t>
      </w:r>
    </w:p>
    <w:p>
      <w:pPr>
        <w:pStyle w:val="BodyText"/>
        <w:spacing w:line="225" w:lineRule="auto" w:before="12"/>
        <w:ind w:right="127" w:firstLine="0"/>
        <w:jc w:val="both"/>
      </w:pPr>
      <w:r>
        <w:rPr>
          <w:w w:val="125"/>
        </w:rPr>
        <w:t>meghatározott kombinált pufferkövetelményt, akkor a hitelintézet korlátozza   az elsődleges alapvető tőkéhez kapcsolódó</w:t>
      </w:r>
      <w:r>
        <w:rPr>
          <w:spacing w:val="4"/>
          <w:w w:val="125"/>
        </w:rPr>
        <w:t> </w:t>
      </w:r>
      <w:r>
        <w:rPr>
          <w:w w:val="125"/>
        </w:rPr>
        <w:t>kifizetéseit.</w:t>
      </w:r>
    </w:p>
    <w:p>
      <w:pPr>
        <w:pStyle w:val="ListParagraph"/>
        <w:numPr>
          <w:ilvl w:val="0"/>
          <w:numId w:val="223"/>
        </w:numPr>
        <w:tabs>
          <w:tab w:pos="734" w:val="left" w:leader="none"/>
        </w:tabs>
        <w:spacing w:line="256" w:lineRule="exact" w:before="0" w:after="0"/>
        <w:ind w:left="733" w:right="0" w:hanging="416"/>
        <w:jc w:val="left"/>
        <w:rPr>
          <w:sz w:val="24"/>
        </w:rPr>
      </w:pPr>
      <w:r>
        <w:rPr>
          <w:w w:val="125"/>
          <w:sz w:val="24"/>
        </w:rPr>
        <w:t>A hitelintézet akkor korlátozza a kifizetéseit, ha a kifizetés a</w:t>
      </w:r>
      <w:r>
        <w:rPr>
          <w:spacing w:val="57"/>
          <w:w w:val="125"/>
          <w:sz w:val="24"/>
        </w:rPr>
        <w:t> </w:t>
      </w:r>
      <w:r>
        <w:rPr>
          <w:w w:val="125"/>
          <w:sz w:val="24"/>
        </w:rPr>
        <w:t>hitelintézet</w:t>
      </w:r>
    </w:p>
    <w:p>
      <w:pPr>
        <w:pStyle w:val="ListParagraph"/>
        <w:numPr>
          <w:ilvl w:val="0"/>
          <w:numId w:val="224"/>
        </w:numPr>
        <w:tabs>
          <w:tab w:pos="631" w:val="left" w:leader="none"/>
        </w:tabs>
        <w:spacing w:line="260" w:lineRule="exact" w:before="0" w:after="0"/>
        <w:ind w:left="630" w:right="0" w:hanging="313"/>
        <w:jc w:val="left"/>
        <w:rPr>
          <w:sz w:val="24"/>
        </w:rPr>
      </w:pPr>
      <w:r>
        <w:rPr>
          <w:w w:val="125"/>
          <w:sz w:val="24"/>
        </w:rPr>
        <w:t>elsődleges alapvető tőkéjének</w:t>
      </w:r>
      <w:r>
        <w:rPr>
          <w:spacing w:val="1"/>
          <w:w w:val="125"/>
          <w:sz w:val="24"/>
        </w:rPr>
        <w:t> </w:t>
      </w:r>
      <w:r>
        <w:rPr>
          <w:w w:val="125"/>
          <w:sz w:val="24"/>
        </w:rPr>
        <w:t>vagy</w:t>
      </w:r>
    </w:p>
    <w:p>
      <w:pPr>
        <w:pStyle w:val="ListParagraph"/>
        <w:numPr>
          <w:ilvl w:val="0"/>
          <w:numId w:val="224"/>
        </w:numPr>
        <w:tabs>
          <w:tab w:pos="653" w:val="left" w:leader="none"/>
        </w:tabs>
        <w:spacing w:line="260" w:lineRule="exact" w:before="0" w:after="0"/>
        <w:ind w:left="652" w:right="0" w:hanging="335"/>
        <w:jc w:val="left"/>
        <w:rPr>
          <w:sz w:val="24"/>
        </w:rPr>
      </w:pPr>
      <w:r>
        <w:rPr>
          <w:w w:val="130"/>
          <w:sz w:val="24"/>
        </w:rPr>
        <w:t>nyereségének</w:t>
      </w:r>
    </w:p>
    <w:p>
      <w:pPr>
        <w:pStyle w:val="BodyText"/>
        <w:spacing w:line="225" w:lineRule="auto" w:before="5"/>
        <w:ind w:right="129" w:firstLine="0"/>
        <w:jc w:val="both"/>
      </w:pPr>
      <w:r>
        <w:rPr>
          <w:w w:val="130"/>
        </w:rPr>
        <w:t>a csökkenését eredményezné azzal, hogy a kifizetés felfüggesztése vagy törlése</w:t>
      </w:r>
      <w:r>
        <w:rPr>
          <w:spacing w:val="-18"/>
          <w:w w:val="130"/>
        </w:rPr>
        <w:t> </w:t>
      </w:r>
      <w:r>
        <w:rPr>
          <w:w w:val="130"/>
        </w:rPr>
        <w:t>nem</w:t>
      </w:r>
      <w:r>
        <w:rPr>
          <w:spacing w:val="-18"/>
          <w:w w:val="130"/>
        </w:rPr>
        <w:t> </w:t>
      </w:r>
      <w:r>
        <w:rPr>
          <w:w w:val="130"/>
        </w:rPr>
        <w:t>eredményezheti</w:t>
      </w:r>
      <w:r>
        <w:rPr>
          <w:spacing w:val="-18"/>
          <w:w w:val="130"/>
        </w:rPr>
        <w:t> </w:t>
      </w:r>
      <w:r>
        <w:rPr>
          <w:w w:val="130"/>
        </w:rPr>
        <w:t>a</w:t>
      </w:r>
      <w:r>
        <w:rPr>
          <w:spacing w:val="-17"/>
          <w:w w:val="130"/>
        </w:rPr>
        <w:t> </w:t>
      </w:r>
      <w:r>
        <w:rPr>
          <w:w w:val="130"/>
        </w:rPr>
        <w:t>hitelintézet</w:t>
      </w:r>
      <w:r>
        <w:rPr>
          <w:spacing w:val="-6"/>
          <w:w w:val="130"/>
        </w:rPr>
        <w:t> </w:t>
      </w:r>
      <w:r>
        <w:rPr>
          <w:w w:val="130"/>
        </w:rPr>
        <w:t>nemteljesítését</w:t>
      </w:r>
      <w:r>
        <w:rPr>
          <w:spacing w:val="-29"/>
          <w:w w:val="130"/>
        </w:rPr>
        <w:t> </w:t>
      </w:r>
      <w:r>
        <w:rPr>
          <w:w w:val="130"/>
        </w:rPr>
        <w:t>vagy</w:t>
      </w:r>
      <w:r>
        <w:rPr>
          <w:spacing w:val="-18"/>
          <w:w w:val="130"/>
        </w:rPr>
        <w:t> </w:t>
      </w:r>
      <w:r>
        <w:rPr>
          <w:w w:val="130"/>
        </w:rPr>
        <w:t>olyan</w:t>
      </w:r>
      <w:r>
        <w:rPr>
          <w:spacing w:val="-18"/>
          <w:w w:val="130"/>
        </w:rPr>
        <w:t> </w:t>
      </w:r>
      <w:r>
        <w:rPr>
          <w:w w:val="130"/>
        </w:rPr>
        <w:t>esemény bekövetkezését,</w:t>
      </w:r>
      <w:r>
        <w:rPr>
          <w:spacing w:val="-5"/>
          <w:w w:val="130"/>
        </w:rPr>
        <w:t> </w:t>
      </w:r>
      <w:r>
        <w:rPr>
          <w:w w:val="130"/>
        </w:rPr>
        <w:t>amely</w:t>
      </w:r>
      <w:r>
        <w:rPr>
          <w:spacing w:val="-9"/>
          <w:w w:val="130"/>
        </w:rPr>
        <w:t> </w:t>
      </w:r>
      <w:r>
        <w:rPr>
          <w:w w:val="130"/>
        </w:rPr>
        <w:t>miatt</w:t>
      </w:r>
      <w:r>
        <w:rPr>
          <w:spacing w:val="-22"/>
          <w:w w:val="130"/>
        </w:rPr>
        <w:t> </w:t>
      </w:r>
      <w:r>
        <w:rPr>
          <w:w w:val="130"/>
        </w:rPr>
        <w:t>felszámolás</w:t>
      </w:r>
      <w:r>
        <w:rPr>
          <w:spacing w:val="-12"/>
          <w:w w:val="130"/>
        </w:rPr>
        <w:t> </w:t>
      </w:r>
      <w:r>
        <w:rPr>
          <w:w w:val="130"/>
        </w:rPr>
        <w:t>indítható</w:t>
      </w:r>
      <w:r>
        <w:rPr>
          <w:spacing w:val="-12"/>
          <w:w w:val="130"/>
        </w:rPr>
        <w:t> </w:t>
      </w:r>
      <w:r>
        <w:rPr>
          <w:w w:val="130"/>
        </w:rPr>
        <w:t>a</w:t>
      </w:r>
      <w:r>
        <w:rPr>
          <w:spacing w:val="-13"/>
          <w:w w:val="130"/>
        </w:rPr>
        <w:t> </w:t>
      </w:r>
      <w:r>
        <w:rPr>
          <w:w w:val="130"/>
        </w:rPr>
        <w:t>hitelintézet</w:t>
      </w:r>
      <w:r>
        <w:rPr>
          <w:spacing w:val="-11"/>
          <w:w w:val="130"/>
        </w:rPr>
        <w:t> </w:t>
      </w:r>
      <w:r>
        <w:rPr>
          <w:w w:val="130"/>
        </w:rPr>
        <w:t>ellen.</w:t>
      </w:r>
    </w:p>
    <w:p>
      <w:pPr>
        <w:pStyle w:val="ListParagraph"/>
        <w:numPr>
          <w:ilvl w:val="0"/>
          <w:numId w:val="223"/>
        </w:numPr>
        <w:tabs>
          <w:tab w:pos="816" w:val="left" w:leader="none"/>
        </w:tabs>
        <w:spacing w:line="225" w:lineRule="auto" w:before="2" w:after="0"/>
        <w:ind w:left="113" w:right="129" w:firstLine="204"/>
        <w:jc w:val="both"/>
        <w:rPr>
          <w:sz w:val="24"/>
        </w:rPr>
      </w:pPr>
      <w:r>
        <w:rPr>
          <w:w w:val="130"/>
          <w:sz w:val="24"/>
        </w:rPr>
        <w:t>Ha a hitelintézet nem tesz eleget a kombinált pufferkövetelménynek, akkor a</w:t>
      </w:r>
      <w:r>
        <w:rPr>
          <w:spacing w:val="9"/>
          <w:w w:val="130"/>
          <w:sz w:val="24"/>
        </w:rPr>
        <w:t> </w:t>
      </w:r>
      <w:r>
        <w:rPr>
          <w:w w:val="130"/>
          <w:sz w:val="24"/>
        </w:rPr>
        <w:t>hitelintézet</w:t>
      </w:r>
    </w:p>
    <w:p>
      <w:pPr>
        <w:pStyle w:val="ListParagraph"/>
        <w:numPr>
          <w:ilvl w:val="0"/>
          <w:numId w:val="225"/>
        </w:numPr>
        <w:tabs>
          <w:tab w:pos="712" w:val="left" w:leader="none"/>
        </w:tabs>
        <w:spacing w:line="225" w:lineRule="auto" w:before="1" w:after="0"/>
        <w:ind w:left="113" w:right="138" w:firstLine="204"/>
        <w:jc w:val="both"/>
        <w:rPr>
          <w:sz w:val="24"/>
        </w:rPr>
      </w:pPr>
      <w:r>
        <w:rPr>
          <w:w w:val="130"/>
          <w:sz w:val="24"/>
        </w:rPr>
        <w:t>korlátozza a kifizetést az elsődleges alapvető tőkéből és a kiegészítő alapvető</w:t>
      </w:r>
      <w:r>
        <w:rPr>
          <w:spacing w:val="-4"/>
          <w:w w:val="130"/>
          <w:sz w:val="24"/>
        </w:rPr>
        <w:t> </w:t>
      </w:r>
      <w:r>
        <w:rPr>
          <w:w w:val="130"/>
          <w:sz w:val="24"/>
        </w:rPr>
        <w:t>tőkéből,</w:t>
      </w:r>
    </w:p>
    <w:p>
      <w:pPr>
        <w:pStyle w:val="ListParagraph"/>
        <w:numPr>
          <w:ilvl w:val="0"/>
          <w:numId w:val="225"/>
        </w:numPr>
        <w:tabs>
          <w:tab w:pos="709" w:val="left" w:leader="none"/>
        </w:tabs>
        <w:spacing w:line="225" w:lineRule="auto" w:before="1" w:after="0"/>
        <w:ind w:left="113" w:right="139" w:firstLine="204"/>
        <w:jc w:val="both"/>
        <w:rPr>
          <w:sz w:val="24"/>
        </w:rPr>
      </w:pPr>
      <w:r>
        <w:rPr>
          <w:w w:val="130"/>
          <w:sz w:val="24"/>
        </w:rPr>
        <w:t>nem keletkeztethet a teljesítményjavadalmazásra vagy a nem kötelező nyugdíjjuttatásra vonatkozó kötelezettséget,</w:t>
      </w:r>
      <w:r>
        <w:rPr>
          <w:spacing w:val="-14"/>
          <w:w w:val="130"/>
          <w:sz w:val="24"/>
        </w:rPr>
        <w:t> </w:t>
      </w:r>
      <w:r>
        <w:rPr>
          <w:w w:val="130"/>
          <w:sz w:val="24"/>
        </w:rPr>
        <w:t>és</w:t>
      </w:r>
    </w:p>
    <w:p>
      <w:pPr>
        <w:pStyle w:val="ListParagraph"/>
        <w:numPr>
          <w:ilvl w:val="0"/>
          <w:numId w:val="225"/>
        </w:numPr>
        <w:tabs>
          <w:tab w:pos="644" w:val="left" w:leader="none"/>
        </w:tabs>
        <w:spacing w:line="225" w:lineRule="auto" w:before="2" w:after="0"/>
        <w:ind w:left="113" w:right="136" w:firstLine="204"/>
        <w:jc w:val="both"/>
        <w:rPr>
          <w:sz w:val="24"/>
        </w:rPr>
      </w:pPr>
      <w:r>
        <w:rPr>
          <w:w w:val="130"/>
          <w:sz w:val="24"/>
        </w:rPr>
        <w:t>nem</w:t>
      </w:r>
      <w:r>
        <w:rPr>
          <w:spacing w:val="-10"/>
          <w:w w:val="130"/>
          <w:sz w:val="24"/>
        </w:rPr>
        <w:t> </w:t>
      </w:r>
      <w:r>
        <w:rPr>
          <w:w w:val="130"/>
          <w:sz w:val="24"/>
        </w:rPr>
        <w:t>teljesíthet</w:t>
      </w:r>
      <w:r>
        <w:rPr>
          <w:spacing w:val="-9"/>
          <w:w w:val="130"/>
          <w:sz w:val="24"/>
        </w:rPr>
        <w:t> </w:t>
      </w:r>
      <w:r>
        <w:rPr>
          <w:w w:val="130"/>
          <w:sz w:val="24"/>
        </w:rPr>
        <w:t>kifizetést</w:t>
      </w:r>
      <w:r>
        <w:rPr>
          <w:spacing w:val="-9"/>
          <w:w w:val="130"/>
          <w:sz w:val="24"/>
        </w:rPr>
        <w:t> </w:t>
      </w:r>
      <w:r>
        <w:rPr>
          <w:w w:val="130"/>
          <w:sz w:val="24"/>
        </w:rPr>
        <w:t>a</w:t>
      </w:r>
      <w:r>
        <w:rPr>
          <w:spacing w:val="-9"/>
          <w:w w:val="130"/>
          <w:sz w:val="24"/>
        </w:rPr>
        <w:t> </w:t>
      </w:r>
      <w:r>
        <w:rPr>
          <w:w w:val="130"/>
          <w:sz w:val="24"/>
        </w:rPr>
        <w:t>teljesítményjavadalmazásra</w:t>
      </w:r>
      <w:r>
        <w:rPr>
          <w:spacing w:val="-10"/>
          <w:w w:val="130"/>
          <w:sz w:val="24"/>
        </w:rPr>
        <w:t> </w:t>
      </w:r>
      <w:r>
        <w:rPr>
          <w:w w:val="130"/>
          <w:sz w:val="24"/>
        </w:rPr>
        <w:t>vonatkozóan,</w:t>
      </w:r>
      <w:r>
        <w:rPr>
          <w:spacing w:val="-9"/>
          <w:w w:val="130"/>
          <w:sz w:val="24"/>
        </w:rPr>
        <w:t> </w:t>
      </w:r>
      <w:r>
        <w:rPr>
          <w:w w:val="130"/>
          <w:sz w:val="24"/>
        </w:rPr>
        <w:t>ha</w:t>
      </w:r>
      <w:r>
        <w:rPr>
          <w:spacing w:val="-9"/>
          <w:w w:val="130"/>
          <w:sz w:val="24"/>
        </w:rPr>
        <w:t> </w:t>
      </w:r>
      <w:r>
        <w:rPr>
          <w:w w:val="130"/>
          <w:sz w:val="24"/>
        </w:rPr>
        <w:t>a kötelezettség keletkeztetésére a kombinált pufferkövetelmény nem teljesítésével egyidőben került</w:t>
      </w:r>
      <w:r>
        <w:rPr>
          <w:spacing w:val="-13"/>
          <w:w w:val="130"/>
          <w:sz w:val="24"/>
        </w:rPr>
        <w:t> </w:t>
      </w:r>
      <w:r>
        <w:rPr>
          <w:w w:val="130"/>
          <w:sz w:val="24"/>
        </w:rPr>
        <w:t>sor.</w:t>
      </w:r>
    </w:p>
    <w:p>
      <w:pPr>
        <w:pStyle w:val="ListParagraph"/>
        <w:numPr>
          <w:ilvl w:val="0"/>
          <w:numId w:val="223"/>
        </w:numPr>
        <w:tabs>
          <w:tab w:pos="833" w:val="left" w:leader="none"/>
        </w:tabs>
        <w:spacing w:line="225" w:lineRule="auto" w:before="1" w:after="0"/>
        <w:ind w:left="113" w:right="130" w:firstLine="204"/>
        <w:jc w:val="both"/>
        <w:rPr>
          <w:sz w:val="24"/>
        </w:rPr>
      </w:pPr>
      <w:r>
        <w:rPr>
          <w:w w:val="125"/>
          <w:sz w:val="24"/>
        </w:rPr>
        <w:t>A (3) bekezdés </w:t>
      </w:r>
      <w:r>
        <w:rPr>
          <w:i/>
          <w:w w:val="125"/>
          <w:sz w:val="24"/>
        </w:rPr>
        <w:t>a) </w:t>
      </w:r>
      <w:r>
        <w:rPr>
          <w:w w:val="125"/>
          <w:sz w:val="24"/>
        </w:rPr>
        <w:t>pontja szerinti, elsődleges alapvető tőkéből való kifizetés magában</w:t>
      </w:r>
      <w:r>
        <w:rPr>
          <w:spacing w:val="7"/>
          <w:w w:val="125"/>
          <w:sz w:val="24"/>
        </w:rPr>
        <w:t> </w:t>
      </w:r>
      <w:r>
        <w:rPr>
          <w:w w:val="125"/>
          <w:sz w:val="24"/>
        </w:rPr>
        <w:t>foglalja:</w:t>
      </w:r>
    </w:p>
    <w:p>
      <w:pPr>
        <w:pStyle w:val="ListParagraph"/>
        <w:numPr>
          <w:ilvl w:val="0"/>
          <w:numId w:val="226"/>
        </w:numPr>
        <w:tabs>
          <w:tab w:pos="631" w:val="left" w:leader="none"/>
        </w:tabs>
        <w:spacing w:line="256" w:lineRule="exact" w:before="0" w:after="0"/>
        <w:ind w:left="630" w:right="0" w:hanging="313"/>
        <w:jc w:val="left"/>
        <w:rPr>
          <w:sz w:val="24"/>
        </w:rPr>
      </w:pPr>
      <w:r>
        <w:rPr>
          <w:w w:val="125"/>
          <w:sz w:val="24"/>
        </w:rPr>
        <w:t>az osztalék készpénzben való</w:t>
      </w:r>
      <w:r>
        <w:rPr>
          <w:spacing w:val="2"/>
          <w:w w:val="125"/>
          <w:sz w:val="24"/>
        </w:rPr>
        <w:t> </w:t>
      </w:r>
      <w:r>
        <w:rPr>
          <w:w w:val="125"/>
          <w:sz w:val="24"/>
        </w:rPr>
        <w:t>kifizetését,</w:t>
      </w:r>
    </w:p>
    <w:p>
      <w:pPr>
        <w:pStyle w:val="ListParagraph"/>
        <w:numPr>
          <w:ilvl w:val="0"/>
          <w:numId w:val="226"/>
        </w:numPr>
        <w:tabs>
          <w:tab w:pos="787" w:val="left" w:leader="none"/>
        </w:tabs>
        <w:spacing w:line="225" w:lineRule="auto" w:before="6" w:after="0"/>
        <w:ind w:left="113" w:right="126" w:firstLine="204"/>
        <w:jc w:val="both"/>
        <w:rPr>
          <w:sz w:val="24"/>
        </w:rPr>
      </w:pPr>
      <w:r>
        <w:rPr>
          <w:w w:val="125"/>
          <w:sz w:val="24"/>
        </w:rPr>
        <w:t>a teljesen vagy részlegesen fizető bónuszrészvények szerződésben rögzített értékének</w:t>
      </w:r>
      <w:r>
        <w:rPr>
          <w:spacing w:val="3"/>
          <w:w w:val="125"/>
          <w:sz w:val="24"/>
        </w:rPr>
        <w:t> </w:t>
      </w:r>
      <w:r>
        <w:rPr>
          <w:w w:val="125"/>
          <w:sz w:val="24"/>
        </w:rPr>
        <w:t>kifizetését,</w:t>
      </w:r>
    </w:p>
    <w:p>
      <w:pPr>
        <w:pStyle w:val="ListParagraph"/>
        <w:numPr>
          <w:ilvl w:val="0"/>
          <w:numId w:val="226"/>
        </w:numPr>
        <w:tabs>
          <w:tab w:pos="751" w:val="left" w:leader="none"/>
        </w:tabs>
        <w:spacing w:line="225" w:lineRule="auto" w:before="1" w:after="0"/>
        <w:ind w:left="113" w:right="109" w:firstLine="204"/>
        <w:jc w:val="both"/>
        <w:rPr>
          <w:sz w:val="24"/>
        </w:rPr>
      </w:pPr>
      <w:r>
        <w:rPr>
          <w:w w:val="125"/>
          <w:sz w:val="24"/>
        </w:rPr>
        <w:t>az 575/2013/EU rendelet 26. cikk (1) bekezdés </w:t>
      </w:r>
      <w:r>
        <w:rPr>
          <w:i/>
          <w:w w:val="125"/>
          <w:sz w:val="24"/>
        </w:rPr>
        <w:t>a) </w:t>
      </w:r>
      <w:r>
        <w:rPr>
          <w:w w:val="125"/>
          <w:sz w:val="24"/>
        </w:rPr>
        <w:t>pontja szerinti tőkeinstrumentumok kifizetését, visszaváltását vagy visszavásárlását, vagy  ezen tőkeinstrumentumhoz kapcsolódóan befizetett összegek</w:t>
      </w:r>
      <w:r>
        <w:rPr>
          <w:spacing w:val="63"/>
          <w:w w:val="125"/>
          <w:sz w:val="24"/>
        </w:rPr>
        <w:t> </w:t>
      </w:r>
      <w:r>
        <w:rPr>
          <w:w w:val="125"/>
          <w:sz w:val="24"/>
        </w:rPr>
        <w:t>visszafizetését,</w:t>
      </w:r>
    </w:p>
    <w:p>
      <w:pPr>
        <w:pStyle w:val="ListParagraph"/>
        <w:numPr>
          <w:ilvl w:val="0"/>
          <w:numId w:val="226"/>
        </w:numPr>
        <w:tabs>
          <w:tab w:pos="671" w:val="left" w:leader="none"/>
        </w:tabs>
        <w:spacing w:line="225" w:lineRule="auto" w:before="2" w:after="0"/>
        <w:ind w:left="113" w:right="132" w:firstLine="204"/>
        <w:jc w:val="both"/>
        <w:rPr>
          <w:sz w:val="24"/>
        </w:rPr>
      </w:pPr>
      <w:r>
        <w:rPr>
          <w:w w:val="125"/>
          <w:sz w:val="24"/>
        </w:rPr>
        <w:t>az intézmény saját részvényeinek visszaváltását - ideértve a szövetkezeti vagyoni hozzájárulást is - vagy visszavásárlását,</w:t>
      </w:r>
      <w:r>
        <w:rPr>
          <w:spacing w:val="1"/>
          <w:w w:val="125"/>
          <w:sz w:val="24"/>
        </w:rPr>
        <w:t> </w:t>
      </w:r>
      <w:r>
        <w:rPr>
          <w:w w:val="125"/>
          <w:sz w:val="24"/>
        </w:rPr>
        <w:t>valamint</w:t>
      </w:r>
    </w:p>
    <w:p>
      <w:pPr>
        <w:pStyle w:val="ListParagraph"/>
        <w:numPr>
          <w:ilvl w:val="0"/>
          <w:numId w:val="226"/>
        </w:numPr>
        <w:tabs>
          <w:tab w:pos="725" w:val="left" w:leader="none"/>
        </w:tabs>
        <w:spacing w:line="225" w:lineRule="auto" w:before="1" w:after="0"/>
        <w:ind w:left="113" w:right="109" w:firstLine="204"/>
        <w:jc w:val="both"/>
        <w:rPr>
          <w:sz w:val="24"/>
        </w:rPr>
      </w:pPr>
      <w:r>
        <w:rPr>
          <w:w w:val="125"/>
          <w:sz w:val="24"/>
        </w:rPr>
        <w:t>az 575/2013/EU rendelet 26. cikk (1) bekezdés </w:t>
      </w:r>
      <w:r>
        <w:rPr>
          <w:i/>
          <w:w w:val="125"/>
          <w:sz w:val="24"/>
        </w:rPr>
        <w:t>b)-e) </w:t>
      </w:r>
      <w:r>
        <w:rPr>
          <w:w w:val="125"/>
          <w:sz w:val="24"/>
        </w:rPr>
        <w:t>pontja szerinti tételekből történő</w:t>
      </w:r>
      <w:r>
        <w:rPr>
          <w:spacing w:val="1"/>
          <w:w w:val="125"/>
          <w:sz w:val="24"/>
        </w:rPr>
        <w:t> </w:t>
      </w:r>
      <w:r>
        <w:rPr>
          <w:w w:val="125"/>
          <w:sz w:val="24"/>
        </w:rPr>
        <w:t>kifizetést.</w:t>
      </w:r>
    </w:p>
    <w:p>
      <w:pPr>
        <w:pStyle w:val="ListParagraph"/>
        <w:numPr>
          <w:ilvl w:val="0"/>
          <w:numId w:val="223"/>
        </w:numPr>
        <w:tabs>
          <w:tab w:pos="771" w:val="left" w:leader="none"/>
        </w:tabs>
        <w:spacing w:line="225" w:lineRule="auto" w:before="1" w:after="0"/>
        <w:ind w:left="113" w:right="129" w:firstLine="204"/>
        <w:jc w:val="both"/>
        <w:rPr>
          <w:sz w:val="24"/>
        </w:rPr>
      </w:pPr>
      <w:r>
        <w:rPr>
          <w:w w:val="125"/>
          <w:sz w:val="24"/>
        </w:rPr>
        <w:t>A kombinált pufferkövetelményeket nem teljesítő hitelintézet kiszámítja azt a maximálisan kifizethető összeget, amelyet meghaladóan nem teljesíthet kifizetést addig, amíg elsődleges alapvető tőkéje el nem éri a kombinált pufferkövetelményekkel megnövelt minimális</w:t>
      </w:r>
      <w:r>
        <w:rPr>
          <w:spacing w:val="-1"/>
          <w:w w:val="125"/>
          <w:sz w:val="24"/>
        </w:rPr>
        <w:t> </w:t>
      </w:r>
      <w:r>
        <w:rPr>
          <w:w w:val="125"/>
          <w:sz w:val="24"/>
        </w:rPr>
        <w:t>szintjét.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15"/>
        </w:rPr>
      </w:pPr>
      <w:r>
        <w:rPr/>
        <w:pict>
          <v:line style="position:absolute;mso-position-horizontal-relative:page;mso-position-vertical-relative:paragraph;z-index:344;mso-wrap-distance-left:0;mso-wrap-distance-right:0" from="56.693001pt,11.242634pt" to="538.583001pt,11.24263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198.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223"/>
        </w:numPr>
        <w:tabs>
          <w:tab w:pos="771" w:val="left" w:leader="none"/>
        </w:tabs>
        <w:spacing w:line="225" w:lineRule="auto" w:before="173" w:after="0"/>
        <w:ind w:left="113" w:right="126" w:firstLine="204"/>
        <w:jc w:val="both"/>
        <w:rPr>
          <w:sz w:val="24"/>
        </w:rPr>
      </w:pPr>
      <w:r>
        <w:rPr>
          <w:w w:val="130"/>
          <w:sz w:val="24"/>
        </w:rPr>
        <w:t>A maximálisan kifizethető összeg a (7) bekezdés alapján meghatározott évközi és évvégi nyereség összegének és a 4. mellékletben meghatározott tényezőnek</w:t>
      </w:r>
      <w:r>
        <w:rPr>
          <w:spacing w:val="-10"/>
          <w:w w:val="130"/>
          <w:sz w:val="24"/>
        </w:rPr>
        <w:t> </w:t>
      </w:r>
      <w:r>
        <w:rPr>
          <w:w w:val="130"/>
          <w:sz w:val="24"/>
        </w:rPr>
        <w:t>a</w:t>
      </w:r>
      <w:r>
        <w:rPr>
          <w:spacing w:val="-10"/>
          <w:w w:val="130"/>
          <w:sz w:val="24"/>
        </w:rPr>
        <w:t> </w:t>
      </w:r>
      <w:r>
        <w:rPr>
          <w:w w:val="130"/>
          <w:sz w:val="24"/>
        </w:rPr>
        <w:t>szorzataként</w:t>
      </w:r>
      <w:r>
        <w:rPr>
          <w:spacing w:val="-10"/>
          <w:w w:val="130"/>
          <w:sz w:val="24"/>
        </w:rPr>
        <w:t> </w:t>
      </w:r>
      <w:r>
        <w:rPr>
          <w:w w:val="130"/>
          <w:sz w:val="24"/>
        </w:rPr>
        <w:t>számítható</w:t>
      </w:r>
      <w:r>
        <w:rPr>
          <w:spacing w:val="-10"/>
          <w:w w:val="130"/>
          <w:sz w:val="24"/>
        </w:rPr>
        <w:t> </w:t>
      </w:r>
      <w:r>
        <w:rPr>
          <w:w w:val="130"/>
          <w:sz w:val="24"/>
        </w:rPr>
        <w:t>ki,</w:t>
      </w:r>
      <w:r>
        <w:rPr>
          <w:spacing w:val="-3"/>
          <w:w w:val="130"/>
          <w:sz w:val="24"/>
        </w:rPr>
        <w:t> </w:t>
      </w:r>
      <w:r>
        <w:rPr>
          <w:w w:val="130"/>
          <w:sz w:val="24"/>
        </w:rPr>
        <w:t>amelyet</w:t>
      </w:r>
      <w:r>
        <w:rPr>
          <w:spacing w:val="-17"/>
          <w:w w:val="130"/>
          <w:sz w:val="24"/>
        </w:rPr>
        <w:t> </w:t>
      </w:r>
      <w:r>
        <w:rPr>
          <w:w w:val="130"/>
          <w:sz w:val="24"/>
        </w:rPr>
        <w:t>a</w:t>
      </w:r>
      <w:r>
        <w:rPr>
          <w:spacing w:val="2"/>
          <w:w w:val="130"/>
          <w:sz w:val="24"/>
        </w:rPr>
        <w:t> </w:t>
      </w:r>
      <w:r>
        <w:rPr>
          <w:w w:val="130"/>
          <w:sz w:val="24"/>
        </w:rPr>
        <w:t>hitelintézet</w:t>
      </w:r>
      <w:r>
        <w:rPr>
          <w:spacing w:val="-21"/>
          <w:w w:val="130"/>
          <w:sz w:val="24"/>
        </w:rPr>
        <w:t> </w:t>
      </w:r>
      <w:r>
        <w:rPr>
          <w:w w:val="130"/>
          <w:sz w:val="24"/>
        </w:rPr>
        <w:t>csökkent</w:t>
      </w:r>
      <w:r>
        <w:rPr>
          <w:spacing w:val="-2"/>
          <w:w w:val="130"/>
          <w:sz w:val="24"/>
        </w:rPr>
        <w:t> </w:t>
      </w:r>
      <w:r>
        <w:rPr>
          <w:w w:val="130"/>
          <w:sz w:val="24"/>
        </w:rPr>
        <w:t>a</w:t>
      </w:r>
      <w:r>
        <w:rPr>
          <w:spacing w:val="-18"/>
          <w:w w:val="130"/>
          <w:sz w:val="24"/>
        </w:rPr>
        <w:t> </w:t>
      </w:r>
      <w:r>
        <w:rPr>
          <w:w w:val="130"/>
          <w:sz w:val="24"/>
        </w:rPr>
        <w:t>(3) bekezdésben meghatározott intézkedések</w:t>
      </w:r>
      <w:r>
        <w:rPr>
          <w:spacing w:val="-14"/>
          <w:w w:val="130"/>
          <w:sz w:val="24"/>
        </w:rPr>
        <w:t> </w:t>
      </w:r>
      <w:r>
        <w:rPr>
          <w:w w:val="130"/>
          <w:sz w:val="24"/>
        </w:rPr>
        <w:t>értékével.</w:t>
      </w:r>
    </w:p>
    <w:p>
      <w:pPr>
        <w:pStyle w:val="ListParagraph"/>
        <w:numPr>
          <w:ilvl w:val="0"/>
          <w:numId w:val="223"/>
        </w:numPr>
        <w:tabs>
          <w:tab w:pos="871" w:val="left" w:leader="none"/>
        </w:tabs>
        <w:spacing w:line="225" w:lineRule="auto" w:before="2" w:after="0"/>
        <w:ind w:left="113" w:right="127" w:firstLine="204"/>
        <w:jc w:val="both"/>
        <w:rPr>
          <w:sz w:val="24"/>
        </w:rPr>
      </w:pPr>
      <w:r>
        <w:rPr>
          <w:w w:val="130"/>
          <w:sz w:val="24"/>
        </w:rPr>
        <w:t>A maximálisan kifizethető összeg meghatározásához a hitelintézet meghatározza az elsődleges alapvető tőkeként nem kimutatott évközi és évvégi nyereség összegét, amely a kifizetésre vonatkozó legutolsó határozat vagy a (3) bekezdésben meghatározott intézkedések óta keletkezett, és amely a nyereség visszatartása miatt fizetendő adó mértékével csökkentett nyereség összegével egyezik</w:t>
      </w:r>
      <w:r>
        <w:rPr>
          <w:spacing w:val="-8"/>
          <w:w w:val="130"/>
          <w:sz w:val="24"/>
        </w:rPr>
        <w:t> </w:t>
      </w:r>
      <w:r>
        <w:rPr>
          <w:w w:val="130"/>
          <w:sz w:val="24"/>
        </w:rPr>
        <w:t>meg.</w:t>
      </w:r>
    </w:p>
    <w:p>
      <w:pPr>
        <w:pStyle w:val="ListParagraph"/>
        <w:numPr>
          <w:ilvl w:val="1"/>
          <w:numId w:val="213"/>
        </w:numPr>
        <w:tabs>
          <w:tab w:pos="925" w:val="left" w:leader="none"/>
        </w:tabs>
        <w:spacing w:line="225" w:lineRule="auto" w:before="2" w:after="0"/>
        <w:ind w:left="113" w:right="128" w:firstLine="204"/>
        <w:jc w:val="left"/>
        <w:rPr>
          <w:sz w:val="24"/>
        </w:rPr>
      </w:pPr>
      <w:r>
        <w:rPr>
          <w:rFonts w:ascii="Arial" w:hAnsi="Arial"/>
          <w:b/>
          <w:w w:val="120"/>
          <w:sz w:val="24"/>
        </w:rPr>
        <w:t>§ </w:t>
      </w:r>
      <w:r>
        <w:rPr>
          <w:w w:val="120"/>
          <w:sz w:val="24"/>
        </w:rPr>
        <w:t>(1) A kombinált pufferkövetelményeket nem teljesítő hitelintézet tájékoztatja a</w:t>
      </w:r>
      <w:r>
        <w:rPr>
          <w:spacing w:val="10"/>
          <w:w w:val="120"/>
          <w:sz w:val="24"/>
        </w:rPr>
        <w:t> </w:t>
      </w:r>
      <w:r>
        <w:rPr>
          <w:w w:val="120"/>
          <w:sz w:val="24"/>
        </w:rPr>
        <w:t>Felügyeletet</w:t>
      </w:r>
    </w:p>
    <w:p>
      <w:pPr>
        <w:pStyle w:val="ListParagraph"/>
        <w:numPr>
          <w:ilvl w:val="0"/>
          <w:numId w:val="227"/>
        </w:numPr>
        <w:tabs>
          <w:tab w:pos="631" w:val="left" w:leader="none"/>
        </w:tabs>
        <w:spacing w:line="256" w:lineRule="exact" w:before="0" w:after="0"/>
        <w:ind w:left="630" w:right="0" w:hanging="313"/>
        <w:jc w:val="left"/>
        <w:rPr>
          <w:sz w:val="24"/>
        </w:rPr>
      </w:pPr>
      <w:r>
        <w:rPr>
          <w:w w:val="125"/>
          <w:sz w:val="24"/>
        </w:rPr>
        <w:t>az általa kiszámított maximálisan kifizethető</w:t>
      </w:r>
      <w:r>
        <w:rPr>
          <w:spacing w:val="4"/>
          <w:w w:val="125"/>
          <w:sz w:val="24"/>
        </w:rPr>
        <w:t> </w:t>
      </w:r>
      <w:r>
        <w:rPr>
          <w:w w:val="125"/>
          <w:sz w:val="24"/>
        </w:rPr>
        <w:t>összegről,</w:t>
      </w:r>
    </w:p>
    <w:p>
      <w:pPr>
        <w:pStyle w:val="ListParagraph"/>
        <w:numPr>
          <w:ilvl w:val="0"/>
          <w:numId w:val="227"/>
        </w:numPr>
        <w:tabs>
          <w:tab w:pos="653" w:val="left" w:leader="none"/>
        </w:tabs>
        <w:spacing w:line="260" w:lineRule="exact" w:before="0" w:after="0"/>
        <w:ind w:left="652" w:right="0" w:hanging="335"/>
        <w:jc w:val="left"/>
        <w:rPr>
          <w:sz w:val="24"/>
        </w:rPr>
      </w:pPr>
      <w:r>
        <w:rPr>
          <w:w w:val="130"/>
          <w:sz w:val="24"/>
        </w:rPr>
        <w:t>a kifizethető nyereség kifizetésének szándékáról,</w:t>
      </w:r>
      <w:r>
        <w:rPr>
          <w:spacing w:val="-40"/>
          <w:w w:val="130"/>
          <w:sz w:val="24"/>
        </w:rPr>
        <w:t> </w:t>
      </w:r>
      <w:r>
        <w:rPr>
          <w:w w:val="130"/>
          <w:sz w:val="24"/>
        </w:rPr>
        <w:t>és</w:t>
      </w:r>
    </w:p>
    <w:p>
      <w:pPr>
        <w:pStyle w:val="ListParagraph"/>
        <w:numPr>
          <w:ilvl w:val="0"/>
          <w:numId w:val="227"/>
        </w:numPr>
        <w:tabs>
          <w:tab w:pos="623" w:val="left" w:leader="none"/>
        </w:tabs>
        <w:spacing w:line="260" w:lineRule="exact" w:before="0" w:after="0"/>
        <w:ind w:left="622" w:right="0" w:hanging="305"/>
        <w:jc w:val="left"/>
        <w:rPr>
          <w:sz w:val="24"/>
        </w:rPr>
      </w:pPr>
      <w:r>
        <w:rPr>
          <w:w w:val="125"/>
          <w:sz w:val="24"/>
        </w:rPr>
        <w:t>a 94. § (3) bekezdése szerinti</w:t>
      </w:r>
      <w:r>
        <w:rPr>
          <w:spacing w:val="24"/>
          <w:w w:val="125"/>
          <w:sz w:val="24"/>
        </w:rPr>
        <w:t> </w:t>
      </w:r>
      <w:r>
        <w:rPr>
          <w:w w:val="125"/>
          <w:sz w:val="24"/>
        </w:rPr>
        <w:t>korlátozásról.</w:t>
      </w:r>
    </w:p>
    <w:p>
      <w:pPr>
        <w:pStyle w:val="ListParagraph"/>
        <w:numPr>
          <w:ilvl w:val="0"/>
          <w:numId w:val="228"/>
        </w:numPr>
        <w:tabs>
          <w:tab w:pos="739" w:val="left" w:leader="none"/>
        </w:tabs>
        <w:spacing w:line="225" w:lineRule="auto" w:before="6" w:after="0"/>
        <w:ind w:left="113" w:right="130" w:firstLine="204"/>
        <w:jc w:val="left"/>
        <w:rPr>
          <w:sz w:val="24"/>
        </w:rPr>
      </w:pPr>
      <w:r>
        <w:rPr>
          <w:w w:val="125"/>
          <w:sz w:val="24"/>
        </w:rPr>
        <w:t>A hitelintézet az (1) bekezdésben meghatározott tájékoztatás keretében a Felügyelet rendelkezésére bocsátja a szükséges</w:t>
      </w:r>
      <w:r>
        <w:rPr>
          <w:spacing w:val="23"/>
          <w:w w:val="125"/>
          <w:sz w:val="24"/>
        </w:rPr>
        <w:t> </w:t>
      </w:r>
      <w:r>
        <w:rPr>
          <w:w w:val="125"/>
          <w:sz w:val="24"/>
        </w:rPr>
        <w:t>információkat:</w:t>
      </w:r>
    </w:p>
    <w:p>
      <w:pPr>
        <w:pStyle w:val="ListParagraph"/>
        <w:numPr>
          <w:ilvl w:val="0"/>
          <w:numId w:val="229"/>
        </w:numPr>
        <w:tabs>
          <w:tab w:pos="703" w:val="left" w:leader="none"/>
        </w:tabs>
        <w:spacing w:line="225" w:lineRule="auto" w:before="1" w:after="0"/>
        <w:ind w:left="113" w:right="130" w:firstLine="204"/>
        <w:jc w:val="left"/>
        <w:rPr>
          <w:sz w:val="24"/>
        </w:rPr>
      </w:pPr>
      <w:r>
        <w:rPr>
          <w:w w:val="130"/>
          <w:sz w:val="24"/>
        </w:rPr>
        <w:t>a szavatoló tőke összegéről, az elsődleges alapvető tőke, a kiegészítő</w:t>
      </w:r>
      <w:r>
        <w:rPr>
          <w:spacing w:val="78"/>
          <w:w w:val="130"/>
          <w:sz w:val="24"/>
        </w:rPr>
        <w:t> </w:t>
      </w:r>
      <w:r>
        <w:rPr>
          <w:w w:val="130"/>
          <w:sz w:val="24"/>
        </w:rPr>
        <w:t>alapvető tőke és a járulékos tőke szerinti</w:t>
      </w:r>
      <w:r>
        <w:rPr>
          <w:spacing w:val="-33"/>
          <w:w w:val="130"/>
          <w:sz w:val="24"/>
        </w:rPr>
        <w:t> </w:t>
      </w:r>
      <w:r>
        <w:rPr>
          <w:w w:val="130"/>
          <w:sz w:val="24"/>
        </w:rPr>
        <w:t>bontásban,</w:t>
      </w:r>
    </w:p>
    <w:p>
      <w:pPr>
        <w:pStyle w:val="ListParagraph"/>
        <w:numPr>
          <w:ilvl w:val="0"/>
          <w:numId w:val="229"/>
        </w:numPr>
        <w:tabs>
          <w:tab w:pos="653" w:val="left" w:leader="none"/>
        </w:tabs>
        <w:spacing w:line="256" w:lineRule="exact" w:before="0" w:after="0"/>
        <w:ind w:left="652" w:right="0" w:hanging="335"/>
        <w:jc w:val="left"/>
        <w:rPr>
          <w:sz w:val="24"/>
        </w:rPr>
      </w:pPr>
      <w:r>
        <w:rPr>
          <w:w w:val="125"/>
          <w:sz w:val="24"/>
        </w:rPr>
        <w:t>az évközi és év végi nyereség</w:t>
      </w:r>
      <w:r>
        <w:rPr>
          <w:spacing w:val="-8"/>
          <w:w w:val="125"/>
          <w:sz w:val="24"/>
        </w:rPr>
        <w:t> </w:t>
      </w:r>
      <w:r>
        <w:rPr>
          <w:w w:val="125"/>
          <w:sz w:val="24"/>
        </w:rPr>
        <w:t>összegéről,</w:t>
      </w:r>
    </w:p>
    <w:p>
      <w:pPr>
        <w:pStyle w:val="ListParagraph"/>
        <w:numPr>
          <w:ilvl w:val="0"/>
          <w:numId w:val="229"/>
        </w:numPr>
        <w:tabs>
          <w:tab w:pos="623" w:val="left" w:leader="none"/>
        </w:tabs>
        <w:spacing w:line="260" w:lineRule="exact" w:before="0" w:after="0"/>
        <w:ind w:left="622" w:right="0" w:hanging="305"/>
        <w:jc w:val="left"/>
        <w:rPr>
          <w:sz w:val="24"/>
        </w:rPr>
      </w:pPr>
      <w:r>
        <w:rPr>
          <w:w w:val="125"/>
          <w:sz w:val="24"/>
        </w:rPr>
        <w:t>a maximálisan kifizethető összegről,</w:t>
      </w:r>
      <w:r>
        <w:rPr>
          <w:spacing w:val="2"/>
          <w:w w:val="125"/>
          <w:sz w:val="24"/>
        </w:rPr>
        <w:t> </w:t>
      </w:r>
      <w:r>
        <w:rPr>
          <w:w w:val="125"/>
          <w:sz w:val="24"/>
        </w:rPr>
        <w:t>és</w:t>
      </w:r>
    </w:p>
    <w:p>
      <w:pPr>
        <w:pStyle w:val="ListParagraph"/>
        <w:numPr>
          <w:ilvl w:val="0"/>
          <w:numId w:val="229"/>
        </w:numPr>
        <w:tabs>
          <w:tab w:pos="740" w:val="left" w:leader="none"/>
        </w:tabs>
        <w:spacing w:line="225" w:lineRule="auto" w:before="5" w:after="0"/>
        <w:ind w:left="113" w:right="131" w:firstLine="204"/>
        <w:jc w:val="left"/>
        <w:rPr>
          <w:sz w:val="24"/>
        </w:rPr>
      </w:pPr>
      <w:r>
        <w:rPr>
          <w:w w:val="130"/>
          <w:sz w:val="24"/>
        </w:rPr>
        <w:t>a kifizethető nyereség összegéről, amelyet a következők kifizetésére használ</w:t>
      </w:r>
      <w:r>
        <w:rPr>
          <w:spacing w:val="-3"/>
          <w:w w:val="130"/>
          <w:sz w:val="24"/>
        </w:rPr>
        <w:t> </w:t>
      </w:r>
      <w:r>
        <w:rPr>
          <w:w w:val="130"/>
          <w:sz w:val="24"/>
        </w:rPr>
        <w:t>fel:</w:t>
      </w:r>
    </w:p>
    <w:p>
      <w:pPr>
        <w:pStyle w:val="BodyText"/>
        <w:spacing w:line="256" w:lineRule="exact"/>
        <w:ind w:left="317" w:firstLine="0"/>
      </w:pPr>
      <w:r>
        <w:rPr>
          <w:i/>
          <w:w w:val="125"/>
        </w:rPr>
        <w:t>da) </w:t>
      </w:r>
      <w:r>
        <w:rPr>
          <w:w w:val="125"/>
        </w:rPr>
        <w:t>osztalékfizetés,</w:t>
      </w:r>
    </w:p>
    <w:p>
      <w:pPr>
        <w:pStyle w:val="BodyText"/>
        <w:spacing w:line="260" w:lineRule="exact"/>
        <w:ind w:left="317" w:firstLine="0"/>
      </w:pPr>
      <w:r>
        <w:rPr>
          <w:i/>
          <w:w w:val="125"/>
        </w:rPr>
        <w:t>db) </w:t>
      </w:r>
      <w:r>
        <w:rPr>
          <w:w w:val="125"/>
        </w:rPr>
        <w:t>részvény-visszavásárlás,</w:t>
      </w:r>
    </w:p>
    <w:p>
      <w:pPr>
        <w:pStyle w:val="BodyText"/>
        <w:spacing w:line="260" w:lineRule="exact"/>
        <w:ind w:left="317" w:firstLine="0"/>
      </w:pPr>
      <w:r>
        <w:rPr>
          <w:i/>
          <w:w w:val="125"/>
        </w:rPr>
        <w:t>dc) </w:t>
      </w:r>
      <w:r>
        <w:rPr>
          <w:w w:val="125"/>
        </w:rPr>
        <w:t>kiegészítő alapvető tőkeelemhez kapcsolódó kifizetés, vagy</w:t>
      </w:r>
    </w:p>
    <w:p>
      <w:pPr>
        <w:pStyle w:val="BodyText"/>
        <w:spacing w:line="225" w:lineRule="auto" w:before="6"/>
        <w:ind w:right="134"/>
        <w:jc w:val="both"/>
      </w:pPr>
      <w:r>
        <w:rPr>
          <w:i/>
          <w:w w:val="125"/>
        </w:rPr>
        <w:t>dd) </w:t>
      </w:r>
      <w:r>
        <w:rPr>
          <w:w w:val="125"/>
        </w:rPr>
        <w:t>teljesítményjavadalmazás vagy nem kötelező nyugdíjjuttatás kifizetésére vonatkozó fizetési kötelezettség keletkeztetése, vagy ezekre vonatkozó olyan kifizetés teljesítése, amely a kombinált pufferkövetelmény nem teljesítésével egyidőben keletkezett.</w:t>
      </w:r>
    </w:p>
    <w:p>
      <w:pPr>
        <w:pStyle w:val="ListParagraph"/>
        <w:numPr>
          <w:ilvl w:val="0"/>
          <w:numId w:val="228"/>
        </w:numPr>
        <w:tabs>
          <w:tab w:pos="755" w:val="left" w:leader="none"/>
        </w:tabs>
        <w:spacing w:line="225" w:lineRule="auto" w:before="2" w:after="0"/>
        <w:ind w:left="113" w:right="127" w:firstLine="204"/>
        <w:jc w:val="both"/>
        <w:rPr>
          <w:sz w:val="24"/>
        </w:rPr>
      </w:pPr>
      <w:r>
        <w:rPr>
          <w:w w:val="125"/>
          <w:sz w:val="24"/>
        </w:rPr>
        <w:t>A hitelintézet a maximálisan kifizethető összeg és a kifizethető nyereség meghatározása érdekében pontos és megbízható rendszerrel rendelkezik. A hitelintézet a pontosságot a Felügyelet kérésére</w:t>
      </w:r>
      <w:r>
        <w:rPr>
          <w:spacing w:val="22"/>
          <w:w w:val="125"/>
          <w:sz w:val="24"/>
        </w:rPr>
        <w:t> </w:t>
      </w:r>
      <w:r>
        <w:rPr>
          <w:w w:val="125"/>
          <w:sz w:val="24"/>
        </w:rPr>
        <w:t>igazolja.</w:t>
      </w:r>
    </w:p>
    <w:p>
      <w:pPr>
        <w:pStyle w:val="ListParagraph"/>
        <w:numPr>
          <w:ilvl w:val="1"/>
          <w:numId w:val="213"/>
        </w:numPr>
        <w:tabs>
          <w:tab w:pos="884" w:val="left" w:leader="none"/>
        </w:tabs>
        <w:spacing w:line="225" w:lineRule="auto" w:before="1" w:after="0"/>
        <w:ind w:left="113" w:right="124" w:firstLine="204"/>
        <w:jc w:val="both"/>
        <w:rPr>
          <w:sz w:val="24"/>
        </w:rPr>
      </w:pPr>
      <w:r>
        <w:rPr>
          <w:rFonts w:ascii="Arial" w:hAnsi="Arial"/>
          <w:b/>
          <w:w w:val="125"/>
          <w:sz w:val="24"/>
        </w:rPr>
        <w:t>§ </w:t>
      </w:r>
      <w:r>
        <w:rPr>
          <w:w w:val="125"/>
          <w:sz w:val="24"/>
        </w:rPr>
        <w:t>(1) Ha a hitelintézet nem teljesíti a kombinált pufferkövetelményt, akkor a nemteljesítés megállapításától számított öt munkanapon belül tőkefenntartási</w:t>
      </w:r>
      <w:r>
        <w:rPr>
          <w:spacing w:val="16"/>
          <w:w w:val="125"/>
          <w:sz w:val="24"/>
        </w:rPr>
        <w:t> </w:t>
      </w:r>
      <w:r>
        <w:rPr>
          <w:w w:val="125"/>
          <w:sz w:val="24"/>
        </w:rPr>
        <w:t>tervet</w:t>
      </w:r>
      <w:r>
        <w:rPr>
          <w:spacing w:val="17"/>
          <w:w w:val="125"/>
          <w:sz w:val="24"/>
        </w:rPr>
        <w:t> </w:t>
      </w:r>
      <w:r>
        <w:rPr>
          <w:w w:val="125"/>
          <w:sz w:val="24"/>
        </w:rPr>
        <w:t>készít</w:t>
      </w:r>
      <w:r>
        <w:rPr>
          <w:spacing w:val="17"/>
          <w:w w:val="125"/>
          <w:sz w:val="24"/>
        </w:rPr>
        <w:t> </w:t>
      </w:r>
      <w:r>
        <w:rPr>
          <w:w w:val="125"/>
          <w:sz w:val="24"/>
        </w:rPr>
        <w:t>és</w:t>
      </w:r>
      <w:r>
        <w:rPr>
          <w:spacing w:val="17"/>
          <w:w w:val="125"/>
          <w:sz w:val="24"/>
        </w:rPr>
        <w:t> </w:t>
      </w:r>
      <w:r>
        <w:rPr>
          <w:w w:val="125"/>
          <w:sz w:val="24"/>
        </w:rPr>
        <w:t>jóváhagyásra</w:t>
      </w:r>
      <w:r>
        <w:rPr>
          <w:spacing w:val="18"/>
          <w:w w:val="125"/>
          <w:sz w:val="24"/>
        </w:rPr>
        <w:t> </w:t>
      </w:r>
      <w:r>
        <w:rPr>
          <w:w w:val="125"/>
          <w:sz w:val="24"/>
        </w:rPr>
        <w:t>benyújtja</w:t>
      </w:r>
      <w:r>
        <w:rPr>
          <w:spacing w:val="18"/>
          <w:w w:val="125"/>
          <w:sz w:val="24"/>
        </w:rPr>
        <w:t> </w:t>
      </w:r>
      <w:r>
        <w:rPr>
          <w:w w:val="125"/>
          <w:sz w:val="24"/>
        </w:rPr>
        <w:t>a</w:t>
      </w:r>
      <w:r>
        <w:rPr>
          <w:spacing w:val="17"/>
          <w:w w:val="125"/>
          <w:sz w:val="24"/>
        </w:rPr>
        <w:t> </w:t>
      </w:r>
      <w:r>
        <w:rPr>
          <w:w w:val="125"/>
          <w:sz w:val="24"/>
        </w:rPr>
        <w:t>Felügyelet</w:t>
      </w:r>
      <w:r>
        <w:rPr>
          <w:spacing w:val="17"/>
          <w:w w:val="125"/>
          <w:sz w:val="24"/>
        </w:rPr>
        <w:t> </w:t>
      </w:r>
      <w:r>
        <w:rPr>
          <w:w w:val="125"/>
          <w:sz w:val="24"/>
        </w:rPr>
        <w:t>számára.</w:t>
      </w:r>
    </w:p>
    <w:p>
      <w:pPr>
        <w:pStyle w:val="ListParagraph"/>
        <w:numPr>
          <w:ilvl w:val="0"/>
          <w:numId w:val="230"/>
        </w:numPr>
        <w:tabs>
          <w:tab w:pos="818" w:val="left" w:leader="none"/>
        </w:tabs>
        <w:spacing w:line="225" w:lineRule="auto" w:before="2" w:after="0"/>
        <w:ind w:left="113" w:right="110" w:firstLine="204"/>
        <w:jc w:val="both"/>
        <w:rPr>
          <w:sz w:val="24"/>
        </w:rPr>
      </w:pPr>
      <w:r>
        <w:rPr>
          <w:w w:val="130"/>
          <w:sz w:val="24"/>
        </w:rPr>
        <w:t>Az (1) bekezdéstől eltérve, a Felügyelet legfeljebb tíz munkanapot is engedélyezhet a tőkefenntartási terv elkészítésére és benyújtására a hitelintézet egyedi helyzete, tevékenységének mérete és összetettsége alapján.</w:t>
      </w:r>
    </w:p>
    <w:p>
      <w:pPr>
        <w:pStyle w:val="ListParagraph"/>
        <w:numPr>
          <w:ilvl w:val="0"/>
          <w:numId w:val="230"/>
        </w:numPr>
        <w:tabs>
          <w:tab w:pos="734" w:val="left" w:leader="none"/>
        </w:tabs>
        <w:spacing w:line="257" w:lineRule="exact" w:before="0" w:after="0"/>
        <w:ind w:left="733" w:right="0" w:hanging="416"/>
        <w:jc w:val="left"/>
        <w:rPr>
          <w:sz w:val="24"/>
        </w:rPr>
      </w:pPr>
      <w:r>
        <w:rPr>
          <w:w w:val="125"/>
          <w:sz w:val="24"/>
        </w:rPr>
        <w:t>A hitelintézet tőkefenntartási terve</w:t>
      </w:r>
      <w:r>
        <w:rPr>
          <w:spacing w:val="23"/>
          <w:w w:val="125"/>
          <w:sz w:val="24"/>
        </w:rPr>
        <w:t> </w:t>
      </w:r>
      <w:r>
        <w:rPr>
          <w:w w:val="125"/>
          <w:sz w:val="24"/>
        </w:rPr>
        <w:t>tartalmaz:</w:t>
      </w:r>
    </w:p>
    <w:p>
      <w:pPr>
        <w:pStyle w:val="ListParagraph"/>
        <w:numPr>
          <w:ilvl w:val="0"/>
          <w:numId w:val="231"/>
        </w:numPr>
        <w:tabs>
          <w:tab w:pos="631" w:val="left" w:leader="none"/>
        </w:tabs>
        <w:spacing w:line="260" w:lineRule="exact" w:before="0" w:after="0"/>
        <w:ind w:left="630" w:right="0" w:hanging="313"/>
        <w:jc w:val="left"/>
        <w:rPr>
          <w:sz w:val="24"/>
        </w:rPr>
      </w:pPr>
      <w:r>
        <w:rPr>
          <w:w w:val="130"/>
          <w:sz w:val="24"/>
        </w:rPr>
        <w:t>a tervezett bevételekre és</w:t>
      </w:r>
      <w:r>
        <w:rPr>
          <w:spacing w:val="-13"/>
          <w:w w:val="130"/>
          <w:sz w:val="24"/>
        </w:rPr>
        <w:t> </w:t>
      </w:r>
      <w:r>
        <w:rPr>
          <w:w w:val="130"/>
          <w:sz w:val="24"/>
        </w:rPr>
        <w:t>kiadásokra,</w:t>
      </w:r>
    </w:p>
    <w:p>
      <w:pPr>
        <w:pStyle w:val="ListParagraph"/>
        <w:numPr>
          <w:ilvl w:val="0"/>
          <w:numId w:val="231"/>
        </w:numPr>
        <w:tabs>
          <w:tab w:pos="653" w:val="left" w:leader="none"/>
        </w:tabs>
        <w:spacing w:line="260" w:lineRule="exact" w:before="0" w:after="0"/>
        <w:ind w:left="652" w:right="0" w:hanging="335"/>
        <w:jc w:val="left"/>
        <w:rPr>
          <w:sz w:val="24"/>
        </w:rPr>
      </w:pPr>
      <w:r>
        <w:rPr>
          <w:w w:val="130"/>
          <w:sz w:val="24"/>
        </w:rPr>
        <w:t>mérlegtervre,</w:t>
      </w:r>
    </w:p>
    <w:p>
      <w:pPr>
        <w:pStyle w:val="ListParagraph"/>
        <w:numPr>
          <w:ilvl w:val="0"/>
          <w:numId w:val="231"/>
        </w:numPr>
        <w:tabs>
          <w:tab w:pos="708" w:val="left" w:leader="none"/>
        </w:tabs>
        <w:spacing w:line="225" w:lineRule="auto" w:before="5" w:after="0"/>
        <w:ind w:left="113" w:right="125" w:firstLine="204"/>
        <w:jc w:val="left"/>
        <w:rPr>
          <w:sz w:val="24"/>
        </w:rPr>
      </w:pPr>
      <w:r>
        <w:rPr>
          <w:w w:val="130"/>
          <w:sz w:val="24"/>
        </w:rPr>
        <w:t>az 575/2013/EU rendelet 92. cikkében meghatározott tőkemegfelelési mutatók értékének növelése tekintetében a szükséges</w:t>
      </w:r>
      <w:r>
        <w:rPr>
          <w:spacing w:val="-42"/>
          <w:w w:val="130"/>
          <w:sz w:val="24"/>
        </w:rPr>
        <w:t> </w:t>
      </w:r>
      <w:r>
        <w:rPr>
          <w:w w:val="130"/>
          <w:sz w:val="24"/>
        </w:rPr>
        <w:t>intézkedésekre,</w:t>
      </w:r>
    </w:p>
    <w:p>
      <w:pPr>
        <w:pStyle w:val="ListParagraph"/>
        <w:numPr>
          <w:ilvl w:val="0"/>
          <w:numId w:val="231"/>
        </w:numPr>
        <w:tabs>
          <w:tab w:pos="653" w:val="left" w:leader="none"/>
        </w:tabs>
        <w:spacing w:line="256" w:lineRule="exact" w:before="0" w:after="0"/>
        <w:ind w:left="652" w:right="0" w:hanging="335"/>
        <w:jc w:val="left"/>
        <w:rPr>
          <w:sz w:val="24"/>
        </w:rPr>
      </w:pPr>
      <w:r>
        <w:rPr>
          <w:w w:val="130"/>
          <w:sz w:val="24"/>
        </w:rPr>
        <w:t>a</w:t>
      </w:r>
      <w:r>
        <w:rPr>
          <w:spacing w:val="-16"/>
          <w:w w:val="130"/>
          <w:sz w:val="24"/>
        </w:rPr>
        <w:t> </w:t>
      </w:r>
      <w:r>
        <w:rPr>
          <w:w w:val="130"/>
          <w:sz w:val="24"/>
        </w:rPr>
        <w:t>szavatoló</w:t>
      </w:r>
      <w:r>
        <w:rPr>
          <w:spacing w:val="-13"/>
          <w:w w:val="130"/>
          <w:sz w:val="24"/>
        </w:rPr>
        <w:t> </w:t>
      </w:r>
      <w:r>
        <w:rPr>
          <w:w w:val="130"/>
          <w:sz w:val="24"/>
        </w:rPr>
        <w:t>tőke</w:t>
      </w:r>
      <w:r>
        <w:rPr>
          <w:spacing w:val="-9"/>
          <w:w w:val="130"/>
          <w:sz w:val="24"/>
        </w:rPr>
        <w:t> </w:t>
      </w:r>
      <w:r>
        <w:rPr>
          <w:w w:val="130"/>
          <w:sz w:val="24"/>
        </w:rPr>
        <w:t>szintjének</w:t>
      </w:r>
      <w:r>
        <w:rPr>
          <w:spacing w:val="-9"/>
          <w:w w:val="130"/>
          <w:sz w:val="24"/>
        </w:rPr>
        <w:t> </w:t>
      </w:r>
      <w:r>
        <w:rPr>
          <w:w w:val="130"/>
          <w:sz w:val="24"/>
        </w:rPr>
        <w:t>emelésére</w:t>
      </w:r>
      <w:r>
        <w:rPr>
          <w:spacing w:val="-9"/>
          <w:w w:val="130"/>
          <w:sz w:val="24"/>
        </w:rPr>
        <w:t> </w:t>
      </w:r>
      <w:r>
        <w:rPr>
          <w:w w:val="130"/>
          <w:sz w:val="24"/>
        </w:rPr>
        <w:t>irányuló</w:t>
      </w:r>
      <w:r>
        <w:rPr>
          <w:spacing w:val="-10"/>
          <w:w w:val="130"/>
          <w:sz w:val="24"/>
        </w:rPr>
        <w:t> </w:t>
      </w:r>
      <w:r>
        <w:rPr>
          <w:w w:val="130"/>
          <w:sz w:val="24"/>
        </w:rPr>
        <w:t>tervre,</w:t>
      </w:r>
      <w:r>
        <w:rPr>
          <w:spacing w:val="-9"/>
          <w:w w:val="130"/>
          <w:sz w:val="24"/>
        </w:rPr>
        <w:t> </w:t>
      </w:r>
      <w:r>
        <w:rPr>
          <w:w w:val="130"/>
          <w:sz w:val="24"/>
        </w:rPr>
        <w:t>valamint</w:t>
      </w:r>
    </w:p>
    <w:p>
      <w:pPr>
        <w:pStyle w:val="ListParagraph"/>
        <w:numPr>
          <w:ilvl w:val="0"/>
          <w:numId w:val="231"/>
        </w:numPr>
        <w:tabs>
          <w:tab w:pos="629" w:val="left" w:leader="none"/>
        </w:tabs>
        <w:spacing w:line="225" w:lineRule="auto" w:before="6" w:after="0"/>
        <w:ind w:left="113" w:right="2078" w:firstLine="204"/>
        <w:jc w:val="left"/>
        <w:rPr>
          <w:sz w:val="24"/>
        </w:rPr>
      </w:pPr>
      <w:r>
        <w:rPr>
          <w:w w:val="125"/>
          <w:sz w:val="24"/>
        </w:rPr>
        <w:t>a kombinált pufferkövetelmény teljesítésének ütemezésére vonatkozó</w:t>
      </w:r>
      <w:r>
        <w:rPr>
          <w:spacing w:val="-1"/>
          <w:w w:val="125"/>
          <w:sz w:val="24"/>
        </w:rPr>
        <w:t> </w:t>
      </w:r>
      <w:r>
        <w:rPr>
          <w:w w:val="125"/>
          <w:sz w:val="24"/>
        </w:rPr>
        <w:t>információkat.</w:t>
      </w:r>
    </w:p>
    <w:p>
      <w:pPr>
        <w:pStyle w:val="ListParagraph"/>
        <w:numPr>
          <w:ilvl w:val="0"/>
          <w:numId w:val="230"/>
        </w:numPr>
        <w:tabs>
          <w:tab w:pos="752" w:val="left" w:leader="none"/>
        </w:tabs>
        <w:spacing w:line="225" w:lineRule="auto" w:before="1" w:after="0"/>
        <w:ind w:left="113" w:right="132" w:firstLine="204"/>
        <w:jc w:val="both"/>
        <w:rPr>
          <w:sz w:val="24"/>
        </w:rPr>
      </w:pPr>
      <w:r>
        <w:rPr>
          <w:w w:val="125"/>
          <w:sz w:val="24"/>
        </w:rPr>
        <w:t>A Felügyelet jóváhagyja a hitelintézet tőkefenntartási tervét, ha úgy ítéli meg, hogy a terv végrehajtásával a hitelintézet teljesíteni tudja a kombinált pufferkövetelményeket a Felügyelet által meghatározott határidőn</w:t>
      </w:r>
      <w:r>
        <w:rPr>
          <w:spacing w:val="52"/>
          <w:w w:val="125"/>
          <w:sz w:val="24"/>
        </w:rPr>
        <w:t> </w:t>
      </w:r>
      <w:r>
        <w:rPr>
          <w:w w:val="125"/>
          <w:sz w:val="24"/>
        </w:rPr>
        <w:t>belül.</w:t>
      </w:r>
    </w:p>
    <w:p>
      <w:pPr>
        <w:spacing w:after="0" w:line="225" w:lineRule="auto"/>
        <w:jc w:val="both"/>
        <w:rPr>
          <w:sz w:val="24"/>
        </w:rPr>
        <w:sectPr>
          <w:pgSz w:w="11900" w:h="16820"/>
          <w:pgMar w:header="1104" w:footer="0" w:top="1840" w:bottom="280" w:left="1020" w:right="1000"/>
        </w:sectPr>
      </w:pPr>
    </w:p>
    <w:p>
      <w:pPr>
        <w:pStyle w:val="ListParagraph"/>
        <w:numPr>
          <w:ilvl w:val="0"/>
          <w:numId w:val="230"/>
        </w:numPr>
        <w:tabs>
          <w:tab w:pos="777" w:val="left" w:leader="none"/>
        </w:tabs>
        <w:spacing w:line="225" w:lineRule="auto" w:before="173" w:after="0"/>
        <w:ind w:left="113" w:right="131" w:firstLine="204"/>
        <w:jc w:val="both"/>
        <w:rPr>
          <w:sz w:val="24"/>
        </w:rPr>
      </w:pPr>
      <w:r>
        <w:rPr>
          <w:w w:val="130"/>
          <w:sz w:val="24"/>
        </w:rPr>
        <w:t>Ha a Felügyelet nem hagyj a jóvá a hitelintézet tőkefenntartási tervét, akkor</w:t>
      </w:r>
    </w:p>
    <w:p>
      <w:pPr>
        <w:pStyle w:val="ListParagraph"/>
        <w:numPr>
          <w:ilvl w:val="0"/>
          <w:numId w:val="232"/>
        </w:numPr>
        <w:tabs>
          <w:tab w:pos="766" w:val="left" w:leader="none"/>
        </w:tabs>
        <w:spacing w:line="225" w:lineRule="auto" w:before="1" w:after="0"/>
        <w:ind w:left="113" w:right="124" w:firstLine="204"/>
        <w:jc w:val="both"/>
        <w:rPr>
          <w:sz w:val="24"/>
        </w:rPr>
      </w:pPr>
      <w:r>
        <w:rPr>
          <w:w w:val="130"/>
          <w:sz w:val="24"/>
        </w:rPr>
        <w:t>a meghatározott határidőn belül a hitelintézet szavatoló tőkéjének meghatározott szintre emelését írja</w:t>
      </w:r>
      <w:r>
        <w:rPr>
          <w:spacing w:val="-16"/>
          <w:w w:val="130"/>
          <w:sz w:val="24"/>
        </w:rPr>
        <w:t> </w:t>
      </w:r>
      <w:r>
        <w:rPr>
          <w:w w:val="130"/>
          <w:sz w:val="24"/>
        </w:rPr>
        <w:t>elő,</w:t>
      </w:r>
    </w:p>
    <w:p>
      <w:pPr>
        <w:pStyle w:val="ListParagraph"/>
        <w:numPr>
          <w:ilvl w:val="0"/>
          <w:numId w:val="232"/>
        </w:numPr>
        <w:tabs>
          <w:tab w:pos="653" w:val="left" w:leader="none"/>
        </w:tabs>
        <w:spacing w:line="264" w:lineRule="exact" w:before="0" w:after="0"/>
        <w:ind w:left="652" w:right="0" w:hanging="335"/>
        <w:jc w:val="left"/>
        <w:rPr>
          <w:sz w:val="24"/>
        </w:rPr>
      </w:pPr>
      <w:r>
        <w:rPr>
          <w:w w:val="130"/>
          <w:sz w:val="24"/>
        </w:rPr>
        <w:t>a</w:t>
      </w:r>
      <w:r>
        <w:rPr>
          <w:spacing w:val="-23"/>
          <w:w w:val="130"/>
          <w:sz w:val="24"/>
        </w:rPr>
        <w:t> </w:t>
      </w:r>
      <w:r>
        <w:rPr>
          <w:w w:val="130"/>
          <w:sz w:val="24"/>
        </w:rPr>
        <w:t>94.</w:t>
      </w:r>
      <w:r>
        <w:rPr>
          <w:spacing w:val="-19"/>
          <w:w w:val="130"/>
          <w:sz w:val="24"/>
        </w:rPr>
        <w:t> </w:t>
      </w:r>
      <w:r>
        <w:rPr>
          <w:w w:val="130"/>
          <w:sz w:val="24"/>
        </w:rPr>
        <w:t>§-ban</w:t>
      </w:r>
      <w:r>
        <w:rPr>
          <w:spacing w:val="-15"/>
          <w:w w:val="130"/>
          <w:sz w:val="24"/>
        </w:rPr>
        <w:t> </w:t>
      </w:r>
      <w:r>
        <w:rPr>
          <w:w w:val="130"/>
          <w:sz w:val="24"/>
        </w:rPr>
        <w:t>meghatározottnál</w:t>
      </w:r>
      <w:r>
        <w:rPr>
          <w:spacing w:val="-17"/>
          <w:w w:val="130"/>
          <w:sz w:val="24"/>
        </w:rPr>
        <w:t> </w:t>
      </w:r>
      <w:r>
        <w:rPr>
          <w:w w:val="130"/>
          <w:sz w:val="24"/>
        </w:rPr>
        <w:t>szigorúbb</w:t>
      </w:r>
      <w:r>
        <w:rPr>
          <w:spacing w:val="-15"/>
          <w:w w:val="130"/>
          <w:sz w:val="24"/>
        </w:rPr>
        <w:t> </w:t>
      </w:r>
      <w:r>
        <w:rPr>
          <w:w w:val="130"/>
          <w:sz w:val="24"/>
        </w:rPr>
        <w:t>kifizetési</w:t>
      </w:r>
      <w:r>
        <w:rPr>
          <w:spacing w:val="-17"/>
          <w:w w:val="130"/>
          <w:sz w:val="24"/>
        </w:rPr>
        <w:t> </w:t>
      </w:r>
      <w:r>
        <w:rPr>
          <w:w w:val="130"/>
          <w:sz w:val="24"/>
        </w:rPr>
        <w:t>korlátozást</w:t>
      </w:r>
      <w:r>
        <w:rPr>
          <w:spacing w:val="-16"/>
          <w:w w:val="130"/>
          <w:sz w:val="24"/>
        </w:rPr>
        <w:t> </w:t>
      </w:r>
      <w:r>
        <w:rPr>
          <w:w w:val="130"/>
          <w:sz w:val="24"/>
        </w:rPr>
        <w:t>rendel</w:t>
      </w:r>
      <w:r>
        <w:rPr>
          <w:spacing w:val="-16"/>
          <w:w w:val="130"/>
          <w:sz w:val="24"/>
        </w:rPr>
        <w:t> </w:t>
      </w:r>
      <w:r>
        <w:rPr>
          <w:w w:val="130"/>
          <w:sz w:val="24"/>
        </w:rPr>
        <w:t>el.</w:t>
      </w:r>
    </w:p>
    <w:p>
      <w:pPr>
        <w:pStyle w:val="BodyText"/>
        <w:spacing w:before="224"/>
        <w:ind w:left="2145" w:firstLine="0"/>
      </w:pPr>
      <w:r>
        <w:rPr>
          <w:w w:val="125"/>
        </w:rPr>
        <w:t>46. A tőkemegfelelés belső értékelési eljárása</w:t>
      </w:r>
    </w:p>
    <w:p>
      <w:pPr>
        <w:pStyle w:val="ListParagraph"/>
        <w:numPr>
          <w:ilvl w:val="1"/>
          <w:numId w:val="213"/>
        </w:numPr>
        <w:tabs>
          <w:tab w:pos="905" w:val="left" w:leader="none"/>
        </w:tabs>
        <w:spacing w:line="225" w:lineRule="auto" w:before="236" w:after="0"/>
        <w:ind w:left="113" w:right="124" w:firstLine="204"/>
        <w:jc w:val="both"/>
        <w:rPr>
          <w:sz w:val="24"/>
        </w:rPr>
      </w:pPr>
      <w:r>
        <w:rPr>
          <w:rFonts w:ascii="Arial" w:hAnsi="Arial"/>
          <w:b/>
          <w:w w:val="125"/>
          <w:sz w:val="24"/>
        </w:rPr>
        <w:t>§ </w:t>
      </w:r>
      <w:r>
        <w:rPr>
          <w:w w:val="125"/>
          <w:sz w:val="24"/>
        </w:rPr>
        <w:t>(1) A hitelintézet megbízható, hatékony és átfogó stratégiával és folyamatokkal rendelkezik annak érdekében, hogy a jelenlegi és jövőben felmerülő kockázatainak fedezetéhez szükséges nagyságú és összetételű szavatoló tőkéjét meghatározza és folyamatosan</w:t>
      </w:r>
      <w:r>
        <w:rPr>
          <w:spacing w:val="18"/>
          <w:w w:val="125"/>
          <w:sz w:val="24"/>
        </w:rPr>
        <w:t> </w:t>
      </w:r>
      <w:r>
        <w:rPr>
          <w:w w:val="125"/>
          <w:sz w:val="24"/>
        </w:rPr>
        <w:t>fenntartsa.</w:t>
      </w:r>
    </w:p>
    <w:p>
      <w:pPr>
        <w:pStyle w:val="ListParagraph"/>
        <w:numPr>
          <w:ilvl w:val="0"/>
          <w:numId w:val="233"/>
        </w:numPr>
        <w:tabs>
          <w:tab w:pos="819" w:val="left" w:leader="none"/>
        </w:tabs>
        <w:spacing w:line="225" w:lineRule="auto" w:before="3" w:after="0"/>
        <w:ind w:left="113" w:right="109" w:firstLine="204"/>
        <w:jc w:val="both"/>
        <w:rPr>
          <w:sz w:val="24"/>
        </w:rPr>
      </w:pPr>
      <w:r>
        <w:rPr>
          <w:w w:val="125"/>
          <w:sz w:val="24"/>
        </w:rPr>
        <w:t>A hitelintézet legalább évente felülvizsgálja az (1) bekezdés szerinti stratégiáját és eljárását annak érdekében, hogy azok összhangban legyenek a tevékenysége jellegével, nagyságrendjével és</w:t>
      </w:r>
      <w:r>
        <w:rPr>
          <w:spacing w:val="16"/>
          <w:w w:val="125"/>
          <w:sz w:val="24"/>
        </w:rPr>
        <w:t> </w:t>
      </w:r>
      <w:r>
        <w:rPr>
          <w:w w:val="125"/>
          <w:sz w:val="24"/>
        </w:rPr>
        <w:t>összetettségével.</w:t>
      </w:r>
    </w:p>
    <w:p>
      <w:pPr>
        <w:pStyle w:val="ListParagraph"/>
        <w:numPr>
          <w:ilvl w:val="0"/>
          <w:numId w:val="233"/>
        </w:numPr>
        <w:tabs>
          <w:tab w:pos="659" w:val="left" w:leader="none"/>
        </w:tabs>
        <w:spacing w:line="225" w:lineRule="auto" w:before="1" w:after="0"/>
        <w:ind w:left="113" w:right="127" w:firstLine="204"/>
        <w:jc w:val="both"/>
        <w:rPr>
          <w:sz w:val="24"/>
        </w:rPr>
      </w:pPr>
      <w:r>
        <w:rPr>
          <w:i/>
          <w:w w:val="125"/>
          <w:position w:val="3"/>
          <w:sz w:val="18"/>
        </w:rPr>
        <w:t>1 </w:t>
      </w:r>
      <w:r>
        <w:rPr>
          <w:w w:val="125"/>
          <w:sz w:val="24"/>
        </w:rPr>
        <w:t>A magyarországi székhelyű tagállami hitelintézet anyavállalat, tagállami pénzügyi holding társaság és vegyes pénzügyi holding társaság anyavállalat</w:t>
      </w:r>
      <w:r>
        <w:rPr>
          <w:spacing w:val="55"/>
          <w:w w:val="125"/>
          <w:sz w:val="24"/>
        </w:rPr>
        <w:t> </w:t>
      </w:r>
      <w:r>
        <w:rPr>
          <w:w w:val="125"/>
          <w:sz w:val="24"/>
        </w:rPr>
        <w:t>az</w:t>
      </w:r>
    </w:p>
    <w:p>
      <w:pPr>
        <w:pStyle w:val="ListParagraph"/>
        <w:numPr>
          <w:ilvl w:val="0"/>
          <w:numId w:val="234"/>
        </w:numPr>
        <w:tabs>
          <w:tab w:pos="567" w:val="left" w:leader="none"/>
        </w:tabs>
        <w:spacing w:line="225" w:lineRule="auto" w:before="1" w:after="0"/>
        <w:ind w:left="113" w:right="128" w:firstLine="0"/>
        <w:jc w:val="left"/>
        <w:rPr>
          <w:sz w:val="24"/>
        </w:rPr>
      </w:pPr>
      <w:r>
        <w:rPr>
          <w:w w:val="125"/>
          <w:sz w:val="24"/>
        </w:rPr>
        <w:t>és (2) bekezdésben rögzített követelményeknek az 575/2013/EU rendelet vonatkozásában összevont alapon felel</w:t>
      </w:r>
      <w:r>
        <w:rPr>
          <w:spacing w:val="3"/>
          <w:w w:val="125"/>
          <w:sz w:val="24"/>
        </w:rPr>
        <w:t> </w:t>
      </w:r>
      <w:r>
        <w:rPr>
          <w:w w:val="125"/>
          <w:sz w:val="24"/>
        </w:rPr>
        <w:t>meg.</w:t>
      </w:r>
    </w:p>
    <w:p>
      <w:pPr>
        <w:pStyle w:val="ListParagraph"/>
        <w:numPr>
          <w:ilvl w:val="1"/>
          <w:numId w:val="234"/>
        </w:numPr>
        <w:tabs>
          <w:tab w:pos="659" w:val="left" w:leader="none"/>
        </w:tabs>
        <w:spacing w:line="225" w:lineRule="auto" w:before="2" w:after="0"/>
        <w:ind w:left="113" w:right="124" w:firstLine="204"/>
        <w:jc w:val="both"/>
        <w:rPr>
          <w:sz w:val="24"/>
        </w:rPr>
      </w:pPr>
      <w:r>
        <w:rPr>
          <w:i/>
          <w:w w:val="125"/>
          <w:position w:val="3"/>
          <w:sz w:val="18"/>
        </w:rPr>
        <w:t>2 </w:t>
      </w:r>
      <w:r>
        <w:rPr>
          <w:w w:val="125"/>
          <w:sz w:val="24"/>
        </w:rPr>
        <w:t>Ha egy hitelintézet ellenőrző befolyás alatt áll vagy egy vállalkozás ezen hitelintézetben részesedési viszonnyal rendelkezik és a hitelintézet maga vagy  a hitelintézet pénzügyi holding társaság anyavállalata vagy vegyes pénzügyi holding társaság anyavállalata ellenőrző befolyással vagy részesedési viszonnyal rendelkezik egy harmadik országban székhellyel rendelkező hitelintézetben, pénzügyi vállalkozásban, befektetési vállalkozásban,  befektetési alapkezelőben vagy járulékos vállalkozásban, akkor a hitelintézet  az (1) és (2) bekezdésben rögzített követelményeknek az 575/2013/EU rendeletben meghatározott vállalkozások vonatkozásában összevont alapon  felel meg.</w:t>
      </w:r>
    </w:p>
    <w:p>
      <w:pPr>
        <w:pStyle w:val="ListParagraph"/>
        <w:numPr>
          <w:ilvl w:val="1"/>
          <w:numId w:val="234"/>
        </w:numPr>
        <w:tabs>
          <w:tab w:pos="659" w:val="left" w:leader="none"/>
        </w:tabs>
        <w:spacing w:line="225" w:lineRule="auto" w:before="5" w:after="0"/>
        <w:ind w:left="113" w:right="131" w:firstLine="204"/>
        <w:jc w:val="both"/>
        <w:rPr>
          <w:sz w:val="24"/>
        </w:rPr>
      </w:pPr>
      <w:r>
        <w:rPr>
          <w:i/>
          <w:w w:val="130"/>
          <w:position w:val="3"/>
          <w:sz w:val="18"/>
        </w:rPr>
        <w:t>3 </w:t>
      </w:r>
      <w:r>
        <w:rPr>
          <w:w w:val="130"/>
          <w:sz w:val="24"/>
        </w:rPr>
        <w:t>A tőkemegfelelés belső értékelési eljárására vonatkozó</w:t>
      </w:r>
      <w:r>
        <w:rPr>
          <w:spacing w:val="-34"/>
          <w:w w:val="130"/>
          <w:sz w:val="24"/>
        </w:rPr>
        <w:t> </w:t>
      </w:r>
      <w:r>
        <w:rPr>
          <w:w w:val="130"/>
          <w:sz w:val="24"/>
        </w:rPr>
        <w:t>rendelkezéseket a</w:t>
      </w:r>
      <w:r>
        <w:rPr>
          <w:spacing w:val="-22"/>
          <w:w w:val="130"/>
          <w:sz w:val="24"/>
        </w:rPr>
        <w:t> </w:t>
      </w:r>
      <w:r>
        <w:rPr>
          <w:w w:val="130"/>
          <w:sz w:val="24"/>
        </w:rPr>
        <w:t>központi</w:t>
      </w:r>
      <w:r>
        <w:rPr>
          <w:spacing w:val="-22"/>
          <w:w w:val="130"/>
          <w:sz w:val="24"/>
        </w:rPr>
        <w:t> </w:t>
      </w:r>
      <w:r>
        <w:rPr>
          <w:w w:val="130"/>
          <w:sz w:val="24"/>
        </w:rPr>
        <w:t>szervhez</w:t>
      </w:r>
      <w:r>
        <w:rPr>
          <w:spacing w:val="-22"/>
          <w:w w:val="130"/>
          <w:sz w:val="24"/>
        </w:rPr>
        <w:t> </w:t>
      </w:r>
      <w:r>
        <w:rPr>
          <w:w w:val="130"/>
          <w:sz w:val="24"/>
        </w:rPr>
        <w:t>tartósan</w:t>
      </w:r>
      <w:r>
        <w:rPr>
          <w:spacing w:val="-21"/>
          <w:w w:val="130"/>
          <w:sz w:val="24"/>
        </w:rPr>
        <w:t> </w:t>
      </w:r>
      <w:r>
        <w:rPr>
          <w:w w:val="130"/>
          <w:sz w:val="24"/>
        </w:rPr>
        <w:t>kapcsolt</w:t>
      </w:r>
      <w:r>
        <w:rPr>
          <w:spacing w:val="-22"/>
          <w:w w:val="130"/>
          <w:sz w:val="24"/>
        </w:rPr>
        <w:t> </w:t>
      </w:r>
      <w:r>
        <w:rPr>
          <w:w w:val="130"/>
          <w:sz w:val="24"/>
        </w:rPr>
        <w:t>hitelintézet</w:t>
      </w:r>
      <w:r>
        <w:rPr>
          <w:spacing w:val="-22"/>
          <w:w w:val="130"/>
          <w:sz w:val="24"/>
        </w:rPr>
        <w:t> </w:t>
      </w:r>
      <w:r>
        <w:rPr>
          <w:w w:val="130"/>
          <w:sz w:val="24"/>
        </w:rPr>
        <w:t>az</w:t>
      </w:r>
      <w:r>
        <w:rPr>
          <w:spacing w:val="-21"/>
          <w:w w:val="130"/>
          <w:sz w:val="24"/>
        </w:rPr>
        <w:t> </w:t>
      </w:r>
      <w:r>
        <w:rPr>
          <w:w w:val="130"/>
          <w:sz w:val="24"/>
        </w:rPr>
        <w:t>575/2013/EU</w:t>
      </w:r>
      <w:r>
        <w:rPr>
          <w:spacing w:val="-22"/>
          <w:w w:val="130"/>
          <w:sz w:val="24"/>
        </w:rPr>
        <w:t> </w:t>
      </w:r>
      <w:r>
        <w:rPr>
          <w:w w:val="130"/>
          <w:sz w:val="24"/>
        </w:rPr>
        <w:t>rendelet</w:t>
      </w:r>
      <w:r>
        <w:rPr>
          <w:spacing w:val="-22"/>
          <w:w w:val="130"/>
          <w:sz w:val="24"/>
        </w:rPr>
        <w:t> </w:t>
      </w:r>
      <w:r>
        <w:rPr>
          <w:w w:val="130"/>
          <w:sz w:val="24"/>
        </w:rPr>
        <w:t>10. cikkével összhangban</w:t>
      </w:r>
      <w:r>
        <w:rPr>
          <w:spacing w:val="-7"/>
          <w:w w:val="130"/>
          <w:sz w:val="24"/>
        </w:rPr>
        <w:t> </w:t>
      </w:r>
      <w:r>
        <w:rPr>
          <w:w w:val="130"/>
          <w:sz w:val="24"/>
        </w:rPr>
        <w:t>teljesíti.</w:t>
      </w:r>
    </w:p>
    <w:p>
      <w:pPr>
        <w:pStyle w:val="BodyText"/>
        <w:spacing w:before="229"/>
        <w:ind w:left="1716" w:firstLine="0"/>
      </w:pPr>
      <w:r>
        <w:rPr>
          <w:w w:val="125"/>
        </w:rPr>
        <w:t>47. A kockázatvállalás korlátozása, ügyleti szabályok</w:t>
      </w:r>
    </w:p>
    <w:p>
      <w:pPr>
        <w:pStyle w:val="ListParagraph"/>
        <w:numPr>
          <w:ilvl w:val="1"/>
          <w:numId w:val="213"/>
        </w:numPr>
        <w:tabs>
          <w:tab w:pos="930" w:val="left" w:leader="none"/>
        </w:tabs>
        <w:spacing w:line="225" w:lineRule="auto" w:before="236" w:after="0"/>
        <w:ind w:left="113" w:right="129" w:firstLine="204"/>
        <w:jc w:val="both"/>
        <w:rPr>
          <w:sz w:val="24"/>
        </w:rPr>
      </w:pPr>
      <w:r>
        <w:rPr>
          <w:rFonts w:ascii="Arial" w:hAnsi="Arial"/>
          <w:b/>
          <w:w w:val="125"/>
          <w:sz w:val="24"/>
        </w:rPr>
        <w:t>§ </w:t>
      </w:r>
      <w:r>
        <w:rPr>
          <w:w w:val="125"/>
          <w:sz w:val="24"/>
        </w:rPr>
        <w:t>(1) A pénzügyi intézmény - ide nem értve a pénzügyi holding társaságot - a kihelyezések és kötelezettségvállalások megalapozottságát, áttekinthetőségét, a kockázatok felmérésének ellenőrzését és csökkentését lehetővé tevő - igazgatóság által elfogadott belső szabályzatot dolgoz ki és alkalmaz.</w:t>
      </w:r>
    </w:p>
    <w:p>
      <w:pPr>
        <w:pStyle w:val="BodyText"/>
        <w:spacing w:line="225" w:lineRule="auto" w:before="3"/>
        <w:ind w:right="133"/>
        <w:jc w:val="both"/>
      </w:pPr>
      <w:r>
        <w:rPr>
          <w:w w:val="125"/>
        </w:rPr>
        <w:t>(2) Pénzügyi intézmény kockázatvállalással járó ügyletet kizárólag írásban köthet. A szóban kötött pénz- és tőkepiaci ügylet esetében az ügyletkötést a pénzügyi intézmény írásban visszaigazolja.</w:t>
      </w:r>
    </w:p>
    <w:p>
      <w:pPr>
        <w:pStyle w:val="ListParagraph"/>
        <w:numPr>
          <w:ilvl w:val="1"/>
          <w:numId w:val="213"/>
        </w:numPr>
        <w:tabs>
          <w:tab w:pos="855" w:val="left" w:leader="none"/>
        </w:tabs>
        <w:spacing w:line="225" w:lineRule="auto" w:before="1" w:after="0"/>
        <w:ind w:left="113" w:right="127" w:firstLine="204"/>
        <w:jc w:val="both"/>
        <w:rPr>
          <w:sz w:val="24"/>
        </w:rPr>
      </w:pPr>
      <w:r>
        <w:rPr>
          <w:rFonts w:ascii="Arial" w:hAnsi="Arial"/>
          <w:b/>
          <w:w w:val="125"/>
          <w:sz w:val="24"/>
        </w:rPr>
        <w:t>§ </w:t>
      </w:r>
      <w:r>
        <w:rPr>
          <w:w w:val="125"/>
          <w:sz w:val="24"/>
        </w:rPr>
        <w:t>(1) A hitelintézet a kihelyezésről történő döntés előtt meggyőződik a szükséges fedezetek, biztosítékok meglétéről, valós értékéről és érvényesíthetőségéről. A döntés alapjául szolgáló iratokat az ügyletre vonatkozó szerződéshez és a leszámítolt váltóhoz</w:t>
      </w:r>
      <w:r>
        <w:rPr>
          <w:spacing w:val="4"/>
          <w:w w:val="125"/>
          <w:sz w:val="24"/>
        </w:rPr>
        <w:t> </w:t>
      </w:r>
      <w:r>
        <w:rPr>
          <w:w w:val="125"/>
          <w:sz w:val="24"/>
        </w:rPr>
        <w:t>csatolja.</w:t>
      </w:r>
    </w:p>
    <w:p>
      <w:pPr>
        <w:pStyle w:val="ListParagraph"/>
        <w:numPr>
          <w:ilvl w:val="0"/>
          <w:numId w:val="235"/>
        </w:numPr>
        <w:tabs>
          <w:tab w:pos="734" w:val="left" w:leader="none"/>
        </w:tabs>
        <w:spacing w:line="265" w:lineRule="exact" w:before="0" w:after="0"/>
        <w:ind w:left="733" w:right="0" w:hanging="416"/>
        <w:jc w:val="left"/>
        <w:rPr>
          <w:sz w:val="24"/>
        </w:rPr>
      </w:pPr>
      <w:r>
        <w:rPr>
          <w:w w:val="130"/>
          <w:sz w:val="24"/>
        </w:rPr>
        <w:t>A hitelintézet értékkel bíró fedezetként nem fogadhatja</w:t>
      </w:r>
      <w:r>
        <w:rPr>
          <w:spacing w:val="-50"/>
          <w:w w:val="130"/>
          <w:sz w:val="24"/>
        </w:rPr>
        <w:t> </w:t>
      </w:r>
      <w:r>
        <w:rPr>
          <w:w w:val="130"/>
          <w:sz w:val="24"/>
        </w:rPr>
        <w:t>el:</w:t>
      </w:r>
    </w:p>
    <w:p>
      <w:pPr>
        <w:pStyle w:val="BodyText"/>
        <w:ind w:left="0" w:firstLine="0"/>
        <w:rPr>
          <w:sz w:val="20"/>
        </w:rPr>
      </w:pPr>
    </w:p>
    <w:p>
      <w:pPr>
        <w:pStyle w:val="BodyText"/>
        <w:spacing w:before="9"/>
        <w:ind w:left="0" w:firstLine="0"/>
      </w:pPr>
      <w:r>
        <w:rPr/>
        <w:pict>
          <v:line style="position:absolute;mso-position-horizontal-relative:page;mso-position-vertical-relative:paragraph;z-index:368;mso-wrap-distance-left:0;mso-wrap-distance-right:0" from="56.693001pt,16.485281pt" to="538.583001pt,16.485281pt" stroked="true" strokeweight=".5pt" strokecolor="#000000">
            <v:stroke dashstyle="solid"/>
            <w10:wrap type="topAndBottom"/>
          </v:line>
        </w:pict>
      </w:r>
    </w:p>
    <w:p>
      <w:pPr>
        <w:tabs>
          <w:tab w:pos="686" w:val="left" w:leader="none"/>
        </w:tabs>
        <w:spacing w:line="232" w:lineRule="auto" w:before="49"/>
        <w:ind w:left="342" w:right="2946" w:firstLine="0"/>
        <w:jc w:val="left"/>
        <w:rPr>
          <w:i/>
          <w:sz w:val="18"/>
        </w:rPr>
      </w:pPr>
      <w:r>
        <w:rPr>
          <w:i/>
          <w:w w:val="125"/>
          <w:sz w:val="18"/>
        </w:rPr>
        <w:t>1</w:t>
        <w:tab/>
        <w:t>Megállapította:</w:t>
      </w:r>
      <w:r>
        <w:rPr>
          <w:i/>
          <w:spacing w:val="-9"/>
          <w:w w:val="125"/>
          <w:sz w:val="18"/>
        </w:rPr>
        <w:t> </w:t>
      </w:r>
      <w:r>
        <w:rPr>
          <w:i/>
          <w:w w:val="125"/>
          <w:sz w:val="18"/>
        </w:rPr>
        <w:t>2014.</w:t>
      </w:r>
      <w:r>
        <w:rPr>
          <w:i/>
          <w:spacing w:val="-9"/>
          <w:w w:val="125"/>
          <w:sz w:val="18"/>
        </w:rPr>
        <w:t> </w:t>
      </w:r>
      <w:r>
        <w:rPr>
          <w:i/>
          <w:w w:val="125"/>
          <w:sz w:val="18"/>
        </w:rPr>
        <w:t>évi</w:t>
      </w:r>
      <w:r>
        <w:rPr>
          <w:i/>
          <w:spacing w:val="-9"/>
          <w:w w:val="125"/>
          <w:sz w:val="18"/>
        </w:rPr>
        <w:t> </w:t>
      </w:r>
      <w:r>
        <w:rPr>
          <w:i/>
          <w:w w:val="125"/>
          <w:sz w:val="18"/>
        </w:rPr>
        <w:t>CIV.</w:t>
      </w:r>
      <w:r>
        <w:rPr>
          <w:i/>
          <w:spacing w:val="-8"/>
          <w:w w:val="125"/>
          <w:sz w:val="18"/>
        </w:rPr>
        <w:t> </w:t>
      </w:r>
      <w:r>
        <w:rPr>
          <w:i/>
          <w:w w:val="125"/>
          <w:sz w:val="18"/>
        </w:rPr>
        <w:t>törvény</w:t>
      </w:r>
      <w:r>
        <w:rPr>
          <w:i/>
          <w:spacing w:val="-9"/>
          <w:w w:val="125"/>
          <w:sz w:val="18"/>
        </w:rPr>
        <w:t> </w:t>
      </w:r>
      <w:r>
        <w:rPr>
          <w:i/>
          <w:w w:val="125"/>
          <w:sz w:val="18"/>
        </w:rPr>
        <w:t>65.</w:t>
      </w:r>
      <w:r>
        <w:rPr>
          <w:i/>
          <w:spacing w:val="-9"/>
          <w:w w:val="125"/>
          <w:sz w:val="18"/>
        </w:rPr>
        <w:t> </w:t>
      </w:r>
      <w:r>
        <w:rPr>
          <w:i/>
          <w:w w:val="125"/>
          <w:sz w:val="18"/>
        </w:rPr>
        <w:t>§.</w:t>
      </w:r>
      <w:r>
        <w:rPr>
          <w:i/>
          <w:spacing w:val="-8"/>
          <w:w w:val="125"/>
          <w:sz w:val="18"/>
        </w:rPr>
        <w:t> </w:t>
      </w:r>
      <w:r>
        <w:rPr>
          <w:i/>
          <w:w w:val="125"/>
          <w:sz w:val="18"/>
        </w:rPr>
        <w:t>Hatályos:</w:t>
      </w:r>
      <w:r>
        <w:rPr>
          <w:i/>
          <w:spacing w:val="-8"/>
          <w:w w:val="125"/>
          <w:sz w:val="18"/>
        </w:rPr>
        <w:t> </w:t>
      </w:r>
      <w:r>
        <w:rPr>
          <w:i/>
          <w:w w:val="125"/>
          <w:sz w:val="18"/>
        </w:rPr>
        <w:t>2015.</w:t>
      </w:r>
      <w:r>
        <w:rPr>
          <w:i/>
          <w:spacing w:val="-9"/>
          <w:w w:val="125"/>
          <w:sz w:val="18"/>
        </w:rPr>
        <w:t> </w:t>
      </w:r>
      <w:r>
        <w:rPr>
          <w:i/>
          <w:w w:val="125"/>
          <w:sz w:val="18"/>
        </w:rPr>
        <w:t>I.</w:t>
      </w:r>
      <w:r>
        <w:rPr>
          <w:i/>
          <w:spacing w:val="-8"/>
          <w:w w:val="125"/>
          <w:sz w:val="18"/>
        </w:rPr>
        <w:t> </w:t>
      </w:r>
      <w:r>
        <w:rPr>
          <w:i/>
          <w:w w:val="125"/>
          <w:sz w:val="18"/>
        </w:rPr>
        <w:t>1-től. 2</w:t>
        <w:tab/>
        <w:t>Módosította: 2014. évi CIV. törvény 96. § (1)</w:t>
      </w:r>
      <w:r>
        <w:rPr>
          <w:i/>
          <w:spacing w:val="-11"/>
          <w:w w:val="125"/>
          <w:sz w:val="18"/>
        </w:rPr>
        <w:t> </w:t>
      </w:r>
      <w:r>
        <w:rPr>
          <w:i/>
          <w:w w:val="125"/>
          <w:sz w:val="18"/>
        </w:rPr>
        <w:t>a).</w:t>
      </w:r>
    </w:p>
    <w:p>
      <w:pPr>
        <w:tabs>
          <w:tab w:pos="686" w:val="left" w:leader="none"/>
        </w:tabs>
        <w:spacing w:line="200" w:lineRule="exact" w:before="0"/>
        <w:ind w:left="342" w:right="0" w:firstLine="0"/>
        <w:jc w:val="left"/>
        <w:rPr>
          <w:i/>
          <w:sz w:val="18"/>
        </w:rPr>
      </w:pPr>
      <w:r>
        <w:rPr>
          <w:i/>
          <w:w w:val="125"/>
          <w:sz w:val="18"/>
        </w:rPr>
        <w:t>3</w:t>
        <w:tab/>
        <w:t>Módosította:</w:t>
      </w:r>
      <w:r>
        <w:rPr>
          <w:i/>
          <w:spacing w:val="-7"/>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96.</w:t>
      </w:r>
      <w:r>
        <w:rPr>
          <w:i/>
          <w:spacing w:val="-7"/>
          <w:w w:val="125"/>
          <w:sz w:val="18"/>
        </w:rPr>
        <w:t> </w:t>
      </w:r>
      <w:r>
        <w:rPr>
          <w:i/>
          <w:w w:val="125"/>
          <w:sz w:val="18"/>
        </w:rPr>
        <w:t>§</w:t>
      </w:r>
      <w:r>
        <w:rPr>
          <w:i/>
          <w:spacing w:val="-6"/>
          <w:w w:val="125"/>
          <w:sz w:val="18"/>
        </w:rPr>
        <w:t> </w:t>
      </w:r>
      <w:r>
        <w:rPr>
          <w:i/>
          <w:w w:val="125"/>
          <w:sz w:val="18"/>
        </w:rPr>
        <w:t>(1)</w:t>
      </w:r>
      <w:r>
        <w:rPr>
          <w:i/>
          <w:spacing w:val="-6"/>
          <w:w w:val="125"/>
          <w:sz w:val="18"/>
        </w:rPr>
        <w:t> </w:t>
      </w:r>
      <w:r>
        <w:rPr>
          <w:i/>
          <w:w w:val="125"/>
          <w:sz w:val="18"/>
        </w:rPr>
        <w:t>b).</w:t>
      </w:r>
    </w:p>
    <w:p>
      <w:pPr>
        <w:spacing w:after="0" w:line="200" w:lineRule="exact"/>
        <w:jc w:val="left"/>
        <w:rPr>
          <w:sz w:val="18"/>
        </w:rPr>
        <w:sectPr>
          <w:pgSz w:w="11900" w:h="16820"/>
          <w:pgMar w:header="1104" w:footer="0" w:top="1840" w:bottom="280" w:left="1020" w:right="1000"/>
        </w:sectPr>
      </w:pPr>
    </w:p>
    <w:p>
      <w:pPr>
        <w:pStyle w:val="ListParagraph"/>
        <w:numPr>
          <w:ilvl w:val="0"/>
          <w:numId w:val="236"/>
        </w:numPr>
        <w:tabs>
          <w:tab w:pos="670" w:val="left" w:leader="none"/>
        </w:tabs>
        <w:spacing w:line="225" w:lineRule="auto" w:before="173" w:after="0"/>
        <w:ind w:left="113" w:right="133" w:firstLine="204"/>
        <w:jc w:val="both"/>
        <w:rPr>
          <w:sz w:val="24"/>
        </w:rPr>
      </w:pPr>
      <w:r>
        <w:rPr>
          <w:w w:val="130"/>
          <w:sz w:val="24"/>
        </w:rPr>
        <w:t>a saját maga által kibocsátott, tagsági jogokat megtestesítő értékpapírt, ideértve a szövetkezeti részesedést</w:t>
      </w:r>
      <w:r>
        <w:rPr>
          <w:spacing w:val="-14"/>
          <w:w w:val="130"/>
          <w:sz w:val="24"/>
        </w:rPr>
        <w:t> </w:t>
      </w:r>
      <w:r>
        <w:rPr>
          <w:w w:val="130"/>
          <w:sz w:val="24"/>
        </w:rPr>
        <w:t>is,</w:t>
      </w:r>
    </w:p>
    <w:p>
      <w:pPr>
        <w:pStyle w:val="ListParagraph"/>
        <w:numPr>
          <w:ilvl w:val="0"/>
          <w:numId w:val="236"/>
        </w:numPr>
        <w:tabs>
          <w:tab w:pos="719" w:val="left" w:leader="none"/>
        </w:tabs>
        <w:spacing w:line="225" w:lineRule="auto" w:before="1" w:after="0"/>
        <w:ind w:left="113" w:right="115" w:firstLine="204"/>
        <w:jc w:val="both"/>
        <w:rPr>
          <w:sz w:val="24"/>
        </w:rPr>
      </w:pPr>
      <w:r>
        <w:rPr>
          <w:w w:val="130"/>
          <w:sz w:val="24"/>
        </w:rPr>
        <w:t>a hitelintézettel szoros kapcsolatban álló vállalkozás által kibocsátott, tagsági jogokat megtestesítő értékpapírt, ideértve a szövetkezeti részesedést is,</w:t>
      </w:r>
    </w:p>
    <w:p>
      <w:pPr>
        <w:pStyle w:val="ListParagraph"/>
        <w:numPr>
          <w:ilvl w:val="0"/>
          <w:numId w:val="236"/>
        </w:numPr>
        <w:tabs>
          <w:tab w:pos="547" w:val="left" w:leader="none"/>
          <w:tab w:pos="931" w:val="left" w:leader="none"/>
          <w:tab w:pos="1344" w:val="left" w:leader="none"/>
          <w:tab w:pos="2996" w:val="left" w:leader="none"/>
          <w:tab w:pos="3833" w:val="left" w:leader="none"/>
          <w:tab w:pos="4373" w:val="left" w:leader="none"/>
          <w:tab w:pos="5834" w:val="left" w:leader="none"/>
          <w:tab w:pos="6775" w:val="left" w:leader="none"/>
          <w:tab w:pos="8254" w:val="left" w:leader="none"/>
          <w:tab w:pos="8888" w:val="left" w:leader="none"/>
        </w:tabs>
        <w:spacing w:line="250" w:lineRule="exact" w:before="0" w:after="0"/>
        <w:ind w:left="546" w:right="0" w:hanging="229"/>
        <w:jc w:val="left"/>
        <w:rPr>
          <w:sz w:val="24"/>
        </w:rPr>
      </w:pPr>
      <w:r>
        <w:rPr>
          <w:i/>
          <w:w w:val="130"/>
          <w:position w:val="3"/>
          <w:sz w:val="18"/>
        </w:rPr>
        <w:t>1</w:t>
        <w:tab/>
      </w:r>
      <w:r>
        <w:rPr>
          <w:w w:val="130"/>
          <w:sz w:val="24"/>
        </w:rPr>
        <w:t>a</w:t>
        <w:tab/>
        <w:t>hitelintézet</w:t>
        <w:tab/>
        <w:t>vagy</w:t>
        <w:tab/>
        <w:t>az</w:t>
        <w:tab/>
        <w:t>összevont</w:t>
        <w:tab/>
        <w:t>alapú</w:t>
        <w:tab/>
        <w:t>felügyelet</w:t>
        <w:tab/>
        <w:t>alá</w:t>
        <w:tab/>
        <w:t>tartozó</w:t>
      </w:r>
    </w:p>
    <w:p>
      <w:pPr>
        <w:pStyle w:val="BodyText"/>
        <w:spacing w:line="225" w:lineRule="auto" w:before="12"/>
        <w:ind w:right="126" w:firstLine="0"/>
        <w:jc w:val="both"/>
      </w:pPr>
      <w:r>
        <w:rPr>
          <w:w w:val="130"/>
        </w:rPr>
        <w:t>hitelintézettel szoros kapcsolatban álló vállalkozás Ptk.-ban meghatározott minősített többséget biztosító befolyása alatt álló részvénytársaság részvényét.</w:t>
      </w:r>
    </w:p>
    <w:p>
      <w:pPr>
        <w:pStyle w:val="ListParagraph"/>
        <w:numPr>
          <w:ilvl w:val="0"/>
          <w:numId w:val="235"/>
        </w:numPr>
        <w:tabs>
          <w:tab w:pos="818" w:val="left" w:leader="none"/>
        </w:tabs>
        <w:spacing w:line="225" w:lineRule="auto" w:before="2" w:after="0"/>
        <w:ind w:left="113" w:right="122" w:firstLine="204"/>
        <w:jc w:val="both"/>
        <w:rPr>
          <w:sz w:val="24"/>
        </w:rPr>
      </w:pPr>
      <w:r>
        <w:rPr>
          <w:w w:val="125"/>
          <w:sz w:val="24"/>
        </w:rPr>
        <w:t>A kockázatvállalást tartalmazó szerződés tartama alatt a hitelintézet rendszeresen figyelemmel kíséri és dokumentálja a szerződésben foglalt feltételek megvalósulását, beleértve az ügyfél  pénzügyi,  gazdasági  helyzetének alakulását és az (1) bekezdésben</w:t>
      </w:r>
      <w:r>
        <w:rPr>
          <w:spacing w:val="18"/>
          <w:w w:val="125"/>
          <w:sz w:val="24"/>
        </w:rPr>
        <w:t> </w:t>
      </w:r>
      <w:r>
        <w:rPr>
          <w:w w:val="125"/>
          <w:sz w:val="24"/>
        </w:rPr>
        <w:t>foglaltakat.</w:t>
      </w:r>
    </w:p>
    <w:p>
      <w:pPr>
        <w:pStyle w:val="BodyText"/>
        <w:spacing w:before="228"/>
        <w:ind w:left="1024" w:firstLine="0"/>
      </w:pPr>
      <w:r>
        <w:rPr>
          <w:w w:val="125"/>
        </w:rPr>
        <w:t>48. Tulajdonszerzéshez kapcsolódó kockázatvállalás korlátozása</w:t>
      </w:r>
    </w:p>
    <w:p>
      <w:pPr>
        <w:pStyle w:val="ListParagraph"/>
        <w:numPr>
          <w:ilvl w:val="1"/>
          <w:numId w:val="213"/>
        </w:numPr>
        <w:tabs>
          <w:tab w:pos="1016" w:val="left" w:leader="none"/>
        </w:tabs>
        <w:spacing w:line="225" w:lineRule="auto" w:before="237" w:after="0"/>
        <w:ind w:left="113" w:right="117" w:firstLine="204"/>
        <w:jc w:val="both"/>
        <w:rPr>
          <w:sz w:val="24"/>
        </w:rPr>
      </w:pPr>
      <w:r>
        <w:rPr>
          <w:rFonts w:ascii="Arial" w:hAnsi="Arial"/>
          <w:b/>
          <w:w w:val="125"/>
          <w:sz w:val="24"/>
        </w:rPr>
        <w:t>§ </w:t>
      </w:r>
      <w:r>
        <w:rPr>
          <w:w w:val="125"/>
          <w:sz w:val="24"/>
        </w:rPr>
        <w:t>(1) A hitelintézet nem vállalhat kockázatot olyan ügyletért, amelynek célja, hogy az ügyfél a hitelintézet vagy a hitelintézettel szoros kapcsolatban álló vállalkozás által kibocsátott tagsági jogot megtestesítő  értékpapírt, valamint szövetkezeti részesedést</w:t>
      </w:r>
      <w:r>
        <w:rPr>
          <w:spacing w:val="5"/>
          <w:w w:val="125"/>
          <w:sz w:val="24"/>
        </w:rPr>
        <w:t> </w:t>
      </w:r>
      <w:r>
        <w:rPr>
          <w:w w:val="125"/>
          <w:sz w:val="24"/>
        </w:rPr>
        <w:t>vásároljon.</w:t>
      </w:r>
    </w:p>
    <w:p>
      <w:pPr>
        <w:spacing w:line="265" w:lineRule="exact" w:before="0"/>
        <w:ind w:left="317" w:right="0" w:firstLine="0"/>
        <w:jc w:val="left"/>
        <w:rPr>
          <w:i/>
          <w:sz w:val="18"/>
        </w:rPr>
      </w:pPr>
      <w:r>
        <w:rPr>
          <w:w w:val="125"/>
          <w:sz w:val="24"/>
        </w:rPr>
        <w:t>(2)</w:t>
      </w:r>
      <w:r>
        <w:rPr>
          <w:i/>
          <w:w w:val="125"/>
          <w:position w:val="3"/>
          <w:sz w:val="18"/>
        </w:rPr>
        <w:t>2</w:t>
      </w:r>
    </w:p>
    <w:p>
      <w:pPr>
        <w:pStyle w:val="BodyText"/>
        <w:spacing w:before="10"/>
        <w:ind w:left="0" w:firstLine="0"/>
        <w:rPr>
          <w:i/>
          <w:sz w:val="10"/>
        </w:rPr>
      </w:pPr>
    </w:p>
    <w:p>
      <w:pPr>
        <w:pStyle w:val="BodyText"/>
        <w:spacing w:before="99"/>
        <w:ind w:left="2678" w:firstLine="0"/>
      </w:pPr>
      <w:r>
        <w:rPr>
          <w:w w:val="130"/>
        </w:rPr>
        <w:t>49. Ingatlanbefektetések korlátozása</w:t>
      </w:r>
    </w:p>
    <w:p>
      <w:pPr>
        <w:pStyle w:val="ListParagraph"/>
        <w:numPr>
          <w:ilvl w:val="1"/>
          <w:numId w:val="213"/>
        </w:numPr>
        <w:tabs>
          <w:tab w:pos="1074" w:val="left" w:leader="none"/>
        </w:tabs>
        <w:spacing w:line="225" w:lineRule="auto" w:before="236" w:after="0"/>
        <w:ind w:left="113" w:right="125" w:firstLine="204"/>
        <w:jc w:val="both"/>
        <w:rPr>
          <w:sz w:val="24"/>
        </w:rPr>
      </w:pPr>
      <w:r>
        <w:rPr>
          <w:rFonts w:ascii="Arial" w:hAnsi="Arial"/>
          <w:b/>
          <w:w w:val="125"/>
          <w:sz w:val="24"/>
        </w:rPr>
        <w:t>§ </w:t>
      </w:r>
      <w:r>
        <w:rPr>
          <w:w w:val="125"/>
          <w:sz w:val="24"/>
        </w:rPr>
        <w:t>(1) A hitelintézet összes - a közvetlen banküzemi célt szolgáló, valamint a (2) és (3) bekezdésen kívüli - ingatlanba történő befektetése nem haladhatja meg a szavatoló tőke öt</w:t>
      </w:r>
      <w:r>
        <w:rPr>
          <w:spacing w:val="11"/>
          <w:w w:val="125"/>
          <w:sz w:val="24"/>
        </w:rPr>
        <w:t> </w:t>
      </w:r>
      <w:r>
        <w:rPr>
          <w:w w:val="125"/>
          <w:sz w:val="24"/>
        </w:rPr>
        <w:t>százalékát.</w:t>
      </w:r>
    </w:p>
    <w:p>
      <w:pPr>
        <w:pStyle w:val="ListParagraph"/>
        <w:numPr>
          <w:ilvl w:val="0"/>
          <w:numId w:val="237"/>
        </w:numPr>
        <w:tabs>
          <w:tab w:pos="734" w:val="left" w:leader="none"/>
        </w:tabs>
        <w:spacing w:line="256" w:lineRule="exact" w:before="0" w:after="0"/>
        <w:ind w:left="733" w:right="0" w:hanging="416"/>
        <w:jc w:val="left"/>
        <w:rPr>
          <w:sz w:val="24"/>
        </w:rPr>
      </w:pPr>
      <w:r>
        <w:rPr>
          <w:w w:val="125"/>
          <w:sz w:val="24"/>
        </w:rPr>
        <w:t>A hitelintézet tevékenysége</w:t>
      </w:r>
      <w:r>
        <w:rPr>
          <w:spacing w:val="4"/>
          <w:w w:val="125"/>
          <w:sz w:val="24"/>
        </w:rPr>
        <w:t> </w:t>
      </w:r>
      <w:r>
        <w:rPr>
          <w:w w:val="125"/>
          <w:sz w:val="24"/>
        </w:rPr>
        <w:t>során</w:t>
      </w:r>
    </w:p>
    <w:p>
      <w:pPr>
        <w:pStyle w:val="ListParagraph"/>
        <w:numPr>
          <w:ilvl w:val="0"/>
          <w:numId w:val="238"/>
        </w:numPr>
        <w:tabs>
          <w:tab w:pos="631" w:val="left" w:leader="none"/>
        </w:tabs>
        <w:spacing w:line="260" w:lineRule="exact" w:before="0" w:after="0"/>
        <w:ind w:left="630" w:right="0" w:hanging="313"/>
        <w:jc w:val="left"/>
        <w:rPr>
          <w:sz w:val="24"/>
        </w:rPr>
      </w:pPr>
      <w:r>
        <w:rPr>
          <w:w w:val="130"/>
          <w:sz w:val="24"/>
        </w:rPr>
        <w:t>a hitel-ingatlan</w:t>
      </w:r>
      <w:r>
        <w:rPr>
          <w:spacing w:val="-7"/>
          <w:w w:val="130"/>
          <w:sz w:val="24"/>
        </w:rPr>
        <w:t> </w:t>
      </w:r>
      <w:r>
        <w:rPr>
          <w:w w:val="130"/>
          <w:sz w:val="24"/>
        </w:rPr>
        <w:t>csereügylet,</w:t>
      </w:r>
    </w:p>
    <w:p>
      <w:pPr>
        <w:pStyle w:val="ListParagraph"/>
        <w:numPr>
          <w:ilvl w:val="0"/>
          <w:numId w:val="238"/>
        </w:numPr>
        <w:tabs>
          <w:tab w:pos="653" w:val="left" w:leader="none"/>
        </w:tabs>
        <w:spacing w:line="260" w:lineRule="exact" w:before="0" w:after="0"/>
        <w:ind w:left="652" w:right="0" w:hanging="335"/>
        <w:jc w:val="left"/>
        <w:rPr>
          <w:sz w:val="24"/>
        </w:rPr>
      </w:pPr>
      <w:r>
        <w:rPr>
          <w:w w:val="125"/>
          <w:sz w:val="24"/>
        </w:rPr>
        <w:t>a Cstv. 56. § (2) bekezdése,</w:t>
      </w:r>
      <w:r>
        <w:rPr>
          <w:spacing w:val="8"/>
          <w:w w:val="125"/>
          <w:sz w:val="24"/>
        </w:rPr>
        <w:t> </w:t>
      </w:r>
      <w:r>
        <w:rPr>
          <w:w w:val="125"/>
          <w:sz w:val="24"/>
        </w:rPr>
        <w:t>és</w:t>
      </w:r>
    </w:p>
    <w:p>
      <w:pPr>
        <w:pStyle w:val="ListParagraph"/>
        <w:numPr>
          <w:ilvl w:val="0"/>
          <w:numId w:val="238"/>
        </w:numPr>
        <w:tabs>
          <w:tab w:pos="623" w:val="left" w:leader="none"/>
        </w:tabs>
        <w:spacing w:line="225" w:lineRule="auto" w:before="6" w:after="0"/>
        <w:ind w:left="113" w:right="2470" w:firstLine="204"/>
        <w:jc w:val="left"/>
        <w:rPr>
          <w:sz w:val="24"/>
        </w:rPr>
      </w:pPr>
      <w:r>
        <w:rPr>
          <w:w w:val="130"/>
          <w:sz w:val="24"/>
        </w:rPr>
        <w:t>a bírósági végrehajtásról szóló 1994. évi LIII. törvény alapján</w:t>
      </w:r>
      <w:r>
        <w:rPr>
          <w:spacing w:val="-22"/>
          <w:w w:val="130"/>
          <w:sz w:val="24"/>
        </w:rPr>
        <w:t> </w:t>
      </w:r>
      <w:r>
        <w:rPr>
          <w:w w:val="130"/>
          <w:sz w:val="24"/>
        </w:rPr>
        <w:t>megszerzett</w:t>
      </w:r>
      <w:r>
        <w:rPr>
          <w:spacing w:val="-21"/>
          <w:w w:val="130"/>
          <w:sz w:val="24"/>
        </w:rPr>
        <w:t> </w:t>
      </w:r>
      <w:r>
        <w:rPr>
          <w:w w:val="130"/>
          <w:sz w:val="24"/>
        </w:rPr>
        <w:t>ingatlanokat</w:t>
      </w:r>
      <w:r>
        <w:rPr>
          <w:spacing w:val="-22"/>
          <w:w w:val="130"/>
          <w:sz w:val="24"/>
        </w:rPr>
        <w:t> </w:t>
      </w:r>
      <w:r>
        <w:rPr>
          <w:w w:val="130"/>
          <w:sz w:val="24"/>
        </w:rPr>
        <w:t>hat</w:t>
      </w:r>
      <w:r>
        <w:rPr>
          <w:spacing w:val="-20"/>
          <w:w w:val="130"/>
          <w:sz w:val="24"/>
        </w:rPr>
        <w:t> </w:t>
      </w:r>
      <w:r>
        <w:rPr>
          <w:w w:val="130"/>
          <w:sz w:val="24"/>
        </w:rPr>
        <w:t>éven</w:t>
      </w:r>
      <w:r>
        <w:rPr>
          <w:spacing w:val="-22"/>
          <w:w w:val="130"/>
          <w:sz w:val="24"/>
        </w:rPr>
        <w:t> </w:t>
      </w:r>
      <w:r>
        <w:rPr>
          <w:w w:val="130"/>
          <w:sz w:val="24"/>
        </w:rPr>
        <w:t>belül</w:t>
      </w:r>
      <w:r>
        <w:rPr>
          <w:spacing w:val="-20"/>
          <w:w w:val="130"/>
          <w:sz w:val="24"/>
        </w:rPr>
        <w:t> </w:t>
      </w:r>
      <w:r>
        <w:rPr>
          <w:w w:val="130"/>
          <w:sz w:val="24"/>
        </w:rPr>
        <w:t>elidegeníti.</w:t>
      </w:r>
    </w:p>
    <w:p>
      <w:pPr>
        <w:pStyle w:val="ListParagraph"/>
        <w:numPr>
          <w:ilvl w:val="0"/>
          <w:numId w:val="237"/>
        </w:numPr>
        <w:tabs>
          <w:tab w:pos="765" w:val="left" w:leader="none"/>
        </w:tabs>
        <w:spacing w:line="225" w:lineRule="auto" w:before="1" w:after="0"/>
        <w:ind w:left="113" w:right="113" w:firstLine="204"/>
        <w:jc w:val="both"/>
        <w:rPr>
          <w:sz w:val="24"/>
        </w:rPr>
      </w:pPr>
      <w:r>
        <w:rPr>
          <w:w w:val="125"/>
          <w:sz w:val="24"/>
        </w:rPr>
        <w:t>Az (1) bekezdés alkalmazásában közvetlen banküzemi célt szolgál az az ingatlan vagy ingatlanrész, amely a hitelintézet saját üzletviteléhez, illetve zavartalan működéséhez nélkülözhetetlen, vagy alkalmazottainak jóléti szolgáltatásokkal való ellátásához szükséges, és amelyről a hitelintézet külön nyilvántartást</w:t>
      </w:r>
      <w:r>
        <w:rPr>
          <w:spacing w:val="1"/>
          <w:w w:val="125"/>
          <w:sz w:val="24"/>
        </w:rPr>
        <w:t> </w:t>
      </w:r>
      <w:r>
        <w:rPr>
          <w:w w:val="125"/>
          <w:sz w:val="24"/>
        </w:rPr>
        <w:t>vezet.</w:t>
      </w:r>
    </w:p>
    <w:p>
      <w:pPr>
        <w:pStyle w:val="BodyText"/>
        <w:spacing w:before="229"/>
        <w:ind w:left="1918" w:firstLine="0"/>
      </w:pPr>
      <w:r>
        <w:rPr>
          <w:w w:val="125"/>
        </w:rPr>
        <w:t>50. Befektetésekre vonatkozó egyéb korlátozások</w:t>
      </w:r>
    </w:p>
    <w:p>
      <w:pPr>
        <w:pStyle w:val="ListParagraph"/>
        <w:numPr>
          <w:ilvl w:val="1"/>
          <w:numId w:val="213"/>
        </w:numPr>
        <w:tabs>
          <w:tab w:pos="1003" w:val="left" w:leader="none"/>
        </w:tabs>
        <w:spacing w:line="225" w:lineRule="auto" w:before="237" w:after="0"/>
        <w:ind w:left="113" w:right="124" w:firstLine="204"/>
        <w:jc w:val="both"/>
        <w:rPr>
          <w:sz w:val="24"/>
        </w:rPr>
      </w:pPr>
      <w:r>
        <w:rPr>
          <w:rFonts w:ascii="Arial" w:hAnsi="Arial"/>
          <w:b/>
          <w:w w:val="120"/>
          <w:sz w:val="24"/>
        </w:rPr>
        <w:t>§ </w:t>
      </w:r>
      <w:r>
        <w:rPr>
          <w:w w:val="120"/>
          <w:sz w:val="24"/>
        </w:rPr>
        <w:t>(1)</w:t>
      </w:r>
      <w:r>
        <w:rPr>
          <w:i/>
          <w:w w:val="120"/>
          <w:position w:val="3"/>
          <w:sz w:val="18"/>
        </w:rPr>
        <w:t>3 </w:t>
      </w:r>
      <w:r>
        <w:rPr>
          <w:w w:val="120"/>
          <w:sz w:val="24"/>
        </w:rPr>
        <w:t>A hitelintézet - nettó értéken számított - összes befektetése nem haladhatja meg szavatoló tőkéjének százhuszonöt</w:t>
      </w:r>
      <w:r>
        <w:rPr>
          <w:spacing w:val="-2"/>
          <w:w w:val="120"/>
          <w:sz w:val="24"/>
        </w:rPr>
        <w:t> </w:t>
      </w:r>
      <w:r>
        <w:rPr>
          <w:w w:val="120"/>
          <w:sz w:val="24"/>
        </w:rPr>
        <w:t>százalékát.</w:t>
      </w:r>
    </w:p>
    <w:p>
      <w:pPr>
        <w:pStyle w:val="ListParagraph"/>
        <w:numPr>
          <w:ilvl w:val="0"/>
          <w:numId w:val="239"/>
        </w:numPr>
        <w:tabs>
          <w:tab w:pos="747" w:val="left" w:leader="none"/>
        </w:tabs>
        <w:spacing w:line="225" w:lineRule="auto" w:before="1" w:after="0"/>
        <w:ind w:left="113" w:right="123" w:firstLine="204"/>
        <w:jc w:val="both"/>
        <w:rPr>
          <w:sz w:val="24"/>
        </w:rPr>
      </w:pPr>
      <w:r>
        <w:rPr>
          <w:w w:val="125"/>
          <w:sz w:val="24"/>
        </w:rPr>
        <w:t>A hitelintézet az (1) bekezdésben meghatározott befektetésnél nem veszi figyelembe</w:t>
      </w:r>
    </w:p>
    <w:p>
      <w:pPr>
        <w:pStyle w:val="ListParagraph"/>
        <w:numPr>
          <w:ilvl w:val="0"/>
          <w:numId w:val="240"/>
        </w:numPr>
        <w:tabs>
          <w:tab w:pos="785" w:val="left" w:leader="none"/>
        </w:tabs>
        <w:spacing w:line="225" w:lineRule="auto" w:before="1" w:after="0"/>
        <w:ind w:left="113" w:right="128" w:firstLine="204"/>
        <w:jc w:val="both"/>
        <w:rPr>
          <w:sz w:val="24"/>
        </w:rPr>
      </w:pPr>
      <w:r>
        <w:rPr>
          <w:w w:val="130"/>
          <w:sz w:val="24"/>
        </w:rPr>
        <w:t>a pénzügyi szolgáltatásból származó veszteség mérséklése, illetve elhárítása érdekében a hitelintézet tulajdonába került befektetést, ha az három évet meg nem haladóan van a hitelintézet tulajdonában, illetve birtokában,</w:t>
      </w:r>
    </w:p>
    <w:p>
      <w:pPr>
        <w:pStyle w:val="BodyText"/>
        <w:ind w:left="0" w:firstLine="0"/>
        <w:rPr>
          <w:sz w:val="20"/>
        </w:rPr>
      </w:pPr>
    </w:p>
    <w:p>
      <w:pPr>
        <w:pStyle w:val="BodyText"/>
        <w:spacing w:before="9"/>
        <w:ind w:left="0" w:firstLine="0"/>
        <w:rPr>
          <w:sz w:val="28"/>
        </w:rPr>
      </w:pPr>
      <w:r>
        <w:rPr/>
        <w:pict>
          <v:line style="position:absolute;mso-position-horizontal-relative:page;mso-position-vertical-relative:paragraph;z-index:392;mso-wrap-distance-left:0;mso-wrap-distance-right:0" from="56.693001pt,18.748785pt" to="538.583001pt,18.748785pt" stroked="true" strokeweight=".5pt" strokecolor="#000000">
            <v:stroke dashstyle="solid"/>
            <w10:wrap type="topAndBottom"/>
          </v:line>
        </w:pict>
      </w:r>
    </w:p>
    <w:p>
      <w:pPr>
        <w:pStyle w:val="ListParagraph"/>
        <w:numPr>
          <w:ilvl w:val="0"/>
          <w:numId w:val="241"/>
        </w:numPr>
        <w:tabs>
          <w:tab w:pos="686" w:val="left" w:leader="none"/>
          <w:tab w:pos="687" w:val="left" w:leader="none"/>
        </w:tabs>
        <w:spacing w:line="203" w:lineRule="exact" w:before="44" w:after="0"/>
        <w:ind w:left="686" w:right="0" w:hanging="344"/>
        <w:jc w:val="left"/>
        <w:rPr>
          <w:i/>
          <w:sz w:val="18"/>
        </w:rPr>
      </w:pPr>
      <w:r>
        <w:rPr>
          <w:i/>
          <w:w w:val="125"/>
          <w:sz w:val="18"/>
        </w:rPr>
        <w:t>Megállapította: ugyane törvény 306. § (5). Hatályos: 2014. III.</w:t>
      </w:r>
      <w:r>
        <w:rPr>
          <w:i/>
          <w:spacing w:val="-10"/>
          <w:w w:val="125"/>
          <w:sz w:val="18"/>
        </w:rPr>
        <w:t> </w:t>
      </w:r>
      <w:r>
        <w:rPr>
          <w:i/>
          <w:w w:val="125"/>
          <w:sz w:val="18"/>
        </w:rPr>
        <w:t>15-től.</w:t>
      </w:r>
    </w:p>
    <w:p>
      <w:pPr>
        <w:pStyle w:val="ListParagraph"/>
        <w:numPr>
          <w:ilvl w:val="0"/>
          <w:numId w:val="241"/>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2014.</w:t>
      </w:r>
      <w:r>
        <w:rPr>
          <w:i/>
          <w:spacing w:val="6"/>
          <w:w w:val="120"/>
          <w:sz w:val="18"/>
        </w:rPr>
        <w:t> </w:t>
      </w:r>
      <w:r>
        <w:rPr>
          <w:i/>
          <w:w w:val="120"/>
          <w:sz w:val="18"/>
        </w:rPr>
        <w:t>évi</w:t>
      </w:r>
      <w:r>
        <w:rPr>
          <w:i/>
          <w:spacing w:val="6"/>
          <w:w w:val="120"/>
          <w:sz w:val="18"/>
        </w:rPr>
        <w:t> </w:t>
      </w:r>
      <w:r>
        <w:rPr>
          <w:i/>
          <w:w w:val="120"/>
          <w:sz w:val="18"/>
        </w:rPr>
        <w:t>CIV.</w:t>
      </w:r>
      <w:r>
        <w:rPr>
          <w:i/>
          <w:spacing w:val="8"/>
          <w:w w:val="120"/>
          <w:sz w:val="18"/>
        </w:rPr>
        <w:t> </w:t>
      </w:r>
      <w:r>
        <w:rPr>
          <w:i/>
          <w:w w:val="120"/>
          <w:sz w:val="18"/>
        </w:rPr>
        <w:t>törvény</w:t>
      </w:r>
      <w:r>
        <w:rPr>
          <w:i/>
          <w:spacing w:val="6"/>
          <w:w w:val="120"/>
          <w:sz w:val="18"/>
        </w:rPr>
        <w:t> </w:t>
      </w:r>
      <w:r>
        <w:rPr>
          <w:i/>
          <w:w w:val="120"/>
          <w:sz w:val="18"/>
        </w:rPr>
        <w:t>97.</w:t>
      </w:r>
      <w:r>
        <w:rPr>
          <w:i/>
          <w:spacing w:val="6"/>
          <w:w w:val="120"/>
          <w:sz w:val="18"/>
        </w:rPr>
        <w:t> </w:t>
      </w:r>
      <w:r>
        <w:rPr>
          <w:i/>
          <w:w w:val="120"/>
          <w:sz w:val="18"/>
        </w:rPr>
        <w:t>§</w:t>
      </w:r>
      <w:r>
        <w:rPr>
          <w:i/>
          <w:spacing w:val="8"/>
          <w:w w:val="120"/>
          <w:sz w:val="18"/>
        </w:rPr>
        <w:t> </w:t>
      </w:r>
      <w:r>
        <w:rPr>
          <w:i/>
          <w:w w:val="120"/>
          <w:sz w:val="18"/>
        </w:rPr>
        <w:t>c).</w:t>
      </w:r>
      <w:r>
        <w:rPr>
          <w:i/>
          <w:spacing w:val="7"/>
          <w:w w:val="120"/>
          <w:sz w:val="18"/>
        </w:rPr>
        <w:t> </w:t>
      </w:r>
      <w:r>
        <w:rPr>
          <w:i/>
          <w:w w:val="120"/>
          <w:sz w:val="18"/>
        </w:rPr>
        <w:t>Hatálytalan:</w:t>
      </w:r>
      <w:r>
        <w:rPr>
          <w:i/>
          <w:spacing w:val="8"/>
          <w:w w:val="120"/>
          <w:sz w:val="18"/>
        </w:rPr>
        <w:t> </w:t>
      </w:r>
      <w:r>
        <w:rPr>
          <w:i/>
          <w:w w:val="120"/>
          <w:sz w:val="18"/>
        </w:rPr>
        <w:t>2015.</w:t>
      </w:r>
      <w:r>
        <w:rPr>
          <w:i/>
          <w:spacing w:val="6"/>
          <w:w w:val="120"/>
          <w:sz w:val="18"/>
        </w:rPr>
        <w:t> </w:t>
      </w:r>
      <w:r>
        <w:rPr>
          <w:i/>
          <w:w w:val="120"/>
          <w:sz w:val="18"/>
        </w:rPr>
        <w:t>I.</w:t>
      </w:r>
      <w:r>
        <w:rPr>
          <w:i/>
          <w:spacing w:val="7"/>
          <w:w w:val="120"/>
          <w:sz w:val="18"/>
        </w:rPr>
        <w:t> </w:t>
      </w:r>
      <w:r>
        <w:rPr>
          <w:i/>
          <w:w w:val="120"/>
          <w:sz w:val="18"/>
        </w:rPr>
        <w:t>1-től.</w:t>
      </w:r>
    </w:p>
    <w:p>
      <w:pPr>
        <w:pStyle w:val="ListParagraph"/>
        <w:numPr>
          <w:ilvl w:val="0"/>
          <w:numId w:val="241"/>
        </w:numPr>
        <w:tabs>
          <w:tab w:pos="686" w:val="left" w:leader="none"/>
          <w:tab w:pos="687" w:val="left" w:leader="none"/>
        </w:tabs>
        <w:spacing w:line="203" w:lineRule="exact" w:before="0" w:after="0"/>
        <w:ind w:left="686" w:right="0" w:hanging="344"/>
        <w:jc w:val="left"/>
        <w:rPr>
          <w:i/>
          <w:sz w:val="18"/>
        </w:rPr>
      </w:pPr>
      <w:r>
        <w:rPr>
          <w:i/>
          <w:w w:val="125"/>
          <w:sz w:val="18"/>
        </w:rPr>
        <w:t>Megállapította: 2018. évi CXXVI. törvény 102. §. Hatályos: 2018. XII.</w:t>
      </w:r>
      <w:r>
        <w:rPr>
          <w:i/>
          <w:spacing w:val="-25"/>
          <w:w w:val="125"/>
          <w:sz w:val="18"/>
        </w:rPr>
        <w:t> </w:t>
      </w:r>
      <w:r>
        <w:rPr>
          <w:i/>
          <w:w w:val="125"/>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240"/>
        </w:numPr>
        <w:tabs>
          <w:tab w:pos="699" w:val="left" w:leader="none"/>
        </w:tabs>
        <w:spacing w:line="225" w:lineRule="auto" w:before="173" w:after="0"/>
        <w:ind w:left="113" w:right="135" w:firstLine="204"/>
        <w:jc w:val="both"/>
        <w:rPr>
          <w:sz w:val="24"/>
        </w:rPr>
      </w:pPr>
      <w:r>
        <w:rPr>
          <w:w w:val="130"/>
          <w:sz w:val="24"/>
        </w:rPr>
        <w:t>a Garantiqa Hitelgarancia Részvénytársaságban alapítása során, illetve ezt követően az abban történt</w:t>
      </w:r>
      <w:r>
        <w:rPr>
          <w:spacing w:val="-16"/>
          <w:w w:val="130"/>
          <w:sz w:val="24"/>
        </w:rPr>
        <w:t> </w:t>
      </w:r>
      <w:r>
        <w:rPr>
          <w:w w:val="130"/>
          <w:sz w:val="24"/>
        </w:rPr>
        <w:t>részesedésszerzést,</w:t>
      </w:r>
    </w:p>
    <w:p>
      <w:pPr>
        <w:pStyle w:val="ListParagraph"/>
        <w:numPr>
          <w:ilvl w:val="0"/>
          <w:numId w:val="240"/>
        </w:numPr>
        <w:tabs>
          <w:tab w:pos="623" w:val="left" w:leader="none"/>
        </w:tabs>
        <w:spacing w:line="256" w:lineRule="exact" w:before="0" w:after="0"/>
        <w:ind w:left="622" w:right="0" w:hanging="305"/>
        <w:jc w:val="left"/>
        <w:rPr>
          <w:sz w:val="24"/>
        </w:rPr>
      </w:pPr>
      <w:r>
        <w:rPr>
          <w:w w:val="130"/>
          <w:sz w:val="24"/>
        </w:rPr>
        <w:t>a hitelviszonyt megtestesítő értékpapírt,</w:t>
      </w:r>
      <w:r>
        <w:rPr>
          <w:spacing w:val="-21"/>
          <w:w w:val="130"/>
          <w:sz w:val="24"/>
        </w:rPr>
        <w:t> </w:t>
      </w:r>
      <w:r>
        <w:rPr>
          <w:w w:val="130"/>
          <w:sz w:val="24"/>
        </w:rPr>
        <w:t>valamint</w:t>
      </w:r>
    </w:p>
    <w:p>
      <w:pPr>
        <w:pStyle w:val="ListParagraph"/>
        <w:numPr>
          <w:ilvl w:val="0"/>
          <w:numId w:val="240"/>
        </w:numPr>
        <w:tabs>
          <w:tab w:pos="644" w:val="left" w:leader="none"/>
        </w:tabs>
        <w:spacing w:line="225" w:lineRule="auto" w:before="5" w:after="0"/>
        <w:ind w:left="113" w:right="127" w:firstLine="204"/>
        <w:jc w:val="both"/>
        <w:rPr>
          <w:sz w:val="24"/>
        </w:rPr>
      </w:pPr>
      <w:r>
        <w:rPr>
          <w:w w:val="130"/>
          <w:sz w:val="24"/>
        </w:rPr>
        <w:t>azt</w:t>
      </w:r>
      <w:r>
        <w:rPr>
          <w:spacing w:val="-18"/>
          <w:w w:val="130"/>
          <w:sz w:val="24"/>
        </w:rPr>
        <w:t> </w:t>
      </w:r>
      <w:r>
        <w:rPr>
          <w:w w:val="130"/>
          <w:sz w:val="24"/>
        </w:rPr>
        <w:t>a</w:t>
      </w:r>
      <w:r>
        <w:rPr>
          <w:spacing w:val="-18"/>
          <w:w w:val="130"/>
          <w:sz w:val="24"/>
        </w:rPr>
        <w:t> </w:t>
      </w:r>
      <w:r>
        <w:rPr>
          <w:w w:val="130"/>
          <w:sz w:val="24"/>
        </w:rPr>
        <w:t>tételt,</w:t>
      </w:r>
      <w:r>
        <w:rPr>
          <w:spacing w:val="-18"/>
          <w:w w:val="130"/>
          <w:sz w:val="24"/>
        </w:rPr>
        <w:t> </w:t>
      </w:r>
      <w:r>
        <w:rPr>
          <w:w w:val="130"/>
          <w:sz w:val="24"/>
        </w:rPr>
        <w:t>amelynek</w:t>
      </w:r>
      <w:r>
        <w:rPr>
          <w:spacing w:val="-18"/>
          <w:w w:val="130"/>
          <w:sz w:val="24"/>
        </w:rPr>
        <w:t> </w:t>
      </w:r>
      <w:r>
        <w:rPr>
          <w:w w:val="130"/>
          <w:sz w:val="24"/>
        </w:rPr>
        <w:t>megfelelő</w:t>
      </w:r>
      <w:r>
        <w:rPr>
          <w:spacing w:val="-18"/>
          <w:w w:val="130"/>
          <w:sz w:val="24"/>
        </w:rPr>
        <w:t> </w:t>
      </w:r>
      <w:r>
        <w:rPr>
          <w:w w:val="130"/>
          <w:sz w:val="24"/>
        </w:rPr>
        <w:t>összeget</w:t>
      </w:r>
      <w:r>
        <w:rPr>
          <w:spacing w:val="-17"/>
          <w:w w:val="130"/>
          <w:sz w:val="24"/>
        </w:rPr>
        <w:t> </w:t>
      </w:r>
      <w:r>
        <w:rPr>
          <w:w w:val="130"/>
          <w:sz w:val="24"/>
        </w:rPr>
        <w:t>a</w:t>
      </w:r>
      <w:r>
        <w:rPr>
          <w:spacing w:val="-18"/>
          <w:w w:val="130"/>
          <w:sz w:val="24"/>
        </w:rPr>
        <w:t> </w:t>
      </w:r>
      <w:r>
        <w:rPr>
          <w:w w:val="130"/>
          <w:sz w:val="24"/>
        </w:rPr>
        <w:t>szavatoló</w:t>
      </w:r>
      <w:r>
        <w:rPr>
          <w:spacing w:val="-18"/>
          <w:w w:val="130"/>
          <w:sz w:val="24"/>
        </w:rPr>
        <w:t> </w:t>
      </w:r>
      <w:r>
        <w:rPr>
          <w:w w:val="130"/>
          <w:sz w:val="24"/>
        </w:rPr>
        <w:t>tőke</w:t>
      </w:r>
      <w:r>
        <w:rPr>
          <w:spacing w:val="-18"/>
          <w:w w:val="130"/>
          <w:sz w:val="24"/>
        </w:rPr>
        <w:t> </w:t>
      </w:r>
      <w:r>
        <w:rPr>
          <w:w w:val="130"/>
          <w:sz w:val="24"/>
        </w:rPr>
        <w:t>számítása</w:t>
      </w:r>
      <w:r>
        <w:rPr>
          <w:spacing w:val="-17"/>
          <w:w w:val="130"/>
          <w:sz w:val="24"/>
        </w:rPr>
        <w:t> </w:t>
      </w:r>
      <w:r>
        <w:rPr>
          <w:w w:val="130"/>
          <w:sz w:val="24"/>
        </w:rPr>
        <w:t>során a tőkéből levonták, ha azt az egyéb befektetésektől elkülönítve tartja nyilván, és elkülönítve</w:t>
      </w:r>
      <w:r>
        <w:rPr>
          <w:spacing w:val="-9"/>
          <w:w w:val="130"/>
          <w:sz w:val="24"/>
        </w:rPr>
        <w:t> </w:t>
      </w:r>
      <w:r>
        <w:rPr>
          <w:w w:val="130"/>
          <w:sz w:val="24"/>
        </w:rPr>
        <w:t>kezeli.</w:t>
      </w:r>
    </w:p>
    <w:p>
      <w:pPr>
        <w:pStyle w:val="ListParagraph"/>
        <w:numPr>
          <w:ilvl w:val="0"/>
          <w:numId w:val="239"/>
        </w:numPr>
        <w:tabs>
          <w:tab w:pos="810" w:val="left" w:leader="none"/>
        </w:tabs>
        <w:spacing w:line="225" w:lineRule="auto" w:before="2" w:after="0"/>
        <w:ind w:left="113" w:right="125" w:firstLine="204"/>
        <w:jc w:val="both"/>
        <w:rPr>
          <w:sz w:val="24"/>
        </w:rPr>
      </w:pPr>
      <w:r>
        <w:rPr>
          <w:w w:val="125"/>
          <w:sz w:val="24"/>
        </w:rPr>
        <w:t>A hitelintézet - a (4) bekezdésben foglalt eltéréssel - nem szerezhet részesedést és nem lehet tag olyan vállalkozásban, amelynek tartozásaiért a részesedés mértékére való tekintet nélkül a hitelintézetre tagként korlátlan felelősség</w:t>
      </w:r>
      <w:r>
        <w:rPr>
          <w:spacing w:val="16"/>
          <w:w w:val="125"/>
          <w:sz w:val="24"/>
        </w:rPr>
        <w:t> </w:t>
      </w:r>
      <w:r>
        <w:rPr>
          <w:w w:val="125"/>
          <w:sz w:val="24"/>
        </w:rPr>
        <w:t>hárulhat.</w:t>
      </w:r>
    </w:p>
    <w:p>
      <w:pPr>
        <w:pStyle w:val="ListParagraph"/>
        <w:numPr>
          <w:ilvl w:val="0"/>
          <w:numId w:val="239"/>
        </w:numPr>
        <w:tabs>
          <w:tab w:pos="750" w:val="left" w:leader="none"/>
        </w:tabs>
        <w:spacing w:line="225" w:lineRule="auto" w:before="2" w:after="0"/>
        <w:ind w:left="113" w:right="132" w:firstLine="204"/>
        <w:jc w:val="both"/>
        <w:rPr>
          <w:sz w:val="24"/>
        </w:rPr>
      </w:pPr>
      <w:r>
        <w:rPr>
          <w:w w:val="125"/>
          <w:sz w:val="24"/>
        </w:rPr>
        <w:t>A hitelintézet a Felügyelet engedélyével európai gazdasági egyesülésben tagsági jogviszonyt</w:t>
      </w:r>
      <w:r>
        <w:rPr>
          <w:spacing w:val="2"/>
          <w:w w:val="125"/>
          <w:sz w:val="24"/>
        </w:rPr>
        <w:t> </w:t>
      </w:r>
      <w:r>
        <w:rPr>
          <w:w w:val="125"/>
          <w:sz w:val="24"/>
        </w:rPr>
        <w:t>létesíthet.</w:t>
      </w:r>
    </w:p>
    <w:p>
      <w:pPr>
        <w:pStyle w:val="ListParagraph"/>
        <w:numPr>
          <w:ilvl w:val="0"/>
          <w:numId w:val="239"/>
        </w:numPr>
        <w:tabs>
          <w:tab w:pos="799" w:val="left" w:leader="none"/>
        </w:tabs>
        <w:spacing w:line="225" w:lineRule="auto" w:before="1" w:after="0"/>
        <w:ind w:left="113" w:right="131" w:firstLine="204"/>
        <w:jc w:val="both"/>
        <w:rPr>
          <w:sz w:val="24"/>
        </w:rPr>
      </w:pPr>
      <w:r>
        <w:rPr>
          <w:w w:val="130"/>
          <w:sz w:val="24"/>
        </w:rPr>
        <w:t>A Felügyelet a (4) bekezdés szerinti engedélyt a következő feltételek együttes teljesülése esetén adja</w:t>
      </w:r>
      <w:r>
        <w:rPr>
          <w:spacing w:val="-13"/>
          <w:w w:val="130"/>
          <w:sz w:val="24"/>
        </w:rPr>
        <w:t> </w:t>
      </w:r>
      <w:r>
        <w:rPr>
          <w:w w:val="130"/>
          <w:sz w:val="24"/>
        </w:rPr>
        <w:t>meg:</w:t>
      </w:r>
    </w:p>
    <w:p>
      <w:pPr>
        <w:pStyle w:val="ListParagraph"/>
        <w:numPr>
          <w:ilvl w:val="0"/>
          <w:numId w:val="242"/>
        </w:numPr>
        <w:tabs>
          <w:tab w:pos="689" w:val="left" w:leader="none"/>
        </w:tabs>
        <w:spacing w:line="225" w:lineRule="auto" w:before="1" w:after="0"/>
        <w:ind w:left="113" w:right="138" w:firstLine="204"/>
        <w:jc w:val="both"/>
        <w:rPr>
          <w:sz w:val="24"/>
        </w:rPr>
      </w:pPr>
      <w:r>
        <w:rPr>
          <w:i/>
          <w:w w:val="130"/>
          <w:sz w:val="24"/>
        </w:rPr>
        <w:t>az </w:t>
      </w:r>
      <w:r>
        <w:rPr>
          <w:w w:val="130"/>
          <w:sz w:val="24"/>
        </w:rPr>
        <w:t>európai gazdasági egyesülésnek kizárólag olyan vállalkozás a tagja, akire</w:t>
      </w:r>
      <w:r>
        <w:rPr>
          <w:spacing w:val="-11"/>
          <w:w w:val="130"/>
          <w:sz w:val="24"/>
        </w:rPr>
        <w:t> </w:t>
      </w:r>
      <w:r>
        <w:rPr>
          <w:w w:val="130"/>
          <w:sz w:val="24"/>
        </w:rPr>
        <w:t>az</w:t>
      </w:r>
      <w:r>
        <w:rPr>
          <w:spacing w:val="-10"/>
          <w:w w:val="130"/>
          <w:sz w:val="24"/>
        </w:rPr>
        <w:t> </w:t>
      </w:r>
      <w:r>
        <w:rPr>
          <w:w w:val="130"/>
          <w:sz w:val="24"/>
        </w:rPr>
        <w:t>összevont</w:t>
      </w:r>
      <w:r>
        <w:rPr>
          <w:spacing w:val="-10"/>
          <w:w w:val="130"/>
          <w:sz w:val="24"/>
        </w:rPr>
        <w:t> </w:t>
      </w:r>
      <w:r>
        <w:rPr>
          <w:w w:val="130"/>
          <w:sz w:val="24"/>
        </w:rPr>
        <w:t>alapú</w:t>
      </w:r>
      <w:r>
        <w:rPr>
          <w:spacing w:val="-10"/>
          <w:w w:val="130"/>
          <w:sz w:val="24"/>
        </w:rPr>
        <w:t> </w:t>
      </w:r>
      <w:r>
        <w:rPr>
          <w:w w:val="130"/>
          <w:sz w:val="24"/>
        </w:rPr>
        <w:t>felügyelet</w:t>
      </w:r>
      <w:r>
        <w:rPr>
          <w:spacing w:val="-10"/>
          <w:w w:val="130"/>
          <w:sz w:val="24"/>
        </w:rPr>
        <w:t> </w:t>
      </w:r>
      <w:r>
        <w:rPr>
          <w:w w:val="130"/>
          <w:sz w:val="24"/>
        </w:rPr>
        <w:t>a</w:t>
      </w:r>
      <w:r>
        <w:rPr>
          <w:spacing w:val="-10"/>
          <w:w w:val="130"/>
          <w:sz w:val="24"/>
        </w:rPr>
        <w:t> </w:t>
      </w:r>
      <w:r>
        <w:rPr>
          <w:w w:val="130"/>
          <w:sz w:val="24"/>
        </w:rPr>
        <w:t>hitelintézettel</w:t>
      </w:r>
      <w:r>
        <w:rPr>
          <w:spacing w:val="2"/>
          <w:w w:val="130"/>
          <w:sz w:val="24"/>
        </w:rPr>
        <w:t> </w:t>
      </w:r>
      <w:r>
        <w:rPr>
          <w:w w:val="130"/>
          <w:sz w:val="24"/>
        </w:rPr>
        <w:t>együttesen</w:t>
      </w:r>
      <w:r>
        <w:rPr>
          <w:spacing w:val="-22"/>
          <w:w w:val="130"/>
          <w:sz w:val="24"/>
        </w:rPr>
        <w:t> </w:t>
      </w:r>
      <w:r>
        <w:rPr>
          <w:w w:val="130"/>
          <w:sz w:val="24"/>
        </w:rPr>
        <w:t>kiterjed,</w:t>
      </w:r>
    </w:p>
    <w:p>
      <w:pPr>
        <w:pStyle w:val="ListParagraph"/>
        <w:numPr>
          <w:ilvl w:val="0"/>
          <w:numId w:val="242"/>
        </w:numPr>
        <w:tabs>
          <w:tab w:pos="718" w:val="left" w:leader="none"/>
        </w:tabs>
        <w:spacing w:line="225" w:lineRule="auto" w:before="2" w:after="0"/>
        <w:ind w:left="113" w:right="132" w:firstLine="204"/>
        <w:jc w:val="both"/>
        <w:rPr>
          <w:sz w:val="24"/>
        </w:rPr>
      </w:pPr>
      <w:r>
        <w:rPr>
          <w:w w:val="130"/>
          <w:sz w:val="24"/>
        </w:rPr>
        <w:t>az európai gazdasági egyesülés létesítő szerződése alapján végezhető tevékenységek egyike sem veszélyezteti a hitelintézet prudens működésére vonatkozó követelmények teljesülését,</w:t>
      </w:r>
      <w:r>
        <w:rPr>
          <w:spacing w:val="-21"/>
          <w:w w:val="130"/>
          <w:sz w:val="24"/>
        </w:rPr>
        <w:t> </w:t>
      </w:r>
      <w:r>
        <w:rPr>
          <w:w w:val="130"/>
          <w:sz w:val="24"/>
        </w:rPr>
        <w:t>valamint</w:t>
      </w:r>
    </w:p>
    <w:p>
      <w:pPr>
        <w:pStyle w:val="ListParagraph"/>
        <w:numPr>
          <w:ilvl w:val="0"/>
          <w:numId w:val="242"/>
        </w:numPr>
        <w:tabs>
          <w:tab w:pos="623" w:val="left" w:leader="none"/>
        </w:tabs>
        <w:spacing w:line="225" w:lineRule="auto" w:before="1" w:after="0"/>
        <w:ind w:left="113" w:right="124" w:firstLine="204"/>
        <w:jc w:val="both"/>
        <w:rPr>
          <w:sz w:val="24"/>
        </w:rPr>
      </w:pPr>
      <w:r>
        <w:rPr>
          <w:w w:val="130"/>
          <w:sz w:val="24"/>
        </w:rPr>
        <w:t>az</w:t>
      </w:r>
      <w:r>
        <w:rPr>
          <w:spacing w:val="-24"/>
          <w:w w:val="130"/>
          <w:sz w:val="24"/>
        </w:rPr>
        <w:t> </w:t>
      </w:r>
      <w:r>
        <w:rPr>
          <w:w w:val="130"/>
          <w:sz w:val="24"/>
        </w:rPr>
        <w:t>európai</w:t>
      </w:r>
      <w:r>
        <w:rPr>
          <w:spacing w:val="-23"/>
          <w:w w:val="130"/>
          <w:sz w:val="24"/>
        </w:rPr>
        <w:t> </w:t>
      </w:r>
      <w:r>
        <w:rPr>
          <w:w w:val="130"/>
          <w:sz w:val="24"/>
        </w:rPr>
        <w:t>gazdasági</w:t>
      </w:r>
      <w:r>
        <w:rPr>
          <w:spacing w:val="-24"/>
          <w:w w:val="130"/>
          <w:sz w:val="24"/>
        </w:rPr>
        <w:t> </w:t>
      </w:r>
      <w:r>
        <w:rPr>
          <w:w w:val="130"/>
          <w:sz w:val="24"/>
        </w:rPr>
        <w:t>egyesülés</w:t>
      </w:r>
      <w:r>
        <w:rPr>
          <w:spacing w:val="-23"/>
          <w:w w:val="130"/>
          <w:sz w:val="24"/>
        </w:rPr>
        <w:t> </w:t>
      </w:r>
      <w:r>
        <w:rPr>
          <w:w w:val="130"/>
          <w:sz w:val="24"/>
        </w:rPr>
        <w:t>létesítő</w:t>
      </w:r>
      <w:r>
        <w:rPr>
          <w:spacing w:val="-24"/>
          <w:w w:val="130"/>
          <w:sz w:val="24"/>
        </w:rPr>
        <w:t> </w:t>
      </w:r>
      <w:r>
        <w:rPr>
          <w:w w:val="130"/>
          <w:sz w:val="24"/>
        </w:rPr>
        <w:t>szerződése</w:t>
      </w:r>
      <w:r>
        <w:rPr>
          <w:spacing w:val="-23"/>
          <w:w w:val="130"/>
          <w:sz w:val="24"/>
        </w:rPr>
        <w:t> </w:t>
      </w:r>
      <w:r>
        <w:rPr>
          <w:w w:val="130"/>
          <w:sz w:val="24"/>
        </w:rPr>
        <w:t>rendelkezik</w:t>
      </w:r>
      <w:r>
        <w:rPr>
          <w:spacing w:val="-24"/>
          <w:w w:val="130"/>
          <w:sz w:val="24"/>
        </w:rPr>
        <w:t> </w:t>
      </w:r>
      <w:r>
        <w:rPr>
          <w:w w:val="130"/>
          <w:sz w:val="24"/>
        </w:rPr>
        <w:t>arról,</w:t>
      </w:r>
      <w:r>
        <w:rPr>
          <w:spacing w:val="-23"/>
          <w:w w:val="130"/>
          <w:sz w:val="24"/>
        </w:rPr>
        <w:t> </w:t>
      </w:r>
      <w:r>
        <w:rPr>
          <w:w w:val="130"/>
          <w:sz w:val="24"/>
        </w:rPr>
        <w:t>hogy nincs szükség a többi tag hozzájárulására a hitelintézet tagsági jogviszonyának megszüntetéséhez, ha annak fenntartása jogszabály rendelkezésébe ütközne, vagy arra a tagot a Felügyelet határozatában</w:t>
      </w:r>
      <w:r>
        <w:rPr>
          <w:spacing w:val="78"/>
          <w:w w:val="130"/>
          <w:sz w:val="24"/>
        </w:rPr>
        <w:t> </w:t>
      </w:r>
      <w:r>
        <w:rPr>
          <w:w w:val="130"/>
          <w:sz w:val="24"/>
        </w:rPr>
        <w:t>kötelezné.</w:t>
      </w:r>
    </w:p>
    <w:p>
      <w:pPr>
        <w:pStyle w:val="ListParagraph"/>
        <w:numPr>
          <w:ilvl w:val="0"/>
          <w:numId w:val="239"/>
        </w:numPr>
        <w:tabs>
          <w:tab w:pos="734" w:val="left" w:leader="none"/>
        </w:tabs>
        <w:spacing w:line="225" w:lineRule="auto" w:before="3" w:after="0"/>
        <w:ind w:left="113" w:right="127" w:firstLine="204"/>
        <w:jc w:val="both"/>
        <w:rPr>
          <w:sz w:val="24"/>
        </w:rPr>
      </w:pPr>
      <w:r>
        <w:rPr>
          <w:w w:val="125"/>
          <w:sz w:val="24"/>
        </w:rPr>
        <w:t>A Felügyelet a hitelintézetet - legfeljebb nyolcnapos határidő kitűzésével - kötelezi az európai gazdasági egyesüléssel fennálló tagsági jogviszonya megszüntetésére, ha az engedély megadását követően olyan változás következett be, amelynek következtében az (5) bekezdésben meghatározott engedély megadásának feltételei már nem állnak fenn, vagy amelynek következtében a tagsági jogviszony fenntartása miatt a hitelintézet nem felel meg a prudens működésére vonatkozó</w:t>
      </w:r>
      <w:r>
        <w:rPr>
          <w:spacing w:val="7"/>
          <w:w w:val="125"/>
          <w:sz w:val="24"/>
        </w:rPr>
        <w:t> </w:t>
      </w:r>
      <w:r>
        <w:rPr>
          <w:w w:val="125"/>
          <w:sz w:val="24"/>
        </w:rPr>
        <w:t>követelményeknek.</w:t>
      </w:r>
    </w:p>
    <w:p>
      <w:pPr>
        <w:pStyle w:val="BodyText"/>
        <w:spacing w:line="225" w:lineRule="auto" w:before="244"/>
        <w:ind w:left="3679" w:hanging="3052"/>
      </w:pPr>
      <w:r>
        <w:rPr>
          <w:w w:val="125"/>
        </w:rPr>
        <w:t>51. Hitelintézettel egyenértékű prudenciális szabályozásnak megfelelő pénzügyi vállalkozás</w:t>
      </w:r>
    </w:p>
    <w:p>
      <w:pPr>
        <w:pStyle w:val="ListParagraph"/>
        <w:numPr>
          <w:ilvl w:val="1"/>
          <w:numId w:val="213"/>
        </w:numPr>
        <w:tabs>
          <w:tab w:pos="1035" w:val="left" w:leader="none"/>
        </w:tabs>
        <w:spacing w:line="225" w:lineRule="auto" w:before="240" w:after="0"/>
        <w:ind w:left="113" w:right="127" w:firstLine="204"/>
        <w:jc w:val="both"/>
        <w:rPr>
          <w:sz w:val="24"/>
        </w:rPr>
      </w:pPr>
      <w:r>
        <w:rPr>
          <w:rFonts w:ascii="Arial" w:hAnsi="Arial"/>
          <w:b/>
          <w:w w:val="125"/>
          <w:sz w:val="24"/>
        </w:rPr>
        <w:t>§ </w:t>
      </w:r>
      <w:r>
        <w:rPr>
          <w:w w:val="125"/>
          <w:sz w:val="24"/>
        </w:rPr>
        <w:t>Ha a pénzügyi vállalkozás alkalmazza a hitelintézetekre vonatkozó szavatoló tőkére és tőkemegfelelésre, kockázatok és  befektetések korlátozására, az eszközök minősítésére, irányítási rendszerre és kockázatkezelésre, irányításra és ellenőrzésre, valamint a nyilvánosságra hozatal követelményére vonatkozó rendelkezéseket, ugyanakkor saját tőkéje legalább kétmilliárd forint, akkor a pénzügyi vállalkozás - a Felügyelet határozata szerint - az 575/2013/EU rendelet vonatkozásában hitelintézettel egyenértékű prudenciális szabályozásnak felel</w:t>
      </w:r>
      <w:r>
        <w:rPr>
          <w:spacing w:val="8"/>
          <w:w w:val="125"/>
          <w:sz w:val="24"/>
        </w:rPr>
        <w:t> </w:t>
      </w:r>
      <w:r>
        <w:rPr>
          <w:w w:val="125"/>
          <w:sz w:val="24"/>
        </w:rPr>
        <w:t>meg.</w:t>
      </w:r>
    </w:p>
    <w:p>
      <w:pPr>
        <w:pStyle w:val="ListParagraph"/>
        <w:numPr>
          <w:ilvl w:val="1"/>
          <w:numId w:val="213"/>
        </w:numPr>
        <w:tabs>
          <w:tab w:pos="1008" w:val="left" w:leader="none"/>
        </w:tabs>
        <w:spacing w:line="259" w:lineRule="exact" w:before="0" w:after="0"/>
        <w:ind w:left="1007" w:right="0" w:hanging="690"/>
        <w:jc w:val="left"/>
        <w:rPr>
          <w:sz w:val="24"/>
        </w:rPr>
      </w:pPr>
      <w:r>
        <w:rPr>
          <w:rFonts w:ascii="Arial" w:hAnsi="Arial"/>
          <w:b/>
          <w:w w:val="125"/>
          <w:sz w:val="24"/>
        </w:rPr>
        <w:t>§ </w:t>
      </w:r>
      <w:r>
        <w:rPr>
          <w:w w:val="125"/>
          <w:sz w:val="24"/>
        </w:rPr>
        <w:t>(1) Ha a pénzügyi vállalkozás igazolja a Felügyelet felé, hogy a</w:t>
      </w:r>
      <w:r>
        <w:rPr>
          <w:spacing w:val="69"/>
          <w:w w:val="125"/>
          <w:sz w:val="24"/>
        </w:rPr>
        <w:t> </w:t>
      </w:r>
      <w:r>
        <w:rPr>
          <w:w w:val="125"/>
          <w:sz w:val="24"/>
        </w:rPr>
        <w:t>103.</w:t>
      </w:r>
    </w:p>
    <w:p>
      <w:pPr>
        <w:pStyle w:val="BodyText"/>
        <w:spacing w:line="225" w:lineRule="auto" w:before="6"/>
        <w:ind w:right="126" w:firstLine="0"/>
        <w:jc w:val="both"/>
      </w:pPr>
      <w:r>
        <w:rPr>
          <w:w w:val="125"/>
        </w:rPr>
        <w:t>§-ban foglalt feltételeknek megfelel, akkor a Felügyelet - a kérelem  beérkezését követő naptól számított - két hónapon belül  határozatot  ad  ki erről. A Felügyelet a honlapján közzéteszi a hitelintézettel egyenértékű prudenciális szabályozásnak megfelelő pénzügyi vállalkozások</w:t>
      </w:r>
      <w:r>
        <w:rPr>
          <w:spacing w:val="1"/>
          <w:w w:val="125"/>
        </w:rPr>
        <w:t> </w:t>
      </w:r>
      <w:r>
        <w:rPr>
          <w:w w:val="125"/>
        </w:rPr>
        <w:t>listáját.</w:t>
      </w:r>
    </w:p>
    <w:p>
      <w:pPr>
        <w:pStyle w:val="BodyText"/>
        <w:spacing w:line="225" w:lineRule="auto" w:before="2"/>
        <w:ind w:right="125"/>
        <w:jc w:val="both"/>
      </w:pPr>
      <w:r>
        <w:rPr>
          <w:w w:val="125"/>
        </w:rPr>
        <w:t>(2) A hitelintézettel egyenértékű prudenciális szabályozásnak megfelelő pénzügyi vállalkozás haladéktalanul tájékoztatja a Felügyeletet, ha a 103. § szerinti feltételek már nem állnak fenn.</w:t>
      </w:r>
    </w:p>
    <w:p>
      <w:pPr>
        <w:spacing w:after="0" w:line="225" w:lineRule="auto"/>
        <w:jc w:val="both"/>
        <w:sectPr>
          <w:pgSz w:w="11900" w:h="16820"/>
          <w:pgMar w:header="1104" w:footer="0" w:top="1840" w:bottom="280" w:left="1020" w:right="1000"/>
        </w:sectPr>
      </w:pPr>
    </w:p>
    <w:p>
      <w:pPr>
        <w:pStyle w:val="ListParagraph"/>
        <w:numPr>
          <w:ilvl w:val="1"/>
          <w:numId w:val="213"/>
        </w:numPr>
        <w:tabs>
          <w:tab w:pos="1162" w:val="left" w:leader="none"/>
        </w:tabs>
        <w:spacing w:line="225" w:lineRule="auto" w:before="172" w:after="0"/>
        <w:ind w:left="113" w:right="128" w:firstLine="204"/>
        <w:jc w:val="both"/>
        <w:rPr>
          <w:sz w:val="24"/>
        </w:rPr>
      </w:pPr>
      <w:r>
        <w:rPr>
          <w:rFonts w:ascii="Arial" w:hAnsi="Arial"/>
          <w:b/>
          <w:w w:val="125"/>
          <w:sz w:val="24"/>
        </w:rPr>
        <w:t>§ </w:t>
      </w:r>
      <w:r>
        <w:rPr>
          <w:w w:val="125"/>
          <w:sz w:val="24"/>
        </w:rPr>
        <w:t>A Felügyelet a 104. § (1) bekezdése szerinti határozatát visszavonhatja, ha a pénzügyi vállalkozás a Felügyelet intézkedésében, kivételes intézkedésében foglalt határidőn belül nem tesz eleget a 103. §-ban rögzített</w:t>
      </w:r>
      <w:r>
        <w:rPr>
          <w:spacing w:val="1"/>
          <w:w w:val="125"/>
          <w:sz w:val="24"/>
        </w:rPr>
        <w:t> </w:t>
      </w:r>
      <w:r>
        <w:rPr>
          <w:w w:val="125"/>
          <w:sz w:val="24"/>
        </w:rPr>
        <w:t>követelményeknek.</w:t>
      </w:r>
    </w:p>
    <w:p>
      <w:pPr>
        <w:pStyle w:val="BodyText"/>
        <w:spacing w:line="225" w:lineRule="auto" w:before="242"/>
        <w:ind w:left="1814" w:hanging="1086"/>
      </w:pPr>
      <w:r>
        <w:rPr>
          <w:w w:val="125"/>
        </w:rPr>
        <w:t>51/A.</w:t>
      </w:r>
      <w:r>
        <w:rPr>
          <w:i/>
          <w:w w:val="125"/>
          <w:position w:val="3"/>
          <w:sz w:val="18"/>
        </w:rPr>
        <w:t>1 </w:t>
      </w:r>
      <w:r>
        <w:rPr>
          <w:w w:val="125"/>
        </w:rPr>
        <w:t>Harmadik országbeli hitelintézet magyarországi fióktelepének mentesítése egyes prudenciális követelmények alól</w:t>
      </w:r>
    </w:p>
    <w:p>
      <w:pPr>
        <w:pStyle w:val="BodyText"/>
        <w:ind w:left="0" w:firstLine="0"/>
        <w:rPr>
          <w:sz w:val="11"/>
        </w:rPr>
      </w:pPr>
    </w:p>
    <w:p>
      <w:pPr>
        <w:pStyle w:val="BodyText"/>
        <w:spacing w:line="262" w:lineRule="exact" w:before="100"/>
        <w:ind w:left="317" w:firstLine="0"/>
      </w:pPr>
      <w:r>
        <w:rPr>
          <w:rFonts w:ascii="Arial" w:hAnsi="Arial"/>
          <w:b/>
          <w:w w:val="120"/>
        </w:rPr>
        <w:t>105/A. §</w:t>
      </w:r>
      <w:r>
        <w:rPr>
          <w:i/>
          <w:w w:val="120"/>
          <w:position w:val="3"/>
          <w:sz w:val="18"/>
        </w:rPr>
        <w:t>2 </w:t>
      </w:r>
      <w:r>
        <w:rPr>
          <w:w w:val="120"/>
        </w:rPr>
        <w:t>(1) A harmadik országbeli hitelintézet magyarországi fióktelepét</w:t>
      </w:r>
    </w:p>
    <w:p>
      <w:pPr>
        <w:pStyle w:val="BodyText"/>
        <w:spacing w:line="225" w:lineRule="auto" w:before="12"/>
        <w:ind w:right="127" w:firstLine="0"/>
        <w:jc w:val="both"/>
        <w:rPr>
          <w:i/>
          <w:sz w:val="18"/>
        </w:rPr>
      </w:pPr>
      <w:r>
        <w:rPr>
          <w:w w:val="130"/>
        </w:rPr>
        <w:t>kérelmére a Felügyelet határozatban mentesítheti az 575/2013/EU rendelet Harmadik, Negyedik, Ötödik, Hatodik és Hetedik Részében meghatározott követelmények teljesítése alól, ha</w:t>
      </w:r>
      <w:r>
        <w:rPr>
          <w:i/>
          <w:w w:val="130"/>
          <w:position w:val="3"/>
          <w:sz w:val="18"/>
        </w:rPr>
        <w:t>3</w:t>
      </w:r>
    </w:p>
    <w:p>
      <w:pPr>
        <w:pStyle w:val="ListParagraph"/>
        <w:numPr>
          <w:ilvl w:val="0"/>
          <w:numId w:val="243"/>
        </w:numPr>
        <w:tabs>
          <w:tab w:pos="667" w:val="left" w:leader="none"/>
        </w:tabs>
        <w:spacing w:line="225" w:lineRule="auto" w:before="2" w:after="0"/>
        <w:ind w:left="113" w:right="124" w:firstLine="204"/>
        <w:jc w:val="both"/>
        <w:rPr>
          <w:sz w:val="24"/>
        </w:rPr>
      </w:pPr>
      <w:r>
        <w:rPr>
          <w:w w:val="130"/>
          <w:sz w:val="24"/>
        </w:rPr>
        <w:t>a fióktelep legalább öt éve létesült, vagy a fióktelepet létesítő harmadik országbeli hitelintézet legalább öt éve rendelkezik magyarországi székhelyű hitelintézetben ellenőrző</w:t>
      </w:r>
      <w:r>
        <w:rPr>
          <w:spacing w:val="-9"/>
          <w:w w:val="130"/>
          <w:sz w:val="24"/>
        </w:rPr>
        <w:t> </w:t>
      </w:r>
      <w:r>
        <w:rPr>
          <w:w w:val="130"/>
          <w:sz w:val="24"/>
        </w:rPr>
        <w:t>befolyással,</w:t>
      </w:r>
    </w:p>
    <w:p>
      <w:pPr>
        <w:pStyle w:val="ListParagraph"/>
        <w:numPr>
          <w:ilvl w:val="0"/>
          <w:numId w:val="243"/>
        </w:numPr>
        <w:tabs>
          <w:tab w:pos="657" w:val="left" w:leader="none"/>
        </w:tabs>
        <w:spacing w:line="225" w:lineRule="auto" w:before="2" w:after="0"/>
        <w:ind w:left="113" w:right="124" w:firstLine="204"/>
        <w:jc w:val="both"/>
        <w:rPr>
          <w:sz w:val="24"/>
        </w:rPr>
      </w:pPr>
      <w:r>
        <w:rPr>
          <w:w w:val="130"/>
          <w:sz w:val="24"/>
        </w:rPr>
        <w:t>a</w:t>
      </w:r>
      <w:r>
        <w:rPr>
          <w:spacing w:val="-8"/>
          <w:w w:val="130"/>
          <w:sz w:val="24"/>
        </w:rPr>
        <w:t> </w:t>
      </w:r>
      <w:r>
        <w:rPr>
          <w:w w:val="130"/>
          <w:sz w:val="24"/>
        </w:rPr>
        <w:t>kérelem</w:t>
      </w:r>
      <w:r>
        <w:rPr>
          <w:spacing w:val="-7"/>
          <w:w w:val="130"/>
          <w:sz w:val="24"/>
        </w:rPr>
        <w:t> </w:t>
      </w:r>
      <w:r>
        <w:rPr>
          <w:w w:val="130"/>
          <w:sz w:val="24"/>
        </w:rPr>
        <w:t>benyújtását</w:t>
      </w:r>
      <w:r>
        <w:rPr>
          <w:spacing w:val="-8"/>
          <w:w w:val="130"/>
          <w:sz w:val="24"/>
        </w:rPr>
        <w:t> </w:t>
      </w:r>
      <w:r>
        <w:rPr>
          <w:w w:val="130"/>
          <w:sz w:val="24"/>
        </w:rPr>
        <w:t>megelőző</w:t>
      </w:r>
      <w:r>
        <w:rPr>
          <w:spacing w:val="-7"/>
          <w:w w:val="130"/>
          <w:sz w:val="24"/>
        </w:rPr>
        <w:t> </w:t>
      </w:r>
      <w:r>
        <w:rPr>
          <w:w w:val="130"/>
          <w:sz w:val="24"/>
        </w:rPr>
        <w:t>öt</w:t>
      </w:r>
      <w:r>
        <w:rPr>
          <w:spacing w:val="-8"/>
          <w:w w:val="130"/>
          <w:sz w:val="24"/>
        </w:rPr>
        <w:t> </w:t>
      </w:r>
      <w:r>
        <w:rPr>
          <w:w w:val="130"/>
          <w:sz w:val="24"/>
        </w:rPr>
        <w:t>évben</w:t>
      </w:r>
      <w:r>
        <w:rPr>
          <w:spacing w:val="-7"/>
          <w:w w:val="130"/>
          <w:sz w:val="24"/>
        </w:rPr>
        <w:t> </w:t>
      </w:r>
      <w:r>
        <w:rPr>
          <w:w w:val="130"/>
          <w:sz w:val="24"/>
        </w:rPr>
        <w:t>a</w:t>
      </w:r>
      <w:r>
        <w:rPr>
          <w:spacing w:val="-8"/>
          <w:w w:val="130"/>
          <w:sz w:val="24"/>
        </w:rPr>
        <w:t> </w:t>
      </w:r>
      <w:r>
        <w:rPr>
          <w:w w:val="130"/>
          <w:sz w:val="24"/>
        </w:rPr>
        <w:t>Felügyelet</w:t>
      </w:r>
      <w:r>
        <w:rPr>
          <w:spacing w:val="-7"/>
          <w:w w:val="130"/>
          <w:sz w:val="24"/>
        </w:rPr>
        <w:t> </w:t>
      </w:r>
      <w:r>
        <w:rPr>
          <w:w w:val="130"/>
          <w:sz w:val="24"/>
        </w:rPr>
        <w:t>nem</w:t>
      </w:r>
      <w:r>
        <w:rPr>
          <w:spacing w:val="-8"/>
          <w:w w:val="130"/>
          <w:sz w:val="24"/>
        </w:rPr>
        <w:t> </w:t>
      </w:r>
      <w:r>
        <w:rPr>
          <w:w w:val="130"/>
          <w:sz w:val="24"/>
        </w:rPr>
        <w:t>alkalmazott</w:t>
      </w:r>
      <w:r>
        <w:rPr>
          <w:spacing w:val="-7"/>
          <w:w w:val="130"/>
          <w:sz w:val="24"/>
        </w:rPr>
        <w:t> </w:t>
      </w:r>
      <w:r>
        <w:rPr>
          <w:w w:val="130"/>
          <w:sz w:val="24"/>
        </w:rPr>
        <w:t>a fiókteleppel, illetve a fióktelepet létesítő harmadik országbeli hitelintézet ellenőrző</w:t>
      </w:r>
      <w:r>
        <w:rPr>
          <w:spacing w:val="-18"/>
          <w:w w:val="130"/>
          <w:sz w:val="24"/>
        </w:rPr>
        <w:t> </w:t>
      </w:r>
      <w:r>
        <w:rPr>
          <w:w w:val="130"/>
          <w:sz w:val="24"/>
        </w:rPr>
        <w:t>befolyása</w:t>
      </w:r>
      <w:r>
        <w:rPr>
          <w:spacing w:val="-16"/>
          <w:w w:val="130"/>
          <w:sz w:val="24"/>
        </w:rPr>
        <w:t> </w:t>
      </w:r>
      <w:r>
        <w:rPr>
          <w:w w:val="130"/>
          <w:sz w:val="24"/>
        </w:rPr>
        <w:t>alatt</w:t>
      </w:r>
      <w:r>
        <w:rPr>
          <w:spacing w:val="-18"/>
          <w:w w:val="130"/>
          <w:sz w:val="24"/>
        </w:rPr>
        <w:t> </w:t>
      </w:r>
      <w:r>
        <w:rPr>
          <w:w w:val="130"/>
          <w:sz w:val="24"/>
        </w:rPr>
        <w:t>álló</w:t>
      </w:r>
      <w:r>
        <w:rPr>
          <w:spacing w:val="-17"/>
          <w:w w:val="130"/>
          <w:sz w:val="24"/>
        </w:rPr>
        <w:t> </w:t>
      </w:r>
      <w:r>
        <w:rPr>
          <w:w w:val="130"/>
          <w:sz w:val="24"/>
        </w:rPr>
        <w:t>hitelintézettel</w:t>
      </w:r>
      <w:r>
        <w:rPr>
          <w:spacing w:val="-16"/>
          <w:w w:val="130"/>
          <w:sz w:val="24"/>
        </w:rPr>
        <w:t> </w:t>
      </w:r>
      <w:r>
        <w:rPr>
          <w:w w:val="130"/>
          <w:sz w:val="24"/>
        </w:rPr>
        <w:t>szemben</w:t>
      </w:r>
      <w:r>
        <w:rPr>
          <w:spacing w:val="-17"/>
          <w:w w:val="130"/>
          <w:sz w:val="24"/>
        </w:rPr>
        <w:t> </w:t>
      </w:r>
      <w:r>
        <w:rPr>
          <w:w w:val="130"/>
          <w:sz w:val="24"/>
        </w:rPr>
        <w:t>kivételes</w:t>
      </w:r>
      <w:r>
        <w:rPr>
          <w:spacing w:val="-17"/>
          <w:w w:val="130"/>
          <w:sz w:val="24"/>
        </w:rPr>
        <w:t> </w:t>
      </w:r>
      <w:r>
        <w:rPr>
          <w:w w:val="130"/>
          <w:sz w:val="24"/>
        </w:rPr>
        <w:t>intézkedést,</w:t>
      </w:r>
    </w:p>
    <w:p>
      <w:pPr>
        <w:pStyle w:val="ListParagraph"/>
        <w:numPr>
          <w:ilvl w:val="0"/>
          <w:numId w:val="243"/>
        </w:numPr>
        <w:tabs>
          <w:tab w:pos="696" w:val="left" w:leader="none"/>
        </w:tabs>
        <w:spacing w:line="225" w:lineRule="auto" w:before="1" w:after="0"/>
        <w:ind w:left="113" w:right="125" w:firstLine="204"/>
        <w:jc w:val="both"/>
        <w:rPr>
          <w:sz w:val="24"/>
        </w:rPr>
      </w:pPr>
      <w:r>
        <w:rPr>
          <w:w w:val="130"/>
          <w:sz w:val="24"/>
        </w:rPr>
        <w:t>az Fkt. 11. § (1) bekezdésében foglaltakon túl a harmadik országbeli hitelintézet</w:t>
      </w:r>
      <w:r>
        <w:rPr>
          <w:spacing w:val="78"/>
          <w:w w:val="130"/>
          <w:sz w:val="24"/>
        </w:rPr>
        <w:t> </w:t>
      </w:r>
      <w:r>
        <w:rPr>
          <w:w w:val="130"/>
          <w:sz w:val="24"/>
        </w:rPr>
        <w:t>olyan</w:t>
      </w:r>
      <w:r>
        <w:rPr>
          <w:spacing w:val="78"/>
          <w:w w:val="130"/>
          <w:sz w:val="24"/>
        </w:rPr>
        <w:t> </w:t>
      </w:r>
      <w:r>
        <w:rPr>
          <w:w w:val="130"/>
          <w:sz w:val="24"/>
        </w:rPr>
        <w:t>visszavonhatatlan</w:t>
      </w:r>
      <w:r>
        <w:rPr>
          <w:spacing w:val="78"/>
          <w:w w:val="130"/>
          <w:sz w:val="24"/>
        </w:rPr>
        <w:t> </w:t>
      </w:r>
      <w:r>
        <w:rPr>
          <w:w w:val="130"/>
          <w:sz w:val="24"/>
        </w:rPr>
        <w:t>kötelezettségvállalásról</w:t>
      </w:r>
      <w:r>
        <w:rPr>
          <w:spacing w:val="78"/>
          <w:w w:val="130"/>
          <w:sz w:val="24"/>
        </w:rPr>
        <w:t> </w:t>
      </w:r>
      <w:r>
        <w:rPr>
          <w:w w:val="130"/>
          <w:sz w:val="24"/>
        </w:rPr>
        <w:t>szóló nyilatkozatot tesz, amelyben vállalja, hogy mindenkor fenntartja a fióktelep likviditását,</w:t>
      </w:r>
    </w:p>
    <w:p>
      <w:pPr>
        <w:pStyle w:val="ListParagraph"/>
        <w:numPr>
          <w:ilvl w:val="0"/>
          <w:numId w:val="243"/>
        </w:numPr>
        <w:tabs>
          <w:tab w:pos="672" w:val="left" w:leader="none"/>
        </w:tabs>
        <w:spacing w:line="225" w:lineRule="auto" w:before="3" w:after="0"/>
        <w:ind w:left="113" w:right="108" w:firstLine="204"/>
        <w:jc w:val="both"/>
        <w:rPr>
          <w:sz w:val="24"/>
        </w:rPr>
      </w:pPr>
      <w:r>
        <w:rPr>
          <w:w w:val="130"/>
          <w:sz w:val="24"/>
        </w:rPr>
        <w:t>a harmadik országbeli hitelintézet és a fióktelep rendelkezik a végzendő tevékenység jellegének megfelelő, a kockázatvállalások megalapozottságát, áttekinthetőségét, a kockázatok felmérését és csökkentését, a kockázatok hatékony és eredményes kezelését biztosító belső szabályzatokkal és eljárásokkal,</w:t>
      </w:r>
    </w:p>
    <w:p>
      <w:pPr>
        <w:pStyle w:val="ListParagraph"/>
        <w:numPr>
          <w:ilvl w:val="0"/>
          <w:numId w:val="243"/>
        </w:numPr>
        <w:tabs>
          <w:tab w:pos="629" w:val="left" w:leader="none"/>
        </w:tabs>
        <w:spacing w:line="257" w:lineRule="exact" w:before="0" w:after="0"/>
        <w:ind w:left="628" w:right="0" w:hanging="311"/>
        <w:jc w:val="left"/>
        <w:rPr>
          <w:sz w:val="24"/>
        </w:rPr>
      </w:pPr>
      <w:r>
        <w:rPr>
          <w:w w:val="125"/>
          <w:sz w:val="24"/>
        </w:rPr>
        <w:t>a fióktelep nem jogosult fogyasztóktól betétet</w:t>
      </w:r>
      <w:r>
        <w:rPr>
          <w:spacing w:val="10"/>
          <w:w w:val="125"/>
          <w:sz w:val="24"/>
        </w:rPr>
        <w:t> </w:t>
      </w:r>
      <w:r>
        <w:rPr>
          <w:w w:val="125"/>
          <w:sz w:val="24"/>
        </w:rPr>
        <w:t>gyűjteni,</w:t>
      </w:r>
    </w:p>
    <w:p>
      <w:pPr>
        <w:pStyle w:val="ListParagraph"/>
        <w:numPr>
          <w:ilvl w:val="0"/>
          <w:numId w:val="243"/>
        </w:numPr>
        <w:tabs>
          <w:tab w:pos="747" w:val="left" w:leader="none"/>
        </w:tabs>
        <w:spacing w:line="225" w:lineRule="auto" w:before="5" w:after="0"/>
        <w:ind w:left="113" w:right="105" w:firstLine="204"/>
        <w:jc w:val="both"/>
        <w:rPr>
          <w:sz w:val="24"/>
        </w:rPr>
      </w:pPr>
      <w:r>
        <w:rPr>
          <w:w w:val="130"/>
          <w:sz w:val="24"/>
        </w:rPr>
        <w:t>a harmadik országbeli hitelintézet biztosítja a székhelye szerinti prudenciális előírásoknak történő megfelelést</w:t>
      </w:r>
      <w:r>
        <w:rPr>
          <w:spacing w:val="-19"/>
          <w:w w:val="130"/>
          <w:sz w:val="24"/>
        </w:rPr>
        <w:t> </w:t>
      </w:r>
      <w:r>
        <w:rPr>
          <w:w w:val="130"/>
          <w:sz w:val="24"/>
        </w:rPr>
        <w:t>és</w:t>
      </w:r>
    </w:p>
    <w:p>
      <w:pPr>
        <w:pStyle w:val="ListParagraph"/>
        <w:numPr>
          <w:ilvl w:val="0"/>
          <w:numId w:val="243"/>
        </w:numPr>
        <w:tabs>
          <w:tab w:pos="669" w:val="left" w:leader="none"/>
        </w:tabs>
        <w:spacing w:line="225" w:lineRule="auto" w:before="1" w:after="0"/>
        <w:ind w:left="113" w:right="133" w:firstLine="204"/>
        <w:jc w:val="both"/>
        <w:rPr>
          <w:sz w:val="24"/>
        </w:rPr>
      </w:pPr>
      <w:r>
        <w:rPr>
          <w:w w:val="130"/>
          <w:sz w:val="24"/>
        </w:rPr>
        <w:t>a</w:t>
      </w:r>
      <w:r>
        <w:rPr>
          <w:spacing w:val="-11"/>
          <w:w w:val="130"/>
          <w:sz w:val="24"/>
        </w:rPr>
        <w:t> </w:t>
      </w:r>
      <w:r>
        <w:rPr>
          <w:w w:val="130"/>
          <w:sz w:val="24"/>
        </w:rPr>
        <w:t>fióktelep</w:t>
      </w:r>
      <w:r>
        <w:rPr>
          <w:spacing w:val="-10"/>
          <w:w w:val="130"/>
          <w:sz w:val="24"/>
        </w:rPr>
        <w:t> </w:t>
      </w:r>
      <w:r>
        <w:rPr>
          <w:w w:val="130"/>
          <w:sz w:val="24"/>
        </w:rPr>
        <w:t>tevékenysége</w:t>
      </w:r>
      <w:r>
        <w:rPr>
          <w:spacing w:val="-11"/>
          <w:w w:val="130"/>
          <w:sz w:val="24"/>
        </w:rPr>
        <w:t> </w:t>
      </w:r>
      <w:r>
        <w:rPr>
          <w:w w:val="130"/>
          <w:sz w:val="24"/>
        </w:rPr>
        <w:t>nem</w:t>
      </w:r>
      <w:r>
        <w:rPr>
          <w:spacing w:val="-11"/>
          <w:w w:val="130"/>
          <w:sz w:val="24"/>
        </w:rPr>
        <w:t> </w:t>
      </w:r>
      <w:r>
        <w:rPr>
          <w:w w:val="130"/>
          <w:sz w:val="24"/>
        </w:rPr>
        <w:t>veszélyezteti</w:t>
      </w:r>
      <w:r>
        <w:rPr>
          <w:spacing w:val="-11"/>
          <w:w w:val="130"/>
          <w:sz w:val="24"/>
        </w:rPr>
        <w:t> </w:t>
      </w:r>
      <w:r>
        <w:rPr>
          <w:w w:val="130"/>
          <w:sz w:val="24"/>
        </w:rPr>
        <w:t>a</w:t>
      </w:r>
      <w:r>
        <w:rPr>
          <w:spacing w:val="-10"/>
          <w:w w:val="130"/>
          <w:sz w:val="24"/>
        </w:rPr>
        <w:t> </w:t>
      </w:r>
      <w:r>
        <w:rPr>
          <w:w w:val="130"/>
          <w:sz w:val="24"/>
        </w:rPr>
        <w:t>pénzügyi</w:t>
      </w:r>
      <w:r>
        <w:rPr>
          <w:spacing w:val="-10"/>
          <w:w w:val="130"/>
          <w:sz w:val="24"/>
        </w:rPr>
        <w:t> </w:t>
      </w:r>
      <w:r>
        <w:rPr>
          <w:w w:val="130"/>
          <w:sz w:val="24"/>
        </w:rPr>
        <w:t>közvetítőrendszer stabilitását.</w:t>
      </w:r>
    </w:p>
    <w:p>
      <w:pPr>
        <w:pStyle w:val="BodyText"/>
        <w:spacing w:line="256" w:lineRule="exact"/>
        <w:ind w:left="317" w:firstLine="0"/>
      </w:pPr>
      <w:r>
        <w:rPr>
          <w:w w:val="125"/>
        </w:rPr>
        <w:t>(2) A Felügyelet az (1) bekezdés szerinti határozatát visszavonja, ha</w:t>
      </w:r>
    </w:p>
    <w:p>
      <w:pPr>
        <w:pStyle w:val="ListParagraph"/>
        <w:numPr>
          <w:ilvl w:val="0"/>
          <w:numId w:val="244"/>
        </w:numPr>
        <w:tabs>
          <w:tab w:pos="631" w:val="left" w:leader="none"/>
        </w:tabs>
        <w:spacing w:line="260" w:lineRule="exact" w:before="0" w:after="0"/>
        <w:ind w:left="630" w:right="0" w:hanging="313"/>
        <w:jc w:val="left"/>
        <w:rPr>
          <w:sz w:val="24"/>
        </w:rPr>
      </w:pPr>
      <w:r>
        <w:rPr>
          <w:w w:val="130"/>
          <w:sz w:val="24"/>
        </w:rPr>
        <w:t>a</w:t>
      </w:r>
      <w:r>
        <w:rPr>
          <w:spacing w:val="-13"/>
          <w:w w:val="130"/>
          <w:sz w:val="24"/>
        </w:rPr>
        <w:t> </w:t>
      </w:r>
      <w:r>
        <w:rPr>
          <w:w w:val="130"/>
          <w:sz w:val="24"/>
        </w:rPr>
        <w:t>fióktelep</w:t>
      </w:r>
      <w:r>
        <w:rPr>
          <w:spacing w:val="-12"/>
          <w:w w:val="130"/>
          <w:sz w:val="24"/>
        </w:rPr>
        <w:t> </w:t>
      </w:r>
      <w:r>
        <w:rPr>
          <w:w w:val="130"/>
          <w:sz w:val="24"/>
        </w:rPr>
        <w:t>már</w:t>
      </w:r>
      <w:r>
        <w:rPr>
          <w:spacing w:val="-12"/>
          <w:w w:val="130"/>
          <w:sz w:val="24"/>
        </w:rPr>
        <w:t> </w:t>
      </w:r>
      <w:r>
        <w:rPr>
          <w:w w:val="130"/>
          <w:sz w:val="24"/>
        </w:rPr>
        <w:t>nem</w:t>
      </w:r>
      <w:r>
        <w:rPr>
          <w:spacing w:val="-12"/>
          <w:w w:val="130"/>
          <w:sz w:val="24"/>
        </w:rPr>
        <w:t> </w:t>
      </w:r>
      <w:r>
        <w:rPr>
          <w:w w:val="130"/>
          <w:sz w:val="24"/>
        </w:rPr>
        <w:t>felel</w:t>
      </w:r>
      <w:r>
        <w:rPr>
          <w:spacing w:val="-11"/>
          <w:w w:val="130"/>
          <w:sz w:val="24"/>
        </w:rPr>
        <w:t> </w:t>
      </w:r>
      <w:r>
        <w:rPr>
          <w:w w:val="130"/>
          <w:sz w:val="24"/>
        </w:rPr>
        <w:t>meg</w:t>
      </w:r>
      <w:r>
        <w:rPr>
          <w:spacing w:val="-13"/>
          <w:w w:val="130"/>
          <w:sz w:val="24"/>
        </w:rPr>
        <w:t> </w:t>
      </w:r>
      <w:r>
        <w:rPr>
          <w:w w:val="130"/>
          <w:sz w:val="24"/>
        </w:rPr>
        <w:t>az</w:t>
      </w:r>
      <w:r>
        <w:rPr>
          <w:spacing w:val="-12"/>
          <w:w w:val="130"/>
          <w:sz w:val="24"/>
        </w:rPr>
        <w:t> </w:t>
      </w:r>
      <w:r>
        <w:rPr>
          <w:w w:val="130"/>
          <w:sz w:val="24"/>
        </w:rPr>
        <w:t>(1)</w:t>
      </w:r>
      <w:r>
        <w:rPr>
          <w:spacing w:val="-12"/>
          <w:w w:val="130"/>
          <w:sz w:val="24"/>
        </w:rPr>
        <w:t> </w:t>
      </w:r>
      <w:r>
        <w:rPr>
          <w:w w:val="130"/>
          <w:sz w:val="24"/>
        </w:rPr>
        <w:t>bekezdés</w:t>
      </w:r>
      <w:r>
        <w:rPr>
          <w:spacing w:val="-12"/>
          <w:w w:val="130"/>
          <w:sz w:val="24"/>
        </w:rPr>
        <w:t> </w:t>
      </w:r>
      <w:r>
        <w:rPr>
          <w:w w:val="130"/>
          <w:sz w:val="24"/>
        </w:rPr>
        <w:t>szerinti</w:t>
      </w:r>
      <w:r>
        <w:rPr>
          <w:spacing w:val="-11"/>
          <w:w w:val="130"/>
          <w:sz w:val="24"/>
        </w:rPr>
        <w:t> </w:t>
      </w:r>
      <w:r>
        <w:rPr>
          <w:w w:val="130"/>
          <w:sz w:val="24"/>
        </w:rPr>
        <w:t>feltételeknek,</w:t>
      </w:r>
    </w:p>
    <w:p>
      <w:pPr>
        <w:pStyle w:val="ListParagraph"/>
        <w:numPr>
          <w:ilvl w:val="0"/>
          <w:numId w:val="244"/>
        </w:numPr>
        <w:tabs>
          <w:tab w:pos="666" w:val="left" w:leader="none"/>
        </w:tabs>
        <w:spacing w:line="225" w:lineRule="auto" w:before="6" w:after="0"/>
        <w:ind w:left="113" w:right="124" w:firstLine="204"/>
        <w:jc w:val="both"/>
        <w:rPr>
          <w:sz w:val="24"/>
        </w:rPr>
      </w:pPr>
      <w:r>
        <w:rPr>
          <w:w w:val="130"/>
          <w:sz w:val="24"/>
        </w:rPr>
        <w:t>a fiókteleppel vagy a fióktelepet létesítő harmadik országbeli hitelintézet ellenőrző befolyása alatt álló hitelintézettel szemben kivételes intézkedést</w:t>
      </w:r>
      <w:r>
        <w:rPr>
          <w:spacing w:val="78"/>
          <w:w w:val="130"/>
          <w:sz w:val="24"/>
        </w:rPr>
        <w:t> </w:t>
      </w:r>
      <w:r>
        <w:rPr>
          <w:w w:val="130"/>
          <w:sz w:val="24"/>
        </w:rPr>
        <w:t>alkalmazott,</w:t>
      </w:r>
    </w:p>
    <w:p>
      <w:pPr>
        <w:pStyle w:val="ListParagraph"/>
        <w:numPr>
          <w:ilvl w:val="0"/>
          <w:numId w:val="244"/>
        </w:numPr>
        <w:tabs>
          <w:tab w:pos="627" w:val="left" w:leader="none"/>
        </w:tabs>
        <w:spacing w:line="225" w:lineRule="auto" w:before="2" w:after="0"/>
        <w:ind w:left="113" w:right="129" w:firstLine="204"/>
        <w:jc w:val="both"/>
        <w:rPr>
          <w:sz w:val="24"/>
        </w:rPr>
      </w:pPr>
      <w:r>
        <w:rPr>
          <w:w w:val="125"/>
          <w:sz w:val="24"/>
        </w:rPr>
        <w:t>a fióktelep nem felel meg az eszközei és forrásai, valamint mérlegen kívüli tételei közötti denominációs összhangról rendelkező MNB elnökének rendeletében foglalt</w:t>
      </w:r>
      <w:r>
        <w:rPr>
          <w:spacing w:val="3"/>
          <w:w w:val="125"/>
          <w:sz w:val="24"/>
        </w:rPr>
        <w:t> </w:t>
      </w:r>
      <w:r>
        <w:rPr>
          <w:w w:val="125"/>
          <w:sz w:val="24"/>
        </w:rPr>
        <w:t>követelménynek,</w:t>
      </w:r>
    </w:p>
    <w:p>
      <w:pPr>
        <w:pStyle w:val="ListParagraph"/>
        <w:numPr>
          <w:ilvl w:val="0"/>
          <w:numId w:val="244"/>
        </w:numPr>
        <w:tabs>
          <w:tab w:pos="653" w:val="left" w:leader="none"/>
        </w:tabs>
        <w:spacing w:line="256" w:lineRule="exact" w:before="0" w:after="0"/>
        <w:ind w:left="652" w:right="0" w:hanging="335"/>
        <w:jc w:val="left"/>
        <w:rPr>
          <w:sz w:val="24"/>
        </w:rPr>
      </w:pPr>
      <w:r>
        <w:rPr>
          <w:w w:val="130"/>
          <w:sz w:val="24"/>
        </w:rPr>
        <w:t>a fióktelep engedély</w:t>
      </w:r>
      <w:r>
        <w:rPr>
          <w:spacing w:val="-61"/>
          <w:w w:val="130"/>
          <w:sz w:val="24"/>
        </w:rPr>
        <w:t> </w:t>
      </w:r>
      <w:r>
        <w:rPr>
          <w:w w:val="130"/>
          <w:sz w:val="24"/>
        </w:rPr>
        <w:t>nélküli tevékenységet végez, vagy</w:t>
      </w:r>
    </w:p>
    <w:p>
      <w:pPr>
        <w:pStyle w:val="ListParagraph"/>
        <w:numPr>
          <w:ilvl w:val="0"/>
          <w:numId w:val="244"/>
        </w:numPr>
        <w:tabs>
          <w:tab w:pos="697" w:val="left" w:leader="none"/>
        </w:tabs>
        <w:spacing w:line="225" w:lineRule="auto" w:before="5" w:after="0"/>
        <w:ind w:left="113" w:right="124" w:firstLine="204"/>
        <w:jc w:val="both"/>
        <w:rPr>
          <w:sz w:val="24"/>
        </w:rPr>
      </w:pPr>
      <w:r>
        <w:rPr>
          <w:w w:val="130"/>
          <w:sz w:val="24"/>
        </w:rPr>
        <w:t>a fióktelep vagy a fióktelepet létesítő harmadik országbeli hitelintézet fizetőképessége veszélybe</w:t>
      </w:r>
      <w:r>
        <w:rPr>
          <w:spacing w:val="9"/>
          <w:w w:val="130"/>
          <w:sz w:val="24"/>
        </w:rPr>
        <w:t> </w:t>
      </w:r>
      <w:r>
        <w:rPr>
          <w:w w:val="130"/>
          <w:sz w:val="24"/>
        </w:rPr>
        <w:t>kerül.</w:t>
      </w:r>
    </w:p>
    <w:p>
      <w:pPr>
        <w:pStyle w:val="BodyText"/>
        <w:spacing w:before="228"/>
        <w:ind w:left="4062" w:firstLine="0"/>
      </w:pPr>
      <w:r>
        <w:rPr>
          <w:w w:val="125"/>
        </w:rPr>
        <w:t>52. Belső hitel</w:t>
      </w:r>
    </w:p>
    <w:p>
      <w:pPr>
        <w:pStyle w:val="ListParagraph"/>
        <w:numPr>
          <w:ilvl w:val="1"/>
          <w:numId w:val="213"/>
        </w:numPr>
        <w:tabs>
          <w:tab w:pos="985" w:val="left" w:leader="none"/>
        </w:tabs>
        <w:spacing w:line="240" w:lineRule="auto" w:before="223" w:after="0"/>
        <w:ind w:left="984" w:right="0" w:hanging="667"/>
        <w:jc w:val="left"/>
        <w:rPr>
          <w:sz w:val="24"/>
        </w:rPr>
      </w:pPr>
      <w:r>
        <w:rPr>
          <w:rFonts w:ascii="Arial" w:hAnsi="Arial"/>
          <w:b/>
          <w:w w:val="130"/>
          <w:sz w:val="24"/>
        </w:rPr>
        <w:t>§</w:t>
      </w:r>
      <w:r>
        <w:rPr>
          <w:i/>
          <w:w w:val="130"/>
          <w:position w:val="3"/>
          <w:sz w:val="18"/>
        </w:rPr>
        <w:t>4 </w:t>
      </w:r>
      <w:r>
        <w:rPr>
          <w:w w:val="130"/>
          <w:sz w:val="24"/>
        </w:rPr>
        <w:t>(1) Hitelintézet, ide nem értve a</w:t>
      </w:r>
      <w:r>
        <w:rPr>
          <w:spacing w:val="-23"/>
          <w:w w:val="130"/>
          <w:sz w:val="24"/>
        </w:rPr>
        <w:t> </w:t>
      </w:r>
      <w:r>
        <w:rPr>
          <w:w w:val="130"/>
          <w:sz w:val="24"/>
        </w:rPr>
        <w:t>hitelszövetkezetet</w:t>
      </w:r>
    </w:p>
    <w:p>
      <w:pPr>
        <w:pStyle w:val="BodyText"/>
        <w:ind w:left="0" w:firstLine="0"/>
        <w:rPr>
          <w:sz w:val="20"/>
        </w:rPr>
      </w:pPr>
    </w:p>
    <w:p>
      <w:pPr>
        <w:pStyle w:val="BodyText"/>
        <w:ind w:left="0" w:firstLine="0"/>
        <w:rPr>
          <w:sz w:val="20"/>
        </w:rPr>
      </w:pPr>
    </w:p>
    <w:p>
      <w:pPr>
        <w:pStyle w:val="BodyText"/>
        <w:ind w:left="0" w:firstLine="0"/>
        <w:rPr>
          <w:sz w:val="10"/>
        </w:rPr>
      </w:pPr>
      <w:r>
        <w:rPr/>
        <w:pict>
          <v:line style="position:absolute;mso-position-horizontal-relative:page;mso-position-vertical-relative:paragraph;z-index:416;mso-wrap-distance-left:0;mso-wrap-distance-right:0" from="56.693001pt,7.986119pt" to="538.583001pt,7.986119pt" stroked="true" strokeweight=".5pt" strokecolor="#000000">
            <v:stroke dashstyle="solid"/>
            <w10:wrap type="topAndBottom"/>
          </v:line>
        </w:pict>
      </w:r>
    </w:p>
    <w:p>
      <w:pPr>
        <w:pStyle w:val="ListParagraph"/>
        <w:numPr>
          <w:ilvl w:val="0"/>
          <w:numId w:val="245"/>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66.</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245"/>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66.</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245"/>
        </w:numPr>
        <w:tabs>
          <w:tab w:pos="686" w:val="left" w:leader="none"/>
          <w:tab w:pos="687" w:val="left" w:leader="none"/>
        </w:tabs>
        <w:spacing w:line="200" w:lineRule="exact" w:before="0" w:after="0"/>
        <w:ind w:left="686" w:right="0" w:hanging="344"/>
        <w:jc w:val="left"/>
        <w:rPr>
          <w:i/>
          <w:sz w:val="18"/>
        </w:rPr>
      </w:pPr>
      <w:r>
        <w:rPr>
          <w:i/>
          <w:w w:val="125"/>
          <w:sz w:val="18"/>
        </w:rPr>
        <w:t>Módosította: 2017. évi CXLV. törvény 134. §</w:t>
      </w:r>
      <w:r>
        <w:rPr>
          <w:i/>
          <w:spacing w:val="-5"/>
          <w:w w:val="125"/>
          <w:sz w:val="18"/>
        </w:rPr>
        <w:t> </w:t>
      </w:r>
      <w:r>
        <w:rPr>
          <w:i/>
          <w:w w:val="125"/>
          <w:sz w:val="18"/>
        </w:rPr>
        <w:t>a).</w:t>
      </w:r>
    </w:p>
    <w:p>
      <w:pPr>
        <w:pStyle w:val="ListParagraph"/>
        <w:numPr>
          <w:ilvl w:val="0"/>
          <w:numId w:val="245"/>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199. §. Hatályos: 2015. VII.</w:t>
      </w:r>
      <w:r>
        <w:rPr>
          <w:i/>
          <w:spacing w:val="-23"/>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246"/>
        </w:numPr>
        <w:tabs>
          <w:tab w:pos="650" w:val="left" w:leader="none"/>
        </w:tabs>
        <w:spacing w:line="225" w:lineRule="auto" w:before="173" w:after="0"/>
        <w:ind w:left="113" w:right="129" w:firstLine="204"/>
        <w:jc w:val="both"/>
        <w:rPr>
          <w:sz w:val="24"/>
        </w:rPr>
      </w:pPr>
      <w:r>
        <w:rPr>
          <w:w w:val="130"/>
          <w:sz w:val="24"/>
        </w:rPr>
        <w:t>a</w:t>
      </w:r>
      <w:r>
        <w:rPr>
          <w:spacing w:val="-10"/>
          <w:w w:val="130"/>
          <w:sz w:val="24"/>
        </w:rPr>
        <w:t> </w:t>
      </w:r>
      <w:r>
        <w:rPr>
          <w:w w:val="130"/>
          <w:sz w:val="24"/>
        </w:rPr>
        <w:t>hitelintézet,</w:t>
      </w:r>
      <w:r>
        <w:rPr>
          <w:spacing w:val="-10"/>
          <w:w w:val="130"/>
          <w:sz w:val="24"/>
        </w:rPr>
        <w:t> </w:t>
      </w:r>
      <w:r>
        <w:rPr>
          <w:w w:val="130"/>
          <w:sz w:val="24"/>
        </w:rPr>
        <w:t>illetve</w:t>
      </w:r>
      <w:r>
        <w:rPr>
          <w:spacing w:val="-10"/>
          <w:w w:val="130"/>
          <w:sz w:val="24"/>
        </w:rPr>
        <w:t> </w:t>
      </w:r>
      <w:r>
        <w:rPr>
          <w:w w:val="130"/>
          <w:sz w:val="24"/>
        </w:rPr>
        <w:t>a</w:t>
      </w:r>
      <w:r>
        <w:rPr>
          <w:spacing w:val="-9"/>
          <w:w w:val="130"/>
          <w:sz w:val="24"/>
        </w:rPr>
        <w:t> </w:t>
      </w:r>
      <w:r>
        <w:rPr>
          <w:w w:val="130"/>
          <w:sz w:val="24"/>
        </w:rPr>
        <w:t>hitelintézettel</w:t>
      </w:r>
      <w:r>
        <w:rPr>
          <w:spacing w:val="-10"/>
          <w:w w:val="130"/>
          <w:sz w:val="24"/>
        </w:rPr>
        <w:t> </w:t>
      </w:r>
      <w:r>
        <w:rPr>
          <w:w w:val="130"/>
          <w:sz w:val="24"/>
        </w:rPr>
        <w:t>szoros</w:t>
      </w:r>
      <w:r>
        <w:rPr>
          <w:spacing w:val="-9"/>
          <w:w w:val="130"/>
          <w:sz w:val="24"/>
        </w:rPr>
        <w:t> </w:t>
      </w:r>
      <w:r>
        <w:rPr>
          <w:w w:val="130"/>
          <w:sz w:val="24"/>
        </w:rPr>
        <w:t>kapcsolatban</w:t>
      </w:r>
      <w:r>
        <w:rPr>
          <w:spacing w:val="-11"/>
          <w:w w:val="130"/>
          <w:sz w:val="24"/>
        </w:rPr>
        <w:t> </w:t>
      </w:r>
      <w:r>
        <w:rPr>
          <w:w w:val="130"/>
          <w:sz w:val="24"/>
        </w:rPr>
        <w:t>álló</w:t>
      </w:r>
      <w:r>
        <w:rPr>
          <w:spacing w:val="-10"/>
          <w:w w:val="130"/>
          <w:sz w:val="24"/>
        </w:rPr>
        <w:t> </w:t>
      </w:r>
      <w:r>
        <w:rPr>
          <w:w w:val="130"/>
          <w:sz w:val="24"/>
        </w:rPr>
        <w:t>vállalkozás vezető testületének tagjával és könyvvizsgálójával</w:t>
      </w:r>
      <w:r>
        <w:rPr>
          <w:spacing w:val="-50"/>
          <w:w w:val="130"/>
          <w:sz w:val="24"/>
        </w:rPr>
        <w:t> </w:t>
      </w:r>
      <w:r>
        <w:rPr>
          <w:w w:val="130"/>
          <w:sz w:val="24"/>
        </w:rPr>
        <w:t>szemben,</w:t>
      </w:r>
    </w:p>
    <w:p>
      <w:pPr>
        <w:pStyle w:val="ListParagraph"/>
        <w:numPr>
          <w:ilvl w:val="0"/>
          <w:numId w:val="246"/>
        </w:numPr>
        <w:tabs>
          <w:tab w:pos="653" w:val="left" w:leader="none"/>
        </w:tabs>
        <w:spacing w:line="256" w:lineRule="exact" w:before="0" w:after="0"/>
        <w:ind w:left="652" w:right="0" w:hanging="335"/>
        <w:jc w:val="left"/>
        <w:rPr>
          <w:sz w:val="24"/>
        </w:rPr>
      </w:pPr>
      <w:r>
        <w:rPr>
          <w:w w:val="125"/>
          <w:sz w:val="24"/>
        </w:rPr>
        <w:t>az </w:t>
      </w:r>
      <w:r>
        <w:rPr>
          <w:i/>
          <w:w w:val="125"/>
          <w:sz w:val="24"/>
        </w:rPr>
        <w:t>a) </w:t>
      </w:r>
      <w:r>
        <w:rPr>
          <w:w w:val="125"/>
          <w:sz w:val="24"/>
        </w:rPr>
        <w:t>pontban megjelölt személy közeli hozzátartozójával</w:t>
      </w:r>
      <w:r>
        <w:rPr>
          <w:spacing w:val="-14"/>
          <w:w w:val="125"/>
          <w:sz w:val="24"/>
        </w:rPr>
        <w:t> </w:t>
      </w:r>
      <w:r>
        <w:rPr>
          <w:w w:val="125"/>
          <w:sz w:val="24"/>
        </w:rPr>
        <w:t>szemben,</w:t>
      </w:r>
    </w:p>
    <w:p>
      <w:pPr>
        <w:pStyle w:val="ListParagraph"/>
        <w:numPr>
          <w:ilvl w:val="0"/>
          <w:numId w:val="246"/>
        </w:numPr>
        <w:tabs>
          <w:tab w:pos="711" w:val="left" w:leader="none"/>
        </w:tabs>
        <w:spacing w:line="225" w:lineRule="auto" w:before="5" w:after="0"/>
        <w:ind w:left="113" w:right="127" w:firstLine="204"/>
        <w:jc w:val="both"/>
        <w:rPr>
          <w:sz w:val="24"/>
        </w:rPr>
      </w:pPr>
      <w:r>
        <w:rPr>
          <w:w w:val="125"/>
          <w:sz w:val="24"/>
        </w:rPr>
        <w:t>az </w:t>
      </w:r>
      <w:r>
        <w:rPr>
          <w:i/>
          <w:w w:val="125"/>
          <w:sz w:val="24"/>
        </w:rPr>
        <w:t>a) </w:t>
      </w:r>
      <w:r>
        <w:rPr>
          <w:w w:val="125"/>
          <w:sz w:val="24"/>
        </w:rPr>
        <w:t>és </w:t>
      </w:r>
      <w:r>
        <w:rPr>
          <w:i/>
          <w:w w:val="125"/>
          <w:sz w:val="24"/>
        </w:rPr>
        <w:t>b) </w:t>
      </w:r>
      <w:r>
        <w:rPr>
          <w:w w:val="125"/>
          <w:sz w:val="24"/>
        </w:rPr>
        <w:t>pontban megjelölt személy ellenőrző befolyása alatt álló vállalkozással szemben, vagy</w:t>
      </w:r>
    </w:p>
    <w:p>
      <w:pPr>
        <w:pStyle w:val="ListParagraph"/>
        <w:numPr>
          <w:ilvl w:val="0"/>
          <w:numId w:val="246"/>
        </w:numPr>
        <w:tabs>
          <w:tab w:pos="729" w:val="left" w:leader="none"/>
        </w:tabs>
        <w:spacing w:line="225" w:lineRule="auto" w:before="1" w:after="0"/>
        <w:ind w:left="113" w:right="127" w:firstLine="204"/>
        <w:jc w:val="left"/>
        <w:rPr>
          <w:sz w:val="24"/>
        </w:rPr>
      </w:pPr>
      <w:r>
        <w:rPr>
          <w:w w:val="130"/>
          <w:sz w:val="24"/>
        </w:rPr>
        <w:t>az </w:t>
      </w:r>
      <w:r>
        <w:rPr>
          <w:i/>
          <w:w w:val="130"/>
          <w:sz w:val="24"/>
        </w:rPr>
        <w:t>a) </w:t>
      </w:r>
      <w:r>
        <w:rPr>
          <w:w w:val="130"/>
          <w:sz w:val="24"/>
        </w:rPr>
        <w:t>és </w:t>
      </w:r>
      <w:r>
        <w:rPr>
          <w:i/>
          <w:w w:val="130"/>
          <w:sz w:val="24"/>
        </w:rPr>
        <w:t>b) </w:t>
      </w:r>
      <w:r>
        <w:rPr>
          <w:w w:val="130"/>
          <w:sz w:val="24"/>
        </w:rPr>
        <w:t>pontban megjelölt személy ellenőrző befolyása alatt álló vállalkozás harmadik személy részére történő értékesítése tekintetében kockázatot</w:t>
      </w:r>
      <w:r>
        <w:rPr>
          <w:spacing w:val="-10"/>
          <w:w w:val="130"/>
          <w:sz w:val="24"/>
        </w:rPr>
        <w:t> </w:t>
      </w:r>
      <w:r>
        <w:rPr>
          <w:w w:val="130"/>
          <w:sz w:val="24"/>
        </w:rPr>
        <w:t>csak</w:t>
      </w:r>
      <w:r>
        <w:rPr>
          <w:spacing w:val="-9"/>
          <w:w w:val="130"/>
          <w:sz w:val="24"/>
        </w:rPr>
        <w:t> </w:t>
      </w:r>
      <w:r>
        <w:rPr>
          <w:w w:val="130"/>
          <w:sz w:val="24"/>
        </w:rPr>
        <w:t>az</w:t>
      </w:r>
      <w:r>
        <w:rPr>
          <w:spacing w:val="-10"/>
          <w:w w:val="130"/>
          <w:sz w:val="24"/>
        </w:rPr>
        <w:t> </w:t>
      </w:r>
      <w:r>
        <w:rPr>
          <w:w w:val="130"/>
          <w:sz w:val="24"/>
        </w:rPr>
        <w:t>e</w:t>
      </w:r>
      <w:r>
        <w:rPr>
          <w:spacing w:val="-9"/>
          <w:w w:val="130"/>
          <w:sz w:val="24"/>
        </w:rPr>
        <w:t> </w:t>
      </w:r>
      <w:r>
        <w:rPr>
          <w:w w:val="130"/>
          <w:sz w:val="24"/>
        </w:rPr>
        <w:t>§-ban</w:t>
      </w:r>
      <w:r>
        <w:rPr>
          <w:spacing w:val="6"/>
          <w:w w:val="130"/>
          <w:sz w:val="24"/>
        </w:rPr>
        <w:t> </w:t>
      </w:r>
      <w:r>
        <w:rPr>
          <w:w w:val="130"/>
          <w:sz w:val="24"/>
        </w:rPr>
        <w:t>meghatározott</w:t>
      </w:r>
      <w:r>
        <w:rPr>
          <w:spacing w:val="-16"/>
          <w:w w:val="130"/>
          <w:sz w:val="24"/>
        </w:rPr>
        <w:t> </w:t>
      </w:r>
      <w:r>
        <w:rPr>
          <w:w w:val="130"/>
          <w:sz w:val="24"/>
        </w:rPr>
        <w:t>feltételekkel</w:t>
      </w:r>
      <w:r>
        <w:rPr>
          <w:spacing w:val="-18"/>
          <w:w w:val="130"/>
          <w:sz w:val="24"/>
        </w:rPr>
        <w:t> </w:t>
      </w:r>
      <w:r>
        <w:rPr>
          <w:w w:val="130"/>
          <w:sz w:val="24"/>
        </w:rPr>
        <w:t>vállalhat.</w:t>
      </w:r>
    </w:p>
    <w:p>
      <w:pPr>
        <w:pStyle w:val="ListParagraph"/>
        <w:numPr>
          <w:ilvl w:val="0"/>
          <w:numId w:val="247"/>
        </w:numPr>
        <w:tabs>
          <w:tab w:pos="839" w:val="left" w:leader="none"/>
        </w:tabs>
        <w:spacing w:line="225" w:lineRule="auto" w:before="2" w:after="0"/>
        <w:ind w:left="113" w:right="123" w:firstLine="204"/>
        <w:jc w:val="both"/>
        <w:rPr>
          <w:sz w:val="24"/>
        </w:rPr>
      </w:pPr>
      <w:r>
        <w:rPr>
          <w:w w:val="125"/>
          <w:sz w:val="24"/>
        </w:rPr>
        <w:t>Az (1) bekezdésben meghatározott kockázatvállaláshoz az irányítási jogkörrel rendelkező vezető testület egyhangú határozata és a felügyeleti jogkörrel rendelkező vezető testület hozzájáruló határozata szükséges. A határozatnak tartalmaznia kell a kockázatvállalás feltételeit is. A  vezető  testület határozathozatala során az (1) bekezdés alapján érintett személy nem rendelkezik szavazati joggal. A felügyeleti jogkörrel rendelkező vezető testület legfeljebb 1 évvel előre is megadhatja a</w:t>
      </w:r>
      <w:r>
        <w:rPr>
          <w:spacing w:val="12"/>
          <w:w w:val="125"/>
          <w:sz w:val="24"/>
        </w:rPr>
        <w:t> </w:t>
      </w:r>
      <w:r>
        <w:rPr>
          <w:w w:val="125"/>
          <w:sz w:val="24"/>
        </w:rPr>
        <w:t>hozzájárulását.</w:t>
      </w:r>
    </w:p>
    <w:p>
      <w:pPr>
        <w:pStyle w:val="ListParagraph"/>
        <w:numPr>
          <w:ilvl w:val="0"/>
          <w:numId w:val="247"/>
        </w:numPr>
        <w:tabs>
          <w:tab w:pos="750" w:val="left" w:leader="none"/>
        </w:tabs>
        <w:spacing w:line="225" w:lineRule="auto" w:before="4" w:after="0"/>
        <w:ind w:left="113" w:right="125" w:firstLine="204"/>
        <w:jc w:val="both"/>
        <w:rPr>
          <w:sz w:val="24"/>
        </w:rPr>
      </w:pPr>
      <w:r>
        <w:rPr>
          <w:w w:val="125"/>
          <w:sz w:val="24"/>
        </w:rPr>
        <w:t>Az (1) bekezdésben meghatározott kockázatvállalás nem történhet az (1) bekezdésben meghatározott  személyekre nézve kedvezőbb feltételekkel, mint  a hitelintézettel az (1) bekezdésben meghatározott kapcsolatban nem álló személyekkel szembeni</w:t>
      </w:r>
      <w:r>
        <w:rPr>
          <w:spacing w:val="1"/>
          <w:w w:val="125"/>
          <w:sz w:val="24"/>
        </w:rPr>
        <w:t> </w:t>
      </w:r>
      <w:r>
        <w:rPr>
          <w:w w:val="125"/>
          <w:sz w:val="24"/>
        </w:rPr>
        <w:t>kockázatvállalás.</w:t>
      </w:r>
    </w:p>
    <w:p>
      <w:pPr>
        <w:pStyle w:val="ListParagraph"/>
        <w:numPr>
          <w:ilvl w:val="0"/>
          <w:numId w:val="247"/>
        </w:numPr>
        <w:tabs>
          <w:tab w:pos="659" w:val="left" w:leader="none"/>
          <w:tab w:pos="1468" w:val="left" w:leader="none"/>
          <w:tab w:pos="9322" w:val="left" w:leader="none"/>
        </w:tabs>
        <w:spacing w:line="251" w:lineRule="exact" w:before="0" w:after="0"/>
        <w:ind w:left="658" w:right="0" w:hanging="341"/>
        <w:jc w:val="left"/>
        <w:rPr>
          <w:sz w:val="24"/>
        </w:rPr>
      </w:pPr>
      <w:r>
        <w:rPr>
          <w:i/>
          <w:w w:val="125"/>
          <w:position w:val="3"/>
          <w:sz w:val="18"/>
        </w:rPr>
        <w:t>1 </w:t>
      </w:r>
      <w:r>
        <w:rPr>
          <w:i/>
          <w:spacing w:val="52"/>
          <w:w w:val="125"/>
          <w:position w:val="3"/>
          <w:sz w:val="18"/>
        </w:rPr>
        <w:t> </w:t>
      </w:r>
      <w:r>
        <w:rPr>
          <w:w w:val="125"/>
          <w:sz w:val="24"/>
        </w:rPr>
        <w:t>Az</w:t>
        <w:tab/>
        <w:t>(1)   bekezdésben   meghatározott </w:t>
      </w:r>
      <w:r>
        <w:rPr>
          <w:spacing w:val="16"/>
          <w:w w:val="125"/>
          <w:sz w:val="24"/>
        </w:rPr>
        <w:t> </w:t>
      </w:r>
      <w:r>
        <w:rPr>
          <w:w w:val="125"/>
          <w:sz w:val="24"/>
        </w:rPr>
        <w:t>kockázatvállalásból </w:t>
      </w:r>
      <w:r>
        <w:rPr>
          <w:spacing w:val="58"/>
          <w:w w:val="125"/>
          <w:sz w:val="24"/>
        </w:rPr>
        <w:t> </w:t>
      </w:r>
      <w:r>
        <w:rPr>
          <w:w w:val="125"/>
          <w:sz w:val="24"/>
        </w:rPr>
        <w:t>fakadó</w:t>
        <w:tab/>
        <w:t>egy</w:t>
      </w:r>
    </w:p>
    <w:p>
      <w:pPr>
        <w:pStyle w:val="BodyText"/>
        <w:spacing w:line="225" w:lineRule="auto" w:before="12"/>
        <w:ind w:right="126" w:firstLine="0"/>
        <w:jc w:val="both"/>
      </w:pPr>
      <w:r>
        <w:rPr>
          <w:w w:val="130"/>
        </w:rPr>
        <w:t>személlyel vagy kapcsolatban álló személyekkel szembeni kitettség értéke</w:t>
      </w:r>
      <w:r>
        <w:rPr>
          <w:spacing w:val="78"/>
          <w:w w:val="130"/>
        </w:rPr>
        <w:t> </w:t>
      </w:r>
      <w:r>
        <w:rPr>
          <w:w w:val="130"/>
        </w:rPr>
        <w:t>nem érheti el az 575/2013/EU rendelet</w:t>
      </w:r>
      <w:r>
        <w:rPr>
          <w:spacing w:val="-58"/>
          <w:w w:val="130"/>
        </w:rPr>
        <w:t> </w:t>
      </w:r>
      <w:r>
        <w:rPr>
          <w:w w:val="130"/>
        </w:rPr>
        <w:t>392. cikke szerinti érték 80 százalékát azzal, hogy az éven túli kitettség értéke nem érheti el az 575/2013/EU rendelet 392. cikke szerinti érték 50 százalékát.</w:t>
      </w:r>
    </w:p>
    <w:p>
      <w:pPr>
        <w:pStyle w:val="ListParagraph"/>
        <w:numPr>
          <w:ilvl w:val="0"/>
          <w:numId w:val="247"/>
        </w:numPr>
        <w:tabs>
          <w:tab w:pos="734" w:val="left" w:leader="none"/>
        </w:tabs>
        <w:spacing w:line="250" w:lineRule="exact" w:before="0" w:after="0"/>
        <w:ind w:left="733" w:right="0" w:hanging="416"/>
        <w:jc w:val="left"/>
        <w:rPr>
          <w:sz w:val="24"/>
        </w:rPr>
      </w:pPr>
      <w:r>
        <w:rPr>
          <w:w w:val="125"/>
          <w:sz w:val="24"/>
        </w:rPr>
        <w:t>A (2) bekezdésben meghatározott korlátozás nem</w:t>
      </w:r>
      <w:r>
        <w:rPr>
          <w:spacing w:val="9"/>
          <w:w w:val="125"/>
          <w:sz w:val="24"/>
        </w:rPr>
        <w:t> </w:t>
      </w:r>
      <w:r>
        <w:rPr>
          <w:w w:val="125"/>
          <w:sz w:val="24"/>
        </w:rPr>
        <w:t>vonatkozik</w:t>
      </w:r>
    </w:p>
    <w:p>
      <w:pPr>
        <w:pStyle w:val="ListParagraph"/>
        <w:numPr>
          <w:ilvl w:val="0"/>
          <w:numId w:val="248"/>
        </w:numPr>
        <w:tabs>
          <w:tab w:pos="556" w:val="left" w:leader="none"/>
        </w:tabs>
        <w:spacing w:line="260" w:lineRule="exact" w:before="0" w:after="0"/>
        <w:ind w:left="555" w:right="0" w:hanging="238"/>
        <w:jc w:val="left"/>
        <w:rPr>
          <w:sz w:val="24"/>
        </w:rPr>
      </w:pPr>
      <w:r>
        <w:rPr>
          <w:i/>
          <w:w w:val="130"/>
          <w:position w:val="3"/>
          <w:sz w:val="18"/>
        </w:rPr>
        <w:t>2 </w:t>
      </w:r>
      <w:r>
        <w:rPr>
          <w:w w:val="130"/>
          <w:sz w:val="24"/>
        </w:rPr>
        <w:t>a hitelintézetnél vezetett fizetési számlához kapcsolódó</w:t>
      </w:r>
      <w:r>
        <w:rPr>
          <w:spacing w:val="3"/>
          <w:w w:val="130"/>
          <w:sz w:val="24"/>
        </w:rPr>
        <w:t> </w:t>
      </w:r>
      <w:r>
        <w:rPr>
          <w:w w:val="130"/>
          <w:sz w:val="24"/>
        </w:rPr>
        <w:t>hitelkeretre,</w:t>
      </w:r>
    </w:p>
    <w:p>
      <w:pPr>
        <w:pStyle w:val="BodyText"/>
        <w:spacing w:line="267" w:lineRule="exact"/>
        <w:ind w:firstLine="0"/>
      </w:pPr>
      <w:r>
        <w:rPr>
          <w:w w:val="125"/>
        </w:rPr>
        <w:t>valamint</w:t>
      </w:r>
    </w:p>
    <w:p>
      <w:pPr>
        <w:pStyle w:val="ListParagraph"/>
        <w:numPr>
          <w:ilvl w:val="0"/>
          <w:numId w:val="248"/>
        </w:numPr>
        <w:tabs>
          <w:tab w:pos="685" w:val="left" w:leader="none"/>
        </w:tabs>
        <w:spacing w:line="225" w:lineRule="auto" w:before="5" w:after="0"/>
        <w:ind w:left="113" w:right="130" w:firstLine="204"/>
        <w:jc w:val="both"/>
        <w:rPr>
          <w:sz w:val="24"/>
        </w:rPr>
      </w:pPr>
      <w:r>
        <w:rPr>
          <w:w w:val="130"/>
          <w:sz w:val="24"/>
        </w:rPr>
        <w:t>a munkáltató által adott fizetési előleg vagy lakás-, illetve más szociális célú</w:t>
      </w:r>
      <w:r>
        <w:rPr>
          <w:spacing w:val="-3"/>
          <w:w w:val="130"/>
          <w:sz w:val="24"/>
        </w:rPr>
        <w:t> </w:t>
      </w:r>
      <w:r>
        <w:rPr>
          <w:w w:val="130"/>
          <w:sz w:val="24"/>
        </w:rPr>
        <w:t>kölcsönre</w:t>
      </w:r>
    </w:p>
    <w:p>
      <w:pPr>
        <w:pStyle w:val="BodyText"/>
        <w:spacing w:line="256" w:lineRule="exact"/>
        <w:ind w:firstLine="0"/>
      </w:pPr>
      <w:r>
        <w:rPr>
          <w:w w:val="130"/>
        </w:rPr>
        <w:t>a belső szabályzatban meghatározott mértékig.</w:t>
      </w:r>
    </w:p>
    <w:p>
      <w:pPr>
        <w:pStyle w:val="ListParagraph"/>
        <w:numPr>
          <w:ilvl w:val="0"/>
          <w:numId w:val="247"/>
        </w:numPr>
        <w:tabs>
          <w:tab w:pos="790" w:val="left" w:leader="none"/>
        </w:tabs>
        <w:spacing w:line="225" w:lineRule="auto" w:before="6" w:after="0"/>
        <w:ind w:left="113" w:right="124" w:firstLine="204"/>
        <w:jc w:val="both"/>
        <w:rPr>
          <w:sz w:val="24"/>
        </w:rPr>
      </w:pPr>
      <w:r>
        <w:rPr>
          <w:w w:val="130"/>
          <w:sz w:val="24"/>
        </w:rPr>
        <w:t>A (2) bekezdéstől eltérően az (1) bekezdésben meghatározott személy részére fogyasztónak nyújtott hitel az irányítási jogkörrel rendelkező vezető testület jelen lévő tagjainak több mint kétharmados többséggel hozott határozata alapján nyújtható. A hitelintézet irányítási jogkörrel rendelkező</w:t>
      </w:r>
      <w:r>
        <w:rPr>
          <w:spacing w:val="78"/>
          <w:w w:val="130"/>
          <w:sz w:val="24"/>
        </w:rPr>
        <w:t> </w:t>
      </w:r>
      <w:r>
        <w:rPr>
          <w:w w:val="130"/>
          <w:sz w:val="24"/>
        </w:rPr>
        <w:t>vezető testülete által hozott határozat tartalmazza a kamat és a törlesztés feltételeit</w:t>
      </w:r>
      <w:r>
        <w:rPr>
          <w:spacing w:val="-19"/>
          <w:w w:val="130"/>
          <w:sz w:val="24"/>
        </w:rPr>
        <w:t> </w:t>
      </w:r>
      <w:r>
        <w:rPr>
          <w:w w:val="130"/>
          <w:sz w:val="24"/>
        </w:rPr>
        <w:t>is.</w:t>
      </w:r>
      <w:r>
        <w:rPr>
          <w:spacing w:val="-19"/>
          <w:w w:val="130"/>
          <w:sz w:val="24"/>
        </w:rPr>
        <w:t> </w:t>
      </w:r>
      <w:r>
        <w:rPr>
          <w:w w:val="130"/>
          <w:sz w:val="24"/>
        </w:rPr>
        <w:t>A</w:t>
      </w:r>
      <w:r>
        <w:rPr>
          <w:spacing w:val="-18"/>
          <w:w w:val="130"/>
          <w:sz w:val="24"/>
        </w:rPr>
        <w:t> </w:t>
      </w:r>
      <w:r>
        <w:rPr>
          <w:w w:val="130"/>
          <w:sz w:val="24"/>
        </w:rPr>
        <w:t>határozathozatal</w:t>
      </w:r>
      <w:r>
        <w:rPr>
          <w:spacing w:val="-19"/>
          <w:w w:val="130"/>
          <w:sz w:val="24"/>
        </w:rPr>
        <w:t> </w:t>
      </w:r>
      <w:r>
        <w:rPr>
          <w:w w:val="130"/>
          <w:sz w:val="24"/>
        </w:rPr>
        <w:t>során</w:t>
      </w:r>
      <w:r>
        <w:rPr>
          <w:spacing w:val="-18"/>
          <w:w w:val="130"/>
          <w:sz w:val="24"/>
        </w:rPr>
        <w:t> </w:t>
      </w:r>
      <w:r>
        <w:rPr>
          <w:w w:val="130"/>
          <w:sz w:val="24"/>
        </w:rPr>
        <w:t>az</w:t>
      </w:r>
      <w:r>
        <w:rPr>
          <w:spacing w:val="-19"/>
          <w:w w:val="130"/>
          <w:sz w:val="24"/>
        </w:rPr>
        <w:t> </w:t>
      </w:r>
      <w:r>
        <w:rPr>
          <w:w w:val="130"/>
          <w:sz w:val="24"/>
        </w:rPr>
        <w:t>(1)</w:t>
      </w:r>
      <w:r>
        <w:rPr>
          <w:spacing w:val="-18"/>
          <w:w w:val="130"/>
          <w:sz w:val="24"/>
        </w:rPr>
        <w:t> </w:t>
      </w:r>
      <w:r>
        <w:rPr>
          <w:w w:val="130"/>
          <w:sz w:val="24"/>
        </w:rPr>
        <w:t>bekezdés</w:t>
      </w:r>
      <w:r>
        <w:rPr>
          <w:spacing w:val="-19"/>
          <w:w w:val="130"/>
          <w:sz w:val="24"/>
        </w:rPr>
        <w:t> </w:t>
      </w:r>
      <w:r>
        <w:rPr>
          <w:w w:val="130"/>
          <w:sz w:val="24"/>
        </w:rPr>
        <w:t>alapján</w:t>
      </w:r>
      <w:r>
        <w:rPr>
          <w:spacing w:val="-18"/>
          <w:w w:val="130"/>
          <w:sz w:val="24"/>
        </w:rPr>
        <w:t> </w:t>
      </w:r>
      <w:r>
        <w:rPr>
          <w:w w:val="130"/>
          <w:sz w:val="24"/>
        </w:rPr>
        <w:t>érintett</w:t>
      </w:r>
      <w:r>
        <w:rPr>
          <w:spacing w:val="-19"/>
          <w:w w:val="130"/>
          <w:sz w:val="24"/>
        </w:rPr>
        <w:t> </w:t>
      </w:r>
      <w:r>
        <w:rPr>
          <w:w w:val="130"/>
          <w:sz w:val="24"/>
        </w:rPr>
        <w:t>személy nem rendelkezik szavazati</w:t>
      </w:r>
      <w:r>
        <w:rPr>
          <w:spacing w:val="-12"/>
          <w:w w:val="130"/>
          <w:sz w:val="24"/>
        </w:rPr>
        <w:t> </w:t>
      </w:r>
      <w:r>
        <w:rPr>
          <w:w w:val="130"/>
          <w:sz w:val="24"/>
        </w:rPr>
        <w:t>joggal.</w:t>
      </w:r>
    </w:p>
    <w:p>
      <w:pPr>
        <w:pStyle w:val="ListParagraph"/>
        <w:numPr>
          <w:ilvl w:val="0"/>
          <w:numId w:val="247"/>
        </w:numPr>
        <w:tabs>
          <w:tab w:pos="768" w:val="left" w:leader="none"/>
        </w:tabs>
        <w:spacing w:line="225" w:lineRule="auto" w:before="4" w:after="0"/>
        <w:ind w:left="113" w:right="122" w:firstLine="204"/>
        <w:jc w:val="both"/>
        <w:rPr>
          <w:sz w:val="24"/>
        </w:rPr>
      </w:pPr>
      <w:r>
        <w:rPr>
          <w:w w:val="125"/>
          <w:sz w:val="24"/>
        </w:rPr>
        <w:t>A hitelintézet írásban rögzített hatékony eljárásrenddel, szabályzatokkal rendelkezik az (1) bekezdésben meghatározott személyekkel szembeni kockázatvállalások</w:t>
      </w:r>
    </w:p>
    <w:p>
      <w:pPr>
        <w:pStyle w:val="ListParagraph"/>
        <w:numPr>
          <w:ilvl w:val="0"/>
          <w:numId w:val="249"/>
        </w:numPr>
        <w:tabs>
          <w:tab w:pos="793" w:val="left" w:leader="none"/>
        </w:tabs>
        <w:spacing w:line="225" w:lineRule="auto" w:before="1" w:after="0"/>
        <w:ind w:left="113" w:right="128" w:firstLine="204"/>
        <w:jc w:val="both"/>
        <w:rPr>
          <w:sz w:val="24"/>
        </w:rPr>
      </w:pPr>
      <w:r>
        <w:rPr>
          <w:w w:val="130"/>
          <w:sz w:val="24"/>
        </w:rPr>
        <w:t>tekintetében annak megakadályozására, hogy az (1) bekezdésben</w:t>
      </w:r>
      <w:r>
        <w:rPr>
          <w:spacing w:val="78"/>
          <w:w w:val="130"/>
          <w:sz w:val="24"/>
        </w:rPr>
        <w:t> </w:t>
      </w:r>
      <w:r>
        <w:rPr>
          <w:w w:val="130"/>
          <w:sz w:val="24"/>
        </w:rPr>
        <w:t>meghatározott</w:t>
      </w:r>
      <w:r>
        <w:rPr>
          <w:spacing w:val="78"/>
          <w:w w:val="130"/>
          <w:sz w:val="24"/>
        </w:rPr>
        <w:t> </w:t>
      </w:r>
      <w:r>
        <w:rPr>
          <w:w w:val="130"/>
          <w:sz w:val="24"/>
        </w:rPr>
        <w:t>személyek</w:t>
      </w:r>
      <w:r>
        <w:rPr>
          <w:spacing w:val="78"/>
          <w:w w:val="130"/>
          <w:sz w:val="24"/>
        </w:rPr>
        <w:t> </w:t>
      </w:r>
      <w:r>
        <w:rPr>
          <w:w w:val="130"/>
          <w:sz w:val="24"/>
        </w:rPr>
        <w:t>részt</w:t>
      </w:r>
      <w:r>
        <w:rPr>
          <w:spacing w:val="78"/>
          <w:w w:val="130"/>
          <w:sz w:val="24"/>
        </w:rPr>
        <w:t> </w:t>
      </w:r>
      <w:r>
        <w:rPr>
          <w:w w:val="130"/>
          <w:sz w:val="24"/>
        </w:rPr>
        <w:t>vehessenek</w:t>
      </w:r>
      <w:r>
        <w:rPr>
          <w:spacing w:val="78"/>
          <w:w w:val="130"/>
          <w:sz w:val="24"/>
        </w:rPr>
        <w:t> </w:t>
      </w:r>
      <w:r>
        <w:rPr>
          <w:w w:val="130"/>
          <w:sz w:val="24"/>
        </w:rPr>
        <w:t>a</w:t>
      </w:r>
      <w:r>
        <w:rPr>
          <w:spacing w:val="78"/>
          <w:w w:val="130"/>
          <w:sz w:val="24"/>
        </w:rPr>
        <w:t> </w:t>
      </w:r>
      <w:r>
        <w:rPr>
          <w:w w:val="130"/>
          <w:sz w:val="24"/>
        </w:rPr>
        <w:t>velük</w:t>
      </w:r>
      <w:r>
        <w:rPr>
          <w:spacing w:val="78"/>
          <w:w w:val="130"/>
          <w:sz w:val="24"/>
        </w:rPr>
        <w:t> </w:t>
      </w:r>
      <w:r>
        <w:rPr>
          <w:w w:val="130"/>
          <w:sz w:val="24"/>
        </w:rPr>
        <w:t>szembeni kockázatvállalásra</w:t>
      </w:r>
      <w:r>
        <w:rPr>
          <w:spacing w:val="-27"/>
          <w:w w:val="130"/>
          <w:sz w:val="24"/>
        </w:rPr>
        <w:t> </w:t>
      </w:r>
      <w:r>
        <w:rPr>
          <w:w w:val="130"/>
          <w:sz w:val="24"/>
        </w:rPr>
        <w:t>vonatkozó</w:t>
      </w:r>
      <w:r>
        <w:rPr>
          <w:spacing w:val="-26"/>
          <w:w w:val="130"/>
          <w:sz w:val="24"/>
        </w:rPr>
        <w:t> </w:t>
      </w:r>
      <w:r>
        <w:rPr>
          <w:w w:val="130"/>
          <w:sz w:val="24"/>
        </w:rPr>
        <w:t>döntésekben,</w:t>
      </w:r>
      <w:r>
        <w:rPr>
          <w:spacing w:val="-25"/>
          <w:w w:val="130"/>
          <w:sz w:val="24"/>
        </w:rPr>
        <w:t> </w:t>
      </w:r>
      <w:r>
        <w:rPr>
          <w:w w:val="130"/>
          <w:sz w:val="24"/>
        </w:rPr>
        <w:t>folyamatokban</w:t>
      </w:r>
      <w:r>
        <w:rPr>
          <w:spacing w:val="-26"/>
          <w:w w:val="130"/>
          <w:sz w:val="24"/>
        </w:rPr>
        <w:t> </w:t>
      </w:r>
      <w:r>
        <w:rPr>
          <w:w w:val="130"/>
          <w:sz w:val="24"/>
        </w:rPr>
        <w:t>és</w:t>
      </w:r>
      <w:r>
        <w:rPr>
          <w:spacing w:val="-26"/>
          <w:w w:val="130"/>
          <w:sz w:val="24"/>
        </w:rPr>
        <w:t> </w:t>
      </w:r>
      <w:r>
        <w:rPr>
          <w:w w:val="130"/>
          <w:sz w:val="24"/>
        </w:rPr>
        <w:t>eljárásokban,</w:t>
      </w:r>
    </w:p>
    <w:p>
      <w:pPr>
        <w:pStyle w:val="ListParagraph"/>
        <w:numPr>
          <w:ilvl w:val="0"/>
          <w:numId w:val="249"/>
        </w:numPr>
        <w:tabs>
          <w:tab w:pos="860" w:val="left" w:leader="none"/>
        </w:tabs>
        <w:spacing w:line="225" w:lineRule="auto" w:before="2" w:after="0"/>
        <w:ind w:left="113" w:right="124" w:firstLine="204"/>
        <w:jc w:val="both"/>
        <w:rPr>
          <w:sz w:val="24"/>
        </w:rPr>
      </w:pPr>
      <w:r>
        <w:rPr>
          <w:w w:val="130"/>
          <w:sz w:val="24"/>
        </w:rPr>
        <w:t>azonosítására, nyilvántartására, a hitelintézet ezekből származó kitettségeinek</w:t>
      </w:r>
      <w:r>
        <w:rPr>
          <w:spacing w:val="-17"/>
          <w:w w:val="130"/>
          <w:sz w:val="24"/>
        </w:rPr>
        <w:t> </w:t>
      </w:r>
      <w:r>
        <w:rPr>
          <w:w w:val="130"/>
          <w:sz w:val="24"/>
        </w:rPr>
        <w:t>meghatározására,</w:t>
      </w:r>
      <w:r>
        <w:rPr>
          <w:spacing w:val="-27"/>
          <w:w w:val="130"/>
          <w:sz w:val="24"/>
        </w:rPr>
        <w:t> </w:t>
      </w:r>
      <w:r>
        <w:rPr>
          <w:w w:val="130"/>
          <w:sz w:val="24"/>
        </w:rPr>
        <w:t>a</w:t>
      </w:r>
      <w:r>
        <w:rPr>
          <w:spacing w:val="-22"/>
          <w:w w:val="130"/>
          <w:sz w:val="24"/>
        </w:rPr>
        <w:t> </w:t>
      </w:r>
      <w:r>
        <w:rPr>
          <w:w w:val="130"/>
          <w:sz w:val="24"/>
        </w:rPr>
        <w:t>kockázatvállalások</w:t>
      </w:r>
      <w:r>
        <w:rPr>
          <w:spacing w:val="-22"/>
          <w:w w:val="130"/>
          <w:sz w:val="24"/>
        </w:rPr>
        <w:t> </w:t>
      </w:r>
      <w:r>
        <w:rPr>
          <w:w w:val="130"/>
          <w:sz w:val="24"/>
        </w:rPr>
        <w:t>független</w:t>
      </w:r>
      <w:r>
        <w:rPr>
          <w:spacing w:val="-21"/>
          <w:w w:val="130"/>
          <w:sz w:val="24"/>
        </w:rPr>
        <w:t> </w:t>
      </w:r>
      <w:r>
        <w:rPr>
          <w:w w:val="130"/>
          <w:sz w:val="24"/>
        </w:rPr>
        <w:t>vizsgálatára,</w:t>
      </w:r>
    </w:p>
    <w:p>
      <w:pPr>
        <w:pStyle w:val="ListParagraph"/>
        <w:numPr>
          <w:ilvl w:val="0"/>
          <w:numId w:val="249"/>
        </w:numPr>
        <w:tabs>
          <w:tab w:pos="623" w:val="left" w:leader="none"/>
        </w:tabs>
        <w:spacing w:line="256" w:lineRule="exact" w:before="0" w:after="0"/>
        <w:ind w:left="622" w:right="0" w:hanging="305"/>
        <w:jc w:val="left"/>
        <w:rPr>
          <w:sz w:val="24"/>
        </w:rPr>
      </w:pPr>
      <w:r>
        <w:rPr>
          <w:w w:val="130"/>
          <w:sz w:val="24"/>
        </w:rPr>
        <w:t>folyamatos monitoringjára és</w:t>
      </w:r>
      <w:r>
        <w:rPr>
          <w:spacing w:val="-14"/>
          <w:w w:val="130"/>
          <w:sz w:val="24"/>
        </w:rPr>
        <w:t> </w:t>
      </w:r>
      <w:r>
        <w:rPr>
          <w:w w:val="130"/>
          <w:sz w:val="24"/>
        </w:rPr>
        <w:t>jelentésére,</w:t>
      </w:r>
    </w:p>
    <w:p>
      <w:pPr>
        <w:pStyle w:val="ListParagraph"/>
        <w:numPr>
          <w:ilvl w:val="0"/>
          <w:numId w:val="249"/>
        </w:numPr>
        <w:tabs>
          <w:tab w:pos="727" w:val="left" w:leader="none"/>
        </w:tabs>
        <w:spacing w:line="225" w:lineRule="auto" w:before="6" w:after="0"/>
        <w:ind w:left="113" w:right="134" w:firstLine="204"/>
        <w:jc w:val="both"/>
        <w:rPr>
          <w:sz w:val="24"/>
        </w:rPr>
      </w:pPr>
      <w:r>
        <w:rPr>
          <w:w w:val="125"/>
          <w:sz w:val="24"/>
        </w:rPr>
        <w:t>esetében annak biztosítására, hogy a kockázatvállalások a (3) és (4) bekezdésben meghatározott feltételeknek megfeleljenek</w:t>
      </w:r>
      <w:r>
        <w:rPr>
          <w:spacing w:val="16"/>
          <w:w w:val="125"/>
          <w:sz w:val="24"/>
        </w:rPr>
        <w:t> </w:t>
      </w:r>
      <w:r>
        <w:rPr>
          <w:w w:val="125"/>
          <w:sz w:val="24"/>
        </w:rPr>
        <w:t>és</w:t>
      </w:r>
    </w:p>
    <w:p>
      <w:pPr>
        <w:pStyle w:val="ListParagraph"/>
        <w:numPr>
          <w:ilvl w:val="0"/>
          <w:numId w:val="249"/>
        </w:numPr>
        <w:tabs>
          <w:tab w:pos="629" w:val="left" w:leader="none"/>
        </w:tabs>
        <w:spacing w:line="264" w:lineRule="exact" w:before="0" w:after="0"/>
        <w:ind w:left="628" w:right="0" w:hanging="311"/>
        <w:jc w:val="left"/>
        <w:rPr>
          <w:sz w:val="24"/>
        </w:rPr>
      </w:pPr>
      <w:r>
        <w:rPr>
          <w:w w:val="130"/>
          <w:sz w:val="24"/>
        </w:rPr>
        <w:t>kockázatainak azonosítására és</w:t>
      </w:r>
      <w:r>
        <w:rPr>
          <w:spacing w:val="-12"/>
          <w:w w:val="130"/>
          <w:sz w:val="24"/>
        </w:rPr>
        <w:t> </w:t>
      </w:r>
      <w:r>
        <w:rPr>
          <w:w w:val="130"/>
          <w:sz w:val="24"/>
        </w:rPr>
        <w:t>értékelésére.</w:t>
      </w:r>
    </w:p>
    <w:p>
      <w:pPr>
        <w:pStyle w:val="BodyText"/>
        <w:ind w:left="0" w:firstLine="0"/>
        <w:rPr>
          <w:sz w:val="20"/>
        </w:rPr>
      </w:pPr>
    </w:p>
    <w:p>
      <w:pPr>
        <w:pStyle w:val="BodyText"/>
        <w:spacing w:before="7"/>
        <w:ind w:left="0" w:firstLine="0"/>
        <w:rPr>
          <w:sz w:val="12"/>
        </w:rPr>
      </w:pPr>
      <w:r>
        <w:rPr/>
        <w:pict>
          <v:line style="position:absolute;mso-position-horizontal-relative:page;mso-position-vertical-relative:paragraph;z-index:440;mso-wrap-distance-left:0;mso-wrap-distance-right:0" from="56.693001pt,9.478895pt" to="538.583001pt,9.478895pt" stroked="true" strokeweight=".5pt" strokecolor="#000000">
            <v:stroke dashstyle="solid"/>
            <w10:wrap type="topAndBottom"/>
          </v:line>
        </w:pict>
      </w:r>
    </w:p>
    <w:p>
      <w:pPr>
        <w:pStyle w:val="ListParagraph"/>
        <w:numPr>
          <w:ilvl w:val="0"/>
          <w:numId w:val="250"/>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CCXV. törvény 130. §. Hatályos: 2016. I.</w:t>
      </w:r>
      <w:r>
        <w:rPr>
          <w:i/>
          <w:spacing w:val="-19"/>
          <w:w w:val="125"/>
          <w:sz w:val="18"/>
        </w:rPr>
        <w:t> </w:t>
      </w:r>
      <w:r>
        <w:rPr>
          <w:i/>
          <w:w w:val="125"/>
          <w:sz w:val="18"/>
        </w:rPr>
        <w:t>1-től.</w:t>
      </w:r>
    </w:p>
    <w:p>
      <w:pPr>
        <w:pStyle w:val="ListParagraph"/>
        <w:numPr>
          <w:ilvl w:val="0"/>
          <w:numId w:val="250"/>
        </w:numPr>
        <w:tabs>
          <w:tab w:pos="686" w:val="left" w:leader="none"/>
          <w:tab w:pos="687" w:val="left" w:leader="none"/>
        </w:tabs>
        <w:spacing w:line="203"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3.</w:t>
      </w:r>
    </w:p>
    <w:p>
      <w:pPr>
        <w:spacing w:after="0" w:line="203" w:lineRule="exact"/>
        <w:jc w:val="left"/>
        <w:rPr>
          <w:sz w:val="18"/>
        </w:rPr>
        <w:sectPr>
          <w:pgSz w:w="11900" w:h="16820"/>
          <w:pgMar w:header="1104" w:footer="0" w:top="1840" w:bottom="280" w:left="1020" w:right="1000"/>
        </w:sectPr>
      </w:pPr>
    </w:p>
    <w:p>
      <w:pPr>
        <w:pStyle w:val="ListParagraph"/>
        <w:numPr>
          <w:ilvl w:val="0"/>
          <w:numId w:val="247"/>
        </w:numPr>
        <w:tabs>
          <w:tab w:pos="769" w:val="left" w:leader="none"/>
        </w:tabs>
        <w:spacing w:line="225" w:lineRule="auto" w:before="173" w:after="0"/>
        <w:ind w:left="113" w:right="128" w:firstLine="204"/>
        <w:jc w:val="both"/>
        <w:rPr>
          <w:sz w:val="24"/>
        </w:rPr>
      </w:pPr>
      <w:r>
        <w:rPr>
          <w:w w:val="125"/>
          <w:sz w:val="24"/>
        </w:rPr>
        <w:t>A (7) bekezdésben meghatározott eljárásrendtől és szabályzatoktól való eltérést jelenteni kell a hitelintézet irányítási jogkörrel rendelkező vezető testületének, valamint a felügyeleti jogkörrel rendelkező vezető testületének a megfelelő intézkedések meghozatala</w:t>
      </w:r>
      <w:r>
        <w:rPr>
          <w:spacing w:val="5"/>
          <w:w w:val="125"/>
          <w:sz w:val="24"/>
        </w:rPr>
        <w:t> </w:t>
      </w:r>
      <w:r>
        <w:rPr>
          <w:w w:val="125"/>
          <w:sz w:val="24"/>
        </w:rPr>
        <w:t>érdekében.</w:t>
      </w:r>
    </w:p>
    <w:p>
      <w:pPr>
        <w:pStyle w:val="BodyText"/>
        <w:spacing w:before="229"/>
        <w:ind w:left="1992" w:firstLine="0"/>
      </w:pPr>
      <w:r>
        <w:rPr>
          <w:w w:val="120"/>
        </w:rPr>
        <w:t>53. Vállalatirányítási rendszer - kockázatkezelés</w:t>
      </w:r>
    </w:p>
    <w:p>
      <w:pPr>
        <w:pStyle w:val="BodyText"/>
        <w:spacing w:before="7"/>
        <w:ind w:left="0" w:firstLine="0"/>
        <w:rPr>
          <w:sz w:val="10"/>
        </w:rPr>
      </w:pPr>
    </w:p>
    <w:p>
      <w:pPr>
        <w:pStyle w:val="ListParagraph"/>
        <w:numPr>
          <w:ilvl w:val="1"/>
          <w:numId w:val="213"/>
        </w:numPr>
        <w:tabs>
          <w:tab w:pos="1046" w:val="left" w:leader="none"/>
        </w:tabs>
        <w:spacing w:line="262" w:lineRule="exact" w:before="100" w:after="0"/>
        <w:ind w:left="1045" w:right="0" w:hanging="728"/>
        <w:jc w:val="left"/>
        <w:rPr>
          <w:sz w:val="24"/>
        </w:rPr>
      </w:pPr>
      <w:r>
        <w:rPr>
          <w:rFonts w:ascii="Arial" w:hAnsi="Arial"/>
          <w:b/>
          <w:w w:val="125"/>
          <w:sz w:val="24"/>
        </w:rPr>
        <w:t>§ </w:t>
      </w:r>
      <w:r>
        <w:rPr>
          <w:w w:val="125"/>
          <w:sz w:val="24"/>
        </w:rPr>
        <w:t>(1)</w:t>
      </w:r>
      <w:r>
        <w:rPr>
          <w:i/>
          <w:w w:val="125"/>
          <w:position w:val="3"/>
          <w:sz w:val="18"/>
        </w:rPr>
        <w:t>1 </w:t>
      </w:r>
      <w:r>
        <w:rPr>
          <w:w w:val="125"/>
          <w:sz w:val="24"/>
        </w:rPr>
        <w:t>A hitelintézet az általa végzett pénzügyi, kiegészítő</w:t>
      </w:r>
      <w:r>
        <w:rPr>
          <w:spacing w:val="36"/>
          <w:w w:val="125"/>
          <w:sz w:val="24"/>
        </w:rPr>
        <w:t> </w:t>
      </w:r>
      <w:r>
        <w:rPr>
          <w:w w:val="125"/>
          <w:sz w:val="24"/>
        </w:rPr>
        <w:t>pénzügyi</w:t>
      </w:r>
    </w:p>
    <w:p>
      <w:pPr>
        <w:pStyle w:val="BodyText"/>
        <w:spacing w:line="225" w:lineRule="auto" w:before="13"/>
        <w:ind w:right="124" w:firstLine="0"/>
        <w:jc w:val="both"/>
      </w:pPr>
      <w:r>
        <w:rPr>
          <w:w w:val="130"/>
        </w:rPr>
        <w:t>szolgáltatási tevékenységekben és az alkalmazott üzleti modellben rejlő kockázatok jellegével, nagyságrendjével, összetettségével arányos átfogó, hatékony és megbízható vállalatirányítási rendszerrel és a (2) bekezdés szerinti belső kontroll funkcióval rendelkezik, amelynek keretén belül</w:t>
      </w:r>
    </w:p>
    <w:p>
      <w:pPr>
        <w:pStyle w:val="ListParagraph"/>
        <w:numPr>
          <w:ilvl w:val="0"/>
          <w:numId w:val="251"/>
        </w:numPr>
        <w:tabs>
          <w:tab w:pos="631" w:val="left" w:leader="none"/>
        </w:tabs>
        <w:spacing w:line="257" w:lineRule="exact" w:before="0" w:after="0"/>
        <w:ind w:left="630" w:right="0" w:hanging="313"/>
        <w:jc w:val="left"/>
        <w:rPr>
          <w:sz w:val="24"/>
        </w:rPr>
      </w:pPr>
      <w:r>
        <w:rPr>
          <w:w w:val="130"/>
          <w:sz w:val="24"/>
        </w:rPr>
        <w:t>a szervezeti felépítését belső szabályzatban áttekinthetően</w:t>
      </w:r>
      <w:r>
        <w:rPr>
          <w:spacing w:val="-50"/>
          <w:w w:val="130"/>
          <w:sz w:val="24"/>
        </w:rPr>
        <w:t> </w:t>
      </w:r>
      <w:r>
        <w:rPr>
          <w:w w:val="130"/>
          <w:sz w:val="24"/>
        </w:rPr>
        <w:t>rögzíti,</w:t>
      </w:r>
    </w:p>
    <w:p>
      <w:pPr>
        <w:pStyle w:val="ListParagraph"/>
        <w:numPr>
          <w:ilvl w:val="0"/>
          <w:numId w:val="251"/>
        </w:numPr>
        <w:tabs>
          <w:tab w:pos="676" w:val="left" w:leader="none"/>
        </w:tabs>
        <w:spacing w:line="225" w:lineRule="auto" w:before="5" w:after="0"/>
        <w:ind w:left="113" w:right="134" w:firstLine="204"/>
        <w:jc w:val="both"/>
        <w:rPr>
          <w:sz w:val="24"/>
        </w:rPr>
      </w:pPr>
      <w:r>
        <w:rPr>
          <w:w w:val="130"/>
          <w:sz w:val="24"/>
        </w:rPr>
        <w:t>a felelősségi köröket, feladatokat egymástól elhatárolja és egyértelműen meghatározza,</w:t>
      </w:r>
    </w:p>
    <w:p>
      <w:pPr>
        <w:pStyle w:val="ListParagraph"/>
        <w:numPr>
          <w:ilvl w:val="0"/>
          <w:numId w:val="251"/>
        </w:numPr>
        <w:tabs>
          <w:tab w:pos="819" w:val="left" w:leader="none"/>
        </w:tabs>
        <w:spacing w:line="225" w:lineRule="auto" w:before="1" w:after="0"/>
        <w:ind w:left="113" w:right="125" w:firstLine="204"/>
        <w:jc w:val="both"/>
        <w:rPr>
          <w:sz w:val="24"/>
        </w:rPr>
      </w:pPr>
      <w:r>
        <w:rPr>
          <w:w w:val="130"/>
          <w:sz w:val="24"/>
        </w:rPr>
        <w:t>a szervezeten belüli összeférhetetlenséget ellenőrzi, megelőzi és kiküszöböli,</w:t>
      </w:r>
    </w:p>
    <w:p>
      <w:pPr>
        <w:pStyle w:val="ListParagraph"/>
        <w:numPr>
          <w:ilvl w:val="0"/>
          <w:numId w:val="251"/>
        </w:numPr>
        <w:tabs>
          <w:tab w:pos="737" w:val="left" w:leader="none"/>
        </w:tabs>
        <w:spacing w:line="225" w:lineRule="auto" w:before="1" w:after="0"/>
        <w:ind w:left="113" w:right="132" w:firstLine="204"/>
        <w:jc w:val="both"/>
        <w:rPr>
          <w:sz w:val="24"/>
        </w:rPr>
      </w:pPr>
      <w:r>
        <w:rPr>
          <w:w w:val="130"/>
          <w:sz w:val="24"/>
        </w:rPr>
        <w:t>a felmerülő kockázatok azonosítására, mérésére, kezelésére, nyomon</w:t>
      </w:r>
      <w:r>
        <w:rPr>
          <w:spacing w:val="78"/>
          <w:w w:val="130"/>
          <w:sz w:val="24"/>
        </w:rPr>
        <w:t> </w:t>
      </w:r>
      <w:r>
        <w:rPr>
          <w:w w:val="130"/>
          <w:sz w:val="24"/>
        </w:rPr>
        <w:t>követésére és jelentésére szolgáló hatékony eljárásokat</w:t>
      </w:r>
      <w:r>
        <w:rPr>
          <w:spacing w:val="-51"/>
          <w:w w:val="130"/>
          <w:sz w:val="24"/>
        </w:rPr>
        <w:t> </w:t>
      </w:r>
      <w:r>
        <w:rPr>
          <w:w w:val="130"/>
          <w:sz w:val="24"/>
        </w:rPr>
        <w:t>alkalmaz,</w:t>
      </w:r>
    </w:p>
    <w:p>
      <w:pPr>
        <w:pStyle w:val="ListParagraph"/>
        <w:numPr>
          <w:ilvl w:val="0"/>
          <w:numId w:val="251"/>
        </w:numPr>
        <w:tabs>
          <w:tab w:pos="825" w:val="left" w:leader="none"/>
        </w:tabs>
        <w:spacing w:line="225" w:lineRule="auto" w:before="2" w:after="0"/>
        <w:ind w:left="113" w:right="127" w:firstLine="204"/>
        <w:jc w:val="both"/>
        <w:rPr>
          <w:sz w:val="24"/>
        </w:rPr>
      </w:pPr>
      <w:r>
        <w:rPr>
          <w:w w:val="125"/>
          <w:sz w:val="24"/>
        </w:rPr>
        <w:t>a jogszabályoknak megfelelő belső ellenőrzési mechanizmusokat, adminisztratív és számviteli eljárásokat</w:t>
      </w:r>
      <w:r>
        <w:rPr>
          <w:spacing w:val="4"/>
          <w:w w:val="125"/>
          <w:sz w:val="24"/>
        </w:rPr>
        <w:t> </w:t>
      </w:r>
      <w:r>
        <w:rPr>
          <w:w w:val="125"/>
          <w:sz w:val="24"/>
        </w:rPr>
        <w:t>alkalmaz,</w:t>
      </w:r>
    </w:p>
    <w:p>
      <w:pPr>
        <w:pStyle w:val="ListParagraph"/>
        <w:numPr>
          <w:ilvl w:val="0"/>
          <w:numId w:val="251"/>
        </w:numPr>
        <w:tabs>
          <w:tab w:pos="606" w:val="left" w:leader="none"/>
        </w:tabs>
        <w:spacing w:line="225" w:lineRule="auto" w:before="1" w:after="0"/>
        <w:ind w:left="113" w:right="128" w:firstLine="204"/>
        <w:jc w:val="both"/>
        <w:rPr>
          <w:sz w:val="24"/>
        </w:rPr>
      </w:pPr>
      <w:r>
        <w:rPr>
          <w:w w:val="125"/>
          <w:sz w:val="24"/>
        </w:rPr>
        <w:t>a hitelintézet a hatékony és eredményes kockázatkezeléssel összhangban álló, annak alkalmazását előmozdító, a 117-121. §-okban meghatározott elveknek megfelelő javadalmazási politikát és gyakorlatot valósít</w:t>
      </w:r>
      <w:r>
        <w:rPr>
          <w:spacing w:val="4"/>
          <w:w w:val="125"/>
          <w:sz w:val="24"/>
        </w:rPr>
        <w:t> </w:t>
      </w:r>
      <w:r>
        <w:rPr>
          <w:w w:val="125"/>
          <w:sz w:val="24"/>
        </w:rPr>
        <w:t>meg,</w:t>
      </w:r>
    </w:p>
    <w:p>
      <w:pPr>
        <w:pStyle w:val="ListParagraph"/>
        <w:numPr>
          <w:ilvl w:val="0"/>
          <w:numId w:val="251"/>
        </w:numPr>
        <w:tabs>
          <w:tab w:pos="837" w:val="left" w:leader="none"/>
        </w:tabs>
        <w:spacing w:line="225" w:lineRule="auto" w:before="1" w:after="0"/>
        <w:ind w:left="113" w:right="131" w:firstLine="204"/>
        <w:jc w:val="both"/>
        <w:rPr>
          <w:sz w:val="24"/>
        </w:rPr>
      </w:pPr>
      <w:r>
        <w:rPr>
          <w:w w:val="130"/>
          <w:sz w:val="24"/>
        </w:rPr>
        <w:t>elősegíti a szervezet zavartalan és eredményes működését, az intézménnyel szembeni bizalom fenntartását, a tulajdonosok és az ügyfelek intézménnyel összefüggő gazdasági érdekeinek és társadalmi céljainak védelmét.</w:t>
      </w:r>
    </w:p>
    <w:p>
      <w:pPr>
        <w:pStyle w:val="ListParagraph"/>
        <w:numPr>
          <w:ilvl w:val="0"/>
          <w:numId w:val="252"/>
        </w:numPr>
        <w:tabs>
          <w:tab w:pos="795" w:val="left" w:leader="none"/>
        </w:tabs>
        <w:spacing w:line="225" w:lineRule="auto" w:before="3" w:after="0"/>
        <w:ind w:left="113" w:right="126" w:firstLine="204"/>
        <w:jc w:val="both"/>
        <w:rPr>
          <w:sz w:val="24"/>
        </w:rPr>
      </w:pPr>
      <w:r>
        <w:rPr>
          <w:w w:val="130"/>
          <w:sz w:val="24"/>
        </w:rPr>
        <w:t>A hitelintézet az (1) bekezdés </w:t>
      </w:r>
      <w:r>
        <w:rPr>
          <w:i/>
          <w:w w:val="130"/>
          <w:sz w:val="24"/>
        </w:rPr>
        <w:t>d) </w:t>
      </w:r>
      <w:r>
        <w:rPr>
          <w:w w:val="130"/>
          <w:sz w:val="24"/>
        </w:rPr>
        <w:t>és </w:t>
      </w:r>
      <w:r>
        <w:rPr>
          <w:i/>
          <w:w w:val="130"/>
          <w:sz w:val="24"/>
        </w:rPr>
        <w:t>e) </w:t>
      </w:r>
      <w:r>
        <w:rPr>
          <w:w w:val="130"/>
          <w:sz w:val="24"/>
        </w:rPr>
        <w:t>pontjában rögzítettek, ezáltal a belső kontroll funkciók teljesítése érdekében belső eljárásrendjében egyértelműen rögzíti a belső kontroll funkciók ellátásáért felelős szervezeti egységet vagy egységeket.</w:t>
      </w:r>
    </w:p>
    <w:p>
      <w:pPr>
        <w:pStyle w:val="ListParagraph"/>
        <w:numPr>
          <w:ilvl w:val="0"/>
          <w:numId w:val="252"/>
        </w:numPr>
        <w:tabs>
          <w:tab w:pos="734" w:val="left" w:leader="none"/>
        </w:tabs>
        <w:spacing w:line="257" w:lineRule="exact" w:before="0" w:after="0"/>
        <w:ind w:left="733" w:right="0" w:hanging="416"/>
        <w:jc w:val="left"/>
        <w:rPr>
          <w:sz w:val="24"/>
        </w:rPr>
      </w:pPr>
      <w:r>
        <w:rPr>
          <w:w w:val="125"/>
          <w:sz w:val="24"/>
        </w:rPr>
        <w:t>A hitelezési kockázat kezelése érdekében a</w:t>
      </w:r>
      <w:r>
        <w:rPr>
          <w:spacing w:val="16"/>
          <w:w w:val="125"/>
          <w:sz w:val="24"/>
        </w:rPr>
        <w:t> </w:t>
      </w:r>
      <w:r>
        <w:rPr>
          <w:w w:val="125"/>
          <w:sz w:val="24"/>
        </w:rPr>
        <w:t>hitelintézet</w:t>
      </w:r>
    </w:p>
    <w:p>
      <w:pPr>
        <w:pStyle w:val="ListParagraph"/>
        <w:numPr>
          <w:ilvl w:val="0"/>
          <w:numId w:val="253"/>
        </w:numPr>
        <w:tabs>
          <w:tab w:pos="653" w:val="left" w:leader="none"/>
        </w:tabs>
        <w:spacing w:line="225" w:lineRule="auto" w:before="5" w:after="0"/>
        <w:ind w:left="113" w:right="131" w:firstLine="204"/>
        <w:jc w:val="both"/>
        <w:rPr>
          <w:sz w:val="24"/>
        </w:rPr>
      </w:pPr>
      <w:r>
        <w:rPr>
          <w:w w:val="125"/>
          <w:sz w:val="24"/>
        </w:rPr>
        <w:t>a különböző hitelezési kockázatokat hordozó portfóliókat és kitettségeket nyomon követi és ellenőrzi, ideértve az olyan kitettségek azonosítását és kezelését, amelyre értékvesztés elszámolása vagy céltartalék képzése válik szükségessé, és ezen céltartalék képzésének és értékvesztés elszámolásának megfelelő végrehajtását,</w:t>
      </w:r>
    </w:p>
    <w:p>
      <w:pPr>
        <w:pStyle w:val="ListParagraph"/>
        <w:numPr>
          <w:ilvl w:val="0"/>
          <w:numId w:val="253"/>
        </w:numPr>
        <w:tabs>
          <w:tab w:pos="771" w:val="left" w:leader="none"/>
        </w:tabs>
        <w:spacing w:line="225" w:lineRule="auto" w:before="3" w:after="0"/>
        <w:ind w:left="113" w:right="123" w:firstLine="204"/>
        <w:jc w:val="both"/>
        <w:rPr>
          <w:sz w:val="24"/>
        </w:rPr>
      </w:pPr>
      <w:r>
        <w:rPr>
          <w:w w:val="125"/>
          <w:sz w:val="24"/>
        </w:rPr>
        <w:t>a hitelportfóliót az ügyfélköre és az átfogó stratégiája figyelembe vételével megosztja (diverzifikálja),</w:t>
      </w:r>
      <w:r>
        <w:rPr>
          <w:spacing w:val="-2"/>
          <w:w w:val="125"/>
          <w:sz w:val="24"/>
        </w:rPr>
        <w:t> </w:t>
      </w:r>
      <w:r>
        <w:rPr>
          <w:w w:val="125"/>
          <w:sz w:val="24"/>
        </w:rPr>
        <w:t>valamint</w:t>
      </w:r>
    </w:p>
    <w:p>
      <w:pPr>
        <w:pStyle w:val="ListParagraph"/>
        <w:numPr>
          <w:ilvl w:val="0"/>
          <w:numId w:val="253"/>
        </w:numPr>
        <w:tabs>
          <w:tab w:pos="676" w:val="left" w:leader="none"/>
        </w:tabs>
        <w:spacing w:line="225" w:lineRule="auto" w:before="1" w:after="0"/>
        <w:ind w:left="113" w:right="123" w:firstLine="204"/>
        <w:jc w:val="both"/>
        <w:rPr>
          <w:sz w:val="24"/>
        </w:rPr>
      </w:pPr>
      <w:r>
        <w:rPr>
          <w:w w:val="130"/>
          <w:sz w:val="24"/>
        </w:rPr>
        <w:t>az értékpapírok vagy értékpapírosítási pozíciók hitelkockázatának, és a portfoliószintű hitelkockázatnak a mérésére hatékony és megbízható belső módszerekkel rendelkezik azzal, hogy a belső módszer esetében nem</w:t>
      </w:r>
      <w:r>
        <w:rPr>
          <w:spacing w:val="78"/>
          <w:w w:val="130"/>
          <w:sz w:val="24"/>
        </w:rPr>
        <w:t> </w:t>
      </w:r>
      <w:r>
        <w:rPr>
          <w:w w:val="130"/>
          <w:sz w:val="24"/>
        </w:rPr>
        <w:t>alkalmazhatja</w:t>
      </w:r>
      <w:r>
        <w:rPr>
          <w:spacing w:val="-34"/>
          <w:w w:val="130"/>
          <w:sz w:val="24"/>
        </w:rPr>
        <w:t> </w:t>
      </w:r>
      <w:r>
        <w:rPr>
          <w:w w:val="130"/>
          <w:sz w:val="24"/>
        </w:rPr>
        <w:t>kizárólagosan</w:t>
      </w:r>
      <w:r>
        <w:rPr>
          <w:spacing w:val="-33"/>
          <w:w w:val="130"/>
          <w:sz w:val="24"/>
        </w:rPr>
        <w:t> </w:t>
      </w:r>
      <w:r>
        <w:rPr>
          <w:w w:val="130"/>
          <w:sz w:val="24"/>
        </w:rPr>
        <w:t>a</w:t>
      </w:r>
      <w:r>
        <w:rPr>
          <w:spacing w:val="-34"/>
          <w:w w:val="130"/>
          <w:sz w:val="24"/>
        </w:rPr>
        <w:t> </w:t>
      </w:r>
      <w:r>
        <w:rPr>
          <w:w w:val="130"/>
          <w:sz w:val="24"/>
        </w:rPr>
        <w:t>külső</w:t>
      </w:r>
      <w:r>
        <w:rPr>
          <w:spacing w:val="-33"/>
          <w:w w:val="130"/>
          <w:sz w:val="24"/>
        </w:rPr>
        <w:t> </w:t>
      </w:r>
      <w:r>
        <w:rPr>
          <w:w w:val="130"/>
          <w:sz w:val="24"/>
        </w:rPr>
        <w:t>hitelminősítő</w:t>
      </w:r>
      <w:r>
        <w:rPr>
          <w:spacing w:val="-33"/>
          <w:w w:val="130"/>
          <w:sz w:val="24"/>
        </w:rPr>
        <w:t> </w:t>
      </w:r>
      <w:r>
        <w:rPr>
          <w:w w:val="130"/>
          <w:sz w:val="24"/>
        </w:rPr>
        <w:t>által</w:t>
      </w:r>
      <w:r>
        <w:rPr>
          <w:spacing w:val="-33"/>
          <w:w w:val="130"/>
          <w:sz w:val="24"/>
        </w:rPr>
        <w:t> </w:t>
      </w:r>
      <w:r>
        <w:rPr>
          <w:w w:val="130"/>
          <w:sz w:val="24"/>
        </w:rPr>
        <w:t>kiadott</w:t>
      </w:r>
      <w:r>
        <w:rPr>
          <w:spacing w:val="-34"/>
          <w:w w:val="130"/>
          <w:sz w:val="24"/>
        </w:rPr>
        <w:t> </w:t>
      </w:r>
      <w:r>
        <w:rPr>
          <w:w w:val="130"/>
          <w:sz w:val="24"/>
        </w:rPr>
        <w:t>hitelminősítést.</w:t>
      </w:r>
    </w:p>
    <w:p>
      <w:pPr>
        <w:pStyle w:val="ListParagraph"/>
        <w:numPr>
          <w:ilvl w:val="0"/>
          <w:numId w:val="252"/>
        </w:numPr>
        <w:tabs>
          <w:tab w:pos="659" w:val="left" w:leader="none"/>
        </w:tabs>
        <w:spacing w:line="225" w:lineRule="auto" w:before="3" w:after="0"/>
        <w:ind w:left="113" w:right="129" w:firstLine="204"/>
        <w:jc w:val="both"/>
        <w:rPr>
          <w:sz w:val="24"/>
        </w:rPr>
      </w:pPr>
      <w:r>
        <w:rPr>
          <w:i/>
          <w:w w:val="130"/>
          <w:position w:val="3"/>
          <w:sz w:val="18"/>
        </w:rPr>
        <w:t>2</w:t>
      </w:r>
      <w:r>
        <w:rPr>
          <w:i/>
          <w:spacing w:val="-18"/>
          <w:w w:val="130"/>
          <w:position w:val="3"/>
          <w:sz w:val="18"/>
        </w:rPr>
        <w:t> </w:t>
      </w:r>
      <w:r>
        <w:rPr>
          <w:w w:val="130"/>
          <w:sz w:val="24"/>
        </w:rPr>
        <w:t>Az</w:t>
      </w:r>
      <w:r>
        <w:rPr>
          <w:spacing w:val="-38"/>
          <w:w w:val="130"/>
          <w:sz w:val="24"/>
        </w:rPr>
        <w:t> </w:t>
      </w:r>
      <w:r>
        <w:rPr>
          <w:w w:val="130"/>
          <w:sz w:val="24"/>
        </w:rPr>
        <w:t>MNB</w:t>
      </w:r>
      <w:r>
        <w:rPr>
          <w:spacing w:val="-38"/>
          <w:w w:val="130"/>
          <w:sz w:val="24"/>
        </w:rPr>
        <w:t> </w:t>
      </w:r>
      <w:r>
        <w:rPr>
          <w:w w:val="130"/>
          <w:sz w:val="24"/>
        </w:rPr>
        <w:t>elnöke</w:t>
      </w:r>
      <w:r>
        <w:rPr>
          <w:spacing w:val="-37"/>
          <w:w w:val="130"/>
          <w:sz w:val="24"/>
        </w:rPr>
        <w:t> </w:t>
      </w:r>
      <w:r>
        <w:rPr>
          <w:w w:val="130"/>
          <w:sz w:val="24"/>
        </w:rPr>
        <w:t>a</w:t>
      </w:r>
      <w:r>
        <w:rPr>
          <w:spacing w:val="-38"/>
          <w:w w:val="130"/>
          <w:sz w:val="24"/>
        </w:rPr>
        <w:t> </w:t>
      </w:r>
      <w:r>
        <w:rPr>
          <w:w w:val="130"/>
          <w:sz w:val="24"/>
        </w:rPr>
        <w:t>pénzügyi</w:t>
      </w:r>
      <w:r>
        <w:rPr>
          <w:spacing w:val="-37"/>
          <w:w w:val="130"/>
          <w:sz w:val="24"/>
        </w:rPr>
        <w:t> </w:t>
      </w:r>
      <w:r>
        <w:rPr>
          <w:w w:val="130"/>
          <w:sz w:val="24"/>
        </w:rPr>
        <w:t>közvetítőrendszer</w:t>
      </w:r>
      <w:r>
        <w:rPr>
          <w:spacing w:val="-38"/>
          <w:w w:val="130"/>
          <w:sz w:val="24"/>
        </w:rPr>
        <w:t> </w:t>
      </w:r>
      <w:r>
        <w:rPr>
          <w:w w:val="130"/>
          <w:sz w:val="24"/>
        </w:rPr>
        <w:t>felügyeletével</w:t>
      </w:r>
      <w:r>
        <w:rPr>
          <w:spacing w:val="-37"/>
          <w:w w:val="130"/>
          <w:sz w:val="24"/>
        </w:rPr>
        <w:t> </w:t>
      </w:r>
      <w:r>
        <w:rPr>
          <w:w w:val="130"/>
          <w:sz w:val="24"/>
        </w:rPr>
        <w:t>kapcsolatos jogkörében</w:t>
      </w:r>
      <w:r>
        <w:rPr>
          <w:spacing w:val="-9"/>
          <w:w w:val="130"/>
          <w:sz w:val="24"/>
        </w:rPr>
        <w:t> </w:t>
      </w:r>
      <w:r>
        <w:rPr>
          <w:w w:val="130"/>
          <w:sz w:val="24"/>
        </w:rPr>
        <w:t>a</w:t>
      </w:r>
      <w:r>
        <w:rPr>
          <w:spacing w:val="-9"/>
          <w:w w:val="130"/>
          <w:sz w:val="24"/>
        </w:rPr>
        <w:t> </w:t>
      </w:r>
      <w:r>
        <w:rPr>
          <w:w w:val="130"/>
          <w:sz w:val="24"/>
        </w:rPr>
        <w:t>hatékony</w:t>
      </w:r>
      <w:r>
        <w:rPr>
          <w:spacing w:val="-8"/>
          <w:w w:val="130"/>
          <w:sz w:val="24"/>
        </w:rPr>
        <w:t> </w:t>
      </w:r>
      <w:r>
        <w:rPr>
          <w:w w:val="130"/>
          <w:sz w:val="24"/>
        </w:rPr>
        <w:t>és</w:t>
      </w:r>
      <w:r>
        <w:rPr>
          <w:spacing w:val="-10"/>
          <w:w w:val="130"/>
          <w:sz w:val="24"/>
        </w:rPr>
        <w:t> </w:t>
      </w:r>
      <w:r>
        <w:rPr>
          <w:w w:val="130"/>
          <w:sz w:val="24"/>
        </w:rPr>
        <w:t>eredményes</w:t>
      </w:r>
      <w:r>
        <w:rPr>
          <w:spacing w:val="-9"/>
          <w:w w:val="130"/>
          <w:sz w:val="24"/>
        </w:rPr>
        <w:t> </w:t>
      </w:r>
      <w:r>
        <w:rPr>
          <w:w w:val="130"/>
          <w:sz w:val="24"/>
        </w:rPr>
        <w:t>kockázatkezelés</w:t>
      </w:r>
      <w:r>
        <w:rPr>
          <w:spacing w:val="-9"/>
          <w:w w:val="130"/>
          <w:sz w:val="24"/>
        </w:rPr>
        <w:t> </w:t>
      </w:r>
      <w:r>
        <w:rPr>
          <w:w w:val="130"/>
          <w:sz w:val="24"/>
        </w:rPr>
        <w:t>elősegítése</w:t>
      </w:r>
      <w:r>
        <w:rPr>
          <w:spacing w:val="-10"/>
          <w:w w:val="130"/>
          <w:sz w:val="24"/>
        </w:rPr>
        <w:t> </w:t>
      </w:r>
      <w:r>
        <w:rPr>
          <w:w w:val="130"/>
          <w:sz w:val="24"/>
        </w:rPr>
        <w:t>érdekében rendeletben szabályozza a nem teljesítő kitettség és az átstrukturált követelésre vonatkozó prudenciális</w:t>
      </w:r>
      <w:r>
        <w:rPr>
          <w:spacing w:val="-23"/>
          <w:w w:val="130"/>
          <w:sz w:val="24"/>
        </w:rPr>
        <w:t> </w:t>
      </w:r>
      <w:r>
        <w:rPr>
          <w:w w:val="130"/>
          <w:sz w:val="24"/>
        </w:rPr>
        <w:t>követelményeket.</w:t>
      </w:r>
    </w:p>
    <w:p>
      <w:pPr>
        <w:pStyle w:val="BodyText"/>
        <w:ind w:left="0" w:firstLine="0"/>
        <w:rPr>
          <w:sz w:val="20"/>
        </w:rPr>
      </w:pPr>
    </w:p>
    <w:p>
      <w:pPr>
        <w:pStyle w:val="BodyText"/>
        <w:ind w:left="0" w:firstLine="0"/>
        <w:rPr>
          <w:sz w:val="20"/>
        </w:rPr>
      </w:pPr>
    </w:p>
    <w:p>
      <w:pPr>
        <w:pStyle w:val="BodyText"/>
        <w:spacing w:before="2"/>
        <w:ind w:left="0" w:firstLine="0"/>
        <w:rPr>
          <w:sz w:val="19"/>
        </w:rPr>
      </w:pPr>
      <w:r>
        <w:rPr/>
        <w:pict>
          <v:line style="position:absolute;mso-position-horizontal-relative:page;mso-position-vertical-relative:paragraph;z-index:464;mso-wrap-distance-left:0;mso-wrap-distance-right:0" from="56.693001pt,13.225407pt" to="538.583001pt,13.225407pt" stroked="true" strokeweight=".5pt" strokecolor="#000000">
            <v:stroke dashstyle="solid"/>
            <w10:wrap type="topAndBottom"/>
          </v:line>
        </w:pict>
      </w:r>
    </w:p>
    <w:p>
      <w:pPr>
        <w:pStyle w:val="ListParagraph"/>
        <w:numPr>
          <w:ilvl w:val="0"/>
          <w:numId w:val="254"/>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200. §. Hatályos: 2015. VII.</w:t>
      </w:r>
      <w:r>
        <w:rPr>
          <w:i/>
          <w:spacing w:val="-23"/>
          <w:w w:val="125"/>
          <w:sz w:val="18"/>
        </w:rPr>
        <w:t> </w:t>
      </w:r>
      <w:r>
        <w:rPr>
          <w:i/>
          <w:w w:val="125"/>
          <w:sz w:val="18"/>
        </w:rPr>
        <w:t>7-től.</w:t>
      </w:r>
    </w:p>
    <w:p>
      <w:pPr>
        <w:pStyle w:val="ListParagraph"/>
        <w:numPr>
          <w:ilvl w:val="0"/>
          <w:numId w:val="254"/>
        </w:numPr>
        <w:tabs>
          <w:tab w:pos="686" w:val="left" w:leader="none"/>
          <w:tab w:pos="687" w:val="left" w:leader="none"/>
        </w:tabs>
        <w:spacing w:line="203" w:lineRule="exact" w:before="0" w:after="0"/>
        <w:ind w:left="686" w:right="0" w:hanging="344"/>
        <w:jc w:val="left"/>
        <w:rPr>
          <w:i/>
          <w:sz w:val="18"/>
        </w:rPr>
      </w:pPr>
      <w:r>
        <w:rPr>
          <w:i/>
          <w:w w:val="125"/>
          <w:sz w:val="18"/>
        </w:rPr>
        <w:t>Beiktatta: 2015. évi CLXXVIII. törvény 41. §. Hatályos: 2016. I.</w:t>
      </w:r>
      <w:r>
        <w:rPr>
          <w:i/>
          <w:spacing w:val="-16"/>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1"/>
          <w:numId w:val="213"/>
        </w:numPr>
        <w:tabs>
          <w:tab w:pos="1049" w:val="left" w:leader="none"/>
        </w:tabs>
        <w:spacing w:line="262" w:lineRule="exact" w:before="158" w:after="0"/>
        <w:ind w:left="1048" w:right="0" w:hanging="731"/>
        <w:jc w:val="left"/>
        <w:rPr>
          <w:sz w:val="24"/>
        </w:rPr>
      </w:pPr>
      <w:r>
        <w:rPr>
          <w:rFonts w:ascii="Arial" w:hAnsi="Arial"/>
          <w:b/>
          <w:w w:val="125"/>
          <w:sz w:val="24"/>
        </w:rPr>
        <w:t>§ </w:t>
      </w:r>
      <w:r>
        <w:rPr>
          <w:w w:val="125"/>
          <w:sz w:val="24"/>
        </w:rPr>
        <w:t>(1)</w:t>
      </w:r>
      <w:r>
        <w:rPr>
          <w:i/>
          <w:w w:val="125"/>
          <w:position w:val="3"/>
          <w:sz w:val="18"/>
        </w:rPr>
        <w:t>1 </w:t>
      </w:r>
      <w:r>
        <w:rPr>
          <w:w w:val="125"/>
          <w:sz w:val="24"/>
        </w:rPr>
        <w:t>A hitelintézet irányítási jogkörrel rendelkező vezető</w:t>
      </w:r>
      <w:r>
        <w:rPr>
          <w:spacing w:val="-6"/>
          <w:w w:val="125"/>
          <w:sz w:val="24"/>
        </w:rPr>
        <w:t> </w:t>
      </w:r>
      <w:r>
        <w:rPr>
          <w:w w:val="125"/>
          <w:sz w:val="24"/>
        </w:rPr>
        <w:t>testülete</w:t>
      </w:r>
    </w:p>
    <w:p>
      <w:pPr>
        <w:pStyle w:val="BodyText"/>
        <w:spacing w:line="225" w:lineRule="auto" w:before="12"/>
        <w:ind w:right="124" w:firstLine="0"/>
        <w:jc w:val="both"/>
      </w:pPr>
      <w:r>
        <w:rPr>
          <w:w w:val="130"/>
        </w:rPr>
        <w:t>jóváhagyja, rendszeresen felülvizsgálja és értékeli a szervezeten belüli feladatok elkülönítésére és az összeférhetetlenség megelőzésére vonatkozó szabályzatokat, valamint a kockázatok vállalására, mérésére, kezelésére, nyomon követésére és mérséklésére vonatkozó stratégiákat és politikákat, amely kiterjed a makrokörnyezet és a gazdasági ciklus állapotának változásából eredő kockázatra is.</w:t>
      </w:r>
    </w:p>
    <w:p>
      <w:pPr>
        <w:pStyle w:val="ListParagraph"/>
        <w:numPr>
          <w:ilvl w:val="0"/>
          <w:numId w:val="255"/>
        </w:numPr>
        <w:tabs>
          <w:tab w:pos="890" w:val="left" w:leader="none"/>
        </w:tabs>
        <w:spacing w:line="225" w:lineRule="auto" w:before="4" w:after="0"/>
        <w:ind w:left="113" w:right="130" w:firstLine="204"/>
        <w:jc w:val="both"/>
        <w:rPr>
          <w:sz w:val="24"/>
        </w:rPr>
      </w:pPr>
      <w:r>
        <w:rPr>
          <w:w w:val="125"/>
          <w:sz w:val="24"/>
        </w:rPr>
        <w:t>Az irányítási jogkörrel rendelkező vezető testület felelős az (1) bekezdésben meghatározott stratégiák és szabályzatok</w:t>
      </w:r>
      <w:r>
        <w:rPr>
          <w:spacing w:val="2"/>
          <w:w w:val="125"/>
          <w:sz w:val="24"/>
        </w:rPr>
        <w:t> </w:t>
      </w:r>
      <w:r>
        <w:rPr>
          <w:w w:val="125"/>
          <w:sz w:val="24"/>
        </w:rPr>
        <w:t>végrehajtásáért.</w:t>
      </w:r>
    </w:p>
    <w:p>
      <w:pPr>
        <w:pStyle w:val="ListParagraph"/>
        <w:numPr>
          <w:ilvl w:val="0"/>
          <w:numId w:val="255"/>
        </w:numPr>
        <w:tabs>
          <w:tab w:pos="756" w:val="left" w:leader="none"/>
        </w:tabs>
        <w:spacing w:line="225" w:lineRule="auto" w:before="1" w:after="0"/>
        <w:ind w:left="113" w:right="126" w:firstLine="204"/>
        <w:jc w:val="both"/>
        <w:rPr>
          <w:sz w:val="24"/>
        </w:rPr>
      </w:pPr>
      <w:r>
        <w:rPr>
          <w:w w:val="130"/>
          <w:sz w:val="24"/>
        </w:rPr>
        <w:t>Ha az irányítási jogkörrel rendelkező vezető testület az (1) bekezdésben meghatározott felülvizsgálat során hiányosságokat észlel, akkor a hiányosságok megszüntetése és a helyreállítás érdekében a szükséges</w:t>
      </w:r>
      <w:r>
        <w:rPr>
          <w:spacing w:val="78"/>
          <w:w w:val="130"/>
          <w:sz w:val="24"/>
        </w:rPr>
        <w:t> </w:t>
      </w:r>
      <w:r>
        <w:rPr>
          <w:w w:val="130"/>
          <w:sz w:val="24"/>
        </w:rPr>
        <w:t>lépéseket megteszi és a szükséges döntéseket</w:t>
      </w:r>
      <w:r>
        <w:rPr>
          <w:spacing w:val="-32"/>
          <w:w w:val="130"/>
          <w:sz w:val="24"/>
        </w:rPr>
        <w:t> </w:t>
      </w:r>
      <w:r>
        <w:rPr>
          <w:w w:val="130"/>
          <w:sz w:val="24"/>
        </w:rPr>
        <w:t>meghozza.</w:t>
      </w:r>
    </w:p>
    <w:p>
      <w:pPr>
        <w:pStyle w:val="ListParagraph"/>
        <w:numPr>
          <w:ilvl w:val="0"/>
          <w:numId w:val="255"/>
        </w:numPr>
        <w:tabs>
          <w:tab w:pos="734" w:val="left" w:leader="none"/>
        </w:tabs>
        <w:spacing w:line="257" w:lineRule="exact" w:before="0" w:after="0"/>
        <w:ind w:left="733" w:right="0" w:hanging="416"/>
        <w:jc w:val="left"/>
        <w:rPr>
          <w:sz w:val="24"/>
        </w:rPr>
      </w:pPr>
      <w:r>
        <w:rPr>
          <w:w w:val="125"/>
          <w:sz w:val="24"/>
        </w:rPr>
        <w:t>Az irányítási jogkörrel rendelkező vezető testület</w:t>
      </w:r>
      <w:r>
        <w:rPr>
          <w:spacing w:val="7"/>
          <w:w w:val="125"/>
          <w:sz w:val="24"/>
        </w:rPr>
        <w:t> </w:t>
      </w:r>
      <w:r>
        <w:rPr>
          <w:w w:val="125"/>
          <w:sz w:val="24"/>
        </w:rPr>
        <w:t>felelős</w:t>
      </w:r>
    </w:p>
    <w:p>
      <w:pPr>
        <w:pStyle w:val="ListParagraph"/>
        <w:numPr>
          <w:ilvl w:val="0"/>
          <w:numId w:val="256"/>
        </w:numPr>
        <w:tabs>
          <w:tab w:pos="643" w:val="left" w:leader="none"/>
        </w:tabs>
        <w:spacing w:line="225" w:lineRule="auto" w:before="5" w:after="0"/>
        <w:ind w:left="113" w:right="127" w:firstLine="204"/>
        <w:jc w:val="both"/>
        <w:rPr>
          <w:sz w:val="24"/>
        </w:rPr>
      </w:pPr>
      <w:r>
        <w:rPr>
          <w:w w:val="130"/>
          <w:sz w:val="24"/>
        </w:rPr>
        <w:t>a számviteli és a pénzügyi beszámolási rendszer integritásáért, ideértve a pénzügyi és az operatív ellenőrzés, és a jogszabályoknak és sztenderdeknek való megfelelés biztosítását,</w:t>
      </w:r>
      <w:r>
        <w:rPr>
          <w:spacing w:val="-15"/>
          <w:w w:val="130"/>
          <w:sz w:val="24"/>
        </w:rPr>
        <w:t> </w:t>
      </w:r>
      <w:r>
        <w:rPr>
          <w:w w:val="130"/>
          <w:sz w:val="24"/>
        </w:rPr>
        <w:t>valamint</w:t>
      </w:r>
    </w:p>
    <w:p>
      <w:pPr>
        <w:pStyle w:val="ListParagraph"/>
        <w:numPr>
          <w:ilvl w:val="0"/>
          <w:numId w:val="256"/>
        </w:numPr>
        <w:tabs>
          <w:tab w:pos="653" w:val="left" w:leader="none"/>
        </w:tabs>
        <w:spacing w:line="256" w:lineRule="exact" w:before="0" w:after="0"/>
        <w:ind w:left="652" w:right="0" w:hanging="335"/>
        <w:jc w:val="left"/>
        <w:rPr>
          <w:sz w:val="24"/>
        </w:rPr>
      </w:pPr>
      <w:r>
        <w:rPr>
          <w:w w:val="130"/>
          <w:sz w:val="24"/>
        </w:rPr>
        <w:t>az</w:t>
      </w:r>
      <w:r>
        <w:rPr>
          <w:spacing w:val="-25"/>
          <w:w w:val="130"/>
          <w:sz w:val="24"/>
        </w:rPr>
        <w:t> </w:t>
      </w:r>
      <w:r>
        <w:rPr>
          <w:w w:val="130"/>
          <w:sz w:val="24"/>
        </w:rPr>
        <w:t>adatszolgáltatásért,</w:t>
      </w:r>
      <w:r>
        <w:rPr>
          <w:spacing w:val="-16"/>
          <w:w w:val="130"/>
          <w:sz w:val="24"/>
        </w:rPr>
        <w:t> </w:t>
      </w:r>
      <w:r>
        <w:rPr>
          <w:w w:val="130"/>
          <w:sz w:val="24"/>
        </w:rPr>
        <w:t>a</w:t>
      </w:r>
      <w:r>
        <w:rPr>
          <w:spacing w:val="-16"/>
          <w:w w:val="130"/>
          <w:sz w:val="24"/>
        </w:rPr>
        <w:t> </w:t>
      </w:r>
      <w:r>
        <w:rPr>
          <w:w w:val="130"/>
          <w:sz w:val="24"/>
        </w:rPr>
        <w:t>nyilvánosságra</w:t>
      </w:r>
      <w:r>
        <w:rPr>
          <w:spacing w:val="-15"/>
          <w:w w:val="130"/>
          <w:sz w:val="24"/>
        </w:rPr>
        <w:t> </w:t>
      </w:r>
      <w:r>
        <w:rPr>
          <w:w w:val="130"/>
          <w:sz w:val="24"/>
        </w:rPr>
        <w:t>hozatalért</w:t>
      </w:r>
      <w:r>
        <w:rPr>
          <w:spacing w:val="-15"/>
          <w:w w:val="130"/>
          <w:sz w:val="24"/>
        </w:rPr>
        <w:t> </w:t>
      </w:r>
      <w:r>
        <w:rPr>
          <w:w w:val="130"/>
          <w:sz w:val="24"/>
        </w:rPr>
        <w:t>és</w:t>
      </w:r>
      <w:r>
        <w:rPr>
          <w:spacing w:val="-16"/>
          <w:w w:val="130"/>
          <w:sz w:val="24"/>
        </w:rPr>
        <w:t> </w:t>
      </w:r>
      <w:r>
        <w:rPr>
          <w:w w:val="130"/>
          <w:sz w:val="24"/>
        </w:rPr>
        <w:t>a</w:t>
      </w:r>
      <w:r>
        <w:rPr>
          <w:spacing w:val="-16"/>
          <w:w w:val="130"/>
          <w:sz w:val="24"/>
        </w:rPr>
        <w:t> </w:t>
      </w:r>
      <w:r>
        <w:rPr>
          <w:w w:val="130"/>
          <w:sz w:val="24"/>
        </w:rPr>
        <w:t>kommunikációért.</w:t>
      </w:r>
    </w:p>
    <w:p>
      <w:pPr>
        <w:pStyle w:val="ListParagraph"/>
        <w:numPr>
          <w:ilvl w:val="0"/>
          <w:numId w:val="255"/>
        </w:numPr>
        <w:tabs>
          <w:tab w:pos="1052" w:val="left" w:leader="none"/>
        </w:tabs>
        <w:spacing w:line="225" w:lineRule="auto" w:before="6" w:after="0"/>
        <w:ind w:left="113" w:right="126" w:firstLine="204"/>
        <w:jc w:val="both"/>
        <w:rPr>
          <w:sz w:val="24"/>
        </w:rPr>
      </w:pPr>
      <w:r>
        <w:rPr>
          <w:w w:val="125"/>
          <w:sz w:val="24"/>
        </w:rPr>
        <w:t>A hitelintézet írásban rögzített hatékony eljárásrendekkel, szabályzatokkal</w:t>
      </w:r>
      <w:r>
        <w:rPr>
          <w:spacing w:val="1"/>
          <w:w w:val="125"/>
          <w:sz w:val="24"/>
        </w:rPr>
        <w:t> </w:t>
      </w:r>
      <w:r>
        <w:rPr>
          <w:w w:val="125"/>
          <w:sz w:val="24"/>
        </w:rPr>
        <w:t>rendelkezik:</w:t>
      </w:r>
    </w:p>
    <w:p>
      <w:pPr>
        <w:pStyle w:val="ListParagraph"/>
        <w:numPr>
          <w:ilvl w:val="0"/>
          <w:numId w:val="257"/>
        </w:numPr>
        <w:tabs>
          <w:tab w:pos="760" w:val="left" w:leader="none"/>
        </w:tabs>
        <w:spacing w:line="225" w:lineRule="auto" w:before="1" w:after="0"/>
        <w:ind w:left="113" w:right="129" w:firstLine="204"/>
        <w:jc w:val="both"/>
        <w:rPr>
          <w:sz w:val="24"/>
        </w:rPr>
      </w:pPr>
      <w:r>
        <w:rPr>
          <w:w w:val="125"/>
          <w:sz w:val="24"/>
        </w:rPr>
        <w:t>azon kockázat kezelésére, amelynél az általa alkalmazott, elismert hitelkockázat-mérséklési technikák a vártnál kevésbé hatékonynak  bizonyulnak,</w:t>
      </w:r>
    </w:p>
    <w:p>
      <w:pPr>
        <w:pStyle w:val="ListParagraph"/>
        <w:numPr>
          <w:ilvl w:val="0"/>
          <w:numId w:val="257"/>
        </w:numPr>
        <w:tabs>
          <w:tab w:pos="744" w:val="left" w:leader="none"/>
        </w:tabs>
        <w:spacing w:line="225" w:lineRule="auto" w:before="2" w:after="0"/>
        <w:ind w:left="113" w:right="111" w:firstLine="204"/>
        <w:jc w:val="both"/>
        <w:rPr>
          <w:sz w:val="24"/>
        </w:rPr>
      </w:pPr>
      <w:r>
        <w:rPr>
          <w:w w:val="125"/>
          <w:sz w:val="24"/>
        </w:rPr>
        <w:t>az ügyféllel, a kapcsolatban álló ügyfelek csoportjával, a partnerrel (ideértve a központi szerződő felet is), az ugyanazon gazdasági ágazatbeli, régióbeli vagy ugyanazon tevékenységet folytató partnerekkel, ügyfelekkel szembeni kitettségekből, a hitelkockázat-mérséklés alkalmazásából származó kockázati koncentráció</w:t>
      </w:r>
      <w:r>
        <w:rPr>
          <w:spacing w:val="1"/>
          <w:w w:val="125"/>
          <w:sz w:val="24"/>
        </w:rPr>
        <w:t> </w:t>
      </w:r>
      <w:r>
        <w:rPr>
          <w:w w:val="125"/>
          <w:sz w:val="24"/>
        </w:rPr>
        <w:t>kezelésére,</w:t>
      </w:r>
    </w:p>
    <w:p>
      <w:pPr>
        <w:pStyle w:val="ListParagraph"/>
        <w:numPr>
          <w:ilvl w:val="0"/>
          <w:numId w:val="257"/>
        </w:numPr>
        <w:tabs>
          <w:tab w:pos="775" w:val="left" w:leader="none"/>
        </w:tabs>
        <w:spacing w:line="225" w:lineRule="auto" w:before="3" w:after="0"/>
        <w:ind w:left="113" w:right="129" w:firstLine="204"/>
        <w:jc w:val="both"/>
        <w:rPr>
          <w:sz w:val="24"/>
        </w:rPr>
      </w:pPr>
      <w:r>
        <w:rPr>
          <w:w w:val="130"/>
          <w:sz w:val="24"/>
        </w:rPr>
        <w:t>a piaci kockázatok valamennyi lényeges forrásának és hatásának</w:t>
      </w:r>
      <w:r>
        <w:rPr>
          <w:spacing w:val="78"/>
          <w:w w:val="130"/>
          <w:sz w:val="24"/>
        </w:rPr>
        <w:t> </w:t>
      </w:r>
      <w:r>
        <w:rPr>
          <w:w w:val="130"/>
          <w:sz w:val="24"/>
        </w:rPr>
        <w:t>mérésére és kezelésére, és a rövid pozíció hosszú pozíciót megelőző</w:t>
      </w:r>
      <w:r>
        <w:rPr>
          <w:spacing w:val="78"/>
          <w:w w:val="130"/>
          <w:sz w:val="24"/>
        </w:rPr>
        <w:t> </w:t>
      </w:r>
      <w:r>
        <w:rPr>
          <w:w w:val="130"/>
          <w:sz w:val="24"/>
        </w:rPr>
        <w:t>esedékességéből fakadó likviditási hiány kockázatának</w:t>
      </w:r>
      <w:r>
        <w:rPr>
          <w:spacing w:val="-58"/>
          <w:w w:val="130"/>
          <w:sz w:val="24"/>
        </w:rPr>
        <w:t> </w:t>
      </w:r>
      <w:r>
        <w:rPr>
          <w:w w:val="130"/>
          <w:sz w:val="24"/>
        </w:rPr>
        <w:t>kezelésére,</w:t>
      </w:r>
    </w:p>
    <w:p>
      <w:pPr>
        <w:pStyle w:val="ListParagraph"/>
        <w:numPr>
          <w:ilvl w:val="0"/>
          <w:numId w:val="257"/>
        </w:numPr>
        <w:tabs>
          <w:tab w:pos="704" w:val="left" w:leader="none"/>
        </w:tabs>
        <w:spacing w:line="225" w:lineRule="auto" w:before="1" w:after="0"/>
        <w:ind w:left="113" w:right="138" w:firstLine="204"/>
        <w:jc w:val="both"/>
        <w:rPr>
          <w:sz w:val="24"/>
        </w:rPr>
      </w:pPr>
      <w:r>
        <w:rPr>
          <w:w w:val="130"/>
          <w:sz w:val="24"/>
        </w:rPr>
        <w:t>a nem kereskedési tevékenységet érintő, esetleges kamatváltozásokból származó kockázatok értékelésére, mérésére és</w:t>
      </w:r>
      <w:r>
        <w:rPr>
          <w:spacing w:val="-20"/>
          <w:w w:val="130"/>
          <w:sz w:val="24"/>
        </w:rPr>
        <w:t> </w:t>
      </w:r>
      <w:r>
        <w:rPr>
          <w:w w:val="130"/>
          <w:sz w:val="24"/>
        </w:rPr>
        <w:t>kezelésére,</w:t>
      </w:r>
    </w:p>
    <w:p>
      <w:pPr>
        <w:pStyle w:val="ListParagraph"/>
        <w:numPr>
          <w:ilvl w:val="0"/>
          <w:numId w:val="257"/>
        </w:numPr>
        <w:tabs>
          <w:tab w:pos="753" w:val="left" w:leader="none"/>
        </w:tabs>
        <w:spacing w:line="225" w:lineRule="auto" w:before="2" w:after="0"/>
        <w:ind w:left="113" w:right="125" w:firstLine="204"/>
        <w:jc w:val="both"/>
        <w:rPr>
          <w:sz w:val="24"/>
        </w:rPr>
      </w:pPr>
      <w:r>
        <w:rPr>
          <w:w w:val="125"/>
          <w:sz w:val="24"/>
        </w:rPr>
        <w:t>működési kockázatok - ideértve a modellkockázatot is - mérésére, kezelésére, valamint vészhelyzeti és üzletmenet-folytonossági tervvel a folyamatos működés fenntartása, továbbá a súlyos üzletviteli fennakadásokból következő esetleges veszteségek mérséklése</w:t>
      </w:r>
      <w:r>
        <w:rPr>
          <w:spacing w:val="14"/>
          <w:w w:val="125"/>
          <w:sz w:val="24"/>
        </w:rPr>
        <w:t> </w:t>
      </w:r>
      <w:r>
        <w:rPr>
          <w:w w:val="125"/>
          <w:sz w:val="24"/>
        </w:rPr>
        <w:t>érdekében,</w:t>
      </w:r>
    </w:p>
    <w:p>
      <w:pPr>
        <w:pStyle w:val="ListParagraph"/>
        <w:numPr>
          <w:ilvl w:val="0"/>
          <w:numId w:val="257"/>
        </w:numPr>
        <w:tabs>
          <w:tab w:pos="671" w:val="left" w:leader="none"/>
        </w:tabs>
        <w:spacing w:line="225" w:lineRule="auto" w:before="2" w:after="0"/>
        <w:ind w:left="113" w:right="127" w:firstLine="204"/>
        <w:jc w:val="both"/>
        <w:rPr>
          <w:sz w:val="24"/>
        </w:rPr>
      </w:pPr>
      <w:r>
        <w:rPr>
          <w:w w:val="125"/>
          <w:sz w:val="24"/>
        </w:rPr>
        <w:t>az egyes üzletágakhoz, devizanemekhez és a csoporthoz tartozó jogi személyekhez igazítva a likviditási kockázata megfelelő - akár egy napon</w:t>
      </w:r>
      <w:r>
        <w:rPr>
          <w:spacing w:val="4"/>
          <w:w w:val="125"/>
          <w:sz w:val="24"/>
        </w:rPr>
        <w:t> </w:t>
      </w:r>
      <w:r>
        <w:rPr>
          <w:w w:val="125"/>
          <w:sz w:val="24"/>
        </w:rPr>
        <w:t>belüli</w:t>
      </w:r>
    </w:p>
    <w:p>
      <w:pPr>
        <w:pStyle w:val="ListParagraph"/>
        <w:numPr>
          <w:ilvl w:val="0"/>
          <w:numId w:val="6"/>
        </w:numPr>
        <w:tabs>
          <w:tab w:pos="456" w:val="left" w:leader="none"/>
        </w:tabs>
        <w:spacing w:line="225" w:lineRule="auto" w:before="1" w:after="0"/>
        <w:ind w:left="113" w:right="135" w:firstLine="0"/>
        <w:jc w:val="both"/>
        <w:rPr>
          <w:sz w:val="24"/>
        </w:rPr>
      </w:pPr>
      <w:r>
        <w:rPr>
          <w:w w:val="125"/>
          <w:sz w:val="24"/>
        </w:rPr>
        <w:t>időtávokon történő azonosítására, mérésére, kezelésére és nyomon követésére, ideértve a likviditási költség-, nyereség- és kockázat-allokációs eljárásokat is,</w:t>
      </w:r>
    </w:p>
    <w:p>
      <w:pPr>
        <w:pStyle w:val="ListParagraph"/>
        <w:numPr>
          <w:ilvl w:val="0"/>
          <w:numId w:val="257"/>
        </w:numPr>
        <w:tabs>
          <w:tab w:pos="749" w:val="left" w:leader="none"/>
        </w:tabs>
        <w:spacing w:line="225" w:lineRule="auto" w:before="2" w:after="0"/>
        <w:ind w:left="113" w:right="130" w:firstLine="204"/>
        <w:jc w:val="both"/>
        <w:rPr>
          <w:sz w:val="24"/>
        </w:rPr>
      </w:pPr>
      <w:r>
        <w:rPr>
          <w:w w:val="125"/>
          <w:sz w:val="24"/>
        </w:rPr>
        <w:t>azon értékpapírosítási ügyletekből eredő kockázatok értékelésére és kezelésére, amelyeknél a hitelintézet befektetőként, kezdeményezőként vagy szponzorként lép fel, ideértve a hírnévkockázatot - így különösen a bonyolult struktúrákból vagy termékekből eredő hírnévkockázatot - is, annak biztosítására, hogy az ügylet gazdasági tartalma teljes mértékben tükröződjön   a kockázatok értékelésére és kezelésére vonatkozó</w:t>
      </w:r>
      <w:r>
        <w:rPr>
          <w:spacing w:val="31"/>
          <w:w w:val="125"/>
          <w:sz w:val="24"/>
        </w:rPr>
        <w:t> </w:t>
      </w:r>
      <w:r>
        <w:rPr>
          <w:w w:val="125"/>
          <w:sz w:val="24"/>
        </w:rPr>
        <w:t>döntésekben,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13"/>
        </w:rPr>
      </w:pPr>
      <w:r>
        <w:rPr/>
        <w:pict>
          <v:line style="position:absolute;mso-position-horizontal-relative:page;mso-position-vertical-relative:paragraph;z-index:488;mso-wrap-distance-left:0;mso-wrap-distance-right:0" from="56.693001pt,9.791099pt" to="538.583001pt,9.79109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CXLV. törvény 134. §</w:t>
      </w:r>
      <w:r>
        <w:rPr>
          <w:i/>
          <w:spacing w:val="-4"/>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ListParagraph"/>
        <w:numPr>
          <w:ilvl w:val="0"/>
          <w:numId w:val="257"/>
        </w:numPr>
        <w:tabs>
          <w:tab w:pos="660" w:val="left" w:leader="none"/>
        </w:tabs>
        <w:spacing w:line="225" w:lineRule="auto" w:before="173" w:after="0"/>
        <w:ind w:left="113" w:right="127" w:firstLine="204"/>
        <w:jc w:val="both"/>
        <w:rPr>
          <w:sz w:val="24"/>
        </w:rPr>
      </w:pPr>
      <w:r>
        <w:rPr>
          <w:w w:val="125"/>
          <w:sz w:val="24"/>
        </w:rPr>
        <w:t>a túlzott tőkeáttételi kockázat azonosítására, kezelésére és ellenőrzésére, különösen annak érdekében, hogy a hitelintézet elővigyázatosan kezelje a várt vagy realizált veszteségek miatti szavatolótőke-csökkenés okán bekövetkező tőkeáttétel növekedés kockázatát, és ezáltal ellenálljon a különböző stressz helyzetekben jelentkező túlzott tőkeáttétel kockázatának,</w:t>
      </w:r>
      <w:r>
        <w:rPr>
          <w:spacing w:val="26"/>
          <w:w w:val="125"/>
          <w:sz w:val="24"/>
        </w:rPr>
        <w:t> </w:t>
      </w:r>
      <w:r>
        <w:rPr>
          <w:w w:val="125"/>
          <w:sz w:val="24"/>
        </w:rPr>
        <w:t>valamint</w:t>
      </w:r>
    </w:p>
    <w:p>
      <w:pPr>
        <w:pStyle w:val="ListParagraph"/>
        <w:numPr>
          <w:ilvl w:val="0"/>
          <w:numId w:val="257"/>
        </w:numPr>
        <w:tabs>
          <w:tab w:pos="685" w:val="left" w:leader="none"/>
        </w:tabs>
        <w:spacing w:line="225" w:lineRule="auto" w:before="3" w:after="0"/>
        <w:ind w:left="113" w:right="127" w:firstLine="204"/>
        <w:jc w:val="both"/>
        <w:rPr>
          <w:sz w:val="24"/>
        </w:rPr>
      </w:pPr>
      <w:r>
        <w:rPr>
          <w:w w:val="125"/>
          <w:sz w:val="24"/>
        </w:rPr>
        <w:t>a hitel- és pénzkölcsönnyújtási tevékenység jóváhagyási, módosítási, megújítási, refinanszírozási és monitoringozási</w:t>
      </w:r>
      <w:r>
        <w:rPr>
          <w:spacing w:val="5"/>
          <w:w w:val="125"/>
          <w:sz w:val="24"/>
        </w:rPr>
        <w:t> </w:t>
      </w:r>
      <w:r>
        <w:rPr>
          <w:w w:val="125"/>
          <w:sz w:val="24"/>
        </w:rPr>
        <w:t>folyamataira.</w:t>
      </w:r>
    </w:p>
    <w:p>
      <w:pPr>
        <w:pStyle w:val="ListParagraph"/>
        <w:numPr>
          <w:ilvl w:val="0"/>
          <w:numId w:val="255"/>
        </w:numPr>
        <w:tabs>
          <w:tab w:pos="734" w:val="left" w:leader="none"/>
        </w:tabs>
        <w:spacing w:line="256" w:lineRule="exact" w:before="0" w:after="0"/>
        <w:ind w:left="733" w:right="0" w:hanging="416"/>
        <w:jc w:val="left"/>
        <w:rPr>
          <w:sz w:val="24"/>
        </w:rPr>
      </w:pPr>
      <w:r>
        <w:rPr>
          <w:w w:val="125"/>
          <w:sz w:val="24"/>
        </w:rPr>
        <w:t>Az (5) bekezdés </w:t>
      </w:r>
      <w:r>
        <w:rPr>
          <w:i/>
          <w:w w:val="125"/>
          <w:sz w:val="24"/>
        </w:rPr>
        <w:t>f) </w:t>
      </w:r>
      <w:r>
        <w:rPr>
          <w:w w:val="125"/>
          <w:sz w:val="24"/>
        </w:rPr>
        <w:t>pontjában foglaltak teljesítése</w:t>
      </w:r>
      <w:r>
        <w:rPr>
          <w:spacing w:val="19"/>
          <w:w w:val="125"/>
          <w:sz w:val="24"/>
        </w:rPr>
        <w:t> </w:t>
      </w:r>
      <w:r>
        <w:rPr>
          <w:w w:val="125"/>
          <w:sz w:val="24"/>
        </w:rPr>
        <w:t>érdekében:</w:t>
      </w:r>
    </w:p>
    <w:p>
      <w:pPr>
        <w:pStyle w:val="ListParagraph"/>
        <w:numPr>
          <w:ilvl w:val="0"/>
          <w:numId w:val="258"/>
        </w:numPr>
        <w:tabs>
          <w:tab w:pos="685" w:val="left" w:leader="none"/>
        </w:tabs>
        <w:spacing w:line="225" w:lineRule="auto" w:before="5" w:after="0"/>
        <w:ind w:left="113" w:right="129" w:firstLine="204"/>
        <w:jc w:val="both"/>
        <w:rPr>
          <w:sz w:val="24"/>
        </w:rPr>
      </w:pPr>
      <w:r>
        <w:rPr>
          <w:w w:val="130"/>
          <w:sz w:val="24"/>
        </w:rPr>
        <w:t>a hitelintézet irányítási jogkörrel rendelkező vezető testülete megfelelő stratégiát alakít ki és kockázattűrési mértéket határoz meg minden érintett</w:t>
      </w:r>
      <w:r>
        <w:rPr>
          <w:spacing w:val="78"/>
          <w:w w:val="130"/>
          <w:sz w:val="24"/>
        </w:rPr>
        <w:t> </w:t>
      </w:r>
      <w:r>
        <w:rPr>
          <w:w w:val="130"/>
          <w:sz w:val="24"/>
        </w:rPr>
        <w:t>üzletágra,</w:t>
      </w:r>
    </w:p>
    <w:p>
      <w:pPr>
        <w:pStyle w:val="ListParagraph"/>
        <w:numPr>
          <w:ilvl w:val="0"/>
          <w:numId w:val="258"/>
        </w:numPr>
        <w:tabs>
          <w:tab w:pos="688" w:val="left" w:leader="none"/>
        </w:tabs>
        <w:spacing w:line="225" w:lineRule="auto" w:before="2" w:after="0"/>
        <w:ind w:left="113" w:right="118" w:firstLine="204"/>
        <w:jc w:val="both"/>
        <w:rPr>
          <w:sz w:val="24"/>
        </w:rPr>
      </w:pPr>
      <w:r>
        <w:rPr>
          <w:w w:val="130"/>
          <w:sz w:val="24"/>
        </w:rPr>
        <w:t>az eljárásrendek, szabályzatok arányban állnak a hitelintézet méretével, tevékenységének összetettségével és körével, az irányítási jogkörrel rendelkező vezető testület által meghatározott kockázatvállalási limitjeivel, valamint a hitelintézetnek azon EGT-államban betöltött rendszerszintű</w:t>
      </w:r>
      <w:r>
        <w:rPr>
          <w:spacing w:val="78"/>
          <w:w w:val="130"/>
          <w:sz w:val="24"/>
        </w:rPr>
        <w:t> </w:t>
      </w:r>
      <w:r>
        <w:rPr>
          <w:w w:val="130"/>
          <w:sz w:val="24"/>
        </w:rPr>
        <w:t>fontosságával, amelyekben pénzügyi és kiegészítő pénzügyi szolgáltatási tevékenységet</w:t>
      </w:r>
      <w:r>
        <w:rPr>
          <w:spacing w:val="-4"/>
          <w:w w:val="130"/>
          <w:sz w:val="24"/>
        </w:rPr>
        <w:t> </w:t>
      </w:r>
      <w:r>
        <w:rPr>
          <w:w w:val="130"/>
          <w:sz w:val="24"/>
        </w:rPr>
        <w:t>végez,</w:t>
      </w:r>
    </w:p>
    <w:p>
      <w:pPr>
        <w:pStyle w:val="ListParagraph"/>
        <w:numPr>
          <w:ilvl w:val="0"/>
          <w:numId w:val="258"/>
        </w:numPr>
        <w:tabs>
          <w:tab w:pos="817" w:val="left" w:leader="none"/>
        </w:tabs>
        <w:spacing w:line="225" w:lineRule="auto" w:before="3" w:after="0"/>
        <w:ind w:left="113" w:right="123" w:firstLine="204"/>
        <w:jc w:val="both"/>
        <w:rPr>
          <w:sz w:val="24"/>
        </w:rPr>
      </w:pPr>
      <w:r>
        <w:rPr>
          <w:w w:val="130"/>
          <w:sz w:val="24"/>
        </w:rPr>
        <w:t>a hitelintézet a finanszírozási pozíciók azonosítására, mérésére, kezelésére és nyomon követésére belső szabályzatot dolgoz ki, amely tartalmazza az eszközökből, a forrásokból, a mérlegen kívüli tételekből - ideértve a függő kötelezettségeket is - eredő aktuális és várható pénzáramlásokat, valamint a hírnévkockázat esetleges hatásai miatti becsült pénzáramlásokat</w:t>
      </w:r>
      <w:r>
        <w:rPr>
          <w:spacing w:val="-3"/>
          <w:w w:val="130"/>
          <w:sz w:val="24"/>
        </w:rPr>
        <w:t> </w:t>
      </w:r>
      <w:r>
        <w:rPr>
          <w:w w:val="130"/>
          <w:sz w:val="24"/>
        </w:rPr>
        <w:t>is,</w:t>
      </w:r>
    </w:p>
    <w:p>
      <w:pPr>
        <w:pStyle w:val="ListParagraph"/>
        <w:numPr>
          <w:ilvl w:val="0"/>
          <w:numId w:val="258"/>
        </w:numPr>
        <w:tabs>
          <w:tab w:pos="649" w:val="left" w:leader="none"/>
        </w:tabs>
        <w:spacing w:line="225" w:lineRule="auto" w:before="4" w:after="0"/>
        <w:ind w:left="113" w:right="132" w:firstLine="204"/>
        <w:jc w:val="both"/>
        <w:rPr>
          <w:sz w:val="24"/>
        </w:rPr>
      </w:pPr>
      <w:r>
        <w:rPr>
          <w:w w:val="130"/>
          <w:sz w:val="24"/>
        </w:rPr>
        <w:t>a</w:t>
      </w:r>
      <w:r>
        <w:rPr>
          <w:spacing w:val="-12"/>
          <w:w w:val="130"/>
          <w:sz w:val="24"/>
        </w:rPr>
        <w:t> </w:t>
      </w:r>
      <w:r>
        <w:rPr>
          <w:w w:val="130"/>
          <w:sz w:val="24"/>
        </w:rPr>
        <w:t>hitelintézet</w:t>
      </w:r>
      <w:r>
        <w:rPr>
          <w:spacing w:val="-11"/>
          <w:w w:val="130"/>
          <w:sz w:val="24"/>
        </w:rPr>
        <w:t> </w:t>
      </w:r>
      <w:r>
        <w:rPr>
          <w:w w:val="130"/>
          <w:sz w:val="24"/>
        </w:rPr>
        <w:t>egy</w:t>
      </w:r>
      <w:r>
        <w:rPr>
          <w:spacing w:val="-12"/>
          <w:w w:val="130"/>
          <w:sz w:val="24"/>
        </w:rPr>
        <w:t> </w:t>
      </w:r>
      <w:r>
        <w:rPr>
          <w:w w:val="130"/>
          <w:sz w:val="24"/>
        </w:rPr>
        <w:t>esetleges</w:t>
      </w:r>
      <w:r>
        <w:rPr>
          <w:spacing w:val="-11"/>
          <w:w w:val="130"/>
          <w:sz w:val="24"/>
        </w:rPr>
        <w:t> </w:t>
      </w:r>
      <w:r>
        <w:rPr>
          <w:w w:val="130"/>
          <w:sz w:val="24"/>
        </w:rPr>
        <w:t>válsághelyzetre</w:t>
      </w:r>
      <w:r>
        <w:rPr>
          <w:spacing w:val="-12"/>
          <w:w w:val="130"/>
          <w:sz w:val="24"/>
        </w:rPr>
        <w:t> </w:t>
      </w:r>
      <w:r>
        <w:rPr>
          <w:w w:val="130"/>
          <w:sz w:val="24"/>
        </w:rPr>
        <w:t>történő</w:t>
      </w:r>
      <w:r>
        <w:rPr>
          <w:spacing w:val="-11"/>
          <w:w w:val="130"/>
          <w:sz w:val="24"/>
        </w:rPr>
        <w:t> </w:t>
      </w:r>
      <w:r>
        <w:rPr>
          <w:w w:val="130"/>
          <w:sz w:val="24"/>
        </w:rPr>
        <w:t>felkészülés</w:t>
      </w:r>
      <w:r>
        <w:rPr>
          <w:spacing w:val="-12"/>
          <w:w w:val="130"/>
          <w:sz w:val="24"/>
        </w:rPr>
        <w:t> </w:t>
      </w:r>
      <w:r>
        <w:rPr>
          <w:w w:val="130"/>
          <w:sz w:val="24"/>
        </w:rPr>
        <w:t>érdekében elkülönítetten kezeli a dologi biztosítékkal terhelt, és a bármikor szabadon</w:t>
      </w:r>
      <w:r>
        <w:rPr>
          <w:spacing w:val="78"/>
          <w:w w:val="130"/>
          <w:sz w:val="24"/>
        </w:rPr>
        <w:t> </w:t>
      </w:r>
      <w:r>
        <w:rPr>
          <w:w w:val="130"/>
          <w:sz w:val="24"/>
        </w:rPr>
        <w:t>felhasználható eszközöket, valamint figyelembe</w:t>
      </w:r>
      <w:r>
        <w:rPr>
          <w:spacing w:val="-34"/>
          <w:w w:val="130"/>
          <w:sz w:val="24"/>
        </w:rPr>
        <w:t> </w:t>
      </w:r>
      <w:r>
        <w:rPr>
          <w:w w:val="130"/>
          <w:sz w:val="24"/>
        </w:rPr>
        <w:t>veszi</w:t>
      </w:r>
    </w:p>
    <w:p>
      <w:pPr>
        <w:pStyle w:val="BodyText"/>
        <w:spacing w:line="225" w:lineRule="auto" w:before="1"/>
        <w:ind w:right="127"/>
        <w:jc w:val="both"/>
      </w:pPr>
      <w:r>
        <w:rPr>
          <w:i/>
          <w:w w:val="130"/>
        </w:rPr>
        <w:t>da) azt </w:t>
      </w:r>
      <w:r>
        <w:rPr>
          <w:w w:val="130"/>
        </w:rPr>
        <w:t>a személyt vagy szervezetet, akinek vagy amelynek az eszköz a birtokában van,</w:t>
      </w:r>
    </w:p>
    <w:p>
      <w:pPr>
        <w:pStyle w:val="BodyText"/>
        <w:spacing w:line="225" w:lineRule="auto" w:before="2"/>
        <w:ind w:right="126"/>
        <w:jc w:val="both"/>
      </w:pPr>
      <w:r>
        <w:rPr>
          <w:i/>
          <w:w w:val="125"/>
        </w:rPr>
        <w:t>db) azt az </w:t>
      </w:r>
      <w:r>
        <w:rPr>
          <w:w w:val="125"/>
        </w:rPr>
        <w:t>országot, amelyben az eszköz nyilvántartásban vagy számlán szerepel,</w:t>
      </w:r>
    </w:p>
    <w:p>
      <w:pPr>
        <w:pStyle w:val="BodyText"/>
        <w:spacing w:line="225" w:lineRule="auto" w:before="1"/>
        <w:ind w:right="134"/>
        <w:jc w:val="both"/>
      </w:pPr>
      <w:r>
        <w:rPr>
          <w:i/>
          <w:w w:val="130"/>
        </w:rPr>
        <w:t>dc)</w:t>
      </w:r>
      <w:r>
        <w:rPr>
          <w:i/>
          <w:spacing w:val="-14"/>
          <w:w w:val="130"/>
        </w:rPr>
        <w:t> </w:t>
      </w:r>
      <w:r>
        <w:rPr>
          <w:i/>
          <w:w w:val="130"/>
        </w:rPr>
        <w:t>az</w:t>
      </w:r>
      <w:r>
        <w:rPr>
          <w:i/>
          <w:spacing w:val="-12"/>
          <w:w w:val="130"/>
        </w:rPr>
        <w:t> </w:t>
      </w:r>
      <w:r>
        <w:rPr>
          <w:w w:val="130"/>
        </w:rPr>
        <w:t>eszközök</w:t>
      </w:r>
      <w:r>
        <w:rPr>
          <w:spacing w:val="-13"/>
          <w:w w:val="130"/>
        </w:rPr>
        <w:t> </w:t>
      </w:r>
      <w:r>
        <w:rPr>
          <w:w w:val="130"/>
        </w:rPr>
        <w:t>likviditási</w:t>
      </w:r>
      <w:r>
        <w:rPr>
          <w:spacing w:val="-13"/>
          <w:w w:val="130"/>
        </w:rPr>
        <w:t> </w:t>
      </w:r>
      <w:r>
        <w:rPr>
          <w:w w:val="130"/>
        </w:rPr>
        <w:t>többlettartalékként</w:t>
      </w:r>
      <w:r>
        <w:rPr>
          <w:spacing w:val="-13"/>
          <w:w w:val="130"/>
        </w:rPr>
        <w:t> </w:t>
      </w:r>
      <w:r>
        <w:rPr>
          <w:w w:val="130"/>
        </w:rPr>
        <w:t>történő</w:t>
      </w:r>
      <w:r>
        <w:rPr>
          <w:spacing w:val="-13"/>
          <w:w w:val="130"/>
        </w:rPr>
        <w:t> </w:t>
      </w:r>
      <w:r>
        <w:rPr>
          <w:w w:val="130"/>
        </w:rPr>
        <w:t>beszámíthatóságát,</w:t>
      </w:r>
      <w:r>
        <w:rPr>
          <w:spacing w:val="-13"/>
          <w:w w:val="130"/>
        </w:rPr>
        <w:t> </w:t>
      </w:r>
      <w:r>
        <w:rPr>
          <w:w w:val="130"/>
        </w:rPr>
        <w:t>és figyelemmel kíséri azt, hogy a likviditási tartalékok kellő idő</w:t>
      </w:r>
      <w:r>
        <w:rPr>
          <w:spacing w:val="37"/>
          <w:w w:val="130"/>
        </w:rPr>
        <w:t> </w:t>
      </w:r>
      <w:r>
        <w:rPr>
          <w:w w:val="130"/>
        </w:rPr>
        <w:t>alatt mozgósíthatók-e,</w:t>
      </w:r>
    </w:p>
    <w:p>
      <w:pPr>
        <w:pStyle w:val="BodyText"/>
        <w:spacing w:line="225" w:lineRule="auto" w:before="2"/>
        <w:ind w:right="133"/>
        <w:jc w:val="both"/>
      </w:pPr>
      <w:r>
        <w:rPr>
          <w:i/>
          <w:w w:val="130"/>
        </w:rPr>
        <w:t>dd)</w:t>
      </w:r>
      <w:r>
        <w:rPr>
          <w:i/>
          <w:spacing w:val="-29"/>
          <w:w w:val="130"/>
        </w:rPr>
        <w:t> </w:t>
      </w:r>
      <w:r>
        <w:rPr>
          <w:i/>
          <w:w w:val="130"/>
        </w:rPr>
        <w:t>azon</w:t>
      </w:r>
      <w:r>
        <w:rPr>
          <w:i/>
          <w:spacing w:val="-29"/>
          <w:w w:val="130"/>
        </w:rPr>
        <w:t> </w:t>
      </w:r>
      <w:r>
        <w:rPr>
          <w:w w:val="130"/>
        </w:rPr>
        <w:t>jogi,</w:t>
      </w:r>
      <w:r>
        <w:rPr>
          <w:spacing w:val="-29"/>
          <w:w w:val="130"/>
        </w:rPr>
        <w:t> </w:t>
      </w:r>
      <w:r>
        <w:rPr>
          <w:w w:val="130"/>
        </w:rPr>
        <w:t>szabályozói</w:t>
      </w:r>
      <w:r>
        <w:rPr>
          <w:spacing w:val="-29"/>
          <w:w w:val="130"/>
        </w:rPr>
        <w:t> </w:t>
      </w:r>
      <w:r>
        <w:rPr>
          <w:w w:val="130"/>
        </w:rPr>
        <w:t>és</w:t>
      </w:r>
      <w:r>
        <w:rPr>
          <w:spacing w:val="-28"/>
          <w:w w:val="130"/>
        </w:rPr>
        <w:t> </w:t>
      </w:r>
      <w:r>
        <w:rPr>
          <w:w w:val="130"/>
        </w:rPr>
        <w:t>műveleti</w:t>
      </w:r>
      <w:r>
        <w:rPr>
          <w:spacing w:val="-29"/>
          <w:w w:val="130"/>
        </w:rPr>
        <w:t> </w:t>
      </w:r>
      <w:r>
        <w:rPr>
          <w:w w:val="130"/>
        </w:rPr>
        <w:t>korlátozásokat,</w:t>
      </w:r>
      <w:r>
        <w:rPr>
          <w:spacing w:val="-29"/>
          <w:w w:val="130"/>
        </w:rPr>
        <w:t> </w:t>
      </w:r>
      <w:r>
        <w:rPr>
          <w:w w:val="130"/>
        </w:rPr>
        <w:t>amelyek</w:t>
      </w:r>
      <w:r>
        <w:rPr>
          <w:spacing w:val="-29"/>
          <w:w w:val="130"/>
        </w:rPr>
        <w:t> </w:t>
      </w:r>
      <w:r>
        <w:rPr>
          <w:w w:val="130"/>
        </w:rPr>
        <w:t>a</w:t>
      </w:r>
      <w:r>
        <w:rPr>
          <w:spacing w:val="-29"/>
          <w:w w:val="130"/>
        </w:rPr>
        <w:t> </w:t>
      </w:r>
      <w:r>
        <w:rPr>
          <w:w w:val="130"/>
        </w:rPr>
        <w:t>likviditás</w:t>
      </w:r>
      <w:r>
        <w:rPr>
          <w:spacing w:val="-28"/>
          <w:w w:val="130"/>
        </w:rPr>
        <w:t> </w:t>
      </w:r>
      <w:r>
        <w:rPr>
          <w:w w:val="130"/>
        </w:rPr>
        <w:t>és a szabadon felhasználható eszközök EGT-államok közötti és harmadik országokba történő esetleges átruházására</w:t>
      </w:r>
      <w:r>
        <w:rPr>
          <w:spacing w:val="-4"/>
          <w:w w:val="130"/>
        </w:rPr>
        <w:t> </w:t>
      </w:r>
      <w:r>
        <w:rPr>
          <w:w w:val="130"/>
        </w:rPr>
        <w:t>vonatkoznak,</w:t>
      </w:r>
    </w:p>
    <w:p>
      <w:pPr>
        <w:pStyle w:val="ListParagraph"/>
        <w:numPr>
          <w:ilvl w:val="0"/>
          <w:numId w:val="258"/>
        </w:numPr>
        <w:tabs>
          <w:tab w:pos="778" w:val="left" w:leader="none"/>
        </w:tabs>
        <w:spacing w:line="225" w:lineRule="auto" w:before="1" w:after="0"/>
        <w:ind w:left="113" w:right="129" w:firstLine="204"/>
        <w:jc w:val="both"/>
        <w:rPr>
          <w:sz w:val="24"/>
        </w:rPr>
      </w:pPr>
      <w:r>
        <w:rPr>
          <w:w w:val="125"/>
          <w:sz w:val="24"/>
        </w:rPr>
        <w:t>a hitelintézet likviditási kockázatot mérséklő eszközöket alkalmaz, ideértve a megfelelő limitrendszert, a különféle stressz  eseménykor  is fedezetet nyújtó likviditási többlettartalékokat, a kellően diverzifikált finanszírozási szerkezetet, valamint különféle finanszírozási forrásokhoz való hozzáférést is, amelyeket rendszeresen - legalább évente  egyszer  -  felülvizsgál,</w:t>
      </w:r>
    </w:p>
    <w:p>
      <w:pPr>
        <w:pStyle w:val="ListParagraph"/>
        <w:numPr>
          <w:ilvl w:val="0"/>
          <w:numId w:val="258"/>
        </w:numPr>
        <w:tabs>
          <w:tab w:pos="608" w:val="left" w:leader="none"/>
        </w:tabs>
        <w:spacing w:line="225" w:lineRule="auto" w:before="4" w:after="0"/>
        <w:ind w:left="113" w:right="124" w:firstLine="204"/>
        <w:jc w:val="both"/>
        <w:rPr>
          <w:sz w:val="24"/>
        </w:rPr>
      </w:pPr>
      <w:r>
        <w:rPr>
          <w:w w:val="125"/>
          <w:sz w:val="24"/>
        </w:rPr>
        <w:t>a hitelintézet irányítási jogkörrel rendelkező vezető testülete a likviditási pozíciókra és a kockázatmérséklő eszközökre vonatkozó alternatív forgatókönyvek figyelembevételével is áttekinti, és legalább évente egyszer felülvizsgálja a finanszírozási pozícióval kapcsolatos döntéseket alátámasztó feltételezéseket azzal, hogy az alternatív forgatókönyv kitér a mérlegen kívüli tételekre és más függő kötelezettségekre, adott esetben azon különleges célú gazdasági egységre is, amellyel összefüggésben  a  hitelintézet  szponzorként lép fel, vagy amelynek lényeges likviditási támogatást</w:t>
      </w:r>
      <w:r>
        <w:rPr>
          <w:spacing w:val="2"/>
          <w:w w:val="125"/>
          <w:sz w:val="24"/>
        </w:rPr>
        <w:t> </w:t>
      </w:r>
      <w:r>
        <w:rPr>
          <w:w w:val="125"/>
          <w:sz w:val="24"/>
        </w:rPr>
        <w:t>nyújt,</w:t>
      </w:r>
    </w:p>
    <w:p>
      <w:pPr>
        <w:spacing w:after="0" w:line="225" w:lineRule="auto"/>
        <w:jc w:val="both"/>
        <w:rPr>
          <w:sz w:val="24"/>
        </w:rPr>
        <w:sectPr>
          <w:pgSz w:w="11900" w:h="16820"/>
          <w:pgMar w:header="1104" w:footer="0" w:top="1840" w:bottom="280" w:left="1020" w:right="1000"/>
        </w:sectPr>
      </w:pPr>
    </w:p>
    <w:p>
      <w:pPr>
        <w:pStyle w:val="ListParagraph"/>
        <w:numPr>
          <w:ilvl w:val="0"/>
          <w:numId w:val="258"/>
        </w:numPr>
        <w:tabs>
          <w:tab w:pos="693" w:val="left" w:leader="none"/>
        </w:tabs>
        <w:spacing w:line="225" w:lineRule="auto" w:before="173" w:after="0"/>
        <w:ind w:left="113" w:right="128" w:firstLine="204"/>
        <w:jc w:val="both"/>
        <w:rPr>
          <w:sz w:val="24"/>
        </w:rPr>
      </w:pPr>
      <w:r>
        <w:rPr>
          <w:i/>
          <w:w w:val="125"/>
          <w:sz w:val="24"/>
        </w:rPr>
        <w:t>a </w:t>
      </w:r>
      <w:r>
        <w:rPr>
          <w:w w:val="125"/>
          <w:sz w:val="24"/>
        </w:rPr>
        <w:t>hitelintézet eltérő időtávok és stressz események figyelembevételével felméri az intézményfüggő, a piaci szintű és a kettő kombinációjából adódó alternatív forgatókönyvek lehetséges</w:t>
      </w:r>
      <w:r>
        <w:rPr>
          <w:spacing w:val="7"/>
          <w:w w:val="125"/>
          <w:sz w:val="24"/>
        </w:rPr>
        <w:t> </w:t>
      </w:r>
      <w:r>
        <w:rPr>
          <w:w w:val="125"/>
          <w:sz w:val="24"/>
        </w:rPr>
        <w:t>hatásait,</w:t>
      </w:r>
    </w:p>
    <w:p>
      <w:pPr>
        <w:pStyle w:val="ListParagraph"/>
        <w:numPr>
          <w:ilvl w:val="0"/>
          <w:numId w:val="258"/>
        </w:numPr>
        <w:tabs>
          <w:tab w:pos="670" w:val="left" w:leader="none"/>
        </w:tabs>
        <w:spacing w:line="225" w:lineRule="auto" w:before="1" w:after="0"/>
        <w:ind w:left="113" w:right="128" w:firstLine="204"/>
        <w:jc w:val="both"/>
        <w:rPr>
          <w:sz w:val="24"/>
        </w:rPr>
      </w:pPr>
      <w:r>
        <w:rPr>
          <w:w w:val="125"/>
          <w:sz w:val="24"/>
        </w:rPr>
        <w:t>a hitelintézet stratégiáit, belső szabályzatait és kockázatvállalási limitjeit  az </w:t>
      </w:r>
      <w:r>
        <w:rPr>
          <w:i/>
          <w:w w:val="125"/>
          <w:sz w:val="24"/>
        </w:rPr>
        <w:t>f) </w:t>
      </w:r>
      <w:r>
        <w:rPr>
          <w:w w:val="125"/>
          <w:sz w:val="24"/>
        </w:rPr>
        <w:t>pontban meghatározott alternatív forgatókönyvek kimenetele alapján kimutatott likviditási kockázatához igazítja,</w:t>
      </w:r>
    </w:p>
    <w:p>
      <w:pPr>
        <w:pStyle w:val="ListParagraph"/>
        <w:numPr>
          <w:ilvl w:val="0"/>
          <w:numId w:val="258"/>
        </w:numPr>
        <w:tabs>
          <w:tab w:pos="629" w:val="left" w:leader="none"/>
        </w:tabs>
        <w:spacing w:line="225" w:lineRule="auto" w:before="2" w:after="0"/>
        <w:ind w:left="113" w:right="124" w:firstLine="204"/>
        <w:jc w:val="both"/>
        <w:rPr>
          <w:sz w:val="24"/>
        </w:rPr>
      </w:pPr>
      <w:r>
        <w:rPr>
          <w:w w:val="130"/>
          <w:sz w:val="24"/>
        </w:rPr>
        <w:t>a hitelintézet az esetleges likviditási hiányok megszüntetésére irányuló stratégiákat és végrehajtási intézkedéseket tartalmazó, az irányítási jogkörrel rendelkező vezető testület által jóváhagyott tervekkel rendelkezik, a másik EGT-államban létrehozott fióktelepére vonatkozóan is, amelyeket </w:t>
      </w:r>
      <w:r>
        <w:rPr>
          <w:i/>
          <w:w w:val="130"/>
          <w:sz w:val="24"/>
        </w:rPr>
        <w:t>az f) </w:t>
      </w:r>
      <w:r>
        <w:rPr>
          <w:w w:val="130"/>
          <w:sz w:val="24"/>
        </w:rPr>
        <w:t>pont szerinti alternatív forgatókönyvek kimenetele alapján legalább évente</w:t>
      </w:r>
      <w:r>
        <w:rPr>
          <w:spacing w:val="-47"/>
          <w:w w:val="130"/>
          <w:sz w:val="24"/>
        </w:rPr>
        <w:t> </w:t>
      </w:r>
      <w:r>
        <w:rPr>
          <w:w w:val="130"/>
          <w:sz w:val="24"/>
        </w:rPr>
        <w:t>teszteli és frissíti,</w:t>
      </w:r>
      <w:r>
        <w:rPr>
          <w:spacing w:val="-7"/>
          <w:w w:val="130"/>
          <w:sz w:val="24"/>
        </w:rPr>
        <w:t> </w:t>
      </w:r>
      <w:r>
        <w:rPr>
          <w:w w:val="130"/>
          <w:sz w:val="24"/>
        </w:rPr>
        <w:t>valamint</w:t>
      </w:r>
    </w:p>
    <w:p>
      <w:pPr>
        <w:pStyle w:val="ListParagraph"/>
        <w:numPr>
          <w:ilvl w:val="0"/>
          <w:numId w:val="258"/>
        </w:numPr>
        <w:tabs>
          <w:tab w:pos="682" w:val="left" w:leader="none"/>
        </w:tabs>
        <w:spacing w:line="225" w:lineRule="auto" w:before="4" w:after="0"/>
        <w:ind w:left="113" w:right="117" w:firstLine="204"/>
        <w:jc w:val="both"/>
        <w:rPr>
          <w:sz w:val="24"/>
        </w:rPr>
      </w:pPr>
      <w:r>
        <w:rPr>
          <w:w w:val="130"/>
          <w:sz w:val="24"/>
        </w:rPr>
        <w:t>a hitelintézet a likviditás helyreállítására vonatkozó tervek azonnali végrehajthatóságának érdekében előzetesen meghozza a szükséges működési intézkedéseket,</w:t>
      </w:r>
      <w:r>
        <w:rPr>
          <w:spacing w:val="78"/>
          <w:w w:val="130"/>
          <w:sz w:val="24"/>
        </w:rPr>
        <w:t> </w:t>
      </w:r>
      <w:r>
        <w:rPr>
          <w:w w:val="130"/>
          <w:sz w:val="24"/>
        </w:rPr>
        <w:t>amelyek</w:t>
      </w:r>
      <w:r>
        <w:rPr>
          <w:spacing w:val="78"/>
          <w:w w:val="130"/>
          <w:sz w:val="24"/>
        </w:rPr>
        <w:t> </w:t>
      </w:r>
      <w:r>
        <w:rPr>
          <w:w w:val="130"/>
          <w:sz w:val="24"/>
        </w:rPr>
        <w:t>magukban</w:t>
      </w:r>
      <w:r>
        <w:rPr>
          <w:spacing w:val="78"/>
          <w:w w:val="130"/>
          <w:sz w:val="24"/>
        </w:rPr>
        <w:t> </w:t>
      </w:r>
      <w:r>
        <w:rPr>
          <w:w w:val="130"/>
          <w:sz w:val="24"/>
        </w:rPr>
        <w:t>foglalják</w:t>
      </w:r>
      <w:r>
        <w:rPr>
          <w:spacing w:val="78"/>
          <w:w w:val="130"/>
          <w:sz w:val="24"/>
        </w:rPr>
        <w:t> </w:t>
      </w:r>
      <w:r>
        <w:rPr>
          <w:w w:val="130"/>
          <w:sz w:val="24"/>
        </w:rPr>
        <w:t>a</w:t>
      </w:r>
      <w:r>
        <w:rPr>
          <w:spacing w:val="78"/>
          <w:w w:val="130"/>
          <w:sz w:val="24"/>
        </w:rPr>
        <w:t> </w:t>
      </w:r>
      <w:r>
        <w:rPr>
          <w:w w:val="130"/>
          <w:sz w:val="24"/>
        </w:rPr>
        <w:t>központi</w:t>
      </w:r>
      <w:r>
        <w:rPr>
          <w:spacing w:val="78"/>
          <w:w w:val="130"/>
          <w:sz w:val="24"/>
        </w:rPr>
        <w:t> </w:t>
      </w:r>
      <w:r>
        <w:rPr>
          <w:w w:val="130"/>
          <w:sz w:val="24"/>
        </w:rPr>
        <w:t>banki finanszírozáshoz szükséges fedezetek azonnali rendelkezésre állásának biztosítását, amely fedezetek szükség esetén a hitelintézet kitettségeinek pénznemében is</w:t>
      </w:r>
      <w:r>
        <w:rPr>
          <w:spacing w:val="-6"/>
          <w:w w:val="130"/>
          <w:sz w:val="24"/>
        </w:rPr>
        <w:t> </w:t>
      </w:r>
      <w:r>
        <w:rPr>
          <w:w w:val="130"/>
          <w:sz w:val="24"/>
        </w:rPr>
        <w:t>tarthatóak.</w:t>
      </w:r>
    </w:p>
    <w:p>
      <w:pPr>
        <w:pStyle w:val="ListParagraph"/>
        <w:numPr>
          <w:ilvl w:val="0"/>
          <w:numId w:val="255"/>
        </w:numPr>
        <w:tabs>
          <w:tab w:pos="780" w:val="left" w:leader="none"/>
        </w:tabs>
        <w:spacing w:line="225" w:lineRule="auto" w:before="3" w:after="0"/>
        <w:ind w:left="113" w:right="135" w:firstLine="204"/>
        <w:jc w:val="both"/>
        <w:rPr>
          <w:sz w:val="24"/>
        </w:rPr>
      </w:pPr>
      <w:r>
        <w:rPr>
          <w:w w:val="130"/>
          <w:sz w:val="24"/>
        </w:rPr>
        <w:t>A rulírozó kitettségek értékpapírosítását kezdeményező hitelintézet, ha az értékpapír előrehozott tőketörlesztésre vonatkozó rendelkezést tartalmaz, likviditási tervvel rendelkezik a terv szerinti tőketörlesztés, valamint az előrehozott tőketörlesztés</w:t>
      </w:r>
      <w:r>
        <w:rPr>
          <w:spacing w:val="-7"/>
          <w:w w:val="130"/>
          <w:sz w:val="24"/>
        </w:rPr>
        <w:t> </w:t>
      </w:r>
      <w:r>
        <w:rPr>
          <w:w w:val="130"/>
          <w:sz w:val="24"/>
        </w:rPr>
        <w:t>esetére.</w:t>
      </w:r>
    </w:p>
    <w:p>
      <w:pPr>
        <w:pStyle w:val="ListParagraph"/>
        <w:numPr>
          <w:ilvl w:val="0"/>
          <w:numId w:val="255"/>
        </w:numPr>
        <w:tabs>
          <w:tab w:pos="896" w:val="left" w:leader="none"/>
        </w:tabs>
        <w:spacing w:line="225" w:lineRule="auto" w:before="2" w:after="0"/>
        <w:ind w:left="113" w:right="125" w:firstLine="204"/>
        <w:jc w:val="both"/>
        <w:rPr>
          <w:sz w:val="24"/>
        </w:rPr>
      </w:pPr>
      <w:r>
        <w:rPr>
          <w:w w:val="125"/>
          <w:sz w:val="24"/>
        </w:rPr>
        <w:t>A hitelintézet a tevékenységének jellegével, nagyságrendjével és összetettségével összhangban alakítja ki likviditási kockázati profilját és ennek megfelelően jár</w:t>
      </w:r>
      <w:r>
        <w:rPr>
          <w:spacing w:val="1"/>
          <w:w w:val="125"/>
          <w:sz w:val="24"/>
        </w:rPr>
        <w:t> </w:t>
      </w:r>
      <w:r>
        <w:rPr>
          <w:w w:val="125"/>
          <w:sz w:val="24"/>
        </w:rPr>
        <w:t>el.</w:t>
      </w:r>
    </w:p>
    <w:p>
      <w:pPr>
        <w:pStyle w:val="ListParagraph"/>
        <w:numPr>
          <w:ilvl w:val="0"/>
          <w:numId w:val="255"/>
        </w:numPr>
        <w:tabs>
          <w:tab w:pos="912" w:val="left" w:leader="none"/>
        </w:tabs>
        <w:spacing w:line="225" w:lineRule="auto" w:before="2" w:after="0"/>
        <w:ind w:left="113" w:right="127" w:firstLine="204"/>
        <w:jc w:val="both"/>
        <w:rPr>
          <w:sz w:val="24"/>
        </w:rPr>
      </w:pPr>
      <w:r>
        <w:rPr>
          <w:w w:val="130"/>
          <w:sz w:val="24"/>
        </w:rPr>
        <w:t>A Felügyelet figyelemmel kíséri a hitelintézet (8) bekezdésben</w:t>
      </w:r>
      <w:r>
        <w:rPr>
          <w:spacing w:val="78"/>
          <w:w w:val="130"/>
          <w:sz w:val="24"/>
        </w:rPr>
        <w:t> </w:t>
      </w:r>
      <w:r>
        <w:rPr>
          <w:w w:val="130"/>
          <w:sz w:val="24"/>
        </w:rPr>
        <w:t>meghatározottaknak</w:t>
      </w:r>
      <w:r>
        <w:rPr>
          <w:spacing w:val="-20"/>
          <w:w w:val="130"/>
          <w:sz w:val="24"/>
        </w:rPr>
        <w:t> </w:t>
      </w:r>
      <w:r>
        <w:rPr>
          <w:w w:val="130"/>
          <w:sz w:val="24"/>
        </w:rPr>
        <w:t>megfelelően</w:t>
      </w:r>
      <w:r>
        <w:rPr>
          <w:spacing w:val="-19"/>
          <w:w w:val="130"/>
          <w:sz w:val="24"/>
        </w:rPr>
        <w:t> </w:t>
      </w:r>
      <w:r>
        <w:rPr>
          <w:w w:val="130"/>
          <w:sz w:val="24"/>
        </w:rPr>
        <w:t>kialakított</w:t>
      </w:r>
      <w:r>
        <w:rPr>
          <w:spacing w:val="-20"/>
          <w:w w:val="130"/>
          <w:sz w:val="24"/>
        </w:rPr>
        <w:t> </w:t>
      </w:r>
      <w:r>
        <w:rPr>
          <w:w w:val="130"/>
          <w:sz w:val="24"/>
        </w:rPr>
        <w:t>kockázati</w:t>
      </w:r>
      <w:r>
        <w:rPr>
          <w:spacing w:val="-19"/>
          <w:w w:val="130"/>
          <w:sz w:val="24"/>
        </w:rPr>
        <w:t> </w:t>
      </w:r>
      <w:r>
        <w:rPr>
          <w:w w:val="130"/>
          <w:sz w:val="24"/>
        </w:rPr>
        <w:t>profiljának</w:t>
      </w:r>
      <w:r>
        <w:rPr>
          <w:spacing w:val="-20"/>
          <w:w w:val="130"/>
          <w:sz w:val="24"/>
        </w:rPr>
        <w:t> </w:t>
      </w:r>
      <w:r>
        <w:rPr>
          <w:w w:val="130"/>
          <w:sz w:val="24"/>
        </w:rPr>
        <w:t>változásait. Ha ezen változások kihatnak a hitelintézet biztonságos működésére vagy a pénzügyi közvetítőrendszer stabilitására, akkor a Felügyelet megteszi a szükséges</w:t>
      </w:r>
      <w:r>
        <w:rPr>
          <w:spacing w:val="-3"/>
          <w:w w:val="130"/>
          <w:sz w:val="24"/>
        </w:rPr>
        <w:t> </w:t>
      </w:r>
      <w:r>
        <w:rPr>
          <w:w w:val="130"/>
          <w:sz w:val="24"/>
        </w:rPr>
        <w:t>intézkedéseket.</w:t>
      </w:r>
    </w:p>
    <w:p>
      <w:pPr>
        <w:pStyle w:val="ListParagraph"/>
        <w:numPr>
          <w:ilvl w:val="0"/>
          <w:numId w:val="255"/>
        </w:numPr>
        <w:tabs>
          <w:tab w:pos="979" w:val="left" w:leader="none"/>
        </w:tabs>
        <w:spacing w:line="225" w:lineRule="auto" w:before="3" w:after="0"/>
        <w:ind w:left="113" w:right="127" w:firstLine="204"/>
        <w:jc w:val="both"/>
        <w:rPr>
          <w:sz w:val="24"/>
        </w:rPr>
      </w:pPr>
      <w:r>
        <w:rPr>
          <w:w w:val="130"/>
          <w:sz w:val="24"/>
        </w:rPr>
        <w:t>Az (5) bekezdés </w:t>
      </w:r>
      <w:r>
        <w:rPr>
          <w:i/>
          <w:w w:val="130"/>
          <w:sz w:val="24"/>
        </w:rPr>
        <w:t>h) </w:t>
      </w:r>
      <w:r>
        <w:rPr>
          <w:w w:val="130"/>
          <w:sz w:val="24"/>
        </w:rPr>
        <w:t>pontjában foglaltak teljesítésénél a hitelintézet különösen figyelembe veszi az 575/2013/EU rendelet 429. cikke alapján meghatározott tőkeáttételi mutatót, valamint az eszközök és kötelezettségek közötti</w:t>
      </w:r>
      <w:r>
        <w:rPr>
          <w:spacing w:val="-4"/>
          <w:w w:val="130"/>
          <w:sz w:val="24"/>
        </w:rPr>
        <w:t> </w:t>
      </w:r>
      <w:r>
        <w:rPr>
          <w:w w:val="130"/>
          <w:sz w:val="24"/>
        </w:rPr>
        <w:t>eltéréseket.</w:t>
      </w:r>
    </w:p>
    <w:p>
      <w:pPr>
        <w:pStyle w:val="ListParagraph"/>
        <w:numPr>
          <w:ilvl w:val="0"/>
          <w:numId w:val="255"/>
        </w:numPr>
        <w:tabs>
          <w:tab w:pos="891" w:val="left" w:leader="none"/>
        </w:tabs>
        <w:spacing w:line="225" w:lineRule="auto" w:before="2" w:after="0"/>
        <w:ind w:left="113" w:right="128" w:firstLine="204"/>
        <w:jc w:val="both"/>
        <w:rPr>
          <w:sz w:val="24"/>
        </w:rPr>
      </w:pPr>
      <w:r>
        <w:rPr>
          <w:w w:val="125"/>
          <w:sz w:val="24"/>
        </w:rPr>
        <w:t>A hitelintézet az 575/2013/EU rendelet alapján tőkekövetelménnyel nem fedezett piaci kockázatokra vonatkozóan is megfelelő szintű belső tőkével rendelkezik.</w:t>
      </w:r>
    </w:p>
    <w:p>
      <w:pPr>
        <w:pStyle w:val="ListParagraph"/>
        <w:numPr>
          <w:ilvl w:val="1"/>
          <w:numId w:val="213"/>
        </w:numPr>
        <w:tabs>
          <w:tab w:pos="994" w:val="left" w:leader="none"/>
        </w:tabs>
        <w:spacing w:line="225" w:lineRule="auto" w:before="1" w:after="0"/>
        <w:ind w:left="113" w:right="129" w:firstLine="204"/>
        <w:jc w:val="both"/>
        <w:rPr>
          <w:sz w:val="24"/>
        </w:rPr>
      </w:pPr>
      <w:r>
        <w:rPr>
          <w:rFonts w:ascii="Arial" w:hAnsi="Arial"/>
          <w:b/>
          <w:w w:val="120"/>
          <w:sz w:val="24"/>
        </w:rPr>
        <w:t>§ </w:t>
      </w:r>
      <w:r>
        <w:rPr>
          <w:w w:val="120"/>
          <w:sz w:val="24"/>
        </w:rPr>
        <w:t>(1) A hitelintézet irányítási jogkörrel rendelkező vezető testülete felel      a hitelintézet</w:t>
      </w:r>
      <w:r>
        <w:rPr>
          <w:spacing w:val="13"/>
          <w:w w:val="120"/>
          <w:sz w:val="24"/>
        </w:rPr>
        <w:t> </w:t>
      </w:r>
      <w:r>
        <w:rPr>
          <w:w w:val="120"/>
          <w:sz w:val="24"/>
        </w:rPr>
        <w:t>kockázatvállalásaiért.</w:t>
      </w:r>
    </w:p>
    <w:p>
      <w:pPr>
        <w:pStyle w:val="ListParagraph"/>
        <w:numPr>
          <w:ilvl w:val="0"/>
          <w:numId w:val="259"/>
        </w:numPr>
        <w:tabs>
          <w:tab w:pos="768" w:val="left" w:leader="none"/>
        </w:tabs>
        <w:spacing w:line="225" w:lineRule="auto" w:before="1" w:after="0"/>
        <w:ind w:left="113" w:right="124" w:firstLine="204"/>
        <w:jc w:val="both"/>
        <w:rPr>
          <w:sz w:val="24"/>
        </w:rPr>
      </w:pPr>
      <w:r>
        <w:rPr>
          <w:w w:val="125"/>
          <w:sz w:val="24"/>
        </w:rPr>
        <w:t>Az irányítási jogkörrel rendelkező vezető testület elegendő időt fordít a kockázatok megismerésére és mérlegelésére, és biztosítja a szükséges erőforrásokat a kockázatok kezelésére, az eszközök értékelésére, a külső hitelminősítések felhasználására, és a belső modellek alkalmazására annak érdekében, hogy a vonatkozó stratégiai döntéseket kellő ismeretek birtokában, megfelelően alátámasztva hozzák</w:t>
      </w:r>
      <w:r>
        <w:rPr>
          <w:spacing w:val="2"/>
          <w:w w:val="125"/>
          <w:sz w:val="24"/>
        </w:rPr>
        <w:t> </w:t>
      </w:r>
      <w:r>
        <w:rPr>
          <w:w w:val="125"/>
          <w:sz w:val="24"/>
        </w:rPr>
        <w:t>meg.</w:t>
      </w:r>
    </w:p>
    <w:p>
      <w:pPr>
        <w:pStyle w:val="ListParagraph"/>
        <w:numPr>
          <w:ilvl w:val="0"/>
          <w:numId w:val="259"/>
        </w:numPr>
        <w:tabs>
          <w:tab w:pos="768" w:val="left" w:leader="none"/>
        </w:tabs>
        <w:spacing w:line="225" w:lineRule="auto" w:before="4" w:after="0"/>
        <w:ind w:left="113" w:right="126" w:firstLine="204"/>
        <w:jc w:val="both"/>
        <w:rPr>
          <w:sz w:val="24"/>
        </w:rPr>
      </w:pPr>
      <w:r>
        <w:rPr>
          <w:w w:val="125"/>
          <w:sz w:val="24"/>
        </w:rPr>
        <w:t>A hitelintézet biztosítja megfelelő informatikai rendszer felállításával és működtetésével, hogy a vezető testület a vezetői információs rendszeren keresztül naprakész információkkal rendelkezzen a hitelintézet kockázatairól, kockázatkezelési politikájáról és azok változásairól.</w:t>
      </w:r>
    </w:p>
    <w:p>
      <w:pPr>
        <w:spacing w:after="0" w:line="225" w:lineRule="auto"/>
        <w:jc w:val="both"/>
        <w:rPr>
          <w:sz w:val="24"/>
        </w:rPr>
        <w:sectPr>
          <w:pgSz w:w="11900" w:h="16820"/>
          <w:pgMar w:header="1104" w:footer="0" w:top="1840" w:bottom="280" w:left="1020" w:right="1000"/>
        </w:sectPr>
      </w:pPr>
    </w:p>
    <w:p>
      <w:pPr>
        <w:pStyle w:val="ListParagraph"/>
        <w:numPr>
          <w:ilvl w:val="1"/>
          <w:numId w:val="213"/>
        </w:numPr>
        <w:tabs>
          <w:tab w:pos="1086" w:val="left" w:leader="none"/>
        </w:tabs>
        <w:spacing w:line="225" w:lineRule="auto" w:before="172" w:after="0"/>
        <w:ind w:left="113" w:right="123" w:firstLine="204"/>
        <w:jc w:val="both"/>
        <w:rPr>
          <w:sz w:val="24"/>
        </w:rPr>
      </w:pPr>
      <w:r>
        <w:rPr>
          <w:rFonts w:ascii="Arial" w:hAnsi="Arial"/>
          <w:b/>
          <w:w w:val="125"/>
          <w:sz w:val="24"/>
        </w:rPr>
        <w:t>§ </w:t>
      </w:r>
      <w:r>
        <w:rPr>
          <w:w w:val="125"/>
          <w:sz w:val="24"/>
        </w:rPr>
        <w:t>(1) A mérlegfőösszeg tekintetében legalább öt százalékos piaci részesedéssel rendelkező hitelintézet kockázatvállalási-kockázatkezelési bizottságot állít fel, amely folyamatosan figyelemmel kíséri a hitelintézet kockázatvállalási stratégiáját és kockázatvállalási</w:t>
      </w:r>
      <w:r>
        <w:rPr>
          <w:spacing w:val="18"/>
          <w:w w:val="125"/>
          <w:sz w:val="24"/>
        </w:rPr>
        <w:t> </w:t>
      </w:r>
      <w:r>
        <w:rPr>
          <w:w w:val="125"/>
          <w:sz w:val="24"/>
        </w:rPr>
        <w:t>hajlandóságát.</w:t>
      </w:r>
    </w:p>
    <w:p>
      <w:pPr>
        <w:pStyle w:val="ListParagraph"/>
        <w:numPr>
          <w:ilvl w:val="0"/>
          <w:numId w:val="260"/>
        </w:numPr>
        <w:tabs>
          <w:tab w:pos="869" w:val="left" w:leader="none"/>
        </w:tabs>
        <w:spacing w:line="225" w:lineRule="auto" w:before="2" w:after="0"/>
        <w:ind w:left="113" w:right="120" w:firstLine="204"/>
        <w:jc w:val="both"/>
        <w:rPr>
          <w:sz w:val="24"/>
        </w:rPr>
      </w:pPr>
      <w:r>
        <w:rPr>
          <w:w w:val="125"/>
          <w:sz w:val="24"/>
        </w:rPr>
        <w:t>A kockázatvállalási-kockázatkezelési bizottságot tagjai az irányítási jogkörrel rendelkező vezető testület olyan tagjai közül kerülnek ki, akik az érintett hitelintézettel nem állnak munkaviszonyban. Ha a  hitelintézet  irányítási jogkörrel rendelkező vezető testületben nincs legalább három olyan tag, aki nem áll munkaviszonyban a hitelintézettel, akkor a kockázatvállalási-kockázatkezelési bizottságban a felügyeleti jogkörrel rendelkező vezető testület független tagjai is részt</w:t>
      </w:r>
      <w:r>
        <w:rPr>
          <w:spacing w:val="33"/>
          <w:w w:val="125"/>
          <w:sz w:val="24"/>
        </w:rPr>
        <w:t> </w:t>
      </w:r>
      <w:r>
        <w:rPr>
          <w:w w:val="125"/>
          <w:sz w:val="24"/>
        </w:rPr>
        <w:t>vehetnek.</w:t>
      </w:r>
    </w:p>
    <w:p>
      <w:pPr>
        <w:pStyle w:val="ListParagraph"/>
        <w:numPr>
          <w:ilvl w:val="0"/>
          <w:numId w:val="260"/>
        </w:numPr>
        <w:tabs>
          <w:tab w:pos="930" w:val="left" w:leader="none"/>
        </w:tabs>
        <w:spacing w:line="225" w:lineRule="auto" w:before="4" w:after="0"/>
        <w:ind w:left="113" w:right="124" w:firstLine="204"/>
        <w:jc w:val="both"/>
        <w:rPr>
          <w:sz w:val="24"/>
        </w:rPr>
      </w:pPr>
      <w:r>
        <w:rPr>
          <w:w w:val="125"/>
          <w:sz w:val="24"/>
        </w:rPr>
        <w:t>A kockázatvállalási-kockázatkezelési bizottság tagjának megfelelő szakértelemmel kell rendelkeznie a (4) bekezdésben meghatározott feladatok ellátásához.</w:t>
      </w:r>
    </w:p>
    <w:p>
      <w:pPr>
        <w:pStyle w:val="ListParagraph"/>
        <w:numPr>
          <w:ilvl w:val="0"/>
          <w:numId w:val="260"/>
        </w:numPr>
        <w:tabs>
          <w:tab w:pos="734" w:val="left" w:leader="none"/>
        </w:tabs>
        <w:spacing w:line="256" w:lineRule="exact" w:before="0" w:after="0"/>
        <w:ind w:left="733" w:right="0" w:hanging="416"/>
        <w:jc w:val="left"/>
        <w:rPr>
          <w:sz w:val="24"/>
        </w:rPr>
      </w:pPr>
      <w:r>
        <w:rPr>
          <w:w w:val="120"/>
          <w:sz w:val="24"/>
        </w:rPr>
        <w:t>A kockázatvállalási-kockázatkezelési bizottság feladata</w:t>
      </w:r>
      <w:r>
        <w:rPr>
          <w:spacing w:val="3"/>
          <w:w w:val="120"/>
          <w:sz w:val="24"/>
        </w:rPr>
        <w:t> </w:t>
      </w:r>
      <w:r>
        <w:rPr>
          <w:w w:val="120"/>
          <w:sz w:val="24"/>
        </w:rPr>
        <w:t>különösen</w:t>
      </w:r>
    </w:p>
    <w:p>
      <w:pPr>
        <w:pStyle w:val="ListParagraph"/>
        <w:numPr>
          <w:ilvl w:val="0"/>
          <w:numId w:val="261"/>
        </w:numPr>
        <w:tabs>
          <w:tab w:pos="635" w:val="left" w:leader="none"/>
        </w:tabs>
        <w:spacing w:line="225" w:lineRule="auto" w:before="5" w:after="0"/>
        <w:ind w:left="113" w:right="127" w:firstLine="204"/>
        <w:jc w:val="both"/>
        <w:rPr>
          <w:sz w:val="24"/>
        </w:rPr>
      </w:pPr>
      <w:r>
        <w:rPr>
          <w:w w:val="125"/>
          <w:sz w:val="24"/>
        </w:rPr>
        <w:t>szakvélemény elkészítése a vezető állású személyek számára a hitelintézet aktuális és a jövőbeni kockázatvállalási stratégiájáról és kockázatvállalási hajlandóságáról,</w:t>
      </w:r>
    </w:p>
    <w:p>
      <w:pPr>
        <w:pStyle w:val="ListParagraph"/>
        <w:numPr>
          <w:ilvl w:val="0"/>
          <w:numId w:val="261"/>
        </w:numPr>
        <w:tabs>
          <w:tab w:pos="823" w:val="left" w:leader="none"/>
        </w:tabs>
        <w:spacing w:line="225" w:lineRule="auto" w:before="2" w:after="0"/>
        <w:ind w:left="113" w:right="134" w:firstLine="204"/>
        <w:jc w:val="both"/>
        <w:rPr>
          <w:sz w:val="24"/>
        </w:rPr>
      </w:pPr>
      <w:r>
        <w:rPr>
          <w:w w:val="130"/>
          <w:sz w:val="24"/>
        </w:rPr>
        <w:t>az irányítási jogkörrel rendelkező vezető testület támogatása a kockázatvállalási stratégia végrehajtásának</w:t>
      </w:r>
      <w:r>
        <w:rPr>
          <w:spacing w:val="-21"/>
          <w:w w:val="130"/>
          <w:sz w:val="24"/>
        </w:rPr>
        <w:t> </w:t>
      </w:r>
      <w:r>
        <w:rPr>
          <w:w w:val="130"/>
          <w:sz w:val="24"/>
        </w:rPr>
        <w:t>felügyelésében,</w:t>
      </w:r>
    </w:p>
    <w:p>
      <w:pPr>
        <w:pStyle w:val="ListParagraph"/>
        <w:numPr>
          <w:ilvl w:val="0"/>
          <w:numId w:val="261"/>
        </w:numPr>
        <w:tabs>
          <w:tab w:pos="663" w:val="left" w:leader="none"/>
        </w:tabs>
        <w:spacing w:line="225" w:lineRule="auto" w:before="1" w:after="0"/>
        <w:ind w:left="113" w:right="117" w:firstLine="204"/>
        <w:jc w:val="both"/>
        <w:rPr>
          <w:sz w:val="24"/>
        </w:rPr>
      </w:pPr>
      <w:r>
        <w:rPr>
          <w:w w:val="125"/>
          <w:sz w:val="24"/>
        </w:rPr>
        <w:t>az ügyfélnek nyújtott pénzügyi vagy kiegészítő pénzügyi szolgáltatáshoz kapcsolódó árazási elvek és a hitelintézet üzleti modellje, valamint kockázatvállalási stratégiája közötti összhang vizsgálata,</w:t>
      </w:r>
      <w:r>
        <w:rPr>
          <w:spacing w:val="17"/>
          <w:w w:val="125"/>
          <w:sz w:val="24"/>
        </w:rPr>
        <w:t> </w:t>
      </w:r>
      <w:r>
        <w:rPr>
          <w:w w:val="125"/>
          <w:sz w:val="24"/>
        </w:rPr>
        <w:t>továbbá</w:t>
      </w:r>
    </w:p>
    <w:p>
      <w:pPr>
        <w:pStyle w:val="ListParagraph"/>
        <w:numPr>
          <w:ilvl w:val="0"/>
          <w:numId w:val="261"/>
        </w:numPr>
        <w:tabs>
          <w:tab w:pos="646" w:val="left" w:leader="none"/>
        </w:tabs>
        <w:spacing w:line="225" w:lineRule="auto" w:before="2" w:after="0"/>
        <w:ind w:left="113" w:right="124" w:firstLine="204"/>
        <w:jc w:val="both"/>
        <w:rPr>
          <w:sz w:val="24"/>
        </w:rPr>
      </w:pPr>
      <w:r>
        <w:rPr>
          <w:w w:val="130"/>
          <w:sz w:val="24"/>
        </w:rPr>
        <w:t>a</w:t>
      </w:r>
      <w:r>
        <w:rPr>
          <w:spacing w:val="-30"/>
          <w:w w:val="130"/>
          <w:sz w:val="24"/>
        </w:rPr>
        <w:t> </w:t>
      </w:r>
      <w:r>
        <w:rPr>
          <w:w w:val="130"/>
          <w:sz w:val="24"/>
        </w:rPr>
        <w:t>javadalmazási</w:t>
      </w:r>
      <w:r>
        <w:rPr>
          <w:spacing w:val="-29"/>
          <w:w w:val="130"/>
          <w:sz w:val="24"/>
        </w:rPr>
        <w:t> </w:t>
      </w:r>
      <w:r>
        <w:rPr>
          <w:w w:val="130"/>
          <w:sz w:val="24"/>
        </w:rPr>
        <w:t>politika</w:t>
      </w:r>
      <w:r>
        <w:rPr>
          <w:spacing w:val="-29"/>
          <w:w w:val="130"/>
          <w:sz w:val="24"/>
        </w:rPr>
        <w:t> </w:t>
      </w:r>
      <w:r>
        <w:rPr>
          <w:w w:val="130"/>
          <w:sz w:val="24"/>
        </w:rPr>
        <w:t>vizsgálata</w:t>
      </w:r>
      <w:r>
        <w:rPr>
          <w:spacing w:val="-30"/>
          <w:w w:val="130"/>
          <w:sz w:val="24"/>
        </w:rPr>
        <w:t> </w:t>
      </w:r>
      <w:r>
        <w:rPr>
          <w:w w:val="130"/>
          <w:sz w:val="24"/>
        </w:rPr>
        <w:t>abból</w:t>
      </w:r>
      <w:r>
        <w:rPr>
          <w:spacing w:val="-29"/>
          <w:w w:val="130"/>
          <w:sz w:val="24"/>
        </w:rPr>
        <w:t> </w:t>
      </w:r>
      <w:r>
        <w:rPr>
          <w:w w:val="130"/>
          <w:sz w:val="24"/>
        </w:rPr>
        <w:t>a</w:t>
      </w:r>
      <w:r>
        <w:rPr>
          <w:spacing w:val="-30"/>
          <w:w w:val="130"/>
          <w:sz w:val="24"/>
        </w:rPr>
        <w:t> </w:t>
      </w:r>
      <w:r>
        <w:rPr>
          <w:w w:val="130"/>
          <w:sz w:val="24"/>
        </w:rPr>
        <w:t>szempontból,</w:t>
      </w:r>
      <w:r>
        <w:rPr>
          <w:spacing w:val="-25"/>
          <w:w w:val="130"/>
          <w:sz w:val="24"/>
        </w:rPr>
        <w:t> </w:t>
      </w:r>
      <w:r>
        <w:rPr>
          <w:w w:val="130"/>
          <w:sz w:val="24"/>
        </w:rPr>
        <w:t>hogy</w:t>
      </w:r>
      <w:r>
        <w:rPr>
          <w:spacing w:val="-34"/>
          <w:w w:val="130"/>
          <w:sz w:val="24"/>
        </w:rPr>
        <w:t> </w:t>
      </w:r>
      <w:r>
        <w:rPr>
          <w:w w:val="130"/>
          <w:sz w:val="24"/>
        </w:rPr>
        <w:t>a</w:t>
      </w:r>
      <w:r>
        <w:rPr>
          <w:spacing w:val="-29"/>
          <w:w w:val="130"/>
          <w:sz w:val="24"/>
        </w:rPr>
        <w:t> </w:t>
      </w:r>
      <w:r>
        <w:rPr>
          <w:w w:val="130"/>
          <w:sz w:val="24"/>
        </w:rPr>
        <w:t>kialakított javadalmazási rendszer ösztönző elemei figyelembe vegyék a hitelintézet kockázatait, tőke- és likviditási helyzetét, és a bevételek valószínűségét és</w:t>
      </w:r>
      <w:r>
        <w:rPr>
          <w:spacing w:val="78"/>
          <w:w w:val="130"/>
          <w:sz w:val="24"/>
        </w:rPr>
        <w:t> </w:t>
      </w:r>
      <w:r>
        <w:rPr>
          <w:w w:val="130"/>
          <w:sz w:val="24"/>
        </w:rPr>
        <w:t>ütemezését.</w:t>
      </w:r>
    </w:p>
    <w:p>
      <w:pPr>
        <w:pStyle w:val="ListParagraph"/>
        <w:numPr>
          <w:ilvl w:val="0"/>
          <w:numId w:val="260"/>
        </w:numPr>
        <w:tabs>
          <w:tab w:pos="839" w:val="left" w:leader="none"/>
        </w:tabs>
        <w:spacing w:line="225" w:lineRule="auto" w:before="2" w:after="0"/>
        <w:ind w:left="113" w:right="126" w:firstLine="204"/>
        <w:jc w:val="both"/>
        <w:rPr>
          <w:sz w:val="24"/>
        </w:rPr>
      </w:pPr>
      <w:r>
        <w:rPr>
          <w:w w:val="125"/>
          <w:sz w:val="24"/>
        </w:rPr>
        <w:t>Ha a kockázatvállalási-kockázatkezelési bizottság a (4) bekezdés </w:t>
      </w:r>
      <w:r>
        <w:rPr>
          <w:i/>
          <w:w w:val="125"/>
          <w:sz w:val="24"/>
        </w:rPr>
        <w:t>c) </w:t>
      </w:r>
      <w:r>
        <w:rPr>
          <w:w w:val="125"/>
          <w:sz w:val="24"/>
        </w:rPr>
        <w:t>pontjában meghatározott feladatának ellátása során úgy ítéli meg, hogy az árazási elvek nem tükrözik megfelelően az üzleti modell és a kockázatvállalási stratégia szerinti kockázatokat, akkor az árazási elvek módosítására tervet készít, amelyet benyújt az irányítási jogkörrel rendelkező vezető testület számára.</w:t>
      </w:r>
    </w:p>
    <w:p>
      <w:pPr>
        <w:pStyle w:val="ListParagraph"/>
        <w:numPr>
          <w:ilvl w:val="0"/>
          <w:numId w:val="260"/>
        </w:numPr>
        <w:tabs>
          <w:tab w:pos="773" w:val="left" w:leader="none"/>
        </w:tabs>
        <w:spacing w:line="225" w:lineRule="auto" w:before="4" w:after="0"/>
        <w:ind w:left="113" w:right="120" w:firstLine="204"/>
        <w:jc w:val="both"/>
        <w:rPr>
          <w:sz w:val="24"/>
        </w:rPr>
      </w:pPr>
      <w:r>
        <w:rPr>
          <w:w w:val="125"/>
          <w:sz w:val="24"/>
        </w:rPr>
        <w:t>A kockázatvállalási-kockázatkezelési bizottság és a felügyeleti jogkörrel rendelkező vezető testület számára feladataik ellátása során a hitelintézet hozzáférést biztosít a kockázati ellenőrzés funkcióhoz és külső szakértők véleményéhez.</w:t>
      </w:r>
    </w:p>
    <w:p>
      <w:pPr>
        <w:pStyle w:val="ListParagraph"/>
        <w:numPr>
          <w:ilvl w:val="1"/>
          <w:numId w:val="213"/>
        </w:numPr>
        <w:tabs>
          <w:tab w:pos="1086" w:val="left" w:leader="none"/>
        </w:tabs>
        <w:spacing w:line="225" w:lineRule="auto" w:before="1" w:after="0"/>
        <w:ind w:left="113" w:right="121" w:firstLine="204"/>
        <w:jc w:val="both"/>
        <w:rPr>
          <w:sz w:val="24"/>
        </w:rPr>
      </w:pPr>
      <w:r>
        <w:rPr>
          <w:rFonts w:ascii="Arial" w:hAnsi="Arial"/>
          <w:b/>
          <w:w w:val="125"/>
          <w:sz w:val="24"/>
        </w:rPr>
        <w:t>§ </w:t>
      </w:r>
      <w:r>
        <w:rPr>
          <w:w w:val="125"/>
          <w:sz w:val="24"/>
        </w:rPr>
        <w:t>(1) A mérlegfőösszeg tekintetében legalább öt százalékos piaci részesedéssel rendelkező hitelintézet hatékony, átfogó és független, a hitelintézet minden jelentős kockázatára kiterjedő kockázati ellenőrzési funkcióért felelős szervezeti egységet alakít ki és</w:t>
      </w:r>
      <w:r>
        <w:rPr>
          <w:spacing w:val="16"/>
          <w:w w:val="125"/>
          <w:sz w:val="24"/>
        </w:rPr>
        <w:t> </w:t>
      </w:r>
      <w:r>
        <w:rPr>
          <w:w w:val="125"/>
          <w:sz w:val="24"/>
        </w:rPr>
        <w:t>működtet.</w:t>
      </w:r>
    </w:p>
    <w:p>
      <w:pPr>
        <w:pStyle w:val="ListParagraph"/>
        <w:numPr>
          <w:ilvl w:val="0"/>
          <w:numId w:val="262"/>
        </w:numPr>
        <w:tabs>
          <w:tab w:pos="748" w:val="left" w:leader="none"/>
        </w:tabs>
        <w:spacing w:line="225" w:lineRule="auto" w:before="3" w:after="0"/>
        <w:ind w:left="113" w:right="113" w:firstLine="204"/>
        <w:jc w:val="both"/>
        <w:rPr>
          <w:sz w:val="24"/>
        </w:rPr>
      </w:pPr>
      <w:r>
        <w:rPr>
          <w:w w:val="130"/>
          <w:sz w:val="24"/>
        </w:rPr>
        <w:t>A</w:t>
      </w:r>
      <w:r>
        <w:rPr>
          <w:spacing w:val="-22"/>
          <w:w w:val="130"/>
          <w:sz w:val="24"/>
        </w:rPr>
        <w:t> </w:t>
      </w:r>
      <w:r>
        <w:rPr>
          <w:w w:val="130"/>
          <w:sz w:val="24"/>
        </w:rPr>
        <w:t>hitelintézet</w:t>
      </w:r>
      <w:r>
        <w:rPr>
          <w:spacing w:val="-22"/>
          <w:w w:val="130"/>
          <w:sz w:val="24"/>
        </w:rPr>
        <w:t> </w:t>
      </w:r>
      <w:r>
        <w:rPr>
          <w:w w:val="130"/>
          <w:sz w:val="24"/>
        </w:rPr>
        <w:t>a</w:t>
      </w:r>
      <w:r>
        <w:rPr>
          <w:spacing w:val="-21"/>
          <w:w w:val="130"/>
          <w:sz w:val="24"/>
        </w:rPr>
        <w:t> </w:t>
      </w:r>
      <w:r>
        <w:rPr>
          <w:w w:val="130"/>
          <w:sz w:val="24"/>
        </w:rPr>
        <w:t>kockázati</w:t>
      </w:r>
      <w:r>
        <w:rPr>
          <w:spacing w:val="-22"/>
          <w:w w:val="130"/>
          <w:sz w:val="24"/>
        </w:rPr>
        <w:t> </w:t>
      </w:r>
      <w:r>
        <w:rPr>
          <w:w w:val="130"/>
          <w:sz w:val="24"/>
        </w:rPr>
        <w:t>ellenőrzési</w:t>
      </w:r>
      <w:r>
        <w:rPr>
          <w:spacing w:val="-22"/>
          <w:w w:val="130"/>
          <w:sz w:val="24"/>
        </w:rPr>
        <w:t> </w:t>
      </w:r>
      <w:r>
        <w:rPr>
          <w:w w:val="130"/>
          <w:sz w:val="24"/>
        </w:rPr>
        <w:t>funkcióért</w:t>
      </w:r>
      <w:r>
        <w:rPr>
          <w:spacing w:val="-21"/>
          <w:w w:val="130"/>
          <w:sz w:val="24"/>
        </w:rPr>
        <w:t> </w:t>
      </w:r>
      <w:r>
        <w:rPr>
          <w:w w:val="130"/>
          <w:sz w:val="24"/>
        </w:rPr>
        <w:t>felelős</w:t>
      </w:r>
      <w:r>
        <w:rPr>
          <w:spacing w:val="-22"/>
          <w:w w:val="130"/>
          <w:sz w:val="24"/>
        </w:rPr>
        <w:t> </w:t>
      </w:r>
      <w:r>
        <w:rPr>
          <w:w w:val="130"/>
          <w:sz w:val="24"/>
        </w:rPr>
        <w:t>szervezeti</w:t>
      </w:r>
      <w:r>
        <w:rPr>
          <w:spacing w:val="-22"/>
          <w:w w:val="130"/>
          <w:sz w:val="24"/>
        </w:rPr>
        <w:t> </w:t>
      </w:r>
      <w:r>
        <w:rPr>
          <w:w w:val="130"/>
          <w:sz w:val="24"/>
        </w:rPr>
        <w:t>egység működtetésére</w:t>
      </w:r>
      <w:r>
        <w:rPr>
          <w:spacing w:val="-13"/>
          <w:w w:val="130"/>
          <w:sz w:val="24"/>
        </w:rPr>
        <w:t> </w:t>
      </w:r>
      <w:r>
        <w:rPr>
          <w:w w:val="130"/>
          <w:sz w:val="24"/>
        </w:rPr>
        <w:t>mindenkor</w:t>
      </w:r>
      <w:r>
        <w:rPr>
          <w:spacing w:val="-13"/>
          <w:w w:val="130"/>
          <w:sz w:val="24"/>
        </w:rPr>
        <w:t> </w:t>
      </w:r>
      <w:r>
        <w:rPr>
          <w:w w:val="130"/>
          <w:sz w:val="24"/>
        </w:rPr>
        <w:t>rendelkezik</w:t>
      </w:r>
      <w:r>
        <w:rPr>
          <w:spacing w:val="-13"/>
          <w:w w:val="130"/>
          <w:sz w:val="24"/>
        </w:rPr>
        <w:t> </w:t>
      </w:r>
      <w:r>
        <w:rPr>
          <w:w w:val="130"/>
          <w:sz w:val="24"/>
        </w:rPr>
        <w:t>a</w:t>
      </w:r>
      <w:r>
        <w:rPr>
          <w:spacing w:val="-13"/>
          <w:w w:val="130"/>
          <w:sz w:val="24"/>
        </w:rPr>
        <w:t> </w:t>
      </w:r>
      <w:r>
        <w:rPr>
          <w:w w:val="130"/>
          <w:sz w:val="24"/>
        </w:rPr>
        <w:t>hitelintézet</w:t>
      </w:r>
      <w:r>
        <w:rPr>
          <w:spacing w:val="-13"/>
          <w:w w:val="130"/>
          <w:sz w:val="24"/>
        </w:rPr>
        <w:t> </w:t>
      </w:r>
      <w:r>
        <w:rPr>
          <w:w w:val="130"/>
          <w:sz w:val="24"/>
        </w:rPr>
        <w:t>mérete,</w:t>
      </w:r>
      <w:r>
        <w:rPr>
          <w:spacing w:val="-13"/>
          <w:w w:val="130"/>
          <w:sz w:val="24"/>
        </w:rPr>
        <w:t> </w:t>
      </w:r>
      <w:r>
        <w:rPr>
          <w:w w:val="130"/>
          <w:sz w:val="24"/>
        </w:rPr>
        <w:t>tevékenységének jellege, nagyságrendje és összetettsége arányában megfelelő számú, képzettségű és szakmailag alkalmas munkatárssal, megfelelő anyagi erőforrással, és a feladatok ellátásához szükséges hatáskörrel és információkhoz való</w:t>
      </w:r>
      <w:r>
        <w:rPr>
          <w:spacing w:val="-2"/>
          <w:w w:val="130"/>
          <w:sz w:val="24"/>
        </w:rPr>
        <w:t> </w:t>
      </w:r>
      <w:r>
        <w:rPr>
          <w:w w:val="130"/>
          <w:sz w:val="24"/>
        </w:rPr>
        <w:t>hozzáféréssel.</w:t>
      </w:r>
    </w:p>
    <w:p>
      <w:pPr>
        <w:pStyle w:val="ListParagraph"/>
        <w:numPr>
          <w:ilvl w:val="0"/>
          <w:numId w:val="262"/>
        </w:numPr>
        <w:tabs>
          <w:tab w:pos="734" w:val="left" w:leader="none"/>
        </w:tabs>
        <w:spacing w:line="258" w:lineRule="exact" w:before="0" w:after="0"/>
        <w:ind w:left="733" w:right="0" w:hanging="416"/>
        <w:jc w:val="left"/>
        <w:rPr>
          <w:sz w:val="24"/>
        </w:rPr>
      </w:pPr>
      <w:r>
        <w:rPr>
          <w:w w:val="125"/>
          <w:sz w:val="24"/>
        </w:rPr>
        <w:t>A kockázati ellenőrzési funkcióért felelős szervezeti egység</w:t>
      </w:r>
      <w:r>
        <w:rPr>
          <w:spacing w:val="12"/>
          <w:w w:val="125"/>
          <w:sz w:val="24"/>
        </w:rPr>
        <w:t> </w:t>
      </w:r>
      <w:r>
        <w:rPr>
          <w:w w:val="125"/>
          <w:sz w:val="24"/>
        </w:rPr>
        <w:t>feladata</w:t>
      </w:r>
    </w:p>
    <w:p>
      <w:pPr>
        <w:pStyle w:val="ListParagraph"/>
        <w:numPr>
          <w:ilvl w:val="0"/>
          <w:numId w:val="263"/>
        </w:numPr>
        <w:tabs>
          <w:tab w:pos="759" w:val="left" w:leader="none"/>
        </w:tabs>
        <w:spacing w:line="225" w:lineRule="auto" w:before="5" w:after="0"/>
        <w:ind w:left="113" w:right="128" w:firstLine="204"/>
        <w:jc w:val="both"/>
        <w:rPr>
          <w:sz w:val="24"/>
        </w:rPr>
      </w:pPr>
      <w:r>
        <w:rPr>
          <w:w w:val="130"/>
          <w:sz w:val="24"/>
        </w:rPr>
        <w:t>a kockázatok azonosításának, mérésének és megfelelő jelentésének biztosítása,</w:t>
      </w:r>
    </w:p>
    <w:p>
      <w:pPr>
        <w:pStyle w:val="ListParagraph"/>
        <w:numPr>
          <w:ilvl w:val="0"/>
          <w:numId w:val="263"/>
        </w:numPr>
        <w:tabs>
          <w:tab w:pos="789" w:val="left" w:leader="none"/>
        </w:tabs>
        <w:spacing w:line="225" w:lineRule="auto" w:before="1" w:after="0"/>
        <w:ind w:left="113" w:right="132" w:firstLine="204"/>
        <w:jc w:val="both"/>
        <w:rPr>
          <w:sz w:val="24"/>
        </w:rPr>
      </w:pPr>
      <w:r>
        <w:rPr>
          <w:w w:val="130"/>
          <w:sz w:val="24"/>
        </w:rPr>
        <w:t>a kockázatkezelési stratégia kidolgozásában és a kockázatkezelési döntések meghozatalában való részvétel,</w:t>
      </w:r>
      <w:r>
        <w:rPr>
          <w:spacing w:val="-18"/>
          <w:w w:val="130"/>
          <w:sz w:val="24"/>
        </w:rPr>
        <w:t> </w:t>
      </w:r>
      <w:r>
        <w:rPr>
          <w:w w:val="130"/>
          <w:sz w:val="24"/>
        </w:rPr>
        <w:t>és</w:t>
      </w:r>
    </w:p>
    <w:p>
      <w:pPr>
        <w:spacing w:after="0" w:line="225" w:lineRule="auto"/>
        <w:jc w:val="both"/>
        <w:rPr>
          <w:sz w:val="24"/>
        </w:rPr>
        <w:sectPr>
          <w:pgSz w:w="11900" w:h="16820"/>
          <w:pgMar w:header="1104" w:footer="0" w:top="1840" w:bottom="280" w:left="1020" w:right="1000"/>
        </w:sectPr>
      </w:pPr>
    </w:p>
    <w:p>
      <w:pPr>
        <w:pStyle w:val="ListParagraph"/>
        <w:numPr>
          <w:ilvl w:val="0"/>
          <w:numId w:val="263"/>
        </w:numPr>
        <w:tabs>
          <w:tab w:pos="623" w:val="left" w:leader="none"/>
        </w:tabs>
        <w:spacing w:line="268" w:lineRule="exact" w:before="159" w:after="0"/>
        <w:ind w:left="622" w:right="0" w:hanging="305"/>
        <w:jc w:val="left"/>
        <w:rPr>
          <w:sz w:val="24"/>
        </w:rPr>
      </w:pPr>
      <w:r>
        <w:rPr>
          <w:w w:val="130"/>
          <w:sz w:val="24"/>
        </w:rPr>
        <w:t>a hitelintézet kockázatairól átfogó áttekintés</w:t>
      </w:r>
      <w:r>
        <w:rPr>
          <w:spacing w:val="-30"/>
          <w:w w:val="130"/>
          <w:sz w:val="24"/>
        </w:rPr>
        <w:t> </w:t>
      </w:r>
      <w:r>
        <w:rPr>
          <w:w w:val="130"/>
          <w:sz w:val="24"/>
        </w:rPr>
        <w:t>biztosítása.</w:t>
      </w:r>
    </w:p>
    <w:p>
      <w:pPr>
        <w:pStyle w:val="ListParagraph"/>
        <w:numPr>
          <w:ilvl w:val="0"/>
          <w:numId w:val="262"/>
        </w:numPr>
        <w:tabs>
          <w:tab w:pos="740" w:val="left" w:leader="none"/>
        </w:tabs>
        <w:spacing w:line="225" w:lineRule="auto" w:before="6" w:after="0"/>
        <w:ind w:left="113" w:right="127" w:firstLine="204"/>
        <w:jc w:val="both"/>
        <w:rPr>
          <w:sz w:val="24"/>
        </w:rPr>
      </w:pPr>
      <w:r>
        <w:rPr>
          <w:w w:val="130"/>
          <w:sz w:val="24"/>
        </w:rPr>
        <w:t>A</w:t>
      </w:r>
      <w:r>
        <w:rPr>
          <w:spacing w:val="-38"/>
          <w:w w:val="130"/>
          <w:sz w:val="24"/>
        </w:rPr>
        <w:t> </w:t>
      </w:r>
      <w:r>
        <w:rPr>
          <w:w w:val="130"/>
          <w:sz w:val="24"/>
        </w:rPr>
        <w:t>kockázati</w:t>
      </w:r>
      <w:r>
        <w:rPr>
          <w:spacing w:val="-38"/>
          <w:w w:val="130"/>
          <w:sz w:val="24"/>
        </w:rPr>
        <w:t> </w:t>
      </w:r>
      <w:r>
        <w:rPr>
          <w:w w:val="130"/>
          <w:sz w:val="24"/>
        </w:rPr>
        <w:t>ellenőrzési</w:t>
      </w:r>
      <w:r>
        <w:rPr>
          <w:spacing w:val="-38"/>
          <w:w w:val="130"/>
          <w:sz w:val="24"/>
        </w:rPr>
        <w:t> </w:t>
      </w:r>
      <w:r>
        <w:rPr>
          <w:w w:val="130"/>
          <w:sz w:val="24"/>
        </w:rPr>
        <w:t>funkcióért</w:t>
      </w:r>
      <w:r>
        <w:rPr>
          <w:spacing w:val="-38"/>
          <w:w w:val="130"/>
          <w:sz w:val="24"/>
        </w:rPr>
        <w:t> </w:t>
      </w:r>
      <w:r>
        <w:rPr>
          <w:w w:val="130"/>
          <w:sz w:val="24"/>
        </w:rPr>
        <w:t>felelős</w:t>
      </w:r>
      <w:r>
        <w:rPr>
          <w:spacing w:val="-37"/>
          <w:w w:val="130"/>
          <w:sz w:val="24"/>
        </w:rPr>
        <w:t> </w:t>
      </w:r>
      <w:r>
        <w:rPr>
          <w:w w:val="130"/>
          <w:sz w:val="24"/>
        </w:rPr>
        <w:t>szervezeti</w:t>
      </w:r>
      <w:r>
        <w:rPr>
          <w:spacing w:val="-38"/>
          <w:w w:val="130"/>
          <w:sz w:val="24"/>
        </w:rPr>
        <w:t> </w:t>
      </w:r>
      <w:r>
        <w:rPr>
          <w:w w:val="130"/>
          <w:sz w:val="24"/>
        </w:rPr>
        <w:t>egység</w:t>
      </w:r>
      <w:r>
        <w:rPr>
          <w:spacing w:val="-38"/>
          <w:w w:val="130"/>
          <w:sz w:val="24"/>
        </w:rPr>
        <w:t> </w:t>
      </w:r>
      <w:r>
        <w:rPr>
          <w:w w:val="130"/>
          <w:sz w:val="24"/>
        </w:rPr>
        <w:t>közvetlenül</w:t>
      </w:r>
      <w:r>
        <w:rPr>
          <w:spacing w:val="-38"/>
          <w:w w:val="130"/>
          <w:sz w:val="24"/>
        </w:rPr>
        <w:t> </w:t>
      </w:r>
      <w:r>
        <w:rPr>
          <w:w w:val="130"/>
          <w:sz w:val="24"/>
        </w:rPr>
        <w:t>is jelentést tehet a felügyeleti jogkörrel rendelkező vezető testület számára, és felhívhatja a figyelmét arra, hogy egyedi kockázat kialakulása veszélyezteti vagy veszélyeztetheti a hitelintézet</w:t>
      </w:r>
      <w:r>
        <w:rPr>
          <w:spacing w:val="-21"/>
          <w:w w:val="130"/>
          <w:sz w:val="24"/>
        </w:rPr>
        <w:t> </w:t>
      </w:r>
      <w:r>
        <w:rPr>
          <w:w w:val="130"/>
          <w:sz w:val="24"/>
        </w:rPr>
        <w:t>működését.</w:t>
      </w:r>
    </w:p>
    <w:p>
      <w:pPr>
        <w:pStyle w:val="ListParagraph"/>
        <w:numPr>
          <w:ilvl w:val="0"/>
          <w:numId w:val="262"/>
        </w:numPr>
        <w:tabs>
          <w:tab w:pos="919" w:val="left" w:leader="none"/>
        </w:tabs>
        <w:spacing w:line="225" w:lineRule="auto" w:before="2" w:after="0"/>
        <w:ind w:left="113" w:right="111" w:firstLine="204"/>
        <w:jc w:val="both"/>
        <w:rPr>
          <w:sz w:val="24"/>
        </w:rPr>
      </w:pPr>
      <w:r>
        <w:rPr>
          <w:w w:val="130"/>
          <w:sz w:val="24"/>
        </w:rPr>
        <w:t>Az e törvényben meghatározott összeférhetetlenségi szabályokat figyelembe véve, ha a hitelintézetnek a mérete, tevékenységének jellege, nagyságrendje és összetettségének aránya indokolja, akkor a hitelintézet a</w:t>
      </w:r>
      <w:r>
        <w:rPr>
          <w:spacing w:val="78"/>
          <w:w w:val="130"/>
          <w:sz w:val="24"/>
        </w:rPr>
        <w:t> </w:t>
      </w:r>
      <w:r>
        <w:rPr>
          <w:w w:val="130"/>
          <w:sz w:val="24"/>
        </w:rPr>
        <w:t>kockázati ellenőrzés funkció gyakorlására és irányítására csak ezzel a feladattal megbízott, külön - megfelelő szakértelemmel és gyakorlattal rendelkező - független vezetőt jelöl ki, akinek munkaviszonya felmondással, azonnali hatályú felmondással csak a felügyeleti jogkörrel rendelkező vezető testület jóváhagyásával szüntethető</w:t>
      </w:r>
      <w:r>
        <w:rPr>
          <w:spacing w:val="-12"/>
          <w:w w:val="130"/>
          <w:sz w:val="24"/>
        </w:rPr>
        <w:t> </w:t>
      </w:r>
      <w:r>
        <w:rPr>
          <w:w w:val="130"/>
          <w:sz w:val="24"/>
        </w:rPr>
        <w:t>meg.</w:t>
      </w:r>
    </w:p>
    <w:p>
      <w:pPr>
        <w:pStyle w:val="ListParagraph"/>
        <w:numPr>
          <w:ilvl w:val="1"/>
          <w:numId w:val="213"/>
        </w:numPr>
        <w:tabs>
          <w:tab w:pos="1086" w:val="left" w:leader="none"/>
        </w:tabs>
        <w:spacing w:line="225" w:lineRule="auto" w:before="4" w:after="0"/>
        <w:ind w:left="113" w:right="131" w:firstLine="204"/>
        <w:jc w:val="both"/>
        <w:rPr>
          <w:sz w:val="24"/>
        </w:rPr>
      </w:pPr>
      <w:r>
        <w:rPr>
          <w:rFonts w:ascii="Arial" w:hAnsi="Arial"/>
          <w:b/>
          <w:w w:val="125"/>
          <w:sz w:val="24"/>
        </w:rPr>
        <w:t>§ </w:t>
      </w:r>
      <w:r>
        <w:rPr>
          <w:w w:val="125"/>
          <w:sz w:val="24"/>
        </w:rPr>
        <w:t>(1) A mérlegfőösszeg tekintetében legalább öt százalékos piaci részesedéssel rendelkező hitelintézet jelölő bizottságot állít</w:t>
      </w:r>
      <w:r>
        <w:rPr>
          <w:spacing w:val="24"/>
          <w:w w:val="125"/>
          <w:sz w:val="24"/>
        </w:rPr>
        <w:t> </w:t>
      </w:r>
      <w:r>
        <w:rPr>
          <w:w w:val="125"/>
          <w:sz w:val="24"/>
        </w:rPr>
        <w:t>fel.</w:t>
      </w:r>
    </w:p>
    <w:p>
      <w:pPr>
        <w:pStyle w:val="ListParagraph"/>
        <w:numPr>
          <w:ilvl w:val="0"/>
          <w:numId w:val="264"/>
        </w:numPr>
        <w:tabs>
          <w:tab w:pos="777" w:val="left" w:leader="none"/>
        </w:tabs>
        <w:spacing w:line="225" w:lineRule="auto" w:before="1" w:after="0"/>
        <w:ind w:left="113" w:right="123" w:firstLine="204"/>
        <w:jc w:val="both"/>
        <w:rPr>
          <w:sz w:val="24"/>
        </w:rPr>
      </w:pPr>
      <w:r>
        <w:rPr>
          <w:w w:val="125"/>
          <w:sz w:val="24"/>
        </w:rPr>
        <w:t>A jelölő bizottság tagjai a vezető testület olyan tagjai közül kerülnek ki, akik az érintett hitelintézettel nem állnak munkaviszonyban. Ha a hitelintézet irányítási jogkörrel rendelkező vezető testületében nincs legalább három olyan tag, aki nem áll munkaviszonyban a hitelintézettel, akkor a jelölő bizottságban  a felügyeleti jogkörrel rendelkező vezető testület független tagjai is részt vehetnek.</w:t>
      </w:r>
    </w:p>
    <w:p>
      <w:pPr>
        <w:pStyle w:val="ListParagraph"/>
        <w:numPr>
          <w:ilvl w:val="0"/>
          <w:numId w:val="264"/>
        </w:numPr>
        <w:tabs>
          <w:tab w:pos="734" w:val="left" w:leader="none"/>
        </w:tabs>
        <w:spacing w:line="258" w:lineRule="exact" w:before="0" w:after="0"/>
        <w:ind w:left="733" w:right="0" w:hanging="416"/>
        <w:jc w:val="left"/>
        <w:rPr>
          <w:sz w:val="24"/>
        </w:rPr>
      </w:pPr>
      <w:r>
        <w:rPr>
          <w:w w:val="120"/>
          <w:sz w:val="24"/>
        </w:rPr>
        <w:t>A jelölő bizottság</w:t>
      </w:r>
      <w:r>
        <w:rPr>
          <w:spacing w:val="15"/>
          <w:w w:val="120"/>
          <w:sz w:val="24"/>
        </w:rPr>
        <w:t> </w:t>
      </w:r>
      <w:r>
        <w:rPr>
          <w:w w:val="120"/>
          <w:sz w:val="24"/>
        </w:rPr>
        <w:t>feladata:</w:t>
      </w:r>
    </w:p>
    <w:p>
      <w:pPr>
        <w:pStyle w:val="ListParagraph"/>
        <w:numPr>
          <w:ilvl w:val="0"/>
          <w:numId w:val="265"/>
        </w:numPr>
        <w:tabs>
          <w:tab w:pos="631" w:val="left" w:leader="none"/>
        </w:tabs>
        <w:spacing w:line="260" w:lineRule="exact" w:before="0" w:after="0"/>
        <w:ind w:left="630" w:right="0" w:hanging="313"/>
        <w:jc w:val="left"/>
        <w:rPr>
          <w:sz w:val="24"/>
        </w:rPr>
      </w:pPr>
      <w:r>
        <w:rPr>
          <w:w w:val="130"/>
          <w:sz w:val="24"/>
        </w:rPr>
        <w:t>a vezető testületi tagságra jelöltek állítása és</w:t>
      </w:r>
      <w:r>
        <w:rPr>
          <w:spacing w:val="-30"/>
          <w:w w:val="130"/>
          <w:sz w:val="24"/>
        </w:rPr>
        <w:t> </w:t>
      </w:r>
      <w:r>
        <w:rPr>
          <w:w w:val="130"/>
          <w:sz w:val="24"/>
        </w:rPr>
        <w:t>ajánlása,</w:t>
      </w:r>
    </w:p>
    <w:p>
      <w:pPr>
        <w:pStyle w:val="ListParagraph"/>
        <w:numPr>
          <w:ilvl w:val="0"/>
          <w:numId w:val="265"/>
        </w:numPr>
        <w:tabs>
          <w:tab w:pos="714" w:val="left" w:leader="none"/>
        </w:tabs>
        <w:spacing w:line="225" w:lineRule="auto" w:before="5" w:after="0"/>
        <w:ind w:left="113" w:right="136" w:firstLine="204"/>
        <w:jc w:val="both"/>
        <w:rPr>
          <w:sz w:val="24"/>
        </w:rPr>
      </w:pPr>
      <w:r>
        <w:rPr>
          <w:w w:val="130"/>
          <w:sz w:val="24"/>
        </w:rPr>
        <w:t>az adott vezető testületi tagsághoz szükséges képességek és feladatok</w:t>
      </w:r>
      <w:r>
        <w:rPr>
          <w:spacing w:val="78"/>
          <w:w w:val="130"/>
          <w:sz w:val="24"/>
        </w:rPr>
        <w:t> </w:t>
      </w:r>
      <w:r>
        <w:rPr>
          <w:w w:val="130"/>
          <w:sz w:val="24"/>
        </w:rPr>
        <w:t>meghatározása,</w:t>
      </w:r>
      <w:r>
        <w:rPr>
          <w:spacing w:val="-11"/>
          <w:w w:val="130"/>
          <w:sz w:val="24"/>
        </w:rPr>
        <w:t> </w:t>
      </w:r>
      <w:r>
        <w:rPr>
          <w:w w:val="130"/>
          <w:sz w:val="24"/>
        </w:rPr>
        <w:t>és</w:t>
      </w:r>
      <w:r>
        <w:rPr>
          <w:spacing w:val="-7"/>
          <w:w w:val="130"/>
          <w:sz w:val="24"/>
        </w:rPr>
        <w:t> </w:t>
      </w:r>
      <w:r>
        <w:rPr>
          <w:w w:val="130"/>
          <w:sz w:val="24"/>
        </w:rPr>
        <w:t>a</w:t>
      </w:r>
      <w:r>
        <w:rPr>
          <w:spacing w:val="-21"/>
          <w:w w:val="130"/>
          <w:sz w:val="24"/>
        </w:rPr>
        <w:t> </w:t>
      </w:r>
      <w:r>
        <w:rPr>
          <w:w w:val="130"/>
          <w:sz w:val="24"/>
        </w:rPr>
        <w:t>feladatok</w:t>
      </w:r>
      <w:r>
        <w:rPr>
          <w:spacing w:val="-19"/>
          <w:w w:val="130"/>
          <w:sz w:val="24"/>
        </w:rPr>
        <w:t> </w:t>
      </w:r>
      <w:r>
        <w:rPr>
          <w:w w:val="130"/>
          <w:sz w:val="24"/>
        </w:rPr>
        <w:t>ellátásához</w:t>
      </w:r>
      <w:r>
        <w:rPr>
          <w:spacing w:val="-15"/>
          <w:w w:val="130"/>
          <w:sz w:val="24"/>
        </w:rPr>
        <w:t> </w:t>
      </w:r>
      <w:r>
        <w:rPr>
          <w:w w:val="130"/>
          <w:sz w:val="24"/>
        </w:rPr>
        <w:t>szükséges</w:t>
      </w:r>
      <w:r>
        <w:rPr>
          <w:spacing w:val="-14"/>
          <w:w w:val="130"/>
          <w:sz w:val="24"/>
        </w:rPr>
        <w:t> </w:t>
      </w:r>
      <w:r>
        <w:rPr>
          <w:w w:val="130"/>
          <w:sz w:val="24"/>
        </w:rPr>
        <w:t>időráfordítás</w:t>
      </w:r>
      <w:r>
        <w:rPr>
          <w:spacing w:val="-15"/>
          <w:w w:val="130"/>
          <w:sz w:val="24"/>
        </w:rPr>
        <w:t> </w:t>
      </w:r>
      <w:r>
        <w:rPr>
          <w:w w:val="130"/>
          <w:sz w:val="24"/>
        </w:rPr>
        <w:t>értékelése,</w:t>
      </w:r>
    </w:p>
    <w:p>
      <w:pPr>
        <w:pStyle w:val="ListParagraph"/>
        <w:numPr>
          <w:ilvl w:val="0"/>
          <w:numId w:val="265"/>
        </w:numPr>
        <w:tabs>
          <w:tab w:pos="744" w:val="left" w:leader="none"/>
        </w:tabs>
        <w:spacing w:line="225" w:lineRule="auto" w:before="1" w:after="0"/>
        <w:ind w:left="113" w:right="141" w:firstLine="204"/>
        <w:jc w:val="both"/>
        <w:rPr>
          <w:sz w:val="24"/>
        </w:rPr>
      </w:pPr>
      <w:r>
        <w:rPr>
          <w:w w:val="130"/>
          <w:sz w:val="24"/>
        </w:rPr>
        <w:t>a vezető testületi tagok ismerete, készsége és tapasztalata közötti összhang</w:t>
      </w:r>
      <w:r>
        <w:rPr>
          <w:spacing w:val="-3"/>
          <w:w w:val="130"/>
          <w:sz w:val="24"/>
        </w:rPr>
        <w:t> </w:t>
      </w:r>
      <w:r>
        <w:rPr>
          <w:w w:val="130"/>
          <w:sz w:val="24"/>
        </w:rPr>
        <w:t>értékelése,</w:t>
      </w:r>
    </w:p>
    <w:p>
      <w:pPr>
        <w:pStyle w:val="ListParagraph"/>
        <w:numPr>
          <w:ilvl w:val="0"/>
          <w:numId w:val="265"/>
        </w:numPr>
        <w:tabs>
          <w:tab w:pos="806" w:val="left" w:leader="none"/>
        </w:tabs>
        <w:spacing w:line="225" w:lineRule="auto" w:before="2" w:after="0"/>
        <w:ind w:left="113" w:right="138" w:firstLine="204"/>
        <w:jc w:val="both"/>
        <w:rPr>
          <w:sz w:val="24"/>
        </w:rPr>
      </w:pPr>
      <w:r>
        <w:rPr>
          <w:w w:val="130"/>
          <w:sz w:val="24"/>
        </w:rPr>
        <w:t>a vezető testület egésze és tagjai ismeretének, készségének és tapasztalatának legalább évente történő értékelése, és a megállapításokról</w:t>
      </w:r>
      <w:r>
        <w:rPr>
          <w:spacing w:val="78"/>
          <w:w w:val="130"/>
          <w:sz w:val="24"/>
        </w:rPr>
        <w:t> </w:t>
      </w:r>
      <w:r>
        <w:rPr>
          <w:w w:val="130"/>
          <w:sz w:val="24"/>
        </w:rPr>
        <w:t>jelentés készítése a vezető testület</w:t>
      </w:r>
      <w:r>
        <w:rPr>
          <w:spacing w:val="-18"/>
          <w:w w:val="130"/>
          <w:sz w:val="24"/>
        </w:rPr>
        <w:t> </w:t>
      </w:r>
      <w:r>
        <w:rPr>
          <w:w w:val="130"/>
          <w:sz w:val="24"/>
        </w:rPr>
        <w:t>számára,</w:t>
      </w:r>
    </w:p>
    <w:p>
      <w:pPr>
        <w:pStyle w:val="ListParagraph"/>
        <w:numPr>
          <w:ilvl w:val="0"/>
          <w:numId w:val="265"/>
        </w:numPr>
        <w:tabs>
          <w:tab w:pos="689" w:val="left" w:leader="none"/>
        </w:tabs>
        <w:spacing w:line="225" w:lineRule="auto" w:before="1" w:after="0"/>
        <w:ind w:left="113" w:right="132" w:firstLine="204"/>
        <w:jc w:val="both"/>
        <w:rPr>
          <w:sz w:val="24"/>
        </w:rPr>
      </w:pPr>
      <w:r>
        <w:rPr>
          <w:w w:val="130"/>
          <w:sz w:val="24"/>
        </w:rPr>
        <w:t>a vezető testület méretének, összetételének és teljesítményének évente legalább egyszer történő értékelése, és ajánlás megfogalmazása a</w:t>
      </w:r>
      <w:r>
        <w:rPr>
          <w:spacing w:val="78"/>
          <w:w w:val="130"/>
          <w:sz w:val="24"/>
        </w:rPr>
        <w:t> </w:t>
      </w:r>
      <w:r>
        <w:rPr>
          <w:w w:val="130"/>
          <w:sz w:val="24"/>
        </w:rPr>
        <w:t>hiányosságok</w:t>
      </w:r>
      <w:r>
        <w:rPr>
          <w:spacing w:val="-3"/>
          <w:w w:val="130"/>
          <w:sz w:val="24"/>
        </w:rPr>
        <w:t> </w:t>
      </w:r>
      <w:r>
        <w:rPr>
          <w:w w:val="130"/>
          <w:sz w:val="24"/>
        </w:rPr>
        <w:t>kezelésére,</w:t>
      </w:r>
    </w:p>
    <w:p>
      <w:pPr>
        <w:pStyle w:val="ListParagraph"/>
        <w:numPr>
          <w:ilvl w:val="0"/>
          <w:numId w:val="265"/>
        </w:numPr>
        <w:tabs>
          <w:tab w:pos="634" w:val="left" w:leader="none"/>
        </w:tabs>
        <w:spacing w:line="225" w:lineRule="auto" w:before="2" w:after="0"/>
        <w:ind w:left="113" w:right="131" w:firstLine="204"/>
        <w:jc w:val="both"/>
        <w:rPr>
          <w:sz w:val="24"/>
        </w:rPr>
      </w:pPr>
      <w:r>
        <w:rPr>
          <w:w w:val="130"/>
          <w:sz w:val="24"/>
        </w:rPr>
        <w:t>a vezető testületen belül a nemek arányának meghatározása, és ennek eléréséhez szükséges stratégia</w:t>
      </w:r>
      <w:r>
        <w:rPr>
          <w:spacing w:val="-11"/>
          <w:w w:val="130"/>
          <w:sz w:val="24"/>
        </w:rPr>
        <w:t> </w:t>
      </w:r>
      <w:r>
        <w:rPr>
          <w:w w:val="130"/>
          <w:sz w:val="24"/>
        </w:rPr>
        <w:t>kidolgozása,</w:t>
      </w:r>
    </w:p>
    <w:p>
      <w:pPr>
        <w:pStyle w:val="ListParagraph"/>
        <w:numPr>
          <w:ilvl w:val="0"/>
          <w:numId w:val="265"/>
        </w:numPr>
        <w:tabs>
          <w:tab w:pos="703" w:val="left" w:leader="none"/>
        </w:tabs>
        <w:spacing w:line="225" w:lineRule="auto" w:before="1" w:after="0"/>
        <w:ind w:left="113" w:right="124" w:firstLine="204"/>
        <w:jc w:val="both"/>
        <w:rPr>
          <w:sz w:val="24"/>
        </w:rPr>
      </w:pPr>
      <w:r>
        <w:rPr>
          <w:w w:val="130"/>
          <w:sz w:val="24"/>
        </w:rPr>
        <w:t>a hitelintézet ügyvezetőjének kiválasztására és kinevezésére vonatkozó politikájának rendszeres felülvizsgálása, és a megállapítások alapján az irányítási</w:t>
      </w:r>
      <w:r>
        <w:rPr>
          <w:spacing w:val="78"/>
          <w:w w:val="130"/>
          <w:sz w:val="24"/>
        </w:rPr>
        <w:t> </w:t>
      </w:r>
      <w:r>
        <w:rPr>
          <w:w w:val="130"/>
          <w:sz w:val="24"/>
        </w:rPr>
        <w:t>jogkörrel</w:t>
      </w:r>
      <w:r>
        <w:rPr>
          <w:spacing w:val="78"/>
          <w:w w:val="130"/>
          <w:sz w:val="24"/>
        </w:rPr>
        <w:t> </w:t>
      </w:r>
      <w:r>
        <w:rPr>
          <w:w w:val="130"/>
          <w:sz w:val="24"/>
        </w:rPr>
        <w:t>rendelkező</w:t>
      </w:r>
      <w:r>
        <w:rPr>
          <w:spacing w:val="78"/>
          <w:w w:val="130"/>
          <w:sz w:val="24"/>
        </w:rPr>
        <w:t> </w:t>
      </w:r>
      <w:r>
        <w:rPr>
          <w:w w:val="130"/>
          <w:sz w:val="24"/>
        </w:rPr>
        <w:t>vezető</w:t>
      </w:r>
      <w:r>
        <w:rPr>
          <w:spacing w:val="78"/>
          <w:w w:val="130"/>
          <w:sz w:val="24"/>
        </w:rPr>
        <w:t> </w:t>
      </w:r>
      <w:r>
        <w:rPr>
          <w:w w:val="130"/>
          <w:sz w:val="24"/>
        </w:rPr>
        <w:t>testület</w:t>
      </w:r>
      <w:r>
        <w:rPr>
          <w:spacing w:val="78"/>
          <w:w w:val="130"/>
          <w:sz w:val="24"/>
        </w:rPr>
        <w:t> </w:t>
      </w:r>
      <w:r>
        <w:rPr>
          <w:w w:val="130"/>
          <w:sz w:val="24"/>
        </w:rPr>
        <w:t>számára</w:t>
      </w:r>
      <w:r>
        <w:rPr>
          <w:spacing w:val="78"/>
          <w:w w:val="130"/>
          <w:sz w:val="24"/>
        </w:rPr>
        <w:t> </w:t>
      </w:r>
      <w:r>
        <w:rPr>
          <w:w w:val="130"/>
          <w:sz w:val="24"/>
        </w:rPr>
        <w:t>ajánlás megfogalmazása,</w:t>
      </w:r>
      <w:r>
        <w:rPr>
          <w:spacing w:val="9"/>
          <w:w w:val="130"/>
          <w:sz w:val="24"/>
        </w:rPr>
        <w:t> </w:t>
      </w:r>
      <w:r>
        <w:rPr>
          <w:w w:val="130"/>
          <w:sz w:val="24"/>
        </w:rPr>
        <w:t>valamint</w:t>
      </w:r>
    </w:p>
    <w:p>
      <w:pPr>
        <w:pStyle w:val="ListParagraph"/>
        <w:numPr>
          <w:ilvl w:val="0"/>
          <w:numId w:val="265"/>
        </w:numPr>
        <w:tabs>
          <w:tab w:pos="644" w:val="left" w:leader="none"/>
        </w:tabs>
        <w:spacing w:line="225" w:lineRule="auto" w:before="2" w:after="0"/>
        <w:ind w:left="113" w:right="129" w:firstLine="204"/>
        <w:jc w:val="both"/>
        <w:rPr>
          <w:sz w:val="24"/>
        </w:rPr>
      </w:pPr>
      <w:r>
        <w:rPr>
          <w:w w:val="130"/>
          <w:sz w:val="24"/>
        </w:rPr>
        <w:t>a</w:t>
      </w:r>
      <w:r>
        <w:rPr>
          <w:spacing w:val="-22"/>
          <w:w w:val="130"/>
          <w:sz w:val="24"/>
        </w:rPr>
        <w:t> </w:t>
      </w:r>
      <w:r>
        <w:rPr>
          <w:w w:val="130"/>
          <w:sz w:val="24"/>
        </w:rPr>
        <w:t>vezető</w:t>
      </w:r>
      <w:r>
        <w:rPr>
          <w:spacing w:val="-22"/>
          <w:w w:val="130"/>
          <w:sz w:val="24"/>
        </w:rPr>
        <w:t> </w:t>
      </w:r>
      <w:r>
        <w:rPr>
          <w:w w:val="130"/>
          <w:sz w:val="24"/>
        </w:rPr>
        <w:t>testületi</w:t>
      </w:r>
      <w:r>
        <w:rPr>
          <w:spacing w:val="-23"/>
          <w:w w:val="130"/>
          <w:sz w:val="24"/>
        </w:rPr>
        <w:t> </w:t>
      </w:r>
      <w:r>
        <w:rPr>
          <w:w w:val="130"/>
          <w:sz w:val="24"/>
        </w:rPr>
        <w:t>döntések</w:t>
      </w:r>
      <w:r>
        <w:rPr>
          <w:spacing w:val="-21"/>
          <w:w w:val="130"/>
          <w:sz w:val="24"/>
        </w:rPr>
        <w:t> </w:t>
      </w:r>
      <w:r>
        <w:rPr>
          <w:w w:val="130"/>
          <w:sz w:val="24"/>
        </w:rPr>
        <w:t>befolyásolástól</w:t>
      </w:r>
      <w:r>
        <w:rPr>
          <w:spacing w:val="-22"/>
          <w:w w:val="130"/>
          <w:sz w:val="24"/>
        </w:rPr>
        <w:t> </w:t>
      </w:r>
      <w:r>
        <w:rPr>
          <w:w w:val="130"/>
          <w:sz w:val="24"/>
        </w:rPr>
        <w:t>való</w:t>
      </w:r>
      <w:r>
        <w:rPr>
          <w:spacing w:val="-22"/>
          <w:w w:val="130"/>
          <w:sz w:val="24"/>
        </w:rPr>
        <w:t> </w:t>
      </w:r>
      <w:r>
        <w:rPr>
          <w:w w:val="130"/>
          <w:sz w:val="24"/>
        </w:rPr>
        <w:t>mentességének</w:t>
      </w:r>
      <w:r>
        <w:rPr>
          <w:spacing w:val="-21"/>
          <w:w w:val="130"/>
          <w:sz w:val="24"/>
        </w:rPr>
        <w:t> </w:t>
      </w:r>
      <w:r>
        <w:rPr>
          <w:w w:val="130"/>
          <w:sz w:val="24"/>
        </w:rPr>
        <w:t>rendszeres felülvizsgálása.</w:t>
      </w:r>
    </w:p>
    <w:p>
      <w:pPr>
        <w:pStyle w:val="ListParagraph"/>
        <w:numPr>
          <w:ilvl w:val="0"/>
          <w:numId w:val="264"/>
        </w:numPr>
        <w:tabs>
          <w:tab w:pos="845" w:val="left" w:leader="none"/>
        </w:tabs>
        <w:spacing w:line="225" w:lineRule="auto" w:before="2" w:after="0"/>
        <w:ind w:left="113" w:right="116" w:firstLine="204"/>
        <w:jc w:val="both"/>
        <w:rPr>
          <w:sz w:val="24"/>
        </w:rPr>
      </w:pPr>
      <w:r>
        <w:rPr>
          <w:w w:val="130"/>
          <w:sz w:val="24"/>
        </w:rPr>
        <w:t>A jelölések során törekedni kell arra, hogy az irányítási jogkörrel rendelkező vezető testületben minél szélesebb szakismerettel rendelkező tagok vegyenek részt, és ennek előmozdítására a hitelintézet belső politikát dolgoz</w:t>
      </w:r>
      <w:r>
        <w:rPr>
          <w:spacing w:val="-3"/>
          <w:w w:val="130"/>
          <w:sz w:val="24"/>
        </w:rPr>
        <w:t> </w:t>
      </w:r>
      <w:r>
        <w:rPr>
          <w:w w:val="130"/>
          <w:sz w:val="24"/>
        </w:rPr>
        <w:t>ki.</w:t>
      </w:r>
    </w:p>
    <w:p>
      <w:pPr>
        <w:pStyle w:val="ListParagraph"/>
        <w:numPr>
          <w:ilvl w:val="0"/>
          <w:numId w:val="264"/>
        </w:numPr>
        <w:tabs>
          <w:tab w:pos="750" w:val="left" w:leader="none"/>
        </w:tabs>
        <w:spacing w:line="225" w:lineRule="auto" w:before="2" w:after="0"/>
        <w:ind w:left="113" w:right="122" w:firstLine="204"/>
        <w:jc w:val="both"/>
        <w:rPr>
          <w:sz w:val="24"/>
        </w:rPr>
      </w:pPr>
      <w:r>
        <w:rPr>
          <w:w w:val="130"/>
          <w:sz w:val="24"/>
        </w:rPr>
        <w:t>A</w:t>
      </w:r>
      <w:r>
        <w:rPr>
          <w:spacing w:val="-30"/>
          <w:w w:val="130"/>
          <w:sz w:val="24"/>
        </w:rPr>
        <w:t> </w:t>
      </w:r>
      <w:r>
        <w:rPr>
          <w:w w:val="130"/>
          <w:sz w:val="24"/>
        </w:rPr>
        <w:t>Felügyelet</w:t>
      </w:r>
      <w:r>
        <w:rPr>
          <w:spacing w:val="-24"/>
          <w:w w:val="130"/>
          <w:sz w:val="24"/>
        </w:rPr>
        <w:t> </w:t>
      </w:r>
      <w:r>
        <w:rPr>
          <w:w w:val="130"/>
          <w:sz w:val="24"/>
        </w:rPr>
        <w:t>a</w:t>
      </w:r>
      <w:r>
        <w:rPr>
          <w:spacing w:val="-24"/>
          <w:w w:val="130"/>
          <w:sz w:val="24"/>
        </w:rPr>
        <w:t> </w:t>
      </w:r>
      <w:r>
        <w:rPr>
          <w:w w:val="130"/>
          <w:sz w:val="24"/>
        </w:rPr>
        <w:t>(4)</w:t>
      </w:r>
      <w:r>
        <w:rPr>
          <w:spacing w:val="-24"/>
          <w:w w:val="130"/>
          <w:sz w:val="24"/>
        </w:rPr>
        <w:t> </w:t>
      </w:r>
      <w:r>
        <w:rPr>
          <w:w w:val="130"/>
          <w:sz w:val="24"/>
        </w:rPr>
        <w:t>bekezdés</w:t>
      </w:r>
      <w:r>
        <w:rPr>
          <w:spacing w:val="-24"/>
          <w:w w:val="130"/>
          <w:sz w:val="24"/>
        </w:rPr>
        <w:t> </w:t>
      </w:r>
      <w:r>
        <w:rPr>
          <w:w w:val="130"/>
          <w:sz w:val="24"/>
        </w:rPr>
        <w:t>szerinti</w:t>
      </w:r>
      <w:r>
        <w:rPr>
          <w:spacing w:val="-23"/>
          <w:w w:val="130"/>
          <w:sz w:val="24"/>
        </w:rPr>
        <w:t> </w:t>
      </w:r>
      <w:r>
        <w:rPr>
          <w:w w:val="130"/>
          <w:sz w:val="24"/>
        </w:rPr>
        <w:t>politikát</w:t>
      </w:r>
      <w:r>
        <w:rPr>
          <w:spacing w:val="-24"/>
          <w:w w:val="130"/>
          <w:sz w:val="24"/>
        </w:rPr>
        <w:t> </w:t>
      </w:r>
      <w:r>
        <w:rPr>
          <w:w w:val="130"/>
          <w:sz w:val="24"/>
        </w:rPr>
        <w:t>felhasználva</w:t>
      </w:r>
      <w:r>
        <w:rPr>
          <w:spacing w:val="-24"/>
          <w:w w:val="130"/>
          <w:sz w:val="24"/>
        </w:rPr>
        <w:t> </w:t>
      </w:r>
      <w:r>
        <w:rPr>
          <w:w w:val="130"/>
          <w:sz w:val="24"/>
        </w:rPr>
        <w:t>elemzéseket</w:t>
      </w:r>
      <w:r>
        <w:rPr>
          <w:spacing w:val="-24"/>
          <w:w w:val="130"/>
          <w:sz w:val="24"/>
        </w:rPr>
        <w:t> </w:t>
      </w:r>
      <w:r>
        <w:rPr>
          <w:w w:val="130"/>
          <w:sz w:val="24"/>
        </w:rPr>
        <w:t>és összehasonlításokat végez a hitelintézetek gyakorlatáról, amelyeket megküld az Európai Bankhatóság (a továbbiakban: EBH)</w:t>
      </w:r>
      <w:r>
        <w:rPr>
          <w:spacing w:val="-51"/>
          <w:w w:val="130"/>
          <w:sz w:val="24"/>
        </w:rPr>
        <w:t> </w:t>
      </w:r>
      <w:r>
        <w:rPr>
          <w:w w:val="130"/>
          <w:sz w:val="24"/>
        </w:rPr>
        <w:t>számára.</w:t>
      </w:r>
    </w:p>
    <w:p>
      <w:pPr>
        <w:pStyle w:val="ListParagraph"/>
        <w:numPr>
          <w:ilvl w:val="0"/>
          <w:numId w:val="264"/>
        </w:numPr>
        <w:tabs>
          <w:tab w:pos="825" w:val="left" w:leader="none"/>
        </w:tabs>
        <w:spacing w:line="225" w:lineRule="auto" w:before="2" w:after="0"/>
        <w:ind w:left="113" w:right="126" w:firstLine="204"/>
        <w:jc w:val="both"/>
        <w:rPr>
          <w:sz w:val="24"/>
        </w:rPr>
      </w:pPr>
      <w:r>
        <w:rPr>
          <w:w w:val="130"/>
          <w:sz w:val="24"/>
        </w:rPr>
        <w:t>A hitelintézet közzéteszi a (3) bekezdés </w:t>
      </w:r>
      <w:r>
        <w:rPr>
          <w:i/>
          <w:w w:val="130"/>
          <w:sz w:val="24"/>
        </w:rPr>
        <w:t>f) </w:t>
      </w:r>
      <w:r>
        <w:rPr>
          <w:w w:val="130"/>
          <w:sz w:val="24"/>
        </w:rPr>
        <w:t>pontjában meghatározott nemek arányát, annak eléréséhez meghatározott stratégiáját és a stratégia végrehajtásának</w:t>
      </w:r>
      <w:r>
        <w:rPr>
          <w:spacing w:val="-4"/>
          <w:w w:val="130"/>
          <w:sz w:val="24"/>
        </w:rPr>
        <w:t> </w:t>
      </w:r>
      <w:r>
        <w:rPr>
          <w:w w:val="130"/>
          <w:sz w:val="24"/>
        </w:rPr>
        <w:t>módját.</w:t>
      </w:r>
    </w:p>
    <w:p>
      <w:pPr>
        <w:spacing w:after="0" w:line="225" w:lineRule="auto"/>
        <w:jc w:val="both"/>
        <w:rPr>
          <w:sz w:val="24"/>
        </w:rPr>
        <w:sectPr>
          <w:pgSz w:w="11900" w:h="16820"/>
          <w:pgMar w:header="1104" w:footer="0" w:top="1840" w:bottom="280" w:left="1020" w:right="1000"/>
        </w:sectPr>
      </w:pPr>
    </w:p>
    <w:p>
      <w:pPr>
        <w:pStyle w:val="ListParagraph"/>
        <w:numPr>
          <w:ilvl w:val="0"/>
          <w:numId w:val="264"/>
        </w:numPr>
        <w:tabs>
          <w:tab w:pos="814" w:val="left" w:leader="none"/>
        </w:tabs>
        <w:spacing w:line="225" w:lineRule="auto" w:before="173" w:after="0"/>
        <w:ind w:left="113" w:right="122" w:firstLine="204"/>
        <w:jc w:val="both"/>
        <w:rPr>
          <w:sz w:val="24"/>
        </w:rPr>
      </w:pPr>
      <w:r>
        <w:rPr>
          <w:w w:val="130"/>
          <w:sz w:val="24"/>
        </w:rPr>
        <w:t>A jelölő bizottság számára a hitelintézet biztosítja a (3) bekezdésben meghatározott feladatai ellátásához szükséges megfelelő erőforrásokat, az adatokhoz és információkhoz való hozzáférést, és indokolt esetben külső tanácsadó</w:t>
      </w:r>
      <w:r>
        <w:rPr>
          <w:spacing w:val="-4"/>
          <w:w w:val="130"/>
          <w:sz w:val="24"/>
        </w:rPr>
        <w:t> </w:t>
      </w:r>
      <w:r>
        <w:rPr>
          <w:w w:val="130"/>
          <w:sz w:val="24"/>
        </w:rPr>
        <w:t>igénybevételét.</w:t>
      </w:r>
    </w:p>
    <w:p>
      <w:pPr>
        <w:pStyle w:val="ListParagraph"/>
        <w:numPr>
          <w:ilvl w:val="1"/>
          <w:numId w:val="213"/>
        </w:numPr>
        <w:tabs>
          <w:tab w:pos="998" w:val="left" w:leader="none"/>
        </w:tabs>
        <w:spacing w:line="225" w:lineRule="auto" w:before="1" w:after="0"/>
        <w:ind w:left="113" w:right="132" w:firstLine="204"/>
        <w:jc w:val="both"/>
        <w:rPr>
          <w:sz w:val="24"/>
        </w:rPr>
      </w:pPr>
      <w:r>
        <w:rPr>
          <w:rFonts w:ascii="Arial" w:hAnsi="Arial"/>
          <w:b/>
          <w:w w:val="125"/>
          <w:sz w:val="24"/>
        </w:rPr>
        <w:t>§ </w:t>
      </w:r>
      <w:r>
        <w:rPr>
          <w:w w:val="125"/>
          <w:sz w:val="24"/>
        </w:rPr>
        <w:t>(1) Az irányítási jogkörrel rendelkező vezető testület tagjai megfelelő időt fordítanak a hitelintézetnél vállalt funkciójuk</w:t>
      </w:r>
      <w:r>
        <w:rPr>
          <w:spacing w:val="17"/>
          <w:w w:val="125"/>
          <w:sz w:val="24"/>
        </w:rPr>
        <w:t> </w:t>
      </w:r>
      <w:r>
        <w:rPr>
          <w:w w:val="125"/>
          <w:sz w:val="24"/>
        </w:rPr>
        <w:t>ellátására.</w:t>
      </w:r>
    </w:p>
    <w:p>
      <w:pPr>
        <w:pStyle w:val="ListParagraph"/>
        <w:numPr>
          <w:ilvl w:val="0"/>
          <w:numId w:val="266"/>
        </w:numPr>
        <w:tabs>
          <w:tab w:pos="854" w:val="left" w:leader="none"/>
        </w:tabs>
        <w:spacing w:line="225" w:lineRule="auto" w:before="1" w:after="0"/>
        <w:ind w:left="113" w:right="127" w:firstLine="204"/>
        <w:jc w:val="both"/>
        <w:rPr>
          <w:sz w:val="24"/>
        </w:rPr>
      </w:pPr>
      <w:r>
        <w:rPr>
          <w:w w:val="125"/>
          <w:sz w:val="24"/>
        </w:rPr>
        <w:t>A hitelintézet megfelelő humán és pénzügyi erőforrást biztosít az irányítási jogkörrel rendelkező vezető testület tagjainak</w:t>
      </w:r>
      <w:r>
        <w:rPr>
          <w:spacing w:val="37"/>
          <w:w w:val="125"/>
          <w:sz w:val="24"/>
        </w:rPr>
        <w:t> </w:t>
      </w:r>
      <w:r>
        <w:rPr>
          <w:w w:val="125"/>
          <w:sz w:val="24"/>
        </w:rPr>
        <w:t>képzésére.</w:t>
      </w:r>
    </w:p>
    <w:p>
      <w:pPr>
        <w:pStyle w:val="ListParagraph"/>
        <w:numPr>
          <w:ilvl w:val="0"/>
          <w:numId w:val="266"/>
        </w:numPr>
        <w:tabs>
          <w:tab w:pos="659" w:val="left" w:leader="none"/>
          <w:tab w:pos="9184" w:val="left" w:leader="none"/>
        </w:tabs>
        <w:spacing w:line="249" w:lineRule="exact" w:before="0" w:after="0"/>
        <w:ind w:left="658" w:right="0" w:hanging="341"/>
        <w:jc w:val="left"/>
        <w:rPr>
          <w:sz w:val="24"/>
        </w:rPr>
      </w:pPr>
      <w:r>
        <w:rPr>
          <w:i/>
          <w:w w:val="120"/>
          <w:position w:val="3"/>
          <w:sz w:val="18"/>
        </w:rPr>
        <w:t>1   </w:t>
      </w:r>
      <w:r>
        <w:rPr>
          <w:i/>
          <w:spacing w:val="23"/>
          <w:w w:val="120"/>
          <w:position w:val="3"/>
          <w:sz w:val="18"/>
        </w:rPr>
        <w:t> </w:t>
      </w:r>
      <w:r>
        <w:rPr>
          <w:w w:val="120"/>
          <w:sz w:val="24"/>
        </w:rPr>
        <w:t>A  </w:t>
      </w:r>
      <w:r>
        <w:rPr>
          <w:spacing w:val="23"/>
          <w:w w:val="120"/>
          <w:sz w:val="24"/>
        </w:rPr>
        <w:t> </w:t>
      </w:r>
      <w:r>
        <w:rPr>
          <w:w w:val="120"/>
          <w:sz w:val="24"/>
        </w:rPr>
        <w:t>vezető  </w:t>
      </w:r>
      <w:r>
        <w:rPr>
          <w:spacing w:val="23"/>
          <w:w w:val="120"/>
          <w:sz w:val="24"/>
        </w:rPr>
        <w:t> </w:t>
      </w:r>
      <w:r>
        <w:rPr>
          <w:w w:val="120"/>
          <w:sz w:val="24"/>
        </w:rPr>
        <w:t>testület  </w:t>
      </w:r>
      <w:r>
        <w:rPr>
          <w:spacing w:val="22"/>
          <w:w w:val="120"/>
          <w:sz w:val="24"/>
        </w:rPr>
        <w:t> </w:t>
      </w:r>
      <w:r>
        <w:rPr>
          <w:w w:val="120"/>
          <w:sz w:val="24"/>
        </w:rPr>
        <w:t>a  </w:t>
      </w:r>
      <w:r>
        <w:rPr>
          <w:spacing w:val="23"/>
          <w:w w:val="120"/>
          <w:sz w:val="24"/>
        </w:rPr>
        <w:t> </w:t>
      </w:r>
      <w:r>
        <w:rPr>
          <w:w w:val="120"/>
          <w:sz w:val="24"/>
        </w:rPr>
        <w:t>hitelintézet  </w:t>
      </w:r>
      <w:r>
        <w:rPr>
          <w:spacing w:val="24"/>
          <w:w w:val="120"/>
          <w:sz w:val="24"/>
        </w:rPr>
        <w:t> </w:t>
      </w:r>
      <w:r>
        <w:rPr>
          <w:w w:val="120"/>
          <w:sz w:val="24"/>
        </w:rPr>
        <w:t>tevékenységeinek  </w:t>
      </w:r>
      <w:r>
        <w:rPr>
          <w:spacing w:val="22"/>
          <w:w w:val="120"/>
          <w:sz w:val="24"/>
        </w:rPr>
        <w:t> </w:t>
      </w:r>
      <w:r>
        <w:rPr>
          <w:w w:val="120"/>
          <w:sz w:val="24"/>
        </w:rPr>
        <w:t>-  </w:t>
      </w:r>
      <w:r>
        <w:rPr>
          <w:spacing w:val="22"/>
          <w:w w:val="120"/>
          <w:sz w:val="24"/>
        </w:rPr>
        <w:t> </w:t>
      </w:r>
      <w:r>
        <w:rPr>
          <w:w w:val="120"/>
          <w:sz w:val="24"/>
        </w:rPr>
        <w:t>ideértve</w:t>
        <w:tab/>
        <w:t>a</w:t>
      </w:r>
      <w:r>
        <w:rPr>
          <w:spacing w:val="42"/>
          <w:w w:val="120"/>
          <w:sz w:val="24"/>
        </w:rPr>
        <w:t> </w:t>
      </w:r>
      <w:r>
        <w:rPr>
          <w:w w:val="120"/>
          <w:sz w:val="24"/>
        </w:rPr>
        <w:t>fő</w:t>
      </w:r>
    </w:p>
    <w:p>
      <w:pPr>
        <w:pStyle w:val="BodyText"/>
        <w:spacing w:line="225" w:lineRule="auto" w:before="12"/>
        <w:ind w:right="141" w:firstLine="0"/>
        <w:jc w:val="both"/>
      </w:pPr>
      <w:r>
        <w:rPr>
          <w:w w:val="125"/>
        </w:rPr>
        <w:t>kockázatokat is - a megértéséhez megfelelő kollektív tudással, készségekkel és tapasztalattal rendelkezik.</w:t>
      </w:r>
    </w:p>
    <w:p>
      <w:pPr>
        <w:pStyle w:val="ListParagraph"/>
        <w:numPr>
          <w:ilvl w:val="1"/>
          <w:numId w:val="213"/>
        </w:numPr>
        <w:tabs>
          <w:tab w:pos="985" w:val="left" w:leader="none"/>
        </w:tabs>
        <w:spacing w:line="256" w:lineRule="exact" w:before="0" w:after="0"/>
        <w:ind w:left="984" w:right="0" w:hanging="667"/>
        <w:jc w:val="left"/>
        <w:rPr>
          <w:sz w:val="24"/>
        </w:rPr>
      </w:pPr>
      <w:r>
        <w:rPr>
          <w:rFonts w:ascii="Arial" w:hAnsi="Arial"/>
          <w:b/>
          <w:w w:val="125"/>
          <w:sz w:val="24"/>
        </w:rPr>
        <w:t>§</w:t>
      </w:r>
      <w:r>
        <w:rPr>
          <w:i/>
          <w:w w:val="125"/>
          <w:position w:val="3"/>
          <w:sz w:val="18"/>
        </w:rPr>
        <w:t>2 </w:t>
      </w:r>
      <w:r>
        <w:rPr>
          <w:w w:val="125"/>
          <w:sz w:val="24"/>
        </w:rPr>
        <w:t>(1)</w:t>
      </w:r>
      <w:r>
        <w:rPr>
          <w:i/>
          <w:w w:val="125"/>
          <w:position w:val="3"/>
          <w:sz w:val="18"/>
        </w:rPr>
        <w:t>3 </w:t>
      </w:r>
      <w:r>
        <w:rPr>
          <w:w w:val="125"/>
          <w:sz w:val="24"/>
        </w:rPr>
        <w:t>Minden olyan</w:t>
      </w:r>
      <w:r>
        <w:rPr>
          <w:spacing w:val="-12"/>
          <w:w w:val="125"/>
          <w:sz w:val="24"/>
        </w:rPr>
        <w:t> </w:t>
      </w:r>
      <w:r>
        <w:rPr>
          <w:w w:val="125"/>
          <w:sz w:val="24"/>
        </w:rPr>
        <w:t>hitelintézet,</w:t>
      </w:r>
    </w:p>
    <w:p>
      <w:pPr>
        <w:pStyle w:val="ListParagraph"/>
        <w:numPr>
          <w:ilvl w:val="0"/>
          <w:numId w:val="267"/>
        </w:numPr>
        <w:tabs>
          <w:tab w:pos="631" w:val="left" w:leader="none"/>
        </w:tabs>
        <w:spacing w:line="260" w:lineRule="exact" w:before="0" w:after="0"/>
        <w:ind w:left="630" w:right="0" w:hanging="313"/>
        <w:jc w:val="left"/>
        <w:rPr>
          <w:sz w:val="24"/>
        </w:rPr>
      </w:pPr>
      <w:r>
        <w:rPr>
          <w:w w:val="125"/>
          <w:sz w:val="24"/>
        </w:rPr>
        <w:t>amelyre az összevont alapú felügyelet nem terjed ki,</w:t>
      </w:r>
      <w:r>
        <w:rPr>
          <w:spacing w:val="23"/>
          <w:w w:val="125"/>
          <w:sz w:val="24"/>
        </w:rPr>
        <w:t> </w:t>
      </w:r>
      <w:r>
        <w:rPr>
          <w:w w:val="125"/>
          <w:sz w:val="24"/>
        </w:rPr>
        <w:t>vagy</w:t>
      </w:r>
    </w:p>
    <w:p>
      <w:pPr>
        <w:pStyle w:val="ListParagraph"/>
        <w:numPr>
          <w:ilvl w:val="0"/>
          <w:numId w:val="267"/>
        </w:numPr>
        <w:tabs>
          <w:tab w:pos="652" w:val="left" w:leader="none"/>
        </w:tabs>
        <w:spacing w:line="225" w:lineRule="auto" w:before="5" w:after="0"/>
        <w:ind w:left="113" w:right="125" w:firstLine="204"/>
        <w:jc w:val="both"/>
        <w:rPr>
          <w:sz w:val="24"/>
        </w:rPr>
      </w:pPr>
      <w:r>
        <w:rPr>
          <w:w w:val="130"/>
          <w:sz w:val="24"/>
        </w:rPr>
        <w:t>amely</w:t>
      </w:r>
      <w:r>
        <w:rPr>
          <w:spacing w:val="-18"/>
          <w:w w:val="130"/>
          <w:sz w:val="24"/>
        </w:rPr>
        <w:t> </w:t>
      </w:r>
      <w:r>
        <w:rPr>
          <w:w w:val="130"/>
          <w:sz w:val="24"/>
        </w:rPr>
        <w:t>a</w:t>
      </w:r>
      <w:r>
        <w:rPr>
          <w:spacing w:val="-18"/>
          <w:w w:val="130"/>
          <w:sz w:val="24"/>
        </w:rPr>
        <w:t> </w:t>
      </w:r>
      <w:r>
        <w:rPr>
          <w:w w:val="130"/>
          <w:sz w:val="24"/>
        </w:rPr>
        <w:t>csoportszintű</w:t>
      </w:r>
      <w:r>
        <w:rPr>
          <w:spacing w:val="-6"/>
          <w:w w:val="130"/>
          <w:sz w:val="24"/>
        </w:rPr>
        <w:t> </w:t>
      </w:r>
      <w:r>
        <w:rPr>
          <w:w w:val="130"/>
          <w:sz w:val="24"/>
        </w:rPr>
        <w:t>helyreállítási</w:t>
      </w:r>
      <w:r>
        <w:rPr>
          <w:spacing w:val="-28"/>
          <w:w w:val="130"/>
          <w:sz w:val="24"/>
        </w:rPr>
        <w:t> </w:t>
      </w:r>
      <w:r>
        <w:rPr>
          <w:w w:val="130"/>
          <w:sz w:val="24"/>
        </w:rPr>
        <w:t>terv</w:t>
      </w:r>
      <w:r>
        <w:rPr>
          <w:spacing w:val="-17"/>
          <w:w w:val="130"/>
          <w:sz w:val="24"/>
        </w:rPr>
        <w:t> </w:t>
      </w:r>
      <w:r>
        <w:rPr>
          <w:w w:val="130"/>
          <w:sz w:val="24"/>
        </w:rPr>
        <w:t>felülvizsgálata</w:t>
      </w:r>
      <w:r>
        <w:rPr>
          <w:spacing w:val="-8"/>
          <w:w w:val="130"/>
          <w:sz w:val="24"/>
        </w:rPr>
        <w:t> </w:t>
      </w:r>
      <w:r>
        <w:rPr>
          <w:w w:val="130"/>
          <w:sz w:val="24"/>
        </w:rPr>
        <w:t>alapján</w:t>
      </w:r>
      <w:r>
        <w:rPr>
          <w:spacing w:val="-27"/>
          <w:w w:val="130"/>
          <w:sz w:val="24"/>
        </w:rPr>
        <w:t> </w:t>
      </w:r>
      <w:r>
        <w:rPr>
          <w:w w:val="130"/>
          <w:sz w:val="24"/>
        </w:rPr>
        <w:t>erre</w:t>
      </w:r>
      <w:r>
        <w:rPr>
          <w:spacing w:val="-18"/>
          <w:w w:val="130"/>
          <w:sz w:val="24"/>
        </w:rPr>
        <w:t> </w:t>
      </w:r>
      <w:r>
        <w:rPr>
          <w:w w:val="130"/>
          <w:sz w:val="24"/>
        </w:rPr>
        <w:t>külön kötelezett</w:t>
      </w:r>
    </w:p>
    <w:p>
      <w:pPr>
        <w:pStyle w:val="BodyText"/>
        <w:spacing w:line="225" w:lineRule="auto" w:before="1"/>
        <w:ind w:right="126" w:firstLine="0"/>
        <w:jc w:val="both"/>
      </w:pPr>
      <w:r>
        <w:rPr>
          <w:w w:val="125"/>
        </w:rPr>
        <w:t>az általa végzett pénzügyi, kiegészítő pénzügyi szolgáltatási tevékenységekben és az alkalmazott üzleti modellben rejlő kockázatok jellegével, nagyságrendjével, összetettségével arányos helyreállítási tervet készít.</w:t>
      </w:r>
    </w:p>
    <w:p>
      <w:pPr>
        <w:pStyle w:val="ListParagraph"/>
        <w:numPr>
          <w:ilvl w:val="0"/>
          <w:numId w:val="268"/>
        </w:numPr>
        <w:tabs>
          <w:tab w:pos="738" w:val="left" w:leader="none"/>
        </w:tabs>
        <w:spacing w:line="225" w:lineRule="auto" w:before="2" w:after="0"/>
        <w:ind w:left="113" w:right="126" w:firstLine="204"/>
        <w:jc w:val="both"/>
        <w:rPr>
          <w:sz w:val="24"/>
        </w:rPr>
      </w:pPr>
      <w:r>
        <w:rPr>
          <w:w w:val="125"/>
          <w:sz w:val="24"/>
        </w:rPr>
        <w:t>A helyreállítási tervet a hitelintézet irányítási jogkörrel rendelkező vezető testülete által történő jóváhagyást követően benyújtják a</w:t>
      </w:r>
      <w:r>
        <w:rPr>
          <w:spacing w:val="54"/>
          <w:w w:val="125"/>
          <w:sz w:val="24"/>
        </w:rPr>
        <w:t> </w:t>
      </w:r>
      <w:r>
        <w:rPr>
          <w:w w:val="125"/>
          <w:sz w:val="24"/>
        </w:rPr>
        <w:t>Felügyeletnek.</w:t>
      </w:r>
    </w:p>
    <w:p>
      <w:pPr>
        <w:pStyle w:val="ListParagraph"/>
        <w:numPr>
          <w:ilvl w:val="0"/>
          <w:numId w:val="268"/>
        </w:numPr>
        <w:tabs>
          <w:tab w:pos="659" w:val="left" w:leader="none"/>
        </w:tabs>
        <w:spacing w:line="256" w:lineRule="exact" w:before="0" w:after="0"/>
        <w:ind w:left="658" w:right="0" w:hanging="341"/>
        <w:jc w:val="left"/>
        <w:rPr>
          <w:sz w:val="24"/>
        </w:rPr>
      </w:pPr>
      <w:r>
        <w:rPr>
          <w:i/>
          <w:w w:val="130"/>
          <w:position w:val="3"/>
          <w:sz w:val="18"/>
        </w:rPr>
        <w:t>4 </w:t>
      </w:r>
      <w:r>
        <w:rPr>
          <w:w w:val="130"/>
          <w:sz w:val="24"/>
        </w:rPr>
        <w:t>A helyreállítási terv a hitelintézet esetleges fizetésképtelenné</w:t>
      </w:r>
      <w:r>
        <w:rPr>
          <w:spacing w:val="-16"/>
          <w:w w:val="130"/>
          <w:sz w:val="24"/>
        </w:rPr>
        <w:t> </w:t>
      </w:r>
      <w:r>
        <w:rPr>
          <w:w w:val="130"/>
          <w:sz w:val="24"/>
        </w:rPr>
        <w:t>válásának</w:t>
      </w:r>
    </w:p>
    <w:p>
      <w:pPr>
        <w:pStyle w:val="ListParagraph"/>
        <w:numPr>
          <w:ilvl w:val="0"/>
          <w:numId w:val="6"/>
        </w:numPr>
        <w:tabs>
          <w:tab w:pos="527" w:val="left" w:leader="none"/>
        </w:tabs>
        <w:spacing w:line="225" w:lineRule="auto" w:before="6" w:after="0"/>
        <w:ind w:left="113" w:right="126" w:firstLine="0"/>
        <w:jc w:val="both"/>
        <w:rPr>
          <w:sz w:val="24"/>
        </w:rPr>
      </w:pPr>
      <w:r>
        <w:rPr>
          <w:w w:val="130"/>
          <w:sz w:val="24"/>
        </w:rPr>
        <w:t>más hitelintézetekre vagy a pénzügyi közvetítőrendszerrel való összefonódásából adódóan - a pénzügyi piacokra gyakorolható lehetséges</w:t>
      </w:r>
      <w:r>
        <w:rPr>
          <w:spacing w:val="78"/>
          <w:w w:val="130"/>
          <w:sz w:val="24"/>
        </w:rPr>
        <w:t> </w:t>
      </w:r>
      <w:r>
        <w:rPr>
          <w:w w:val="130"/>
          <w:sz w:val="24"/>
        </w:rPr>
        <w:t>hatásainak arányában a következőket</w:t>
      </w:r>
      <w:r>
        <w:rPr>
          <w:spacing w:val="-18"/>
          <w:w w:val="130"/>
          <w:sz w:val="24"/>
        </w:rPr>
        <w:t> </w:t>
      </w:r>
      <w:r>
        <w:rPr>
          <w:w w:val="130"/>
          <w:sz w:val="24"/>
        </w:rPr>
        <w:t>tartalmazza:</w:t>
      </w:r>
    </w:p>
    <w:p>
      <w:pPr>
        <w:pStyle w:val="ListParagraph"/>
        <w:numPr>
          <w:ilvl w:val="0"/>
          <w:numId w:val="269"/>
        </w:numPr>
        <w:tabs>
          <w:tab w:pos="674" w:val="left" w:leader="none"/>
        </w:tabs>
        <w:spacing w:line="225" w:lineRule="auto" w:before="1" w:after="0"/>
        <w:ind w:left="113" w:right="132" w:firstLine="204"/>
        <w:jc w:val="both"/>
        <w:rPr>
          <w:sz w:val="24"/>
        </w:rPr>
      </w:pPr>
      <w:r>
        <w:rPr>
          <w:w w:val="130"/>
          <w:sz w:val="24"/>
        </w:rPr>
        <w:t>a terv kulcsfontosságú elemeinek, az előző tervhez képest bekövetkezett lényeges változásainak, valamint a hitelintézet általános helyreállítási képességének</w:t>
      </w:r>
      <w:r>
        <w:rPr>
          <w:spacing w:val="-5"/>
          <w:w w:val="130"/>
          <w:sz w:val="24"/>
        </w:rPr>
        <w:t> </w:t>
      </w:r>
      <w:r>
        <w:rPr>
          <w:w w:val="130"/>
          <w:sz w:val="24"/>
        </w:rPr>
        <w:t>összefoglalása,</w:t>
      </w:r>
    </w:p>
    <w:p>
      <w:pPr>
        <w:pStyle w:val="ListParagraph"/>
        <w:numPr>
          <w:ilvl w:val="0"/>
          <w:numId w:val="269"/>
        </w:numPr>
        <w:tabs>
          <w:tab w:pos="713" w:val="left" w:leader="none"/>
        </w:tabs>
        <w:spacing w:line="225" w:lineRule="auto" w:before="2" w:after="0"/>
        <w:ind w:left="113" w:right="133" w:firstLine="204"/>
        <w:jc w:val="both"/>
        <w:rPr>
          <w:sz w:val="24"/>
        </w:rPr>
      </w:pPr>
      <w:r>
        <w:rPr>
          <w:w w:val="130"/>
          <w:sz w:val="24"/>
        </w:rPr>
        <w:t>az esetleges negatív piaci reakciók kezelését célzó kommunikációs és</w:t>
      </w:r>
      <w:r>
        <w:rPr>
          <w:spacing w:val="78"/>
          <w:w w:val="130"/>
          <w:sz w:val="24"/>
        </w:rPr>
        <w:t> </w:t>
      </w:r>
      <w:r>
        <w:rPr>
          <w:w w:val="130"/>
          <w:sz w:val="24"/>
        </w:rPr>
        <w:t>tájékoztatási</w:t>
      </w:r>
      <w:r>
        <w:rPr>
          <w:spacing w:val="-4"/>
          <w:w w:val="130"/>
          <w:sz w:val="24"/>
        </w:rPr>
        <w:t> </w:t>
      </w:r>
      <w:r>
        <w:rPr>
          <w:w w:val="130"/>
          <w:sz w:val="24"/>
        </w:rPr>
        <w:t>terv,</w:t>
      </w:r>
    </w:p>
    <w:p>
      <w:pPr>
        <w:pStyle w:val="ListParagraph"/>
        <w:numPr>
          <w:ilvl w:val="0"/>
          <w:numId w:val="269"/>
        </w:numPr>
        <w:tabs>
          <w:tab w:pos="623" w:val="left" w:leader="none"/>
        </w:tabs>
        <w:spacing w:line="256" w:lineRule="exact" w:before="0" w:after="0"/>
        <w:ind w:left="622" w:right="0" w:hanging="305"/>
        <w:jc w:val="left"/>
        <w:rPr>
          <w:sz w:val="24"/>
        </w:rPr>
      </w:pPr>
      <w:r>
        <w:rPr>
          <w:w w:val="130"/>
          <w:sz w:val="24"/>
        </w:rPr>
        <w:t>a hitelintézet kritikus funkcióinak</w:t>
      </w:r>
      <w:r>
        <w:rPr>
          <w:spacing w:val="-22"/>
          <w:w w:val="130"/>
          <w:sz w:val="24"/>
        </w:rPr>
        <w:t> </w:t>
      </w:r>
      <w:r>
        <w:rPr>
          <w:w w:val="130"/>
          <w:sz w:val="24"/>
        </w:rPr>
        <w:t>meghatározása,</w:t>
      </w:r>
    </w:p>
    <w:p>
      <w:pPr>
        <w:pStyle w:val="ListParagraph"/>
        <w:numPr>
          <w:ilvl w:val="0"/>
          <w:numId w:val="269"/>
        </w:numPr>
        <w:tabs>
          <w:tab w:pos="667" w:val="left" w:leader="none"/>
        </w:tabs>
        <w:spacing w:line="225" w:lineRule="auto" w:before="6" w:after="0"/>
        <w:ind w:left="113" w:right="123" w:firstLine="204"/>
        <w:jc w:val="both"/>
        <w:rPr>
          <w:sz w:val="24"/>
        </w:rPr>
      </w:pPr>
      <w:r>
        <w:rPr>
          <w:w w:val="130"/>
          <w:sz w:val="24"/>
        </w:rPr>
        <w:t>a hitelintézet kritikus funkciói működésének fenntartásához szükséges, a likviditással és a fizetőképességgel (szolvenciával) kapcsolatban tervezett lépések,</w:t>
      </w:r>
    </w:p>
    <w:p>
      <w:pPr>
        <w:pStyle w:val="ListParagraph"/>
        <w:numPr>
          <w:ilvl w:val="0"/>
          <w:numId w:val="269"/>
        </w:numPr>
        <w:tabs>
          <w:tab w:pos="629" w:val="left" w:leader="none"/>
        </w:tabs>
        <w:spacing w:line="256" w:lineRule="exact" w:before="0" w:after="0"/>
        <w:ind w:left="628" w:right="0" w:hanging="311"/>
        <w:jc w:val="left"/>
        <w:rPr>
          <w:sz w:val="24"/>
        </w:rPr>
      </w:pPr>
      <w:r>
        <w:rPr>
          <w:w w:val="130"/>
          <w:sz w:val="24"/>
        </w:rPr>
        <w:t>a</w:t>
      </w:r>
      <w:r>
        <w:rPr>
          <w:spacing w:val="-10"/>
          <w:w w:val="130"/>
          <w:sz w:val="24"/>
        </w:rPr>
        <w:t> </w:t>
      </w:r>
      <w:r>
        <w:rPr>
          <w:w w:val="130"/>
          <w:sz w:val="24"/>
        </w:rPr>
        <w:t>terv</w:t>
      </w:r>
      <w:r>
        <w:rPr>
          <w:spacing w:val="-10"/>
          <w:w w:val="130"/>
          <w:sz w:val="24"/>
        </w:rPr>
        <w:t> </w:t>
      </w:r>
      <w:r>
        <w:rPr>
          <w:w w:val="130"/>
          <w:sz w:val="24"/>
        </w:rPr>
        <w:t>minden</w:t>
      </w:r>
      <w:r>
        <w:rPr>
          <w:spacing w:val="-9"/>
          <w:w w:val="130"/>
          <w:sz w:val="24"/>
        </w:rPr>
        <w:t> </w:t>
      </w:r>
      <w:r>
        <w:rPr>
          <w:w w:val="130"/>
          <w:sz w:val="24"/>
        </w:rPr>
        <w:t>egyes</w:t>
      </w:r>
      <w:r>
        <w:rPr>
          <w:spacing w:val="-10"/>
          <w:w w:val="130"/>
          <w:sz w:val="24"/>
        </w:rPr>
        <w:t> </w:t>
      </w:r>
      <w:r>
        <w:rPr>
          <w:w w:val="130"/>
          <w:sz w:val="24"/>
        </w:rPr>
        <w:t>lényeges</w:t>
      </w:r>
      <w:r>
        <w:rPr>
          <w:spacing w:val="-9"/>
          <w:w w:val="130"/>
          <w:sz w:val="24"/>
        </w:rPr>
        <w:t> </w:t>
      </w:r>
      <w:r>
        <w:rPr>
          <w:w w:val="130"/>
          <w:sz w:val="24"/>
        </w:rPr>
        <w:t>lépéséhez</w:t>
      </w:r>
      <w:r>
        <w:rPr>
          <w:spacing w:val="-10"/>
          <w:w w:val="130"/>
          <w:sz w:val="24"/>
        </w:rPr>
        <w:t> </w:t>
      </w:r>
      <w:r>
        <w:rPr>
          <w:w w:val="130"/>
          <w:sz w:val="24"/>
        </w:rPr>
        <w:t>szükséges</w:t>
      </w:r>
      <w:r>
        <w:rPr>
          <w:spacing w:val="-6"/>
          <w:w w:val="130"/>
          <w:sz w:val="24"/>
        </w:rPr>
        <w:t> </w:t>
      </w:r>
      <w:r>
        <w:rPr>
          <w:w w:val="130"/>
          <w:sz w:val="24"/>
        </w:rPr>
        <w:t>becsült</w:t>
      </w:r>
      <w:r>
        <w:rPr>
          <w:spacing w:val="-12"/>
          <w:w w:val="130"/>
          <w:sz w:val="24"/>
        </w:rPr>
        <w:t> </w:t>
      </w:r>
      <w:r>
        <w:rPr>
          <w:w w:val="130"/>
          <w:sz w:val="24"/>
        </w:rPr>
        <w:t>időkeret,</w:t>
      </w:r>
    </w:p>
    <w:p>
      <w:pPr>
        <w:pStyle w:val="ListParagraph"/>
        <w:numPr>
          <w:ilvl w:val="0"/>
          <w:numId w:val="269"/>
        </w:numPr>
        <w:tabs>
          <w:tab w:pos="718" w:val="left" w:leader="none"/>
        </w:tabs>
        <w:spacing w:line="225" w:lineRule="auto" w:before="5" w:after="0"/>
        <w:ind w:left="113" w:right="125" w:firstLine="204"/>
        <w:jc w:val="both"/>
        <w:rPr>
          <w:sz w:val="24"/>
        </w:rPr>
      </w:pPr>
      <w:r>
        <w:rPr>
          <w:w w:val="130"/>
          <w:sz w:val="24"/>
        </w:rPr>
        <w:t>a terv esetleges végrehajtását gátló tényezők leírása, ideértve az ügyfelekre, a szerződéses partnerekre, valamint - összevont alapú felügyelet alá</w:t>
      </w:r>
      <w:r>
        <w:rPr>
          <w:spacing w:val="-11"/>
          <w:w w:val="130"/>
          <w:sz w:val="24"/>
        </w:rPr>
        <w:t> </w:t>
      </w:r>
      <w:r>
        <w:rPr>
          <w:w w:val="130"/>
          <w:sz w:val="24"/>
        </w:rPr>
        <w:t>tartozó</w:t>
      </w:r>
      <w:r>
        <w:rPr>
          <w:spacing w:val="-11"/>
          <w:w w:val="130"/>
          <w:sz w:val="24"/>
        </w:rPr>
        <w:t> </w:t>
      </w:r>
      <w:r>
        <w:rPr>
          <w:w w:val="130"/>
          <w:sz w:val="24"/>
        </w:rPr>
        <w:t>hitelintézet</w:t>
      </w:r>
      <w:r>
        <w:rPr>
          <w:spacing w:val="-9"/>
          <w:w w:val="130"/>
          <w:sz w:val="24"/>
        </w:rPr>
        <w:t> </w:t>
      </w:r>
      <w:r>
        <w:rPr>
          <w:w w:val="130"/>
          <w:sz w:val="24"/>
        </w:rPr>
        <w:t>esetén</w:t>
      </w:r>
      <w:r>
        <w:rPr>
          <w:spacing w:val="-11"/>
          <w:w w:val="130"/>
          <w:sz w:val="24"/>
        </w:rPr>
        <w:t> </w:t>
      </w:r>
      <w:r>
        <w:rPr>
          <w:w w:val="130"/>
          <w:sz w:val="24"/>
        </w:rPr>
        <w:t>-</w:t>
      </w:r>
      <w:r>
        <w:rPr>
          <w:spacing w:val="6"/>
          <w:w w:val="130"/>
          <w:sz w:val="24"/>
        </w:rPr>
        <w:t> </w:t>
      </w:r>
      <w:r>
        <w:rPr>
          <w:w w:val="130"/>
          <w:sz w:val="24"/>
        </w:rPr>
        <w:t>a</w:t>
      </w:r>
      <w:r>
        <w:rPr>
          <w:spacing w:val="-17"/>
          <w:w w:val="130"/>
          <w:sz w:val="24"/>
        </w:rPr>
        <w:t> </w:t>
      </w:r>
      <w:r>
        <w:rPr>
          <w:w w:val="130"/>
          <w:sz w:val="24"/>
        </w:rPr>
        <w:t>csoport</w:t>
      </w:r>
      <w:r>
        <w:rPr>
          <w:spacing w:val="-19"/>
          <w:w w:val="130"/>
          <w:sz w:val="24"/>
        </w:rPr>
        <w:t> </w:t>
      </w:r>
      <w:r>
        <w:rPr>
          <w:w w:val="130"/>
          <w:sz w:val="24"/>
        </w:rPr>
        <w:t>többi</w:t>
      </w:r>
      <w:r>
        <w:rPr>
          <w:spacing w:val="-10"/>
          <w:w w:val="130"/>
          <w:sz w:val="24"/>
        </w:rPr>
        <w:t> </w:t>
      </w:r>
      <w:r>
        <w:rPr>
          <w:w w:val="130"/>
          <w:sz w:val="24"/>
        </w:rPr>
        <w:t>tagjára</w:t>
      </w:r>
      <w:r>
        <w:rPr>
          <w:spacing w:val="-11"/>
          <w:w w:val="130"/>
          <w:sz w:val="24"/>
        </w:rPr>
        <w:t> </w:t>
      </w:r>
      <w:r>
        <w:rPr>
          <w:w w:val="130"/>
          <w:sz w:val="24"/>
        </w:rPr>
        <w:t>gyakorolt</w:t>
      </w:r>
      <w:r>
        <w:rPr>
          <w:spacing w:val="-10"/>
          <w:w w:val="130"/>
          <w:sz w:val="24"/>
        </w:rPr>
        <w:t> </w:t>
      </w:r>
      <w:r>
        <w:rPr>
          <w:w w:val="130"/>
          <w:sz w:val="24"/>
        </w:rPr>
        <w:t>hatásokat</w:t>
      </w:r>
      <w:r>
        <w:rPr>
          <w:spacing w:val="-9"/>
          <w:w w:val="130"/>
          <w:sz w:val="24"/>
        </w:rPr>
        <w:t> </w:t>
      </w:r>
      <w:r>
        <w:rPr>
          <w:w w:val="130"/>
          <w:sz w:val="24"/>
        </w:rPr>
        <w:t>is,</w:t>
      </w:r>
    </w:p>
    <w:p>
      <w:pPr>
        <w:pStyle w:val="ListParagraph"/>
        <w:numPr>
          <w:ilvl w:val="0"/>
          <w:numId w:val="269"/>
        </w:numPr>
        <w:tabs>
          <w:tab w:pos="709" w:val="left" w:leader="none"/>
        </w:tabs>
        <w:spacing w:line="225" w:lineRule="auto" w:before="2" w:after="0"/>
        <w:ind w:left="113" w:right="125" w:firstLine="204"/>
        <w:jc w:val="both"/>
        <w:rPr>
          <w:sz w:val="24"/>
        </w:rPr>
      </w:pPr>
      <w:r>
        <w:rPr>
          <w:w w:val="130"/>
          <w:sz w:val="24"/>
        </w:rPr>
        <w:t>a hitelintézet fő üzletágai, működési folyamatai és eszközei értékének valamint értékesíthetőségének meghatározására irányuló eljárások, valamint értékesítésükhöz szükséges lépések és azok becsült</w:t>
      </w:r>
      <w:r>
        <w:rPr>
          <w:spacing w:val="-37"/>
          <w:w w:val="130"/>
          <w:sz w:val="24"/>
        </w:rPr>
        <w:t> </w:t>
      </w:r>
      <w:r>
        <w:rPr>
          <w:w w:val="130"/>
          <w:sz w:val="24"/>
        </w:rPr>
        <w:t>időkerete,</w:t>
      </w:r>
    </w:p>
    <w:p>
      <w:pPr>
        <w:pStyle w:val="ListParagraph"/>
        <w:numPr>
          <w:ilvl w:val="0"/>
          <w:numId w:val="269"/>
        </w:numPr>
        <w:tabs>
          <w:tab w:pos="793" w:val="left" w:leader="none"/>
        </w:tabs>
        <w:spacing w:line="225" w:lineRule="auto" w:before="2" w:after="0"/>
        <w:ind w:left="113" w:right="130" w:firstLine="204"/>
        <w:jc w:val="both"/>
        <w:rPr>
          <w:sz w:val="24"/>
        </w:rPr>
      </w:pPr>
      <w:r>
        <w:rPr>
          <w:w w:val="130"/>
          <w:sz w:val="24"/>
        </w:rPr>
        <w:t>annak ismertetése, hogy a terv hogyan illeszkedik a hitelintézet vállalatirányítási rendszerébe, ideértve a terv kidolgozásához és végrehajtásához kapcsolódó felelősségi</w:t>
      </w:r>
      <w:r>
        <w:rPr>
          <w:spacing w:val="-19"/>
          <w:w w:val="130"/>
          <w:sz w:val="24"/>
        </w:rPr>
        <w:t> </w:t>
      </w:r>
      <w:r>
        <w:rPr>
          <w:w w:val="130"/>
          <w:sz w:val="24"/>
        </w:rPr>
        <w:t>köröket,</w:t>
      </w:r>
    </w:p>
    <w:p>
      <w:pPr>
        <w:pStyle w:val="BodyText"/>
        <w:spacing w:line="211" w:lineRule="auto" w:before="12"/>
        <w:ind w:right="131" w:firstLine="0"/>
        <w:jc w:val="both"/>
      </w:pPr>
      <w:r>
        <w:rPr>
          <w:position w:val="-6"/>
        </w:rPr>
        <w:drawing>
          <wp:inline distT="0" distB="0" distL="0" distR="0">
            <wp:extent cx="228600" cy="165100"/>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228600" cy="165100"/>
                    </a:xfrm>
                    <a:prstGeom prst="rect">
                      <a:avLst/>
                    </a:prstGeom>
                  </pic:spPr>
                </pic:pic>
              </a:graphicData>
            </a:graphic>
          </wp:inline>
        </w:drawing>
      </w:r>
      <w:r>
        <w:rPr>
          <w:position w:val="-6"/>
        </w:rPr>
      </w:r>
      <w:r>
        <w:rPr>
          <w:spacing w:val="-10"/>
          <w:sz w:val="20"/>
        </w:rPr>
        <w:t> </w:t>
      </w:r>
      <w:r>
        <w:rPr>
          <w:i/>
          <w:w w:val="125"/>
        </w:rPr>
        <w:t>i) </w:t>
      </w:r>
      <w:r>
        <w:rPr>
          <w:w w:val="125"/>
        </w:rPr>
        <w:t>a 79. §-ban meghatározott tőkekövetelmény megőrzéséhez kapcsolódó szabályok, lehetséges</w:t>
      </w:r>
      <w:r>
        <w:rPr>
          <w:spacing w:val="2"/>
          <w:w w:val="125"/>
        </w:rPr>
        <w:t> </w:t>
      </w:r>
      <w:r>
        <w:rPr>
          <w:w w:val="125"/>
        </w:rPr>
        <w:t>lépések,</w:t>
      </w:r>
    </w:p>
    <w:p>
      <w:pPr>
        <w:pStyle w:val="ListParagraph"/>
        <w:numPr>
          <w:ilvl w:val="0"/>
          <w:numId w:val="270"/>
        </w:numPr>
        <w:tabs>
          <w:tab w:pos="588" w:val="left" w:leader="none"/>
        </w:tabs>
        <w:spacing w:line="225" w:lineRule="auto" w:before="4" w:after="0"/>
        <w:ind w:left="113" w:right="125" w:firstLine="204"/>
        <w:jc w:val="both"/>
        <w:rPr>
          <w:sz w:val="24"/>
        </w:rPr>
      </w:pPr>
      <w:r>
        <w:rPr>
          <w:w w:val="125"/>
          <w:sz w:val="24"/>
        </w:rPr>
        <w:t>szabályok és lépések annak biztosítására, hogy a hitelintézet megfelelően hozzáférjen válsághelyzeti finanszírozási</w:t>
      </w:r>
      <w:r>
        <w:rPr>
          <w:spacing w:val="1"/>
          <w:w w:val="125"/>
          <w:sz w:val="24"/>
        </w:rPr>
        <w:t> </w:t>
      </w:r>
      <w:r>
        <w:rPr>
          <w:w w:val="125"/>
          <w:sz w:val="24"/>
        </w:rPr>
        <w:t>forrásokhoz,</w:t>
      </w:r>
    </w:p>
    <w:p>
      <w:pPr>
        <w:pStyle w:val="BodyText"/>
        <w:ind w:left="0" w:firstLine="0"/>
        <w:rPr>
          <w:sz w:val="20"/>
        </w:rPr>
      </w:pPr>
    </w:p>
    <w:p>
      <w:pPr>
        <w:pStyle w:val="BodyText"/>
        <w:spacing w:before="5"/>
        <w:ind w:left="0" w:firstLine="0"/>
        <w:rPr>
          <w:sz w:val="23"/>
        </w:rPr>
      </w:pPr>
      <w:r>
        <w:rPr/>
        <w:pict>
          <v:line style="position:absolute;mso-position-horizontal-relative:page;mso-position-vertical-relative:paragraph;z-index:512;mso-wrap-distance-left:0;mso-wrap-distance-right:0" from="56.693001pt,15.684738pt" to="538.583001pt,15.684738pt" stroked="true" strokeweight=".5pt" strokecolor="#000000">
            <v:stroke dashstyle="solid"/>
            <w10:wrap type="topAndBottom"/>
          </v:line>
        </w:pict>
      </w:r>
    </w:p>
    <w:p>
      <w:pPr>
        <w:pStyle w:val="ListParagraph"/>
        <w:numPr>
          <w:ilvl w:val="0"/>
          <w:numId w:val="271"/>
        </w:numPr>
        <w:tabs>
          <w:tab w:pos="686" w:val="left" w:leader="none"/>
          <w:tab w:pos="687" w:val="left" w:leader="none"/>
        </w:tabs>
        <w:spacing w:line="203" w:lineRule="exact" w:before="44" w:after="0"/>
        <w:ind w:left="686" w:right="0" w:hanging="344"/>
        <w:jc w:val="left"/>
        <w:rPr>
          <w:i/>
          <w:sz w:val="18"/>
        </w:rPr>
      </w:pPr>
      <w:r>
        <w:rPr>
          <w:i/>
          <w:w w:val="125"/>
          <w:sz w:val="18"/>
        </w:rPr>
        <w:t>Beiktatta: 2018. évi CXXVI. törvény 103. §. Hatályos: 2019. III.</w:t>
      </w:r>
      <w:r>
        <w:rPr>
          <w:i/>
          <w:spacing w:val="-15"/>
          <w:w w:val="125"/>
          <w:sz w:val="18"/>
        </w:rPr>
        <w:t> </w:t>
      </w:r>
      <w:r>
        <w:rPr>
          <w:i/>
          <w:w w:val="125"/>
          <w:sz w:val="18"/>
        </w:rPr>
        <w:t>31-től.</w:t>
      </w:r>
    </w:p>
    <w:p>
      <w:pPr>
        <w:pStyle w:val="ListParagraph"/>
        <w:numPr>
          <w:ilvl w:val="0"/>
          <w:numId w:val="271"/>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(9). Hatályos: 2014. IX.</w:t>
      </w:r>
      <w:r>
        <w:rPr>
          <w:i/>
          <w:spacing w:val="-31"/>
          <w:w w:val="125"/>
          <w:sz w:val="18"/>
        </w:rPr>
        <w:t> </w:t>
      </w:r>
      <w:r>
        <w:rPr>
          <w:i/>
          <w:w w:val="125"/>
          <w:sz w:val="18"/>
        </w:rPr>
        <w:t>16-tól.</w:t>
      </w:r>
    </w:p>
    <w:p>
      <w:pPr>
        <w:pStyle w:val="ListParagraph"/>
        <w:numPr>
          <w:ilvl w:val="0"/>
          <w:numId w:val="271"/>
        </w:numPr>
        <w:tabs>
          <w:tab w:pos="686" w:val="left" w:leader="none"/>
          <w:tab w:pos="687" w:val="left" w:leader="none"/>
        </w:tabs>
        <w:spacing w:line="232" w:lineRule="auto" w:before="2" w:after="0"/>
        <w:ind w:left="342" w:right="2024" w:firstLine="0"/>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1"/>
          <w:w w:val="125"/>
          <w:sz w:val="18"/>
        </w:rPr>
        <w:t> </w:t>
      </w:r>
      <w:r>
        <w:rPr>
          <w:i/>
          <w:w w:val="125"/>
          <w:sz w:val="18"/>
        </w:rPr>
        <w:t>LXXXV.</w:t>
      </w:r>
      <w:r>
        <w:rPr>
          <w:i/>
          <w:spacing w:val="-11"/>
          <w:w w:val="125"/>
          <w:sz w:val="18"/>
        </w:rPr>
        <w:t> </w:t>
      </w:r>
      <w:r>
        <w:rPr>
          <w:i/>
          <w:w w:val="125"/>
          <w:sz w:val="18"/>
        </w:rPr>
        <w:t>törvény</w:t>
      </w:r>
      <w:r>
        <w:rPr>
          <w:i/>
          <w:spacing w:val="-12"/>
          <w:w w:val="125"/>
          <w:sz w:val="18"/>
        </w:rPr>
        <w:t> </w:t>
      </w:r>
      <w:r>
        <w:rPr>
          <w:i/>
          <w:w w:val="125"/>
          <w:sz w:val="18"/>
        </w:rPr>
        <w:t>201.</w:t>
      </w:r>
      <w:r>
        <w:rPr>
          <w:i/>
          <w:spacing w:val="-12"/>
          <w:w w:val="125"/>
          <w:sz w:val="18"/>
        </w:rPr>
        <w:t> </w:t>
      </w:r>
      <w:r>
        <w:rPr>
          <w:i/>
          <w:w w:val="125"/>
          <w:sz w:val="18"/>
        </w:rPr>
        <w:t>§</w:t>
      </w:r>
      <w:r>
        <w:rPr>
          <w:i/>
          <w:spacing w:val="-10"/>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2015.</w:t>
      </w:r>
      <w:r>
        <w:rPr>
          <w:i/>
          <w:spacing w:val="-12"/>
          <w:w w:val="125"/>
          <w:sz w:val="18"/>
        </w:rPr>
        <w:t> </w:t>
      </w:r>
      <w:r>
        <w:rPr>
          <w:i/>
          <w:w w:val="125"/>
          <w:sz w:val="18"/>
        </w:rPr>
        <w:t>VII.</w:t>
      </w:r>
      <w:r>
        <w:rPr>
          <w:i/>
          <w:spacing w:val="-11"/>
          <w:w w:val="125"/>
          <w:sz w:val="18"/>
        </w:rPr>
        <w:t> </w:t>
      </w:r>
      <w:r>
        <w:rPr>
          <w:i/>
          <w:w w:val="125"/>
          <w:sz w:val="18"/>
        </w:rPr>
        <w:t>7-től. 4</w:t>
        <w:tab/>
        <w:t>Módosította: 2015. évi LXXXV. törvény 238. § (2)</w:t>
      </w:r>
      <w:r>
        <w:rPr>
          <w:i/>
          <w:spacing w:val="-12"/>
          <w:w w:val="125"/>
          <w:sz w:val="18"/>
        </w:rPr>
        <w:t> </w:t>
      </w:r>
      <w:r>
        <w:rPr>
          <w:i/>
          <w:w w:val="125"/>
          <w:sz w:val="18"/>
        </w:rPr>
        <w:t>a).</w:t>
      </w:r>
    </w:p>
    <w:p>
      <w:pPr>
        <w:spacing w:after="0" w:line="232" w:lineRule="auto"/>
        <w:jc w:val="left"/>
        <w:rPr>
          <w:sz w:val="18"/>
        </w:rPr>
        <w:sectPr>
          <w:pgSz w:w="11900" w:h="16820"/>
          <w:pgMar w:header="1104" w:footer="0" w:top="1840" w:bottom="280" w:left="1020" w:right="1000"/>
        </w:sectPr>
      </w:pPr>
    </w:p>
    <w:p>
      <w:pPr>
        <w:pStyle w:val="ListParagraph"/>
        <w:numPr>
          <w:ilvl w:val="0"/>
          <w:numId w:val="270"/>
        </w:numPr>
        <w:tabs>
          <w:tab w:pos="751" w:val="left" w:leader="none"/>
        </w:tabs>
        <w:spacing w:line="225" w:lineRule="auto" w:before="173" w:after="0"/>
        <w:ind w:left="113" w:right="133" w:firstLine="204"/>
        <w:jc w:val="both"/>
        <w:rPr>
          <w:sz w:val="24"/>
        </w:rPr>
      </w:pPr>
      <w:r>
        <w:rPr>
          <w:w w:val="130"/>
          <w:sz w:val="24"/>
        </w:rPr>
        <w:t>a kötelezettségek szerkezetének átalakítására irányuló szabályok és intézkedések,</w:t>
      </w:r>
    </w:p>
    <w:p>
      <w:pPr>
        <w:pStyle w:val="ListParagraph"/>
        <w:numPr>
          <w:ilvl w:val="0"/>
          <w:numId w:val="270"/>
        </w:numPr>
        <w:tabs>
          <w:tab w:pos="729" w:val="left" w:leader="none"/>
        </w:tabs>
        <w:spacing w:line="225" w:lineRule="auto" w:before="1" w:after="0"/>
        <w:ind w:left="113" w:right="126" w:firstLine="204"/>
        <w:jc w:val="both"/>
        <w:rPr>
          <w:sz w:val="24"/>
        </w:rPr>
      </w:pPr>
      <w:r>
        <w:rPr>
          <w:w w:val="130"/>
          <w:sz w:val="24"/>
        </w:rPr>
        <w:t>a fő üzletágak szerkezetének átalakítására irányuló szabályok és intézkedések,</w:t>
      </w:r>
    </w:p>
    <w:p>
      <w:pPr>
        <w:pStyle w:val="ListParagraph"/>
        <w:numPr>
          <w:ilvl w:val="0"/>
          <w:numId w:val="270"/>
        </w:numPr>
        <w:tabs>
          <w:tab w:pos="723" w:val="left" w:leader="none"/>
        </w:tabs>
        <w:spacing w:line="225" w:lineRule="auto" w:before="1" w:after="0"/>
        <w:ind w:left="113" w:right="135" w:firstLine="204"/>
        <w:jc w:val="both"/>
        <w:rPr>
          <w:sz w:val="24"/>
        </w:rPr>
      </w:pPr>
      <w:r>
        <w:rPr>
          <w:w w:val="130"/>
          <w:sz w:val="24"/>
        </w:rPr>
        <w:t>a</w:t>
      </w:r>
      <w:r>
        <w:rPr>
          <w:spacing w:val="-16"/>
          <w:w w:val="130"/>
          <w:sz w:val="24"/>
        </w:rPr>
        <w:t> </w:t>
      </w:r>
      <w:r>
        <w:rPr>
          <w:w w:val="130"/>
          <w:sz w:val="24"/>
        </w:rPr>
        <w:t>fizetési,</w:t>
      </w:r>
      <w:r>
        <w:rPr>
          <w:spacing w:val="-15"/>
          <w:w w:val="130"/>
          <w:sz w:val="24"/>
        </w:rPr>
        <w:t> </w:t>
      </w:r>
      <w:r>
        <w:rPr>
          <w:w w:val="130"/>
          <w:sz w:val="24"/>
        </w:rPr>
        <w:t>elszámolási</w:t>
      </w:r>
      <w:r>
        <w:rPr>
          <w:spacing w:val="-17"/>
          <w:w w:val="130"/>
          <w:sz w:val="24"/>
        </w:rPr>
        <w:t> </w:t>
      </w:r>
      <w:r>
        <w:rPr>
          <w:w w:val="130"/>
          <w:sz w:val="24"/>
        </w:rPr>
        <w:t>rendszerekhez</w:t>
      </w:r>
      <w:r>
        <w:rPr>
          <w:spacing w:val="-15"/>
          <w:w w:val="130"/>
          <w:sz w:val="24"/>
        </w:rPr>
        <w:t> </w:t>
      </w:r>
      <w:r>
        <w:rPr>
          <w:w w:val="130"/>
          <w:sz w:val="24"/>
        </w:rPr>
        <w:t>és</w:t>
      </w:r>
      <w:r>
        <w:rPr>
          <w:spacing w:val="-16"/>
          <w:w w:val="130"/>
          <w:sz w:val="24"/>
        </w:rPr>
        <w:t> </w:t>
      </w:r>
      <w:r>
        <w:rPr>
          <w:w w:val="130"/>
          <w:sz w:val="24"/>
        </w:rPr>
        <w:t>egyéb</w:t>
      </w:r>
      <w:r>
        <w:rPr>
          <w:spacing w:val="-16"/>
          <w:w w:val="130"/>
          <w:sz w:val="24"/>
        </w:rPr>
        <w:t> </w:t>
      </w:r>
      <w:r>
        <w:rPr>
          <w:w w:val="130"/>
          <w:sz w:val="24"/>
        </w:rPr>
        <w:t>infrastruktúrákhoz</w:t>
      </w:r>
      <w:r>
        <w:rPr>
          <w:spacing w:val="-17"/>
          <w:w w:val="130"/>
          <w:sz w:val="24"/>
        </w:rPr>
        <w:t> </w:t>
      </w:r>
      <w:r>
        <w:rPr>
          <w:w w:val="130"/>
          <w:sz w:val="24"/>
        </w:rPr>
        <w:t>történő hozzáférés fenntartásához szükséges szabályok és</w:t>
      </w:r>
      <w:r>
        <w:rPr>
          <w:spacing w:val="-39"/>
          <w:w w:val="130"/>
          <w:sz w:val="24"/>
        </w:rPr>
        <w:t> </w:t>
      </w:r>
      <w:r>
        <w:rPr>
          <w:w w:val="130"/>
          <w:sz w:val="24"/>
        </w:rPr>
        <w:t>intézkedések,</w:t>
      </w:r>
    </w:p>
    <w:p>
      <w:pPr>
        <w:pStyle w:val="ListParagraph"/>
        <w:numPr>
          <w:ilvl w:val="0"/>
          <w:numId w:val="270"/>
        </w:numPr>
        <w:tabs>
          <w:tab w:pos="685" w:val="left" w:leader="none"/>
        </w:tabs>
        <w:spacing w:line="225" w:lineRule="auto" w:before="1" w:after="0"/>
        <w:ind w:left="113" w:right="130" w:firstLine="204"/>
        <w:jc w:val="both"/>
        <w:rPr>
          <w:sz w:val="24"/>
        </w:rPr>
      </w:pPr>
      <w:r>
        <w:rPr>
          <w:w w:val="130"/>
          <w:sz w:val="24"/>
        </w:rPr>
        <w:t>a hitelintézet által tett vagy tervezett előkészítő lépések a helyreállítási terv végrehajtásának előmozdítására, ideértve a hitelintézet esetleges tőkeemeléséről</w:t>
      </w:r>
      <w:r>
        <w:rPr>
          <w:spacing w:val="-15"/>
          <w:w w:val="130"/>
          <w:sz w:val="24"/>
        </w:rPr>
        <w:t> </w:t>
      </w:r>
      <w:r>
        <w:rPr>
          <w:w w:val="130"/>
          <w:sz w:val="24"/>
        </w:rPr>
        <w:t>szóló</w:t>
      </w:r>
      <w:r>
        <w:rPr>
          <w:spacing w:val="-13"/>
          <w:w w:val="130"/>
          <w:sz w:val="24"/>
        </w:rPr>
        <w:t> </w:t>
      </w:r>
      <w:r>
        <w:rPr>
          <w:w w:val="130"/>
          <w:sz w:val="24"/>
        </w:rPr>
        <w:t>döntést</w:t>
      </w:r>
      <w:r>
        <w:rPr>
          <w:spacing w:val="-14"/>
          <w:w w:val="130"/>
          <w:sz w:val="24"/>
        </w:rPr>
        <w:t> </w:t>
      </w:r>
      <w:r>
        <w:rPr>
          <w:w w:val="130"/>
          <w:sz w:val="24"/>
        </w:rPr>
        <w:t>korlátozó</w:t>
      </w:r>
      <w:r>
        <w:rPr>
          <w:spacing w:val="-14"/>
          <w:w w:val="130"/>
          <w:sz w:val="24"/>
        </w:rPr>
        <w:t> </w:t>
      </w:r>
      <w:r>
        <w:rPr>
          <w:w w:val="130"/>
          <w:sz w:val="24"/>
        </w:rPr>
        <w:t>szabályok</w:t>
      </w:r>
      <w:r>
        <w:rPr>
          <w:spacing w:val="-14"/>
          <w:w w:val="130"/>
          <w:sz w:val="24"/>
        </w:rPr>
        <w:t> </w:t>
      </w:r>
      <w:r>
        <w:rPr>
          <w:w w:val="130"/>
          <w:sz w:val="24"/>
        </w:rPr>
        <w:t>felülvizsgálatát</w:t>
      </w:r>
      <w:r>
        <w:rPr>
          <w:spacing w:val="-13"/>
          <w:w w:val="130"/>
          <w:sz w:val="24"/>
        </w:rPr>
        <w:t> </w:t>
      </w:r>
      <w:r>
        <w:rPr>
          <w:w w:val="130"/>
          <w:sz w:val="24"/>
        </w:rPr>
        <w:t>is,</w:t>
      </w:r>
    </w:p>
    <w:p>
      <w:pPr>
        <w:pStyle w:val="ListParagraph"/>
        <w:numPr>
          <w:ilvl w:val="0"/>
          <w:numId w:val="270"/>
        </w:numPr>
        <w:tabs>
          <w:tab w:pos="709" w:val="left" w:leader="none"/>
        </w:tabs>
        <w:spacing w:line="225" w:lineRule="auto" w:before="2" w:after="0"/>
        <w:ind w:left="113" w:right="126" w:firstLine="204"/>
        <w:jc w:val="both"/>
        <w:rPr>
          <w:sz w:val="24"/>
        </w:rPr>
      </w:pPr>
      <w:r>
        <w:rPr>
          <w:w w:val="130"/>
          <w:sz w:val="24"/>
        </w:rPr>
        <w:t>arra vonatkozó elemzés, hogy a tervben vázolt körülmények között a hitelintézet hogyan és mikor igényelhet a jegybanki feladatkörében eljáró</w:t>
      </w:r>
      <w:r>
        <w:rPr>
          <w:spacing w:val="78"/>
          <w:w w:val="130"/>
          <w:sz w:val="24"/>
        </w:rPr>
        <w:t> </w:t>
      </w:r>
      <w:r>
        <w:rPr>
          <w:w w:val="130"/>
          <w:sz w:val="24"/>
        </w:rPr>
        <w:t>MNB-től</w:t>
      </w:r>
      <w:r>
        <w:rPr>
          <w:spacing w:val="-16"/>
          <w:w w:val="130"/>
          <w:sz w:val="24"/>
        </w:rPr>
        <w:t> </w:t>
      </w:r>
      <w:r>
        <w:rPr>
          <w:w w:val="130"/>
          <w:sz w:val="24"/>
        </w:rPr>
        <w:t>rendkívüli</w:t>
      </w:r>
      <w:r>
        <w:rPr>
          <w:spacing w:val="-14"/>
          <w:w w:val="130"/>
          <w:sz w:val="24"/>
        </w:rPr>
        <w:t> </w:t>
      </w:r>
      <w:r>
        <w:rPr>
          <w:w w:val="130"/>
          <w:sz w:val="24"/>
        </w:rPr>
        <w:t>likviditási</w:t>
      </w:r>
      <w:r>
        <w:rPr>
          <w:spacing w:val="-9"/>
          <w:w w:val="130"/>
          <w:sz w:val="24"/>
        </w:rPr>
        <w:t> </w:t>
      </w:r>
      <w:r>
        <w:rPr>
          <w:w w:val="130"/>
          <w:sz w:val="24"/>
        </w:rPr>
        <w:t>hitelt,</w:t>
      </w:r>
      <w:r>
        <w:rPr>
          <w:spacing w:val="-21"/>
          <w:w w:val="130"/>
          <w:sz w:val="24"/>
        </w:rPr>
        <w:t> </w:t>
      </w:r>
      <w:r>
        <w:rPr>
          <w:w w:val="130"/>
          <w:sz w:val="24"/>
        </w:rPr>
        <w:t>ideértve</w:t>
      </w:r>
      <w:r>
        <w:rPr>
          <w:spacing w:val="-16"/>
          <w:w w:val="130"/>
          <w:sz w:val="24"/>
        </w:rPr>
        <w:t> </w:t>
      </w:r>
      <w:r>
        <w:rPr>
          <w:w w:val="130"/>
          <w:sz w:val="24"/>
        </w:rPr>
        <w:t>a</w:t>
      </w:r>
      <w:r>
        <w:rPr>
          <w:spacing w:val="-15"/>
          <w:w w:val="130"/>
          <w:sz w:val="24"/>
        </w:rPr>
        <w:t> </w:t>
      </w:r>
      <w:r>
        <w:rPr>
          <w:w w:val="130"/>
          <w:sz w:val="24"/>
        </w:rPr>
        <w:t>lehetséges</w:t>
      </w:r>
      <w:r>
        <w:rPr>
          <w:spacing w:val="-15"/>
          <w:w w:val="130"/>
          <w:sz w:val="24"/>
        </w:rPr>
        <w:t> </w:t>
      </w:r>
      <w:r>
        <w:rPr>
          <w:w w:val="130"/>
          <w:sz w:val="24"/>
        </w:rPr>
        <w:t>fedezetet</w:t>
      </w:r>
      <w:r>
        <w:rPr>
          <w:spacing w:val="-15"/>
          <w:w w:val="130"/>
          <w:sz w:val="24"/>
        </w:rPr>
        <w:t> </w:t>
      </w:r>
      <w:r>
        <w:rPr>
          <w:w w:val="130"/>
          <w:sz w:val="24"/>
        </w:rPr>
        <w:t>is,</w:t>
      </w:r>
    </w:p>
    <w:p>
      <w:pPr>
        <w:pStyle w:val="ListParagraph"/>
        <w:numPr>
          <w:ilvl w:val="0"/>
          <w:numId w:val="270"/>
        </w:numPr>
        <w:tabs>
          <w:tab w:pos="670" w:val="left" w:leader="none"/>
        </w:tabs>
        <w:spacing w:line="225" w:lineRule="auto" w:before="2" w:after="0"/>
        <w:ind w:left="113" w:right="130" w:firstLine="204"/>
        <w:jc w:val="both"/>
        <w:rPr>
          <w:sz w:val="24"/>
        </w:rPr>
      </w:pPr>
      <w:r>
        <w:rPr>
          <w:w w:val="130"/>
          <w:sz w:val="24"/>
        </w:rPr>
        <w:t>a Felügyelet által alkalmazható intézkedést, kivételes intézkedést kiváltó esemény teljesülésekor a hitelintézet részéről alkalmazandó lehetséges</w:t>
      </w:r>
      <w:r>
        <w:rPr>
          <w:spacing w:val="78"/>
          <w:w w:val="130"/>
          <w:sz w:val="24"/>
        </w:rPr>
        <w:t> </w:t>
      </w:r>
      <w:r>
        <w:rPr>
          <w:w w:val="130"/>
          <w:sz w:val="24"/>
        </w:rPr>
        <w:t>lépéseket,</w:t>
      </w:r>
    </w:p>
    <w:p>
      <w:pPr>
        <w:pStyle w:val="ListParagraph"/>
        <w:numPr>
          <w:ilvl w:val="0"/>
          <w:numId w:val="270"/>
        </w:numPr>
        <w:tabs>
          <w:tab w:pos="711" w:val="left" w:leader="none"/>
        </w:tabs>
        <w:spacing w:line="225" w:lineRule="auto" w:before="1" w:after="0"/>
        <w:ind w:left="113" w:right="130" w:firstLine="204"/>
        <w:jc w:val="both"/>
        <w:rPr>
          <w:sz w:val="24"/>
        </w:rPr>
      </w:pPr>
      <w:r>
        <w:rPr>
          <w:w w:val="130"/>
          <w:sz w:val="24"/>
        </w:rPr>
        <w:t>feltételek és eljárások a tervben foglalt intézkedések hitelintézet által történő gyors végrehajtása</w:t>
      </w:r>
      <w:r>
        <w:rPr>
          <w:spacing w:val="-12"/>
          <w:w w:val="130"/>
          <w:sz w:val="24"/>
        </w:rPr>
        <w:t> </w:t>
      </w:r>
      <w:r>
        <w:rPr>
          <w:w w:val="130"/>
          <w:sz w:val="24"/>
        </w:rPr>
        <w:t>biztosításához,</w:t>
      </w:r>
    </w:p>
    <w:p>
      <w:pPr>
        <w:pStyle w:val="ListParagraph"/>
        <w:numPr>
          <w:ilvl w:val="0"/>
          <w:numId w:val="270"/>
        </w:numPr>
        <w:tabs>
          <w:tab w:pos="647" w:val="left" w:leader="none"/>
        </w:tabs>
        <w:spacing w:line="225" w:lineRule="auto" w:before="2" w:after="0"/>
        <w:ind w:left="113" w:right="124" w:firstLine="204"/>
        <w:jc w:val="both"/>
        <w:rPr>
          <w:sz w:val="24"/>
        </w:rPr>
      </w:pPr>
      <w:r>
        <w:rPr>
          <w:w w:val="130"/>
          <w:sz w:val="24"/>
        </w:rPr>
        <w:t>alternatív forgatókönyvek a hitelintézet egyedi működése szempontjából súlyos makrogazdasági, illetve a pénzügyi közvetítőrendszerben fennálló általános válsághelyzet kialakulásához</w:t>
      </w:r>
      <w:r>
        <w:rPr>
          <w:spacing w:val="-24"/>
          <w:w w:val="130"/>
          <w:sz w:val="24"/>
        </w:rPr>
        <w:t> </w:t>
      </w:r>
      <w:r>
        <w:rPr>
          <w:w w:val="130"/>
          <w:sz w:val="24"/>
        </w:rPr>
        <w:t>kapcsolódóan.</w:t>
      </w:r>
    </w:p>
    <w:p>
      <w:pPr>
        <w:pStyle w:val="ListParagraph"/>
        <w:numPr>
          <w:ilvl w:val="0"/>
          <w:numId w:val="268"/>
        </w:numPr>
        <w:tabs>
          <w:tab w:pos="772" w:val="left" w:leader="none"/>
        </w:tabs>
        <w:spacing w:line="225" w:lineRule="auto" w:before="1" w:after="0"/>
        <w:ind w:left="113" w:right="127" w:firstLine="204"/>
        <w:jc w:val="both"/>
        <w:rPr>
          <w:sz w:val="24"/>
        </w:rPr>
      </w:pPr>
      <w:r>
        <w:rPr>
          <w:w w:val="125"/>
          <w:sz w:val="24"/>
        </w:rPr>
        <w:t>A helyreállítási tervet a hitelintézet legalább évente egyszer, valamint a hitelintézet jogi vagy szervezeti felépítésével, tevékenységével vagy pénzügyi helyzetével kapcsolatos minden olyan változást követően felülvizsgálja, amely a tervben foglaltak végrehajtására lényeges hatással</w:t>
      </w:r>
      <w:r>
        <w:rPr>
          <w:spacing w:val="32"/>
          <w:w w:val="125"/>
          <w:sz w:val="24"/>
        </w:rPr>
        <w:t> </w:t>
      </w:r>
      <w:r>
        <w:rPr>
          <w:w w:val="125"/>
          <w:sz w:val="24"/>
        </w:rPr>
        <w:t>lehet.</w:t>
      </w:r>
    </w:p>
    <w:p>
      <w:pPr>
        <w:pStyle w:val="ListParagraph"/>
        <w:numPr>
          <w:ilvl w:val="0"/>
          <w:numId w:val="268"/>
        </w:numPr>
        <w:tabs>
          <w:tab w:pos="748" w:val="left" w:leader="none"/>
        </w:tabs>
        <w:spacing w:line="225" w:lineRule="auto" w:before="3" w:after="0"/>
        <w:ind w:left="113" w:right="122" w:firstLine="204"/>
        <w:jc w:val="both"/>
        <w:rPr>
          <w:sz w:val="24"/>
        </w:rPr>
      </w:pPr>
      <w:r>
        <w:rPr>
          <w:w w:val="125"/>
          <w:sz w:val="24"/>
        </w:rPr>
        <w:t>A helyreállítási tervben nem feltételezhető, hogy a hitelintézet bármilyen formában rendkívüli állami pénzügyi támogatást</w:t>
      </w:r>
      <w:r>
        <w:rPr>
          <w:spacing w:val="8"/>
          <w:w w:val="125"/>
          <w:sz w:val="24"/>
        </w:rPr>
        <w:t> </w:t>
      </w:r>
      <w:r>
        <w:rPr>
          <w:w w:val="125"/>
          <w:sz w:val="24"/>
        </w:rPr>
        <w:t>kap.</w:t>
      </w:r>
    </w:p>
    <w:p>
      <w:pPr>
        <w:pStyle w:val="ListParagraph"/>
        <w:numPr>
          <w:ilvl w:val="0"/>
          <w:numId w:val="268"/>
        </w:numPr>
        <w:tabs>
          <w:tab w:pos="1009" w:val="left" w:leader="none"/>
        </w:tabs>
        <w:spacing w:line="225" w:lineRule="auto" w:before="1" w:after="0"/>
        <w:ind w:left="113" w:right="122" w:firstLine="204"/>
        <w:jc w:val="both"/>
        <w:rPr>
          <w:sz w:val="24"/>
        </w:rPr>
      </w:pPr>
      <w:r>
        <w:rPr>
          <w:w w:val="125"/>
          <w:sz w:val="24"/>
        </w:rPr>
        <w:t>A helyreállítási terv olyan indikátorokat tartalmaz, melyek meghatározzák, hogy a hitelintézet mely pontokon hozza meg a tervben rögzített lépéseket. Az indikátorok lehetnek a hitelintézet pénzügyi helyzetével összefüggő mennyiségi vagy minőségi jellegű mutatók azzal, meghatározásuk során a hitelintézet figyelemmel van a könnyű</w:t>
      </w:r>
      <w:r>
        <w:rPr>
          <w:spacing w:val="35"/>
          <w:w w:val="125"/>
          <w:sz w:val="24"/>
        </w:rPr>
        <w:t> </w:t>
      </w:r>
      <w:r>
        <w:rPr>
          <w:w w:val="125"/>
          <w:sz w:val="24"/>
        </w:rPr>
        <w:t>nyomonkövethetőségükre.</w:t>
      </w:r>
    </w:p>
    <w:p>
      <w:pPr>
        <w:pStyle w:val="ListParagraph"/>
        <w:numPr>
          <w:ilvl w:val="0"/>
          <w:numId w:val="268"/>
        </w:numPr>
        <w:tabs>
          <w:tab w:pos="734" w:val="left" w:leader="none"/>
        </w:tabs>
        <w:spacing w:line="257" w:lineRule="exact" w:before="0" w:after="0"/>
        <w:ind w:left="733" w:right="0" w:hanging="416"/>
        <w:jc w:val="left"/>
        <w:rPr>
          <w:sz w:val="24"/>
        </w:rPr>
      </w:pPr>
      <w:r>
        <w:rPr>
          <w:w w:val="125"/>
          <w:sz w:val="24"/>
        </w:rPr>
        <w:t>A (6) bekezdéstől eltérően a</w:t>
      </w:r>
      <w:r>
        <w:rPr>
          <w:spacing w:val="7"/>
          <w:w w:val="125"/>
          <w:sz w:val="24"/>
        </w:rPr>
        <w:t> </w:t>
      </w:r>
      <w:r>
        <w:rPr>
          <w:w w:val="125"/>
          <w:sz w:val="24"/>
        </w:rPr>
        <w:t>hitelintézet</w:t>
      </w:r>
    </w:p>
    <w:p>
      <w:pPr>
        <w:pStyle w:val="ListParagraph"/>
        <w:numPr>
          <w:ilvl w:val="0"/>
          <w:numId w:val="272"/>
        </w:numPr>
        <w:tabs>
          <w:tab w:pos="645" w:val="left" w:leader="none"/>
        </w:tabs>
        <w:spacing w:line="225" w:lineRule="auto" w:before="5" w:after="0"/>
        <w:ind w:left="113" w:right="132" w:firstLine="204"/>
        <w:jc w:val="both"/>
        <w:rPr>
          <w:sz w:val="24"/>
        </w:rPr>
      </w:pPr>
      <w:r>
        <w:rPr>
          <w:w w:val="130"/>
          <w:sz w:val="24"/>
        </w:rPr>
        <w:t>a helyreállítási terv alapján lépéseket tehet akkor is, ha a körülmény nem felel meg a vonatkozó indikátornak, de az irányítási jogkörrel rendelkező</w:t>
      </w:r>
      <w:r>
        <w:rPr>
          <w:spacing w:val="78"/>
          <w:w w:val="130"/>
          <w:sz w:val="24"/>
        </w:rPr>
        <w:t> </w:t>
      </w:r>
      <w:r>
        <w:rPr>
          <w:w w:val="130"/>
          <w:sz w:val="24"/>
        </w:rPr>
        <w:t>vezető testület az intézkedést szükségesnek</w:t>
      </w:r>
      <w:r>
        <w:rPr>
          <w:spacing w:val="-19"/>
          <w:w w:val="130"/>
          <w:sz w:val="24"/>
        </w:rPr>
        <w:t> </w:t>
      </w:r>
      <w:r>
        <w:rPr>
          <w:w w:val="130"/>
          <w:sz w:val="24"/>
        </w:rPr>
        <w:t>tartja,</w:t>
      </w:r>
    </w:p>
    <w:p>
      <w:pPr>
        <w:pStyle w:val="ListParagraph"/>
        <w:numPr>
          <w:ilvl w:val="0"/>
          <w:numId w:val="272"/>
        </w:numPr>
        <w:tabs>
          <w:tab w:pos="694" w:val="left" w:leader="none"/>
        </w:tabs>
        <w:spacing w:line="225" w:lineRule="auto" w:before="2" w:after="0"/>
        <w:ind w:left="113" w:right="130" w:firstLine="204"/>
        <w:jc w:val="both"/>
        <w:rPr>
          <w:sz w:val="24"/>
        </w:rPr>
      </w:pPr>
      <w:r>
        <w:rPr>
          <w:w w:val="130"/>
          <w:sz w:val="24"/>
        </w:rPr>
        <w:t>eltekinthet a helyreállítási tervben foglalt intézkedések meghozatalától, ha az irányítási jogkörrel rendelkező vezető testület úgy ítéli meg, hogy a</w:t>
      </w:r>
      <w:r>
        <w:rPr>
          <w:spacing w:val="78"/>
          <w:w w:val="130"/>
          <w:sz w:val="24"/>
        </w:rPr>
        <w:t> </w:t>
      </w:r>
      <w:r>
        <w:rPr>
          <w:w w:val="130"/>
          <w:sz w:val="24"/>
        </w:rPr>
        <w:t>körülmények alapján nem lenne</w:t>
      </w:r>
      <w:r>
        <w:rPr>
          <w:spacing w:val="-7"/>
          <w:w w:val="130"/>
          <w:sz w:val="24"/>
        </w:rPr>
        <w:t> </w:t>
      </w:r>
      <w:r>
        <w:rPr>
          <w:w w:val="130"/>
          <w:sz w:val="24"/>
        </w:rPr>
        <w:t>szükséges,</w:t>
      </w:r>
    </w:p>
    <w:p>
      <w:pPr>
        <w:pStyle w:val="BodyText"/>
        <w:spacing w:line="256" w:lineRule="exact"/>
        <w:ind w:firstLine="0"/>
      </w:pPr>
      <w:r>
        <w:rPr>
          <w:w w:val="130"/>
        </w:rPr>
        <w:t>azzal, hogy döntéséről két munkanapon belül tájékoztatja a Felügyeletet.</w:t>
      </w:r>
    </w:p>
    <w:p>
      <w:pPr>
        <w:pStyle w:val="ListParagraph"/>
        <w:numPr>
          <w:ilvl w:val="0"/>
          <w:numId w:val="268"/>
        </w:numPr>
        <w:tabs>
          <w:tab w:pos="916" w:val="left" w:leader="none"/>
        </w:tabs>
        <w:spacing w:line="225" w:lineRule="auto" w:before="5" w:after="0"/>
        <w:ind w:left="113" w:right="125" w:firstLine="204"/>
        <w:jc w:val="both"/>
        <w:rPr>
          <w:sz w:val="24"/>
        </w:rPr>
      </w:pPr>
      <w:r>
        <w:rPr>
          <w:w w:val="125"/>
          <w:sz w:val="24"/>
        </w:rPr>
        <w:t>Az összevont alapú felügyelet alá tartozó hitelintézet mindazon vállalkozásokra kiterjedő csoportszintű helyreállítási tervet készít, amelyre a csoport tagjaként az összevont alapú felügyelet</w:t>
      </w:r>
      <w:r>
        <w:rPr>
          <w:spacing w:val="16"/>
          <w:w w:val="125"/>
          <w:sz w:val="24"/>
        </w:rPr>
        <w:t> </w:t>
      </w:r>
      <w:r>
        <w:rPr>
          <w:w w:val="125"/>
          <w:sz w:val="24"/>
        </w:rPr>
        <w:t>kiterjed.</w:t>
      </w:r>
    </w:p>
    <w:p>
      <w:pPr>
        <w:pStyle w:val="ListParagraph"/>
        <w:numPr>
          <w:ilvl w:val="0"/>
          <w:numId w:val="268"/>
        </w:numPr>
        <w:tabs>
          <w:tab w:pos="809" w:val="left" w:leader="none"/>
        </w:tabs>
        <w:spacing w:line="225" w:lineRule="auto" w:before="2" w:after="0"/>
        <w:ind w:left="113" w:right="111" w:firstLine="204"/>
        <w:jc w:val="both"/>
        <w:rPr>
          <w:sz w:val="24"/>
        </w:rPr>
      </w:pPr>
      <w:r>
        <w:rPr>
          <w:w w:val="125"/>
          <w:sz w:val="24"/>
        </w:rPr>
        <w:t>A csoportszintű helyreállítási tervet a hitelintézet irányítási jogkörrel rendelkező vezető testülete által történt jóváhagyást követően benyújtja a Felügyeletnek.</w:t>
      </w:r>
    </w:p>
    <w:p>
      <w:pPr>
        <w:pStyle w:val="ListParagraph"/>
        <w:numPr>
          <w:ilvl w:val="0"/>
          <w:numId w:val="268"/>
        </w:numPr>
        <w:tabs>
          <w:tab w:pos="812" w:val="left" w:leader="none"/>
        </w:tabs>
        <w:spacing w:line="250" w:lineRule="exact" w:before="0" w:after="0"/>
        <w:ind w:left="811" w:right="0" w:hanging="494"/>
        <w:jc w:val="left"/>
        <w:rPr>
          <w:sz w:val="24"/>
        </w:rPr>
      </w:pPr>
      <w:r>
        <w:rPr>
          <w:i/>
          <w:w w:val="125"/>
          <w:position w:val="3"/>
          <w:sz w:val="18"/>
        </w:rPr>
        <w:t>1 </w:t>
      </w:r>
      <w:r>
        <w:rPr>
          <w:w w:val="125"/>
          <w:sz w:val="24"/>
        </w:rPr>
        <w:t>A csoportszintű helyreállítási terv a csoport tagjainak</w:t>
      </w:r>
      <w:r>
        <w:rPr>
          <w:spacing w:val="46"/>
          <w:w w:val="125"/>
          <w:sz w:val="24"/>
        </w:rPr>
        <w:t> </w:t>
      </w:r>
      <w:r>
        <w:rPr>
          <w:w w:val="125"/>
          <w:sz w:val="24"/>
        </w:rPr>
        <w:t>helyreállítási</w:t>
      </w:r>
    </w:p>
    <w:p>
      <w:pPr>
        <w:pStyle w:val="BodyText"/>
        <w:spacing w:line="225" w:lineRule="auto" w:before="12"/>
        <w:ind w:right="131" w:firstLine="0"/>
        <w:jc w:val="both"/>
      </w:pPr>
      <w:r>
        <w:rPr>
          <w:w w:val="125"/>
        </w:rPr>
        <w:t>tervén kívül minden olyan lépést tartalmaz, amelyet a csoport esetleges fizetésképtelenné válásának elkerülése  érdekében alkalmaznának  azzal,  hogy a csoport tagjainak szintjén szükséges - szavatoló tőkét is érintő - intézkedések konzisztenciájára is ki kell</w:t>
      </w:r>
      <w:r>
        <w:rPr>
          <w:spacing w:val="1"/>
          <w:w w:val="125"/>
        </w:rPr>
        <w:t> </w:t>
      </w:r>
      <w:r>
        <w:rPr>
          <w:w w:val="125"/>
        </w:rPr>
        <w:t>térni.</w:t>
      </w:r>
    </w:p>
    <w:p>
      <w:pPr>
        <w:pStyle w:val="BodyText"/>
        <w:spacing w:before="5"/>
        <w:ind w:left="0" w:firstLine="0"/>
        <w:rPr>
          <w:sz w:val="10"/>
        </w:rPr>
      </w:pPr>
      <w:r>
        <w:rPr/>
        <w:pict>
          <v:line style="position:absolute;mso-position-horizontal-relative:page;mso-position-vertical-relative:paragraph;z-index:536;mso-wrap-distance-left:0;mso-wrap-distance-right:0" from="56.693001pt,8.232079pt" to="538.583001pt,8.232079pt" stroked="true" strokeweight=".5pt" strokecolor="#000000">
            <v:stroke dashstyle="solid"/>
            <w10:wrap type="topAndBottom"/>
          </v:line>
        </w:pict>
      </w:r>
    </w:p>
    <w:p>
      <w:pPr>
        <w:tabs>
          <w:tab w:pos="686" w:val="left" w:leader="none"/>
        </w:tabs>
        <w:spacing w:line="232" w:lineRule="auto" w:before="49"/>
        <w:ind w:left="686" w:right="253" w:hanging="344"/>
        <w:jc w:val="left"/>
        <w:rPr>
          <w:i/>
          <w:sz w:val="18"/>
        </w:rPr>
      </w:pPr>
      <w:r>
        <w:rPr>
          <w:i/>
          <w:w w:val="125"/>
          <w:sz w:val="18"/>
        </w:rPr>
        <w:t>1</w:t>
        <w:tab/>
        <w:t>Megállapította:</w:t>
      </w:r>
      <w:r>
        <w:rPr>
          <w:i/>
          <w:spacing w:val="-11"/>
          <w:w w:val="125"/>
          <w:sz w:val="18"/>
        </w:rPr>
        <w:t> </w:t>
      </w:r>
      <w:r>
        <w:rPr>
          <w:i/>
          <w:w w:val="125"/>
          <w:sz w:val="18"/>
        </w:rPr>
        <w:t>2015.</w:t>
      </w:r>
      <w:r>
        <w:rPr>
          <w:i/>
          <w:spacing w:val="-10"/>
          <w:w w:val="125"/>
          <w:sz w:val="18"/>
        </w:rPr>
        <w:t> </w:t>
      </w:r>
      <w:r>
        <w:rPr>
          <w:i/>
          <w:w w:val="125"/>
          <w:sz w:val="18"/>
        </w:rPr>
        <w:t>évi</w:t>
      </w:r>
      <w:r>
        <w:rPr>
          <w:i/>
          <w:spacing w:val="-11"/>
          <w:w w:val="125"/>
          <w:sz w:val="18"/>
        </w:rPr>
        <w:t> </w:t>
      </w:r>
      <w:r>
        <w:rPr>
          <w:i/>
          <w:w w:val="125"/>
          <w:sz w:val="18"/>
        </w:rPr>
        <w:t>LXXXV.</w:t>
      </w:r>
      <w:r>
        <w:rPr>
          <w:i/>
          <w:spacing w:val="-10"/>
          <w:w w:val="125"/>
          <w:sz w:val="18"/>
        </w:rPr>
        <w:t> </w:t>
      </w:r>
      <w:r>
        <w:rPr>
          <w:i/>
          <w:w w:val="125"/>
          <w:sz w:val="18"/>
        </w:rPr>
        <w:t>törvény</w:t>
      </w:r>
      <w:r>
        <w:rPr>
          <w:i/>
          <w:spacing w:val="-10"/>
          <w:w w:val="125"/>
          <w:sz w:val="18"/>
        </w:rPr>
        <w:t> </w:t>
      </w:r>
      <w:r>
        <w:rPr>
          <w:i/>
          <w:w w:val="125"/>
          <w:sz w:val="18"/>
        </w:rPr>
        <w:t>201.</w:t>
      </w:r>
      <w:r>
        <w:rPr>
          <w:i/>
          <w:spacing w:val="-11"/>
          <w:w w:val="125"/>
          <w:sz w:val="18"/>
        </w:rPr>
        <w:t> </w:t>
      </w:r>
      <w:r>
        <w:rPr>
          <w:i/>
          <w:w w:val="125"/>
          <w:sz w:val="18"/>
        </w:rPr>
        <w:t>§</w:t>
      </w:r>
      <w:r>
        <w:rPr>
          <w:i/>
          <w:spacing w:val="-9"/>
          <w:w w:val="125"/>
          <w:sz w:val="18"/>
        </w:rPr>
        <w:t> </w:t>
      </w:r>
      <w:r>
        <w:rPr>
          <w:i/>
          <w:w w:val="125"/>
          <w:sz w:val="18"/>
        </w:rPr>
        <w:t>(2).</w:t>
      </w:r>
      <w:r>
        <w:rPr>
          <w:i/>
          <w:spacing w:val="-10"/>
          <w:w w:val="125"/>
          <w:sz w:val="18"/>
        </w:rPr>
        <w:t> </w:t>
      </w:r>
      <w:r>
        <w:rPr>
          <w:i/>
          <w:w w:val="125"/>
          <w:sz w:val="18"/>
        </w:rPr>
        <w:t>Hatályos:</w:t>
      </w:r>
      <w:r>
        <w:rPr>
          <w:i/>
          <w:spacing w:val="-10"/>
          <w:w w:val="125"/>
          <w:sz w:val="18"/>
        </w:rPr>
        <w:t> </w:t>
      </w:r>
      <w:r>
        <w:rPr>
          <w:i/>
          <w:w w:val="125"/>
          <w:sz w:val="18"/>
        </w:rPr>
        <w:t>2015.</w:t>
      </w:r>
      <w:r>
        <w:rPr>
          <w:i/>
          <w:spacing w:val="-10"/>
          <w:w w:val="125"/>
          <w:sz w:val="18"/>
        </w:rPr>
        <w:t> </w:t>
      </w:r>
      <w:r>
        <w:rPr>
          <w:i/>
          <w:w w:val="125"/>
          <w:sz w:val="18"/>
        </w:rPr>
        <w:t>VII.</w:t>
      </w:r>
      <w:r>
        <w:rPr>
          <w:i/>
          <w:spacing w:val="-10"/>
          <w:w w:val="125"/>
          <w:sz w:val="18"/>
        </w:rPr>
        <w:t> </w:t>
      </w:r>
      <w:r>
        <w:rPr>
          <w:i/>
          <w:w w:val="125"/>
          <w:sz w:val="18"/>
        </w:rPr>
        <w:t>7-től.</w:t>
      </w:r>
      <w:r>
        <w:rPr>
          <w:i/>
          <w:spacing w:val="-10"/>
          <w:w w:val="125"/>
          <w:sz w:val="18"/>
        </w:rPr>
        <w:t> </w:t>
      </w:r>
      <w:r>
        <w:rPr>
          <w:i/>
          <w:w w:val="125"/>
          <w:sz w:val="18"/>
        </w:rPr>
        <w:t>Módosította:</w:t>
      </w:r>
      <w:r>
        <w:rPr>
          <w:i/>
          <w:spacing w:val="-11"/>
          <w:w w:val="125"/>
          <w:sz w:val="18"/>
        </w:rPr>
        <w:t> </w:t>
      </w:r>
      <w:r>
        <w:rPr>
          <w:i/>
          <w:w w:val="125"/>
          <w:sz w:val="18"/>
        </w:rPr>
        <w:t>2015. évi CCXV. törvény 152. §</w:t>
      </w:r>
      <w:r>
        <w:rPr>
          <w:i/>
          <w:spacing w:val="-2"/>
          <w:w w:val="125"/>
          <w:sz w:val="18"/>
        </w:rPr>
        <w:t> </w:t>
      </w:r>
      <w:r>
        <w:rPr>
          <w:i/>
          <w:w w:val="125"/>
          <w:sz w:val="18"/>
        </w:rPr>
        <w:t>b).</w:t>
      </w:r>
    </w:p>
    <w:p>
      <w:pPr>
        <w:spacing w:after="0" w:line="232" w:lineRule="auto"/>
        <w:jc w:val="left"/>
        <w:rPr>
          <w:sz w:val="18"/>
        </w:rPr>
        <w:sectPr>
          <w:pgSz w:w="11900" w:h="16820"/>
          <w:pgMar w:header="1104" w:footer="0" w:top="1840" w:bottom="280" w:left="1020" w:right="1000"/>
        </w:sectPr>
      </w:pPr>
    </w:p>
    <w:p>
      <w:pPr>
        <w:pStyle w:val="ListParagraph"/>
        <w:numPr>
          <w:ilvl w:val="0"/>
          <w:numId w:val="268"/>
        </w:numPr>
        <w:tabs>
          <w:tab w:pos="939" w:val="left" w:leader="none"/>
        </w:tabs>
        <w:spacing w:line="225" w:lineRule="auto" w:before="173" w:after="0"/>
        <w:ind w:left="113" w:right="123" w:firstLine="204"/>
        <w:jc w:val="both"/>
        <w:rPr>
          <w:sz w:val="24"/>
        </w:rPr>
      </w:pPr>
      <w:r>
        <w:rPr>
          <w:w w:val="125"/>
          <w:sz w:val="24"/>
        </w:rPr>
        <w:t>Az 575/2013/EU rendelet 113. cikk (7) bekezdése szerinti ugyanazon intézményvédelmi rendszerhez tartozó hitelintézetek helyreállítási tervét az intézményvédelmi rendszer készíti</w:t>
      </w:r>
      <w:r>
        <w:rPr>
          <w:spacing w:val="2"/>
          <w:w w:val="125"/>
          <w:sz w:val="24"/>
        </w:rPr>
        <w:t> </w:t>
      </w:r>
      <w:r>
        <w:rPr>
          <w:w w:val="125"/>
          <w:sz w:val="24"/>
        </w:rPr>
        <w:t>el.</w:t>
      </w:r>
    </w:p>
    <w:p>
      <w:pPr>
        <w:pStyle w:val="ListParagraph"/>
        <w:numPr>
          <w:ilvl w:val="1"/>
          <w:numId w:val="213"/>
        </w:numPr>
        <w:tabs>
          <w:tab w:pos="1129" w:val="left" w:leader="none"/>
        </w:tabs>
        <w:spacing w:line="225" w:lineRule="auto" w:before="0" w:after="0"/>
        <w:ind w:left="113" w:right="130" w:firstLine="204"/>
        <w:jc w:val="both"/>
        <w:rPr>
          <w:sz w:val="24"/>
        </w:rPr>
      </w:pPr>
      <w:r>
        <w:rPr>
          <w:rFonts w:ascii="Arial" w:hAnsi="Arial"/>
          <w:b/>
          <w:w w:val="125"/>
          <w:sz w:val="24"/>
        </w:rPr>
        <w:t>§ </w:t>
      </w:r>
      <w:r>
        <w:rPr>
          <w:w w:val="125"/>
          <w:sz w:val="24"/>
        </w:rPr>
        <w:t>(1) A hitelintézet egyedi alapon teljesíti az e törvény által meghatározott kockázatkezelésre és vállalatirányítási rendszerre vonatkozó követelményeket, kivéve, ha a hitelintézetet a Felügyelet az 575/2013/EU rendelet 7. cikke szerint a prudenciális követelmények egyedi alapon történő teljesítése alól</w:t>
      </w:r>
      <w:r>
        <w:rPr>
          <w:spacing w:val="4"/>
          <w:w w:val="125"/>
          <w:sz w:val="24"/>
        </w:rPr>
        <w:t> </w:t>
      </w:r>
      <w:r>
        <w:rPr>
          <w:w w:val="125"/>
          <w:sz w:val="24"/>
        </w:rPr>
        <w:t>mentesíti.</w:t>
      </w:r>
    </w:p>
    <w:p>
      <w:pPr>
        <w:pStyle w:val="ListParagraph"/>
        <w:numPr>
          <w:ilvl w:val="0"/>
          <w:numId w:val="273"/>
        </w:numPr>
        <w:tabs>
          <w:tab w:pos="798" w:val="left" w:leader="none"/>
        </w:tabs>
        <w:spacing w:line="225" w:lineRule="auto" w:before="3" w:after="0"/>
        <w:ind w:left="113" w:right="132" w:firstLine="204"/>
        <w:jc w:val="both"/>
        <w:rPr>
          <w:sz w:val="24"/>
        </w:rPr>
      </w:pPr>
      <w:r>
        <w:rPr>
          <w:w w:val="130"/>
          <w:sz w:val="24"/>
        </w:rPr>
        <w:t>Az EU-szintű hitelintézeti anyavállalat és leányvállalatai, az EU-szintű pénzügyi holding társaság anyavállalat és leányvállalatai, valamint az</w:t>
      </w:r>
      <w:r>
        <w:rPr>
          <w:spacing w:val="78"/>
          <w:w w:val="130"/>
          <w:sz w:val="24"/>
        </w:rPr>
        <w:t> </w:t>
      </w:r>
      <w:r>
        <w:rPr>
          <w:w w:val="130"/>
          <w:sz w:val="24"/>
        </w:rPr>
        <w:t>EU-szintű vegyes pénzügyi holding társaság anyavállalat és leányvállalatai összevont vagy szubkonszolidált alapon is teljesítik a kockázatkezelésre és vállalatirányítási rendszerre vonatkozó követelményeket azzal, hogy biztosítják a kockázatkezelési és vállalatirányítási rendszerek egységességét, összehangoltságát, következetességét, és a Felügyelet részére szolgáltatandó adatok és információk kinyerési</w:t>
      </w:r>
      <w:r>
        <w:rPr>
          <w:spacing w:val="-21"/>
          <w:w w:val="130"/>
          <w:sz w:val="24"/>
        </w:rPr>
        <w:t> </w:t>
      </w:r>
      <w:r>
        <w:rPr>
          <w:w w:val="130"/>
          <w:sz w:val="24"/>
        </w:rPr>
        <w:t>képességét.</w:t>
      </w:r>
    </w:p>
    <w:p>
      <w:pPr>
        <w:pStyle w:val="ListParagraph"/>
        <w:numPr>
          <w:ilvl w:val="0"/>
          <w:numId w:val="273"/>
        </w:numPr>
        <w:tabs>
          <w:tab w:pos="766" w:val="left" w:leader="none"/>
        </w:tabs>
        <w:spacing w:line="225" w:lineRule="auto" w:before="5" w:after="0"/>
        <w:ind w:left="113" w:right="131" w:firstLine="204"/>
        <w:jc w:val="both"/>
        <w:rPr>
          <w:sz w:val="24"/>
        </w:rPr>
      </w:pPr>
      <w:r>
        <w:rPr>
          <w:w w:val="125"/>
          <w:sz w:val="24"/>
        </w:rPr>
        <w:t>A (2) bekezdés szerinti konzisztens és összehangolt kockázatkezelési és vállalatirányítási rendszer alkalmazása az e törvény hatálya alá nem tartozó leányvállalatok tekintetében is szükséges, kivéve, ha az EU-szintű hitelintézeti anyavállalat, az EU-szintű pénzügyi holding társaság anyavállalat vagy az EU-szintű vegyes pénzügyi holding társaság anyavállalat bizonyítja, hogy ezen elvárás teljesítése a harmadik ország - ahol a leányvállalat letelepedett - jogrendje alapján jogellenesnek</w:t>
      </w:r>
      <w:r>
        <w:rPr>
          <w:spacing w:val="3"/>
          <w:w w:val="125"/>
          <w:sz w:val="24"/>
        </w:rPr>
        <w:t> </w:t>
      </w:r>
      <w:r>
        <w:rPr>
          <w:w w:val="125"/>
          <w:sz w:val="24"/>
        </w:rPr>
        <w:t>minősül.</w:t>
      </w:r>
    </w:p>
    <w:p>
      <w:pPr>
        <w:pStyle w:val="ListParagraph"/>
        <w:numPr>
          <w:ilvl w:val="0"/>
          <w:numId w:val="273"/>
        </w:numPr>
        <w:tabs>
          <w:tab w:pos="780" w:val="left" w:leader="none"/>
        </w:tabs>
        <w:spacing w:line="225" w:lineRule="auto" w:before="4" w:after="0"/>
        <w:ind w:left="113" w:right="128" w:firstLine="204"/>
        <w:jc w:val="both"/>
        <w:rPr>
          <w:sz w:val="24"/>
        </w:rPr>
      </w:pPr>
      <w:r>
        <w:rPr>
          <w:w w:val="130"/>
          <w:sz w:val="24"/>
        </w:rPr>
        <w:t>Az ezen alcímben foglalt rendelkezéseket a központi szervhez tartósan kapcsolt hitelintézet a központi szervével együttesen</w:t>
      </w:r>
      <w:r>
        <w:rPr>
          <w:spacing w:val="-45"/>
          <w:w w:val="130"/>
          <w:sz w:val="24"/>
        </w:rPr>
        <w:t> </w:t>
      </w:r>
      <w:r>
        <w:rPr>
          <w:w w:val="130"/>
          <w:sz w:val="24"/>
        </w:rPr>
        <w:t>teljesíti.</w:t>
      </w:r>
    </w:p>
    <w:p>
      <w:pPr>
        <w:pStyle w:val="BodyText"/>
        <w:spacing w:before="228"/>
        <w:ind w:left="3408" w:firstLine="0"/>
      </w:pPr>
      <w:r>
        <w:rPr>
          <w:w w:val="130"/>
        </w:rPr>
        <w:t>54. Jogsértések</w:t>
      </w:r>
      <w:r>
        <w:rPr>
          <w:spacing w:val="-49"/>
          <w:w w:val="130"/>
        </w:rPr>
        <w:t> </w:t>
      </w:r>
      <w:r>
        <w:rPr>
          <w:w w:val="130"/>
        </w:rPr>
        <w:t>jelentése</w:t>
      </w:r>
    </w:p>
    <w:p>
      <w:pPr>
        <w:pStyle w:val="BodyText"/>
        <w:spacing w:before="7"/>
        <w:ind w:left="0" w:firstLine="0"/>
        <w:rPr>
          <w:sz w:val="10"/>
        </w:rPr>
      </w:pPr>
    </w:p>
    <w:p>
      <w:pPr>
        <w:pStyle w:val="ListParagraph"/>
        <w:numPr>
          <w:ilvl w:val="1"/>
          <w:numId w:val="213"/>
        </w:numPr>
        <w:tabs>
          <w:tab w:pos="1052" w:val="left" w:leader="none"/>
        </w:tabs>
        <w:spacing w:line="262" w:lineRule="exact" w:before="101" w:after="0"/>
        <w:ind w:left="1051" w:right="0" w:hanging="734"/>
        <w:jc w:val="left"/>
        <w:rPr>
          <w:sz w:val="24"/>
        </w:rPr>
      </w:pPr>
      <w:r>
        <w:rPr>
          <w:rFonts w:ascii="Arial" w:hAnsi="Arial"/>
          <w:b/>
          <w:w w:val="125"/>
          <w:sz w:val="24"/>
        </w:rPr>
        <w:t>§ </w:t>
      </w:r>
      <w:r>
        <w:rPr>
          <w:w w:val="125"/>
          <w:sz w:val="24"/>
        </w:rPr>
        <w:t>(1)</w:t>
      </w:r>
      <w:r>
        <w:rPr>
          <w:i/>
          <w:w w:val="125"/>
          <w:position w:val="3"/>
          <w:sz w:val="18"/>
        </w:rPr>
        <w:t>1 </w:t>
      </w:r>
      <w:r>
        <w:rPr>
          <w:w w:val="125"/>
          <w:sz w:val="24"/>
        </w:rPr>
        <w:t>A hitelintézet, továbbá a Felügyelet hatékony és</w:t>
      </w:r>
      <w:r>
        <w:rPr>
          <w:spacing w:val="-10"/>
          <w:w w:val="125"/>
          <w:sz w:val="24"/>
        </w:rPr>
        <w:t> </w:t>
      </w:r>
      <w:r>
        <w:rPr>
          <w:w w:val="125"/>
          <w:sz w:val="24"/>
        </w:rPr>
        <w:t>megbízható</w:t>
      </w:r>
    </w:p>
    <w:p>
      <w:pPr>
        <w:pStyle w:val="BodyText"/>
        <w:spacing w:line="225" w:lineRule="auto" w:before="12"/>
        <w:ind w:right="129" w:firstLine="0"/>
        <w:jc w:val="both"/>
      </w:pPr>
      <w:r>
        <w:rPr>
          <w:w w:val="125"/>
        </w:rPr>
        <w:t>mechanizmust hoz létre, amely ösztönzi az e törvény, továbbá a prudens működésre vonatkozó jogszabályok, ideértve az 575/2013/EU rendelet előírásainak való tényleges vagy potenciális megsértésének esetén történő vezető tisztségviselői és munkavállalói jelentéstételt.</w:t>
      </w:r>
    </w:p>
    <w:p>
      <w:pPr>
        <w:pStyle w:val="ListParagraph"/>
        <w:numPr>
          <w:ilvl w:val="0"/>
          <w:numId w:val="274"/>
        </w:numPr>
        <w:tabs>
          <w:tab w:pos="734" w:val="left" w:leader="none"/>
        </w:tabs>
        <w:spacing w:line="257" w:lineRule="exact" w:before="0" w:after="0"/>
        <w:ind w:left="733" w:right="0" w:hanging="416"/>
        <w:jc w:val="left"/>
        <w:rPr>
          <w:sz w:val="24"/>
        </w:rPr>
      </w:pPr>
      <w:r>
        <w:rPr>
          <w:w w:val="125"/>
          <w:sz w:val="24"/>
        </w:rPr>
        <w:t>Az (1) bekezdésben meghatározott mechanizmus magában</w:t>
      </w:r>
      <w:r>
        <w:rPr>
          <w:spacing w:val="14"/>
          <w:w w:val="125"/>
          <w:sz w:val="24"/>
        </w:rPr>
        <w:t> </w:t>
      </w:r>
      <w:r>
        <w:rPr>
          <w:w w:val="125"/>
          <w:sz w:val="24"/>
        </w:rPr>
        <w:t>foglalja:</w:t>
      </w:r>
    </w:p>
    <w:p>
      <w:pPr>
        <w:pStyle w:val="ListParagraph"/>
        <w:numPr>
          <w:ilvl w:val="0"/>
          <w:numId w:val="275"/>
        </w:numPr>
        <w:tabs>
          <w:tab w:pos="764" w:val="left" w:leader="none"/>
          <w:tab w:pos="766" w:val="left" w:leader="none"/>
          <w:tab w:pos="1118" w:val="left" w:leader="none"/>
          <w:tab w:pos="3066" w:val="left" w:leader="none"/>
          <w:tab w:pos="3891" w:val="left" w:leader="none"/>
          <w:tab w:pos="5340" w:val="left" w:leader="none"/>
          <w:tab w:pos="6781" w:val="left" w:leader="none"/>
          <w:tab w:pos="7256" w:val="left" w:leader="none"/>
          <w:tab w:pos="8427" w:val="left" w:leader="none"/>
        </w:tabs>
        <w:spacing w:line="225" w:lineRule="auto" w:before="5" w:after="0"/>
        <w:ind w:left="113" w:right="124" w:firstLine="204"/>
        <w:jc w:val="left"/>
        <w:rPr>
          <w:sz w:val="24"/>
        </w:rPr>
      </w:pPr>
      <w:r>
        <w:rPr>
          <w:w w:val="130"/>
          <w:sz w:val="24"/>
        </w:rPr>
        <w:t>a</w:t>
        <w:tab/>
        <w:t>jogsértésekről</w:t>
        <w:tab/>
        <w:t>szóló</w:t>
        <w:tab/>
        <w:t>jelentések</w:t>
        <w:tab/>
        <w:t>átvételére</w:t>
        <w:tab/>
        <w:t>és</w:t>
        <w:tab/>
        <w:t>nyomon</w:t>
        <w:tab/>
      </w:r>
      <w:r>
        <w:rPr>
          <w:spacing w:val="-1"/>
          <w:w w:val="130"/>
          <w:sz w:val="24"/>
        </w:rPr>
        <w:t>követésére </w:t>
      </w:r>
      <w:r>
        <w:rPr>
          <w:w w:val="130"/>
          <w:sz w:val="24"/>
        </w:rPr>
        <w:t>vonatkozó</w:t>
      </w:r>
      <w:r>
        <w:rPr>
          <w:spacing w:val="-4"/>
          <w:w w:val="130"/>
          <w:sz w:val="24"/>
        </w:rPr>
        <w:t> </w:t>
      </w:r>
      <w:r>
        <w:rPr>
          <w:w w:val="130"/>
          <w:sz w:val="24"/>
        </w:rPr>
        <w:t>eljárást,</w:t>
      </w:r>
    </w:p>
    <w:p>
      <w:pPr>
        <w:pStyle w:val="ListParagraph"/>
        <w:numPr>
          <w:ilvl w:val="0"/>
          <w:numId w:val="275"/>
        </w:numPr>
        <w:tabs>
          <w:tab w:pos="567" w:val="left" w:leader="none"/>
          <w:tab w:pos="1115" w:val="left" w:leader="none"/>
          <w:tab w:pos="1695" w:val="left" w:leader="none"/>
          <w:tab w:pos="3809" w:val="left" w:leader="none"/>
          <w:tab w:pos="4925" w:val="left" w:leader="none"/>
          <w:tab w:pos="6572" w:val="left" w:leader="none"/>
          <w:tab w:pos="8134" w:val="left" w:leader="none"/>
        </w:tabs>
        <w:spacing w:line="250" w:lineRule="exact" w:before="0" w:after="0"/>
        <w:ind w:left="566" w:right="0" w:hanging="249"/>
        <w:jc w:val="left"/>
        <w:rPr>
          <w:sz w:val="24"/>
        </w:rPr>
      </w:pPr>
      <w:r>
        <w:rPr>
          <w:i/>
          <w:w w:val="130"/>
          <w:position w:val="3"/>
          <w:sz w:val="18"/>
        </w:rPr>
        <w:t>2</w:t>
        <w:tab/>
      </w:r>
      <w:r>
        <w:rPr>
          <w:w w:val="130"/>
          <w:sz w:val="24"/>
        </w:rPr>
        <w:t>a</w:t>
        <w:tab/>
        <w:t>hitelintézeten</w:t>
        <w:tab/>
        <w:t>belüli</w:t>
        <w:tab/>
        <w:t>jogsértést</w:t>
        <w:tab/>
        <w:t>bejelentő</w:t>
        <w:tab/>
        <w:t>munkavállaló</w:t>
      </w:r>
    </w:p>
    <w:p>
      <w:pPr>
        <w:pStyle w:val="BodyText"/>
        <w:tabs>
          <w:tab w:pos="2538" w:val="left" w:leader="none"/>
          <w:tab w:pos="3098" w:val="left" w:leader="none"/>
          <w:tab w:pos="5203" w:val="left" w:leader="none"/>
          <w:tab w:pos="7115" w:val="left" w:leader="none"/>
          <w:tab w:pos="8564" w:val="left" w:leader="none"/>
        </w:tabs>
        <w:spacing w:line="225" w:lineRule="auto" w:before="12"/>
        <w:ind w:right="123" w:firstLine="0"/>
      </w:pPr>
      <w:r>
        <w:rPr>
          <w:w w:val="125"/>
        </w:rPr>
        <w:t>diszkriminációval</w:t>
        <w:tab/>
        <w:t>és</w:t>
        <w:tab/>
        <w:t>tisztességtelen</w:t>
        <w:tab/>
        <w:t>bánásmóddal</w:t>
        <w:tab/>
        <w:t>szembeni</w:t>
        <w:tab/>
      </w:r>
      <w:r>
        <w:rPr>
          <w:spacing w:val="-3"/>
          <w:w w:val="125"/>
        </w:rPr>
        <w:t>védelmét, </w:t>
      </w:r>
      <w:r>
        <w:rPr>
          <w:w w:val="125"/>
        </w:rPr>
        <w:t>valamint</w:t>
      </w:r>
    </w:p>
    <w:p>
      <w:pPr>
        <w:pStyle w:val="ListParagraph"/>
        <w:numPr>
          <w:ilvl w:val="0"/>
          <w:numId w:val="275"/>
        </w:numPr>
        <w:tabs>
          <w:tab w:pos="812" w:val="left" w:leader="none"/>
        </w:tabs>
        <w:spacing w:line="225" w:lineRule="auto" w:before="1" w:after="0"/>
        <w:ind w:left="113" w:right="124" w:firstLine="204"/>
        <w:jc w:val="both"/>
        <w:rPr>
          <w:sz w:val="24"/>
        </w:rPr>
      </w:pPr>
      <w:r>
        <w:rPr>
          <w:w w:val="130"/>
          <w:sz w:val="24"/>
        </w:rPr>
        <w:t>a hitelintézeten belüli jogsértést bejelentő személy, valamint a jogsértésért feltehetően felelős természetes személy személyes adatainak védelmét.</w:t>
      </w:r>
    </w:p>
    <w:p>
      <w:pPr>
        <w:pStyle w:val="ListParagraph"/>
        <w:numPr>
          <w:ilvl w:val="0"/>
          <w:numId w:val="274"/>
        </w:numPr>
        <w:tabs>
          <w:tab w:pos="800" w:val="left" w:leader="none"/>
        </w:tabs>
        <w:spacing w:line="225" w:lineRule="auto" w:before="2" w:after="0"/>
        <w:ind w:left="113" w:right="125" w:firstLine="204"/>
        <w:jc w:val="both"/>
        <w:rPr>
          <w:sz w:val="24"/>
        </w:rPr>
      </w:pPr>
      <w:r>
        <w:rPr>
          <w:w w:val="125"/>
          <w:sz w:val="24"/>
        </w:rPr>
        <w:t>A hitelintézet a jogsértés intézményen belüli jelentésére független és önálló csatornát és eljárásokat dolgoz ki és</w:t>
      </w:r>
      <w:r>
        <w:rPr>
          <w:spacing w:val="16"/>
          <w:w w:val="125"/>
          <w:sz w:val="24"/>
        </w:rPr>
        <w:t> </w:t>
      </w:r>
      <w:r>
        <w:rPr>
          <w:w w:val="125"/>
          <w:sz w:val="24"/>
        </w:rPr>
        <w:t>működtet.</w:t>
      </w:r>
    </w:p>
    <w:p>
      <w:pPr>
        <w:pStyle w:val="BodyText"/>
        <w:spacing w:before="227"/>
        <w:ind w:left="3344" w:firstLine="0"/>
      </w:pPr>
      <w:r>
        <w:rPr>
          <w:w w:val="125"/>
        </w:rPr>
        <w:t>55. Javadalmazási politika</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5"/>
        </w:rPr>
      </w:pPr>
      <w:r>
        <w:rPr/>
        <w:pict>
          <v:line style="position:absolute;mso-position-horizontal-relative:page;mso-position-vertical-relative:paragraph;z-index:560;mso-wrap-distance-left:0;mso-wrap-distance-right:0" from="56.693001pt,17.024462pt" to="538.583001pt,17.024462pt" stroked="true" strokeweight=".5pt" strokecolor="#000000">
            <v:stroke dashstyle="solid"/>
            <w10:wrap type="topAndBottom"/>
          </v:line>
        </w:pict>
      </w:r>
    </w:p>
    <w:p>
      <w:pPr>
        <w:pStyle w:val="ListParagraph"/>
        <w:numPr>
          <w:ilvl w:val="0"/>
          <w:numId w:val="276"/>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9"/>
          <w:w w:val="125"/>
          <w:sz w:val="18"/>
        </w:rPr>
        <w:t> </w:t>
      </w:r>
      <w:r>
        <w:rPr>
          <w:i/>
          <w:w w:val="125"/>
          <w:sz w:val="18"/>
        </w:rPr>
        <w:t>2018.</w:t>
      </w:r>
      <w:r>
        <w:rPr>
          <w:i/>
          <w:spacing w:val="-9"/>
          <w:w w:val="125"/>
          <w:sz w:val="18"/>
        </w:rPr>
        <w:t> </w:t>
      </w:r>
      <w:r>
        <w:rPr>
          <w:i/>
          <w:w w:val="125"/>
          <w:sz w:val="18"/>
        </w:rPr>
        <w:t>évi</w:t>
      </w:r>
      <w:r>
        <w:rPr>
          <w:i/>
          <w:spacing w:val="-8"/>
          <w:w w:val="125"/>
          <w:sz w:val="18"/>
        </w:rPr>
        <w:t> </w:t>
      </w:r>
      <w:r>
        <w:rPr>
          <w:i/>
          <w:w w:val="125"/>
          <w:sz w:val="18"/>
        </w:rPr>
        <w:t>CXXVI.</w:t>
      </w:r>
      <w:r>
        <w:rPr>
          <w:i/>
          <w:spacing w:val="-8"/>
          <w:w w:val="125"/>
          <w:sz w:val="18"/>
        </w:rPr>
        <w:t> </w:t>
      </w:r>
      <w:r>
        <w:rPr>
          <w:i/>
          <w:w w:val="125"/>
          <w:sz w:val="18"/>
        </w:rPr>
        <w:t>törvény</w:t>
      </w:r>
      <w:r>
        <w:rPr>
          <w:i/>
          <w:spacing w:val="-9"/>
          <w:w w:val="125"/>
          <w:sz w:val="18"/>
        </w:rPr>
        <w:t> </w:t>
      </w:r>
      <w:r>
        <w:rPr>
          <w:i/>
          <w:w w:val="125"/>
          <w:sz w:val="18"/>
        </w:rPr>
        <w:t>120.</w:t>
      </w:r>
      <w:r>
        <w:rPr>
          <w:i/>
          <w:spacing w:val="-9"/>
          <w:w w:val="125"/>
          <w:sz w:val="18"/>
        </w:rPr>
        <w:t> </w:t>
      </w:r>
      <w:r>
        <w:rPr>
          <w:i/>
          <w:w w:val="125"/>
          <w:sz w:val="18"/>
        </w:rPr>
        <w:t>§</w:t>
      </w:r>
      <w:r>
        <w:rPr>
          <w:i/>
          <w:spacing w:val="-7"/>
          <w:w w:val="125"/>
          <w:sz w:val="18"/>
        </w:rPr>
        <w:t> </w:t>
      </w:r>
      <w:r>
        <w:rPr>
          <w:i/>
          <w:w w:val="125"/>
          <w:sz w:val="18"/>
        </w:rPr>
        <w:t>4.</w:t>
      </w:r>
    </w:p>
    <w:p>
      <w:pPr>
        <w:pStyle w:val="ListParagraph"/>
        <w:numPr>
          <w:ilvl w:val="0"/>
          <w:numId w:val="276"/>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9"/>
          <w:w w:val="125"/>
          <w:sz w:val="18"/>
        </w:rPr>
        <w:t> </w:t>
      </w:r>
      <w:r>
        <w:rPr>
          <w:i/>
          <w:w w:val="125"/>
          <w:sz w:val="18"/>
        </w:rPr>
        <w:t>2018.</w:t>
      </w:r>
      <w:r>
        <w:rPr>
          <w:i/>
          <w:spacing w:val="-9"/>
          <w:w w:val="125"/>
          <w:sz w:val="18"/>
        </w:rPr>
        <w:t> </w:t>
      </w:r>
      <w:r>
        <w:rPr>
          <w:i/>
          <w:w w:val="125"/>
          <w:sz w:val="18"/>
        </w:rPr>
        <w:t>évi</w:t>
      </w:r>
      <w:r>
        <w:rPr>
          <w:i/>
          <w:spacing w:val="-8"/>
          <w:w w:val="125"/>
          <w:sz w:val="18"/>
        </w:rPr>
        <w:t> </w:t>
      </w:r>
      <w:r>
        <w:rPr>
          <w:i/>
          <w:w w:val="125"/>
          <w:sz w:val="18"/>
        </w:rPr>
        <w:t>CXXVI.</w:t>
      </w:r>
      <w:r>
        <w:rPr>
          <w:i/>
          <w:spacing w:val="-8"/>
          <w:w w:val="125"/>
          <w:sz w:val="18"/>
        </w:rPr>
        <w:t> </w:t>
      </w:r>
      <w:r>
        <w:rPr>
          <w:i/>
          <w:w w:val="125"/>
          <w:sz w:val="18"/>
        </w:rPr>
        <w:t>törvény</w:t>
      </w:r>
      <w:r>
        <w:rPr>
          <w:i/>
          <w:spacing w:val="-9"/>
          <w:w w:val="125"/>
          <w:sz w:val="18"/>
        </w:rPr>
        <w:t> </w:t>
      </w:r>
      <w:r>
        <w:rPr>
          <w:i/>
          <w:w w:val="125"/>
          <w:sz w:val="18"/>
        </w:rPr>
        <w:t>120.</w:t>
      </w:r>
      <w:r>
        <w:rPr>
          <w:i/>
          <w:spacing w:val="-9"/>
          <w:w w:val="125"/>
          <w:sz w:val="18"/>
        </w:rPr>
        <w:t> </w:t>
      </w:r>
      <w:r>
        <w:rPr>
          <w:i/>
          <w:w w:val="125"/>
          <w:sz w:val="18"/>
        </w:rPr>
        <w:t>§</w:t>
      </w:r>
      <w:r>
        <w:rPr>
          <w:i/>
          <w:spacing w:val="-7"/>
          <w:w w:val="125"/>
          <w:sz w:val="18"/>
        </w:rPr>
        <w:t> </w:t>
      </w:r>
      <w:r>
        <w:rPr>
          <w:i/>
          <w:w w:val="125"/>
          <w:sz w:val="18"/>
        </w:rPr>
        <w:t>5.</w:t>
      </w:r>
    </w:p>
    <w:p>
      <w:pPr>
        <w:spacing w:after="0" w:line="203" w:lineRule="exact"/>
        <w:jc w:val="left"/>
        <w:rPr>
          <w:sz w:val="18"/>
        </w:rPr>
        <w:sectPr>
          <w:pgSz w:w="11900" w:h="16820"/>
          <w:pgMar w:header="1104" w:footer="0" w:top="1840" w:bottom="280" w:left="1020" w:right="1000"/>
        </w:sectPr>
      </w:pPr>
    </w:p>
    <w:p>
      <w:pPr>
        <w:pStyle w:val="ListParagraph"/>
        <w:numPr>
          <w:ilvl w:val="1"/>
          <w:numId w:val="213"/>
        </w:numPr>
        <w:tabs>
          <w:tab w:pos="1057" w:val="left" w:leader="none"/>
        </w:tabs>
        <w:spacing w:line="225" w:lineRule="auto" w:before="172" w:after="0"/>
        <w:ind w:left="113" w:right="126" w:firstLine="204"/>
        <w:jc w:val="both"/>
        <w:rPr>
          <w:sz w:val="24"/>
        </w:rPr>
      </w:pPr>
      <w:r>
        <w:rPr>
          <w:rFonts w:ascii="Arial" w:hAnsi="Arial"/>
          <w:b/>
          <w:w w:val="125"/>
          <w:sz w:val="24"/>
        </w:rPr>
        <w:t>§ </w:t>
      </w:r>
      <w:r>
        <w:rPr>
          <w:w w:val="125"/>
          <w:sz w:val="24"/>
        </w:rPr>
        <w:t>(1) A hitelintézet az általa végzett pénzügyi, kiegészítő pénzügyi szolgáltatási tevékenységgel és az alkalmazott üzleti modell jellegével, nagyságrendjével, összetettségével és kockázataival arányos, valamint megfelelő módon és mértékben belső szabályzatában meghatározott javadalmazási politikával</w:t>
      </w:r>
      <w:r>
        <w:rPr>
          <w:spacing w:val="17"/>
          <w:w w:val="125"/>
          <w:sz w:val="24"/>
        </w:rPr>
        <w:t> </w:t>
      </w:r>
      <w:r>
        <w:rPr>
          <w:w w:val="125"/>
          <w:sz w:val="24"/>
        </w:rPr>
        <w:t>rendelkezik.</w:t>
      </w:r>
    </w:p>
    <w:p>
      <w:pPr>
        <w:pStyle w:val="ListParagraph"/>
        <w:numPr>
          <w:ilvl w:val="0"/>
          <w:numId w:val="277"/>
        </w:numPr>
        <w:tabs>
          <w:tab w:pos="659" w:val="left" w:leader="none"/>
        </w:tabs>
        <w:spacing w:line="257" w:lineRule="exact" w:before="0" w:after="0"/>
        <w:ind w:left="658" w:right="0" w:hanging="341"/>
        <w:jc w:val="left"/>
        <w:rPr>
          <w:sz w:val="24"/>
        </w:rPr>
      </w:pPr>
      <w:r>
        <w:rPr>
          <w:i/>
          <w:w w:val="125"/>
          <w:position w:val="3"/>
          <w:sz w:val="18"/>
        </w:rPr>
        <w:t>1 </w:t>
      </w:r>
      <w:r>
        <w:rPr>
          <w:w w:val="125"/>
          <w:sz w:val="24"/>
        </w:rPr>
        <w:t>A javadalmazási politika hatálya kiterjed a</w:t>
      </w:r>
      <w:r>
        <w:rPr>
          <w:spacing w:val="-27"/>
          <w:w w:val="125"/>
          <w:sz w:val="24"/>
        </w:rPr>
        <w:t> </w:t>
      </w:r>
      <w:r>
        <w:rPr>
          <w:w w:val="125"/>
          <w:sz w:val="24"/>
        </w:rPr>
        <w:t>hitelintézet</w:t>
      </w:r>
    </w:p>
    <w:p>
      <w:pPr>
        <w:pStyle w:val="ListParagraph"/>
        <w:numPr>
          <w:ilvl w:val="0"/>
          <w:numId w:val="278"/>
        </w:numPr>
        <w:tabs>
          <w:tab w:pos="631" w:val="left" w:leader="none"/>
        </w:tabs>
        <w:spacing w:line="260" w:lineRule="exact" w:before="0" w:after="0"/>
        <w:ind w:left="630" w:right="0" w:hanging="313"/>
        <w:jc w:val="left"/>
        <w:rPr>
          <w:sz w:val="24"/>
        </w:rPr>
      </w:pPr>
      <w:r>
        <w:rPr>
          <w:w w:val="125"/>
          <w:sz w:val="24"/>
        </w:rPr>
        <w:t>vezető állású személyeire,</w:t>
      </w:r>
    </w:p>
    <w:p>
      <w:pPr>
        <w:pStyle w:val="ListParagraph"/>
        <w:numPr>
          <w:ilvl w:val="0"/>
          <w:numId w:val="278"/>
        </w:numPr>
        <w:tabs>
          <w:tab w:pos="774" w:val="left" w:leader="none"/>
        </w:tabs>
        <w:spacing w:line="225" w:lineRule="auto" w:before="5" w:after="0"/>
        <w:ind w:left="113" w:right="130" w:firstLine="204"/>
        <w:jc w:val="both"/>
        <w:rPr>
          <w:sz w:val="24"/>
        </w:rPr>
      </w:pPr>
      <w:r>
        <w:rPr>
          <w:w w:val="125"/>
          <w:sz w:val="24"/>
        </w:rPr>
        <w:t>belső szabályzatában meghatározott kockázatvállalási és ellenőrzési funkciót betöltő munkavállalóira - ideértve a belső kontroll feladatkört ellátó munkavállalókat is</w:t>
      </w:r>
      <w:r>
        <w:rPr>
          <w:spacing w:val="-1"/>
          <w:w w:val="125"/>
          <w:sz w:val="24"/>
        </w:rPr>
        <w:t> </w:t>
      </w:r>
      <w:r>
        <w:rPr>
          <w:w w:val="125"/>
          <w:sz w:val="24"/>
        </w:rPr>
        <w:t>-,</w:t>
      </w:r>
    </w:p>
    <w:p>
      <w:pPr>
        <w:pStyle w:val="ListParagraph"/>
        <w:numPr>
          <w:ilvl w:val="0"/>
          <w:numId w:val="278"/>
        </w:numPr>
        <w:tabs>
          <w:tab w:pos="646" w:val="left" w:leader="none"/>
        </w:tabs>
        <w:spacing w:line="225" w:lineRule="auto" w:before="2" w:after="0"/>
        <w:ind w:left="113" w:right="128" w:firstLine="204"/>
        <w:jc w:val="both"/>
        <w:rPr>
          <w:sz w:val="24"/>
        </w:rPr>
      </w:pPr>
      <w:r>
        <w:rPr>
          <w:i/>
          <w:w w:val="125"/>
          <w:sz w:val="24"/>
        </w:rPr>
        <w:t>a) </w:t>
      </w:r>
      <w:r>
        <w:rPr>
          <w:w w:val="125"/>
          <w:sz w:val="24"/>
        </w:rPr>
        <w:t>vagy </w:t>
      </w:r>
      <w:r>
        <w:rPr>
          <w:i/>
          <w:w w:val="125"/>
          <w:sz w:val="24"/>
        </w:rPr>
        <w:t>b) </w:t>
      </w:r>
      <w:r>
        <w:rPr>
          <w:w w:val="125"/>
          <w:sz w:val="24"/>
        </w:rPr>
        <w:t>pontba tartozó személyeivel azonos javadalmazási kategóriába tartozó munkavállalóira, akinek a tevékenysége lényeges hatást gyakorol a hitelintézet kockázati profiljára,</w:t>
      </w:r>
      <w:r>
        <w:rPr>
          <w:spacing w:val="19"/>
          <w:w w:val="125"/>
          <w:sz w:val="24"/>
        </w:rPr>
        <w:t> </w:t>
      </w:r>
      <w:r>
        <w:rPr>
          <w:w w:val="125"/>
          <w:sz w:val="24"/>
        </w:rPr>
        <w:t>valamint</w:t>
      </w:r>
    </w:p>
    <w:p>
      <w:pPr>
        <w:pStyle w:val="ListParagraph"/>
        <w:numPr>
          <w:ilvl w:val="0"/>
          <w:numId w:val="278"/>
        </w:numPr>
        <w:tabs>
          <w:tab w:pos="656" w:val="left" w:leader="none"/>
        </w:tabs>
        <w:spacing w:line="225" w:lineRule="auto" w:before="2" w:after="0"/>
        <w:ind w:left="113" w:right="130" w:firstLine="204"/>
        <w:jc w:val="both"/>
        <w:rPr>
          <w:sz w:val="24"/>
        </w:rPr>
      </w:pPr>
      <w:r>
        <w:rPr>
          <w:w w:val="125"/>
          <w:sz w:val="24"/>
        </w:rPr>
        <w:t>azon munkavállalóira, akiknek a tevékenysége lényeges hatást gyakorol a hitelintézet kockázati</w:t>
      </w:r>
      <w:r>
        <w:rPr>
          <w:spacing w:val="2"/>
          <w:w w:val="125"/>
          <w:sz w:val="24"/>
        </w:rPr>
        <w:t> </w:t>
      </w:r>
      <w:r>
        <w:rPr>
          <w:w w:val="125"/>
          <w:sz w:val="24"/>
        </w:rPr>
        <w:t>profiljára.</w:t>
      </w:r>
    </w:p>
    <w:p>
      <w:pPr>
        <w:pStyle w:val="ListParagraph"/>
        <w:numPr>
          <w:ilvl w:val="0"/>
          <w:numId w:val="277"/>
        </w:numPr>
        <w:tabs>
          <w:tab w:pos="817" w:val="left" w:leader="none"/>
        </w:tabs>
        <w:spacing w:line="225" w:lineRule="auto" w:before="1" w:after="0"/>
        <w:ind w:left="113" w:right="119" w:firstLine="204"/>
        <w:jc w:val="both"/>
        <w:rPr>
          <w:sz w:val="24"/>
        </w:rPr>
      </w:pPr>
      <w:r>
        <w:rPr>
          <w:w w:val="125"/>
          <w:sz w:val="24"/>
        </w:rPr>
        <w:t>A javadalmazási politika összhangban áll a hatékony és eredményes kockázatkezeléssel, elősegíti annak alkalmazását, és nem ösztönözhet a hitelintézet kockázatvállalási limitjeit meghaladó kockázatok vállalására. A javadalmazási politika a hitelintézet üzleti stratégiájával, célkitűzéseivel, értékeivel és hosszú távú érdekeivel is összhangban áll, valamint az érdekkonfliktus elkerülését célzó intézkedéseket</w:t>
      </w:r>
      <w:r>
        <w:rPr>
          <w:spacing w:val="15"/>
          <w:w w:val="125"/>
          <w:sz w:val="24"/>
        </w:rPr>
        <w:t> </w:t>
      </w:r>
      <w:r>
        <w:rPr>
          <w:w w:val="125"/>
          <w:sz w:val="24"/>
        </w:rPr>
        <w:t>tartalmaz.</w:t>
      </w:r>
    </w:p>
    <w:p>
      <w:pPr>
        <w:pStyle w:val="ListParagraph"/>
        <w:numPr>
          <w:ilvl w:val="0"/>
          <w:numId w:val="277"/>
        </w:numPr>
        <w:tabs>
          <w:tab w:pos="751" w:val="left" w:leader="none"/>
        </w:tabs>
        <w:spacing w:line="225" w:lineRule="auto" w:before="3" w:after="0"/>
        <w:ind w:left="113" w:right="125" w:firstLine="204"/>
        <w:jc w:val="both"/>
        <w:rPr>
          <w:sz w:val="24"/>
        </w:rPr>
      </w:pPr>
      <w:r>
        <w:rPr>
          <w:w w:val="125"/>
          <w:sz w:val="24"/>
        </w:rPr>
        <w:t>A hitelintézet a javadalmazási politikára vonatkozó szabályokat összevont alapon minden olyan vállalkozás tekintetében alkalmazza, amelyekre az összevont alapú felügyelet a hitelintézettel együttesen</w:t>
      </w:r>
      <w:r>
        <w:rPr>
          <w:spacing w:val="30"/>
          <w:w w:val="125"/>
          <w:sz w:val="24"/>
        </w:rPr>
        <w:t> </w:t>
      </w:r>
      <w:r>
        <w:rPr>
          <w:w w:val="125"/>
          <w:sz w:val="24"/>
        </w:rPr>
        <w:t>kiterjed.</w:t>
      </w:r>
    </w:p>
    <w:p>
      <w:pPr>
        <w:pStyle w:val="ListParagraph"/>
        <w:numPr>
          <w:ilvl w:val="0"/>
          <w:numId w:val="277"/>
        </w:numPr>
        <w:tabs>
          <w:tab w:pos="659" w:val="left" w:leader="none"/>
        </w:tabs>
        <w:spacing w:line="225" w:lineRule="auto" w:before="2" w:after="0"/>
        <w:ind w:left="113" w:right="123" w:firstLine="204"/>
        <w:jc w:val="both"/>
        <w:rPr>
          <w:sz w:val="24"/>
        </w:rPr>
      </w:pPr>
      <w:r>
        <w:rPr>
          <w:i/>
          <w:w w:val="125"/>
          <w:position w:val="3"/>
          <w:sz w:val="18"/>
        </w:rPr>
        <w:t>2 </w:t>
      </w:r>
      <w:r>
        <w:rPr>
          <w:w w:val="125"/>
          <w:sz w:val="24"/>
        </w:rPr>
        <w:t>A javadalmazási politika elveit a felügyeleti jogkörrel rendelkező vezető testület fogadja el és vizsgálja felül, az irányítási jogkörrel rendelkező vezető testület felel annak végrehajtásáért, amelyet legalább évente a  hitelintézet  belső ellenőrzése is</w:t>
      </w:r>
      <w:r>
        <w:rPr>
          <w:spacing w:val="1"/>
          <w:w w:val="125"/>
          <w:sz w:val="24"/>
        </w:rPr>
        <w:t> </w:t>
      </w:r>
      <w:r>
        <w:rPr>
          <w:w w:val="125"/>
          <w:sz w:val="24"/>
        </w:rPr>
        <w:t>ellenőriz.</w:t>
      </w:r>
    </w:p>
    <w:p>
      <w:pPr>
        <w:pStyle w:val="ListParagraph"/>
        <w:numPr>
          <w:ilvl w:val="0"/>
          <w:numId w:val="277"/>
        </w:numPr>
        <w:tabs>
          <w:tab w:pos="772" w:val="left" w:leader="none"/>
        </w:tabs>
        <w:spacing w:line="225" w:lineRule="auto" w:before="2" w:after="0"/>
        <w:ind w:left="113" w:right="120" w:firstLine="204"/>
        <w:jc w:val="both"/>
        <w:rPr>
          <w:sz w:val="24"/>
        </w:rPr>
      </w:pPr>
      <w:r>
        <w:rPr>
          <w:w w:val="125"/>
          <w:sz w:val="24"/>
        </w:rPr>
        <w:t>A mérlegfőösszeg tekintetében legalább öt százalék piaci részesedéssel rendelkező hitelintézetek javadalmazási bizottságot állítanak fel, amely felügyeli a kockázatkezelésért és a jogszabályoknak történő megfelelésért felelős vezető - ideértve a belső kontroll feladatkört ellátó munkavállalókat is - javadalmazását, valamint előkészíti a javadalmazásra vonatkozó döntéseket a részvényesek, a befektetők és a hitelintézetben érdekelt egyéb felek  hosszú távú érdekeinek figyelembevételével.</w:t>
      </w:r>
    </w:p>
    <w:p>
      <w:pPr>
        <w:pStyle w:val="ListParagraph"/>
        <w:numPr>
          <w:ilvl w:val="0"/>
          <w:numId w:val="277"/>
        </w:numPr>
        <w:tabs>
          <w:tab w:pos="864" w:val="left" w:leader="none"/>
        </w:tabs>
        <w:spacing w:line="225" w:lineRule="auto" w:before="4" w:after="0"/>
        <w:ind w:left="113" w:right="116" w:firstLine="204"/>
        <w:jc w:val="both"/>
        <w:rPr>
          <w:sz w:val="24"/>
        </w:rPr>
      </w:pPr>
      <w:r>
        <w:rPr>
          <w:w w:val="125"/>
          <w:sz w:val="24"/>
        </w:rPr>
        <w:t>A javadalmazási bizottság elnöke és tagjai az irányítási jogkörrel rendelkező vezető testület olyan tagjai közül kerülnek ki, akik az érintett hitelintézettel nem állnak munkaviszonyban. Ha a hitelintézet irányítási jogkörrel rendelkező vezető testületében nincs legalább három olyan tag, aki nem áll munkaviszonyban a hitelintézettel, akkor a javadalmazási bizottságban a felügyeleti jogkörrel rendelkező vezető testület független tagjai is részt vehetnek.</w:t>
      </w:r>
    </w:p>
    <w:p>
      <w:pPr>
        <w:pStyle w:val="ListParagraph"/>
        <w:numPr>
          <w:ilvl w:val="1"/>
          <w:numId w:val="213"/>
        </w:numPr>
        <w:tabs>
          <w:tab w:pos="1215" w:val="left" w:leader="none"/>
        </w:tabs>
        <w:spacing w:line="225" w:lineRule="auto" w:before="3" w:after="0"/>
        <w:ind w:left="113" w:right="127" w:firstLine="204"/>
        <w:jc w:val="both"/>
        <w:rPr>
          <w:sz w:val="24"/>
        </w:rPr>
      </w:pPr>
      <w:r>
        <w:rPr>
          <w:rFonts w:ascii="Arial" w:hAnsi="Arial"/>
          <w:b/>
          <w:w w:val="125"/>
          <w:sz w:val="24"/>
        </w:rPr>
        <w:t>§ </w:t>
      </w:r>
      <w:r>
        <w:rPr>
          <w:w w:val="125"/>
          <w:sz w:val="24"/>
        </w:rPr>
        <w:t>(1) A hitelintézet elkülöníti az alapjavadalmazást és a teljesítményjavadalmazást és belső szabályzatban határozza meg a teljes javadalmazáson belül az alapjavadalmazás és a teljesítményjavadalmazás arányát azzal a korlátozással, hogy a teljesítményjavadalmazás - a (2) bekezdésben meghatározott eltéréssel - egyetlen vezető állású személy vagy munkavállaló esetében sem haladhatja meg az alapjavadalmazás 100  százalékát.</w:t>
      </w:r>
    </w:p>
    <w:p>
      <w:pPr>
        <w:pStyle w:val="BodyText"/>
        <w:ind w:left="0" w:firstLine="0"/>
        <w:rPr>
          <w:sz w:val="20"/>
        </w:rPr>
      </w:pPr>
    </w:p>
    <w:p>
      <w:pPr>
        <w:pStyle w:val="BodyText"/>
        <w:spacing w:before="3"/>
        <w:ind w:left="0" w:firstLine="0"/>
        <w:rPr>
          <w:sz w:val="13"/>
        </w:rPr>
      </w:pPr>
      <w:r>
        <w:rPr/>
        <w:pict>
          <v:line style="position:absolute;mso-position-horizontal-relative:page;mso-position-vertical-relative:paragraph;z-index:584;mso-wrap-distance-left:0;mso-wrap-distance-right:0" from="56.693001pt,9.844547pt" to="538.583001pt,9.844547pt" stroked="true" strokeweight=".5pt" strokecolor="#000000">
            <v:stroke dashstyle="solid"/>
            <w10:wrap type="topAndBottom"/>
          </v:line>
        </w:pict>
      </w:r>
    </w:p>
    <w:p>
      <w:pPr>
        <w:pStyle w:val="ListParagraph"/>
        <w:numPr>
          <w:ilvl w:val="0"/>
          <w:numId w:val="279"/>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202. §. Hatályos: 2016. I.</w:t>
      </w:r>
      <w:r>
        <w:rPr>
          <w:i/>
          <w:spacing w:val="-19"/>
          <w:w w:val="125"/>
          <w:sz w:val="18"/>
        </w:rPr>
        <w:t> </w:t>
      </w:r>
      <w:r>
        <w:rPr>
          <w:i/>
          <w:w w:val="125"/>
          <w:sz w:val="18"/>
        </w:rPr>
        <w:t>1-től.</w:t>
      </w:r>
    </w:p>
    <w:p>
      <w:pPr>
        <w:pStyle w:val="ListParagraph"/>
        <w:numPr>
          <w:ilvl w:val="0"/>
          <w:numId w:val="279"/>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67.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280"/>
        </w:numPr>
        <w:tabs>
          <w:tab w:pos="856" w:val="left" w:leader="none"/>
        </w:tabs>
        <w:spacing w:line="225" w:lineRule="auto" w:before="173" w:after="0"/>
        <w:ind w:left="113" w:right="127" w:firstLine="204"/>
        <w:jc w:val="left"/>
        <w:rPr>
          <w:sz w:val="24"/>
        </w:rPr>
      </w:pPr>
      <w:r>
        <w:rPr>
          <w:w w:val="125"/>
          <w:sz w:val="24"/>
        </w:rPr>
        <w:t>A hitelintézet az alapjavadalmazás legfeljebb 200 százalékát elérő teljesítményjavadalmazást alkalmazhat,</w:t>
      </w:r>
      <w:r>
        <w:rPr>
          <w:spacing w:val="1"/>
          <w:w w:val="125"/>
          <w:sz w:val="24"/>
        </w:rPr>
        <w:t> </w:t>
      </w:r>
      <w:r>
        <w:rPr>
          <w:w w:val="125"/>
          <w:sz w:val="24"/>
        </w:rPr>
        <w:t>ha</w:t>
      </w:r>
    </w:p>
    <w:p>
      <w:pPr>
        <w:pStyle w:val="ListParagraph"/>
        <w:numPr>
          <w:ilvl w:val="0"/>
          <w:numId w:val="281"/>
        </w:numPr>
        <w:tabs>
          <w:tab w:pos="631" w:val="left" w:leader="none"/>
        </w:tabs>
        <w:spacing w:line="256" w:lineRule="exact" w:before="0" w:after="0"/>
        <w:ind w:left="630" w:right="0" w:hanging="313"/>
        <w:jc w:val="left"/>
        <w:rPr>
          <w:sz w:val="24"/>
        </w:rPr>
      </w:pPr>
      <w:r>
        <w:rPr>
          <w:w w:val="130"/>
          <w:sz w:val="24"/>
        </w:rPr>
        <w:t>a hitelintézet közgyűlése arra felhatalmazást</w:t>
      </w:r>
      <w:r>
        <w:rPr>
          <w:spacing w:val="-22"/>
          <w:w w:val="130"/>
          <w:sz w:val="24"/>
        </w:rPr>
        <w:t> </w:t>
      </w:r>
      <w:r>
        <w:rPr>
          <w:w w:val="130"/>
          <w:sz w:val="24"/>
        </w:rPr>
        <w:t>ad,</w:t>
      </w:r>
    </w:p>
    <w:p>
      <w:pPr>
        <w:pStyle w:val="ListParagraph"/>
        <w:numPr>
          <w:ilvl w:val="0"/>
          <w:numId w:val="281"/>
        </w:numPr>
        <w:tabs>
          <w:tab w:pos="645" w:val="left" w:leader="none"/>
        </w:tabs>
        <w:spacing w:line="225" w:lineRule="auto" w:before="5" w:after="0"/>
        <w:ind w:left="113" w:right="131" w:firstLine="204"/>
        <w:jc w:val="left"/>
        <w:rPr>
          <w:sz w:val="24"/>
        </w:rPr>
      </w:pPr>
      <w:r>
        <w:rPr>
          <w:w w:val="130"/>
          <w:sz w:val="24"/>
        </w:rPr>
        <w:t>a</w:t>
      </w:r>
      <w:r>
        <w:rPr>
          <w:spacing w:val="-14"/>
          <w:w w:val="130"/>
          <w:sz w:val="24"/>
        </w:rPr>
        <w:t> </w:t>
      </w:r>
      <w:r>
        <w:rPr>
          <w:w w:val="130"/>
          <w:sz w:val="24"/>
        </w:rPr>
        <w:t>közgyűlésen</w:t>
      </w:r>
      <w:r>
        <w:rPr>
          <w:spacing w:val="-14"/>
          <w:w w:val="130"/>
          <w:sz w:val="24"/>
        </w:rPr>
        <w:t> </w:t>
      </w:r>
      <w:r>
        <w:rPr>
          <w:w w:val="130"/>
          <w:sz w:val="24"/>
        </w:rPr>
        <w:t>megtárgyalt</w:t>
      </w:r>
      <w:r>
        <w:rPr>
          <w:spacing w:val="-13"/>
          <w:w w:val="130"/>
          <w:sz w:val="24"/>
        </w:rPr>
        <w:t> </w:t>
      </w:r>
      <w:r>
        <w:rPr>
          <w:w w:val="130"/>
          <w:sz w:val="24"/>
        </w:rPr>
        <w:t>előterjesztés</w:t>
      </w:r>
      <w:r>
        <w:rPr>
          <w:spacing w:val="-14"/>
          <w:w w:val="130"/>
          <w:sz w:val="24"/>
        </w:rPr>
        <w:t> </w:t>
      </w:r>
      <w:r>
        <w:rPr>
          <w:w w:val="130"/>
          <w:sz w:val="24"/>
        </w:rPr>
        <w:t>részletesen</w:t>
      </w:r>
      <w:r>
        <w:rPr>
          <w:spacing w:val="-13"/>
          <w:w w:val="130"/>
          <w:sz w:val="24"/>
        </w:rPr>
        <w:t> </w:t>
      </w:r>
      <w:r>
        <w:rPr>
          <w:w w:val="130"/>
          <w:sz w:val="24"/>
        </w:rPr>
        <w:t>feltünteti</w:t>
      </w:r>
      <w:r>
        <w:rPr>
          <w:spacing w:val="-13"/>
          <w:w w:val="130"/>
          <w:sz w:val="24"/>
        </w:rPr>
        <w:t> </w:t>
      </w:r>
      <w:r>
        <w:rPr>
          <w:w w:val="130"/>
          <w:sz w:val="24"/>
        </w:rPr>
        <w:t>a</w:t>
      </w:r>
      <w:r>
        <w:rPr>
          <w:spacing w:val="-14"/>
          <w:w w:val="130"/>
          <w:sz w:val="24"/>
        </w:rPr>
        <w:t> </w:t>
      </w:r>
      <w:r>
        <w:rPr>
          <w:w w:val="130"/>
          <w:sz w:val="24"/>
        </w:rPr>
        <w:t>magasabb teljesítményjavadalmazás</w:t>
      </w:r>
      <w:r>
        <w:rPr>
          <w:spacing w:val="-6"/>
          <w:w w:val="130"/>
          <w:sz w:val="24"/>
        </w:rPr>
        <w:t> </w:t>
      </w:r>
      <w:r>
        <w:rPr>
          <w:w w:val="130"/>
          <w:sz w:val="24"/>
        </w:rPr>
        <w:t>indoklását,</w:t>
      </w:r>
    </w:p>
    <w:p>
      <w:pPr>
        <w:pStyle w:val="ListParagraph"/>
        <w:numPr>
          <w:ilvl w:val="0"/>
          <w:numId w:val="281"/>
        </w:numPr>
        <w:tabs>
          <w:tab w:pos="623" w:val="left" w:leader="none"/>
        </w:tabs>
        <w:spacing w:line="256" w:lineRule="exact" w:before="0" w:after="0"/>
        <w:ind w:left="622" w:right="0" w:hanging="305"/>
        <w:jc w:val="left"/>
        <w:rPr>
          <w:sz w:val="24"/>
        </w:rPr>
      </w:pPr>
      <w:r>
        <w:rPr>
          <w:w w:val="130"/>
          <w:sz w:val="24"/>
        </w:rPr>
        <w:t>a közgyűlésen a hitelintézet tulajdonosainak támogató</w:t>
      </w:r>
      <w:r>
        <w:rPr>
          <w:spacing w:val="-53"/>
          <w:w w:val="130"/>
          <w:sz w:val="24"/>
        </w:rPr>
        <w:t> </w:t>
      </w:r>
      <w:r>
        <w:rPr>
          <w:w w:val="130"/>
          <w:sz w:val="24"/>
        </w:rPr>
        <w:t>határozata</w:t>
      </w:r>
    </w:p>
    <w:p>
      <w:pPr>
        <w:pStyle w:val="BodyText"/>
        <w:spacing w:line="225" w:lineRule="auto" w:before="6"/>
      </w:pPr>
      <w:r>
        <w:rPr>
          <w:i/>
          <w:w w:val="125"/>
        </w:rPr>
        <w:t>ca) </w:t>
      </w:r>
      <w:r>
        <w:rPr>
          <w:w w:val="125"/>
        </w:rPr>
        <w:t>legalább 66 százalékos többségű, amely a tulajdoni jogok legalább 50 százalékát jeleníti meg, vagy</w:t>
      </w:r>
    </w:p>
    <w:p>
      <w:pPr>
        <w:pStyle w:val="BodyText"/>
        <w:spacing w:line="225" w:lineRule="auto" w:before="1"/>
      </w:pPr>
      <w:r>
        <w:rPr>
          <w:i/>
          <w:w w:val="130"/>
        </w:rPr>
        <w:t>cb) </w:t>
      </w:r>
      <w:r>
        <w:rPr>
          <w:w w:val="130"/>
        </w:rPr>
        <w:t>legalább a képviselt tulajdoni jogok 75 százalékos többségével kerül elfogadásra, és</w:t>
      </w:r>
    </w:p>
    <w:p>
      <w:pPr>
        <w:pStyle w:val="ListParagraph"/>
        <w:numPr>
          <w:ilvl w:val="0"/>
          <w:numId w:val="281"/>
        </w:numPr>
        <w:tabs>
          <w:tab w:pos="807" w:val="left" w:leader="none"/>
          <w:tab w:pos="808" w:val="left" w:leader="none"/>
          <w:tab w:pos="1193" w:val="left" w:leader="none"/>
          <w:tab w:pos="2817" w:val="left" w:leader="none"/>
          <w:tab w:pos="4345" w:val="left" w:leader="none"/>
          <w:tab w:pos="6009" w:val="left" w:leader="none"/>
          <w:tab w:pos="6395" w:val="left" w:leader="none"/>
          <w:tab w:pos="8157" w:val="left" w:leader="none"/>
          <w:tab w:pos="8543" w:val="left" w:leader="none"/>
        </w:tabs>
        <w:spacing w:line="225" w:lineRule="auto" w:before="1" w:after="0"/>
        <w:ind w:left="113" w:right="134" w:firstLine="204"/>
        <w:jc w:val="left"/>
        <w:rPr>
          <w:sz w:val="24"/>
        </w:rPr>
      </w:pPr>
      <w:r>
        <w:rPr>
          <w:w w:val="130"/>
          <w:sz w:val="24"/>
        </w:rPr>
        <w:t>a</w:t>
        <w:tab/>
        <w:t>hitelintézet</w:t>
        <w:tab/>
        <w:t>előzetesen</w:t>
        <w:tab/>
        <w:t>tájékoztatja</w:t>
        <w:tab/>
        <w:t>a</w:t>
        <w:tab/>
        <w:t>Felügyeletet</w:t>
        <w:tab/>
        <w:t>a</w:t>
        <w:tab/>
      </w:r>
      <w:r>
        <w:rPr>
          <w:spacing w:val="-3"/>
          <w:w w:val="125"/>
          <w:sz w:val="24"/>
        </w:rPr>
        <w:t>közgyűlés </w:t>
      </w:r>
      <w:r>
        <w:rPr>
          <w:w w:val="130"/>
          <w:sz w:val="24"/>
        </w:rPr>
        <w:t>előterjesztéséről, valamint a </w:t>
      </w:r>
      <w:r>
        <w:rPr>
          <w:i/>
          <w:w w:val="130"/>
          <w:sz w:val="24"/>
        </w:rPr>
        <w:t>c) </w:t>
      </w:r>
      <w:r>
        <w:rPr>
          <w:w w:val="130"/>
          <w:sz w:val="24"/>
        </w:rPr>
        <w:t>pont alapján hozott</w:t>
      </w:r>
      <w:r>
        <w:rPr>
          <w:spacing w:val="-48"/>
          <w:w w:val="130"/>
          <w:sz w:val="24"/>
        </w:rPr>
        <w:t> </w:t>
      </w:r>
      <w:r>
        <w:rPr>
          <w:w w:val="130"/>
          <w:sz w:val="24"/>
        </w:rPr>
        <w:t>határozatról.</w:t>
      </w:r>
    </w:p>
    <w:p>
      <w:pPr>
        <w:pStyle w:val="ListParagraph"/>
        <w:numPr>
          <w:ilvl w:val="0"/>
          <w:numId w:val="280"/>
        </w:numPr>
        <w:tabs>
          <w:tab w:pos="734" w:val="left" w:leader="none"/>
        </w:tabs>
        <w:spacing w:line="256" w:lineRule="exact" w:before="0" w:after="0"/>
        <w:ind w:left="733" w:right="0" w:hanging="416"/>
        <w:jc w:val="left"/>
        <w:rPr>
          <w:sz w:val="24"/>
        </w:rPr>
      </w:pPr>
      <w:r>
        <w:rPr>
          <w:w w:val="125"/>
          <w:sz w:val="24"/>
        </w:rPr>
        <w:t>A (2) bekezdés </w:t>
      </w:r>
      <w:r>
        <w:rPr>
          <w:i/>
          <w:w w:val="125"/>
          <w:sz w:val="24"/>
        </w:rPr>
        <w:t>b) </w:t>
      </w:r>
      <w:r>
        <w:rPr>
          <w:w w:val="125"/>
          <w:sz w:val="24"/>
        </w:rPr>
        <w:t>pontja szerinti előterjesztés</w:t>
      </w:r>
      <w:r>
        <w:rPr>
          <w:spacing w:val="23"/>
          <w:w w:val="125"/>
          <w:sz w:val="24"/>
        </w:rPr>
        <w:t> </w:t>
      </w:r>
      <w:r>
        <w:rPr>
          <w:w w:val="125"/>
          <w:sz w:val="24"/>
        </w:rPr>
        <w:t>tartalmazza:</w:t>
      </w:r>
    </w:p>
    <w:p>
      <w:pPr>
        <w:pStyle w:val="ListParagraph"/>
        <w:numPr>
          <w:ilvl w:val="0"/>
          <w:numId w:val="282"/>
        </w:numPr>
        <w:tabs>
          <w:tab w:pos="998" w:val="left" w:leader="none"/>
          <w:tab w:pos="999" w:val="left" w:leader="none"/>
          <w:tab w:pos="1585" w:val="left" w:leader="none"/>
          <w:tab w:pos="3269" w:val="left" w:leader="none"/>
          <w:tab w:pos="9069" w:val="left" w:leader="none"/>
        </w:tabs>
        <w:spacing w:line="225" w:lineRule="auto" w:before="5" w:after="0"/>
        <w:ind w:left="113" w:right="117" w:firstLine="204"/>
        <w:jc w:val="left"/>
        <w:rPr>
          <w:sz w:val="24"/>
        </w:rPr>
      </w:pPr>
      <w:r>
        <w:rPr>
          <w:w w:val="130"/>
          <w:sz w:val="24"/>
        </w:rPr>
        <w:t>a</w:t>
        <w:tab/>
        <w:t>magasabb</w:t>
        <w:tab/>
      </w:r>
      <w:r>
        <w:rPr>
          <w:w w:val="125"/>
          <w:sz w:val="24"/>
        </w:rPr>
        <w:t>alapjavadalmazás-teljesítményjavadalmazás</w:t>
        <w:tab/>
      </w:r>
      <w:r>
        <w:rPr>
          <w:spacing w:val="-4"/>
          <w:w w:val="130"/>
          <w:sz w:val="24"/>
        </w:rPr>
        <w:t>arány </w:t>
      </w:r>
      <w:r>
        <w:rPr>
          <w:w w:val="130"/>
          <w:sz w:val="24"/>
        </w:rPr>
        <w:t>szükségességének</w:t>
      </w:r>
      <w:r>
        <w:rPr>
          <w:spacing w:val="-4"/>
          <w:w w:val="130"/>
          <w:sz w:val="24"/>
        </w:rPr>
        <w:t> </w:t>
      </w:r>
      <w:r>
        <w:rPr>
          <w:w w:val="130"/>
          <w:sz w:val="24"/>
        </w:rPr>
        <w:t>indokolását,</w:t>
      </w:r>
    </w:p>
    <w:p>
      <w:pPr>
        <w:pStyle w:val="ListParagraph"/>
        <w:numPr>
          <w:ilvl w:val="0"/>
          <w:numId w:val="282"/>
        </w:numPr>
        <w:tabs>
          <w:tab w:pos="653" w:val="left" w:leader="none"/>
        </w:tabs>
        <w:spacing w:line="256" w:lineRule="exact" w:before="0" w:after="0"/>
        <w:ind w:left="652" w:right="0" w:hanging="335"/>
        <w:jc w:val="left"/>
        <w:rPr>
          <w:sz w:val="24"/>
        </w:rPr>
      </w:pPr>
      <w:r>
        <w:rPr>
          <w:w w:val="125"/>
          <w:sz w:val="24"/>
        </w:rPr>
        <w:t>a javasolt maximális</w:t>
      </w:r>
      <w:r>
        <w:rPr>
          <w:spacing w:val="-9"/>
          <w:w w:val="125"/>
          <w:sz w:val="24"/>
        </w:rPr>
        <w:t> </w:t>
      </w:r>
      <w:r>
        <w:rPr>
          <w:w w:val="125"/>
          <w:sz w:val="24"/>
        </w:rPr>
        <w:t>arányt,</w:t>
      </w:r>
    </w:p>
    <w:p>
      <w:pPr>
        <w:pStyle w:val="ListParagraph"/>
        <w:numPr>
          <w:ilvl w:val="0"/>
          <w:numId w:val="282"/>
        </w:numPr>
        <w:tabs>
          <w:tab w:pos="811" w:val="left" w:leader="none"/>
          <w:tab w:pos="812" w:val="left" w:leader="none"/>
          <w:tab w:pos="1347" w:val="left" w:leader="none"/>
          <w:tab w:pos="2529" w:val="left" w:leader="none"/>
          <w:tab w:pos="3580" w:val="left" w:leader="none"/>
          <w:tab w:pos="4563" w:val="left" w:leader="none"/>
          <w:tab w:pos="6089" w:val="left" w:leader="none"/>
          <w:tab w:pos="6619" w:val="left" w:leader="none"/>
          <w:tab w:pos="8651" w:val="left" w:leader="none"/>
        </w:tabs>
        <w:spacing w:line="225" w:lineRule="auto" w:before="6" w:after="0"/>
        <w:ind w:left="113" w:right="129" w:firstLine="204"/>
        <w:jc w:val="left"/>
        <w:rPr>
          <w:sz w:val="24"/>
        </w:rPr>
      </w:pPr>
      <w:r>
        <w:rPr>
          <w:w w:val="125"/>
          <w:sz w:val="24"/>
        </w:rPr>
        <w:t>az</w:t>
        <w:tab/>
        <w:t>érintett</w:t>
        <w:tab/>
        <w:t>vezető</w:t>
        <w:tab/>
        <w:t>állású</w:t>
        <w:tab/>
        <w:t>személyek</w:t>
        <w:tab/>
        <w:t>és</w:t>
        <w:tab/>
        <w:t>munkavállalók</w:t>
        <w:tab/>
      </w:r>
      <w:r>
        <w:rPr>
          <w:spacing w:val="-1"/>
          <w:w w:val="125"/>
          <w:sz w:val="24"/>
        </w:rPr>
        <w:t>számára, </w:t>
      </w:r>
      <w:r>
        <w:rPr>
          <w:w w:val="125"/>
          <w:sz w:val="24"/>
        </w:rPr>
        <w:t>beosztására vonatkozó adatokat,</w:t>
      </w:r>
      <w:r>
        <w:rPr>
          <w:spacing w:val="4"/>
          <w:w w:val="125"/>
          <w:sz w:val="24"/>
        </w:rPr>
        <w:t> </w:t>
      </w:r>
      <w:r>
        <w:rPr>
          <w:w w:val="125"/>
          <w:sz w:val="24"/>
        </w:rPr>
        <w:t>valamint</w:t>
      </w:r>
    </w:p>
    <w:p>
      <w:pPr>
        <w:pStyle w:val="ListParagraph"/>
        <w:numPr>
          <w:ilvl w:val="0"/>
          <w:numId w:val="282"/>
        </w:numPr>
        <w:tabs>
          <w:tab w:pos="918" w:val="left" w:leader="none"/>
          <w:tab w:pos="919" w:val="left" w:leader="none"/>
          <w:tab w:pos="1414" w:val="left" w:leader="none"/>
          <w:tab w:pos="3149" w:val="left" w:leader="none"/>
          <w:tab w:pos="4171" w:val="left" w:leader="none"/>
          <w:tab w:pos="6505" w:val="left" w:leader="none"/>
          <w:tab w:pos="8515" w:val="left" w:leader="none"/>
        </w:tabs>
        <w:spacing w:line="225" w:lineRule="auto" w:before="1" w:after="0"/>
        <w:ind w:left="113" w:right="129" w:firstLine="204"/>
        <w:jc w:val="left"/>
        <w:rPr>
          <w:sz w:val="24"/>
        </w:rPr>
      </w:pPr>
      <w:r>
        <w:rPr>
          <w:w w:val="130"/>
          <w:sz w:val="24"/>
        </w:rPr>
        <w:t>a</w:t>
        <w:tab/>
        <w:t>hitelintézet</w:t>
        <w:tab/>
        <w:t>stabil</w:t>
        <w:tab/>
        <w:t>tőkehelyzetének</w:t>
        <w:tab/>
        <w:t>fenntartására</w:t>
        <w:tab/>
      </w:r>
      <w:r>
        <w:rPr>
          <w:spacing w:val="-3"/>
          <w:w w:val="125"/>
          <w:sz w:val="24"/>
        </w:rPr>
        <w:t>vonatkozó </w:t>
      </w:r>
      <w:r>
        <w:rPr>
          <w:w w:val="130"/>
          <w:sz w:val="24"/>
        </w:rPr>
        <w:t>követelményre gyakorolt</w:t>
      </w:r>
      <w:r>
        <w:rPr>
          <w:spacing w:val="-8"/>
          <w:w w:val="130"/>
          <w:sz w:val="24"/>
        </w:rPr>
        <w:t> </w:t>
      </w:r>
      <w:r>
        <w:rPr>
          <w:w w:val="130"/>
          <w:sz w:val="24"/>
        </w:rPr>
        <w:t>hatást.</w:t>
      </w:r>
    </w:p>
    <w:p>
      <w:pPr>
        <w:pStyle w:val="ListParagraph"/>
        <w:numPr>
          <w:ilvl w:val="0"/>
          <w:numId w:val="280"/>
        </w:numPr>
        <w:tabs>
          <w:tab w:pos="738" w:val="left" w:leader="none"/>
        </w:tabs>
        <w:spacing w:line="225" w:lineRule="auto" w:before="1" w:after="0"/>
        <w:ind w:left="113" w:right="129" w:firstLine="204"/>
        <w:jc w:val="both"/>
        <w:rPr>
          <w:sz w:val="24"/>
        </w:rPr>
      </w:pPr>
      <w:r>
        <w:rPr>
          <w:w w:val="125"/>
          <w:sz w:val="24"/>
        </w:rPr>
        <w:t>A (3) bekezdés </w:t>
      </w:r>
      <w:r>
        <w:rPr>
          <w:i/>
          <w:w w:val="125"/>
          <w:sz w:val="24"/>
        </w:rPr>
        <w:t>c) </w:t>
      </w:r>
      <w:r>
        <w:rPr>
          <w:w w:val="125"/>
          <w:sz w:val="24"/>
        </w:rPr>
        <w:t>pontjában meghatározott személy sem közvetlenül, sem közvetve nem gyakorolhatja tulajdonosi vagy tagi szavazati jogait a (2) bekezdés </w:t>
      </w:r>
      <w:r>
        <w:rPr>
          <w:i/>
          <w:w w:val="125"/>
          <w:sz w:val="24"/>
        </w:rPr>
        <w:t>c) </w:t>
      </w:r>
      <w:r>
        <w:rPr>
          <w:w w:val="125"/>
          <w:sz w:val="24"/>
        </w:rPr>
        <w:t>pontja szerinti határozat</w:t>
      </w:r>
      <w:r>
        <w:rPr>
          <w:spacing w:val="18"/>
          <w:w w:val="125"/>
          <w:sz w:val="24"/>
        </w:rPr>
        <w:t> </w:t>
      </w:r>
      <w:r>
        <w:rPr>
          <w:w w:val="125"/>
          <w:sz w:val="24"/>
        </w:rPr>
        <w:t>meghozatalakor.</w:t>
      </w:r>
    </w:p>
    <w:p>
      <w:pPr>
        <w:pStyle w:val="ListParagraph"/>
        <w:numPr>
          <w:ilvl w:val="0"/>
          <w:numId w:val="280"/>
        </w:numPr>
        <w:tabs>
          <w:tab w:pos="832" w:val="left" w:leader="none"/>
        </w:tabs>
        <w:spacing w:line="225" w:lineRule="auto" w:before="2" w:after="0"/>
        <w:ind w:left="113" w:right="122" w:firstLine="204"/>
        <w:jc w:val="both"/>
        <w:rPr>
          <w:sz w:val="24"/>
        </w:rPr>
      </w:pPr>
      <w:r>
        <w:rPr>
          <w:w w:val="125"/>
          <w:sz w:val="24"/>
        </w:rPr>
        <w:t>A hitelintézet igazolja a Felügyelet felé, hogy a javasolt magasabb alapjavadalmazás-teljesítményjavadalmazás arány nem ütközik a hitelintézet e törvényben, továbbá a prudens működésre vonatkozó jogszabályokban, és az 575/2013/EU rendeletben meghatározott</w:t>
      </w:r>
      <w:r>
        <w:rPr>
          <w:spacing w:val="8"/>
          <w:w w:val="125"/>
          <w:sz w:val="24"/>
        </w:rPr>
        <w:t> </w:t>
      </w:r>
      <w:r>
        <w:rPr>
          <w:w w:val="125"/>
          <w:sz w:val="24"/>
        </w:rPr>
        <w:t>követelményekkel.</w:t>
      </w:r>
    </w:p>
    <w:p>
      <w:pPr>
        <w:pStyle w:val="ListParagraph"/>
        <w:numPr>
          <w:ilvl w:val="0"/>
          <w:numId w:val="280"/>
        </w:numPr>
        <w:tabs>
          <w:tab w:pos="659" w:val="left" w:leader="none"/>
          <w:tab w:pos="1110" w:val="left" w:leader="none"/>
          <w:tab w:pos="1622" w:val="left" w:leader="none"/>
          <w:tab w:pos="3349" w:val="left" w:leader="none"/>
          <w:tab w:pos="3950" w:val="left" w:leader="none"/>
          <w:tab w:pos="4628" w:val="left" w:leader="none"/>
          <w:tab w:pos="5231" w:val="left" w:leader="none"/>
          <w:tab w:pos="5910" w:val="left" w:leader="none"/>
          <w:tab w:pos="7376" w:val="left" w:leader="none"/>
          <w:tab w:pos="9610" w:val="left" w:leader="none"/>
        </w:tabs>
        <w:spacing w:line="250" w:lineRule="exact" w:before="0" w:after="0"/>
        <w:ind w:left="658" w:right="0" w:hanging="341"/>
        <w:jc w:val="left"/>
        <w:rPr>
          <w:sz w:val="24"/>
        </w:rPr>
      </w:pPr>
      <w:r>
        <w:rPr>
          <w:i/>
          <w:w w:val="125"/>
          <w:position w:val="3"/>
          <w:sz w:val="18"/>
        </w:rPr>
        <w:t>1</w:t>
        <w:tab/>
      </w:r>
      <w:r>
        <w:rPr>
          <w:w w:val="125"/>
          <w:sz w:val="24"/>
        </w:rPr>
        <w:t>A</w:t>
        <w:tab/>
        <w:t>hitelintézet</w:t>
        <w:tab/>
        <w:t>az</w:t>
        <w:tab/>
        <w:t>(1)</w:t>
        <w:tab/>
        <w:t>és</w:t>
        <w:tab/>
        <w:t>(2)</w:t>
        <w:tab/>
        <w:t>bekezdés</w:t>
        <w:tab/>
        <w:t>alkalmazásakor</w:t>
        <w:tab/>
        <w:t>a</w:t>
      </w:r>
    </w:p>
    <w:p>
      <w:pPr>
        <w:pStyle w:val="BodyText"/>
        <w:spacing w:line="225" w:lineRule="auto" w:before="12"/>
        <w:ind w:right="129" w:firstLine="0"/>
        <w:jc w:val="both"/>
      </w:pPr>
      <w:r>
        <w:rPr>
          <w:w w:val="125"/>
        </w:rPr>
        <w:t>teljesítmény-javadalmazás legfeljebb 25 százalékáig diszkontált értéken veszi figyelembe a (11) bekezdésben meghatározott instrumentumokban nyújtott, legalább öt éves halasztási időszakkal juttatott teljesítményjavadalmazási eszközöket.</w:t>
      </w:r>
    </w:p>
    <w:p>
      <w:pPr>
        <w:pStyle w:val="ListParagraph"/>
        <w:numPr>
          <w:ilvl w:val="0"/>
          <w:numId w:val="280"/>
        </w:numPr>
        <w:tabs>
          <w:tab w:pos="771" w:val="left" w:leader="none"/>
        </w:tabs>
        <w:spacing w:line="225" w:lineRule="auto" w:before="2" w:after="0"/>
        <w:ind w:left="113" w:right="125" w:firstLine="204"/>
        <w:jc w:val="both"/>
        <w:rPr>
          <w:sz w:val="24"/>
        </w:rPr>
      </w:pPr>
      <w:r>
        <w:rPr>
          <w:w w:val="125"/>
          <w:sz w:val="24"/>
        </w:rPr>
        <w:t>Az (1) és a (2) bekezdésben rögzített korlátozásokat figyelembe véve az alapjavadalmazás és a teljesítményjavadalmazás  aránya  kiegyensúlyozott. Ezen belül az alapjavadalmazás olyan mértékű, hogy rugalmas javadalmazási politika érvényesüljön, és lehetőség legyen arra, hogy adott esetben a teljes javadalmazás kizárólag alapjavadalmazásból</w:t>
      </w:r>
      <w:r>
        <w:rPr>
          <w:spacing w:val="4"/>
          <w:w w:val="125"/>
          <w:sz w:val="24"/>
        </w:rPr>
        <w:t> </w:t>
      </w:r>
      <w:r>
        <w:rPr>
          <w:w w:val="125"/>
          <w:sz w:val="24"/>
        </w:rPr>
        <w:t>álljon.</w:t>
      </w:r>
    </w:p>
    <w:p>
      <w:pPr>
        <w:pStyle w:val="ListParagraph"/>
        <w:numPr>
          <w:ilvl w:val="0"/>
          <w:numId w:val="280"/>
        </w:numPr>
        <w:tabs>
          <w:tab w:pos="825" w:val="left" w:leader="none"/>
        </w:tabs>
        <w:spacing w:line="225" w:lineRule="auto" w:before="3" w:after="0"/>
        <w:ind w:left="113" w:right="124" w:firstLine="204"/>
        <w:jc w:val="both"/>
        <w:rPr>
          <w:sz w:val="24"/>
        </w:rPr>
      </w:pPr>
      <w:r>
        <w:rPr>
          <w:w w:val="125"/>
          <w:sz w:val="24"/>
        </w:rPr>
        <w:t>Teljesítményjavadalmazásnál egyszerre kell értékelni a vezető állású személy vagy a munkavállaló - pénzügyi és nem pénzügyi kritériumokon alapuló -, az érintett szervezeti egység és a hitelintézet eredményét. A teljesítményértékelés alapja a hitelintézet hosszú távú teljesítménye, ezért az értékelés többéves időtávra terjed ki, és  a  teljesítményjavadalmazás kifizetésére kötelezettséget vállalni csak kivételesen, új munkavállaló felvételekor egy évre lehet. A hitelintézet a teljesítményjavadalmazásként szétosztható összeg meghatározásánál figyelembe veszi az üzleti ciklusokat, a jelenlegi és jövőbeni kockázatokat, a tőke költségét és a szükséges</w:t>
      </w:r>
      <w:r>
        <w:rPr>
          <w:spacing w:val="68"/>
          <w:w w:val="125"/>
          <w:sz w:val="24"/>
        </w:rPr>
        <w:t> </w:t>
      </w:r>
      <w:r>
        <w:rPr>
          <w:w w:val="125"/>
          <w:sz w:val="24"/>
        </w:rPr>
        <w:t>likviditást.</w:t>
      </w:r>
    </w:p>
    <w:p>
      <w:pPr>
        <w:pStyle w:val="ListParagraph"/>
        <w:numPr>
          <w:ilvl w:val="0"/>
          <w:numId w:val="280"/>
        </w:numPr>
        <w:tabs>
          <w:tab w:pos="850" w:val="left" w:leader="none"/>
        </w:tabs>
        <w:spacing w:line="225" w:lineRule="auto" w:before="5" w:after="0"/>
        <w:ind w:left="113" w:right="141" w:firstLine="204"/>
        <w:jc w:val="both"/>
        <w:rPr>
          <w:sz w:val="24"/>
        </w:rPr>
      </w:pPr>
      <w:r>
        <w:rPr>
          <w:w w:val="125"/>
          <w:sz w:val="24"/>
        </w:rPr>
        <w:t>A teljesítményjavadalmazásra kötelezettség nem vállalható, és nem képezheti részét a jövőbeli javadalmazási</w:t>
      </w:r>
      <w:r>
        <w:rPr>
          <w:spacing w:val="8"/>
          <w:w w:val="125"/>
          <w:sz w:val="24"/>
        </w:rPr>
        <w:t> </w:t>
      </w:r>
      <w:r>
        <w:rPr>
          <w:w w:val="125"/>
          <w:sz w:val="24"/>
        </w:rPr>
        <w:t>terveknek.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13"/>
        </w:rPr>
      </w:pPr>
      <w:r>
        <w:rPr/>
        <w:pict>
          <v:line style="position:absolute;mso-position-horizontal-relative:page;mso-position-vertical-relative:paragraph;z-index:608;mso-wrap-distance-left:0;mso-wrap-distance-right:0" from="56.693001pt,9.700633pt" to="538.583001pt,9.70063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68. §. Hatályos: 2015. I.</w:t>
      </w:r>
      <w:r>
        <w:rPr>
          <w:i/>
          <w:spacing w:val="-14"/>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280"/>
        </w:numPr>
        <w:tabs>
          <w:tab w:pos="994" w:val="left" w:leader="none"/>
        </w:tabs>
        <w:spacing w:line="225" w:lineRule="auto" w:before="173" w:after="0"/>
        <w:ind w:left="113" w:right="126" w:firstLine="204"/>
        <w:jc w:val="both"/>
        <w:rPr>
          <w:sz w:val="24"/>
        </w:rPr>
      </w:pPr>
      <w:r>
        <w:rPr>
          <w:w w:val="125"/>
          <w:sz w:val="24"/>
        </w:rPr>
        <w:t>Teljesítményjavadalmazás csak akkor fizethető, és a vezető állású személy vagy a munkavállaló csak akkor jogosult a  teljesítményjavadalmazásra,</w:t>
      </w:r>
      <w:r>
        <w:rPr>
          <w:spacing w:val="17"/>
          <w:w w:val="125"/>
          <w:sz w:val="24"/>
        </w:rPr>
        <w:t> </w:t>
      </w:r>
      <w:r>
        <w:rPr>
          <w:w w:val="125"/>
          <w:sz w:val="24"/>
        </w:rPr>
        <w:t>ha</w:t>
      </w:r>
    </w:p>
    <w:p>
      <w:pPr>
        <w:pStyle w:val="ListParagraph"/>
        <w:numPr>
          <w:ilvl w:val="0"/>
          <w:numId w:val="283"/>
        </w:numPr>
        <w:tabs>
          <w:tab w:pos="631" w:val="left" w:leader="none"/>
        </w:tabs>
        <w:spacing w:line="256" w:lineRule="exact" w:before="0" w:after="0"/>
        <w:ind w:left="630" w:right="0" w:hanging="313"/>
        <w:jc w:val="left"/>
        <w:rPr>
          <w:sz w:val="24"/>
        </w:rPr>
      </w:pPr>
      <w:r>
        <w:rPr>
          <w:w w:val="130"/>
          <w:sz w:val="24"/>
        </w:rPr>
        <w:t>a hitelintézet pénzügyi helyzete fenntartható,</w:t>
      </w:r>
      <w:r>
        <w:rPr>
          <w:spacing w:val="-20"/>
          <w:w w:val="130"/>
          <w:sz w:val="24"/>
        </w:rPr>
        <w:t> </w:t>
      </w:r>
      <w:r>
        <w:rPr>
          <w:w w:val="130"/>
          <w:sz w:val="24"/>
        </w:rPr>
        <w:t>és</w:t>
      </w:r>
    </w:p>
    <w:p>
      <w:pPr>
        <w:pStyle w:val="ListParagraph"/>
        <w:numPr>
          <w:ilvl w:val="0"/>
          <w:numId w:val="283"/>
        </w:numPr>
        <w:tabs>
          <w:tab w:pos="697" w:val="left" w:leader="none"/>
        </w:tabs>
        <w:spacing w:line="225" w:lineRule="auto" w:before="5" w:after="0"/>
        <w:ind w:left="113" w:right="128" w:firstLine="204"/>
        <w:jc w:val="both"/>
        <w:rPr>
          <w:sz w:val="24"/>
        </w:rPr>
      </w:pPr>
      <w:r>
        <w:rPr>
          <w:w w:val="130"/>
          <w:sz w:val="24"/>
        </w:rPr>
        <w:t>a hitelintézet, az érintett szervezeti egység és a vezető állású személy vagy munkavállaló teljesítménye azt indokolttá</w:t>
      </w:r>
      <w:r>
        <w:rPr>
          <w:spacing w:val="-39"/>
          <w:w w:val="130"/>
          <w:sz w:val="24"/>
        </w:rPr>
        <w:t> </w:t>
      </w:r>
      <w:r>
        <w:rPr>
          <w:w w:val="130"/>
          <w:sz w:val="24"/>
        </w:rPr>
        <w:t>teszi.</w:t>
      </w:r>
    </w:p>
    <w:p>
      <w:pPr>
        <w:pStyle w:val="ListParagraph"/>
        <w:numPr>
          <w:ilvl w:val="0"/>
          <w:numId w:val="280"/>
        </w:numPr>
        <w:tabs>
          <w:tab w:pos="887" w:val="left" w:leader="none"/>
        </w:tabs>
        <w:spacing w:line="256" w:lineRule="exact" w:before="0" w:after="0"/>
        <w:ind w:left="886" w:right="0" w:hanging="569"/>
        <w:jc w:val="left"/>
        <w:rPr>
          <w:sz w:val="24"/>
        </w:rPr>
      </w:pPr>
      <w:r>
        <w:rPr>
          <w:w w:val="125"/>
          <w:sz w:val="24"/>
        </w:rPr>
        <w:t>A teljesítményjavadalmazás legalább 50 százaléka a következőkből</w:t>
      </w:r>
      <w:r>
        <w:rPr>
          <w:spacing w:val="-13"/>
          <w:w w:val="125"/>
          <w:sz w:val="24"/>
        </w:rPr>
        <w:t> </w:t>
      </w:r>
      <w:r>
        <w:rPr>
          <w:w w:val="125"/>
          <w:sz w:val="24"/>
        </w:rPr>
        <w:t>áll:</w:t>
      </w:r>
    </w:p>
    <w:p>
      <w:pPr>
        <w:pStyle w:val="ListParagraph"/>
        <w:numPr>
          <w:ilvl w:val="0"/>
          <w:numId w:val="284"/>
        </w:numPr>
        <w:tabs>
          <w:tab w:pos="696" w:val="left" w:leader="none"/>
        </w:tabs>
        <w:spacing w:line="225" w:lineRule="auto" w:before="6" w:after="0"/>
        <w:ind w:left="113" w:right="124" w:firstLine="204"/>
        <w:jc w:val="both"/>
        <w:rPr>
          <w:sz w:val="24"/>
        </w:rPr>
      </w:pPr>
      <w:r>
        <w:rPr>
          <w:w w:val="125"/>
          <w:sz w:val="24"/>
        </w:rPr>
        <w:t>az érintett hitelintézet részvényeiből vagy tulajdoni részesedéseiből az érintett hitelintézet jogi formájától függően és abból eredő sajátosságainak figyelembevételével, illetve a szabályozott piacra be nem vezetett hitelintézet esetében részvényhez kötött eszközökből vagy azokkal egyenértékű nem készpénz alapú eszközökből, és</w:t>
      </w:r>
    </w:p>
    <w:p>
      <w:pPr>
        <w:pStyle w:val="ListParagraph"/>
        <w:numPr>
          <w:ilvl w:val="0"/>
          <w:numId w:val="284"/>
        </w:numPr>
        <w:tabs>
          <w:tab w:pos="659" w:val="left" w:leader="none"/>
        </w:tabs>
        <w:spacing w:line="225" w:lineRule="auto" w:before="2" w:after="0"/>
        <w:ind w:left="113" w:right="134" w:firstLine="204"/>
        <w:jc w:val="both"/>
        <w:rPr>
          <w:sz w:val="24"/>
        </w:rPr>
      </w:pPr>
      <w:r>
        <w:rPr>
          <w:w w:val="125"/>
          <w:sz w:val="24"/>
        </w:rPr>
        <w:t>olyan teljesítményjavadalmazás céljára felhasználható kiegészítő alapvető tőkéből, járulékos tőkéből vagy egyéb instrumentumokból,</w:t>
      </w:r>
      <w:r>
        <w:rPr>
          <w:spacing w:val="2"/>
          <w:w w:val="125"/>
          <w:sz w:val="24"/>
        </w:rPr>
        <w:t> </w:t>
      </w:r>
      <w:r>
        <w:rPr>
          <w:w w:val="125"/>
          <w:sz w:val="24"/>
        </w:rPr>
        <w:t>amelyek</w:t>
      </w:r>
    </w:p>
    <w:p>
      <w:pPr>
        <w:pStyle w:val="BodyText"/>
        <w:spacing w:line="256" w:lineRule="exact"/>
        <w:ind w:left="317" w:firstLine="0"/>
      </w:pPr>
      <w:r>
        <w:rPr>
          <w:i/>
          <w:w w:val="130"/>
        </w:rPr>
        <w:t>ba) </w:t>
      </w:r>
      <w:r>
        <w:rPr>
          <w:w w:val="130"/>
        </w:rPr>
        <w:t>elsődleges alapvető tőkeelemmé konvertálhatóak át,</w:t>
      </w:r>
      <w:r>
        <w:rPr>
          <w:spacing w:val="-55"/>
          <w:w w:val="130"/>
        </w:rPr>
        <w:t> </w:t>
      </w:r>
      <w:r>
        <w:rPr>
          <w:w w:val="130"/>
        </w:rPr>
        <w:t>vagy</w:t>
      </w:r>
    </w:p>
    <w:p>
      <w:pPr>
        <w:pStyle w:val="BodyText"/>
        <w:spacing w:line="260" w:lineRule="exact"/>
        <w:ind w:left="317" w:firstLine="0"/>
      </w:pPr>
      <w:r>
        <w:rPr>
          <w:i/>
          <w:w w:val="130"/>
        </w:rPr>
        <w:t>bb) </w:t>
      </w:r>
      <w:r>
        <w:rPr>
          <w:w w:val="130"/>
        </w:rPr>
        <w:t>leírhatóak az említett tőkeelemekből, és</w:t>
      </w:r>
    </w:p>
    <w:p>
      <w:pPr>
        <w:pStyle w:val="BodyText"/>
        <w:spacing w:line="225" w:lineRule="auto" w:before="6"/>
        <w:ind w:firstLine="0"/>
      </w:pPr>
      <w:r>
        <w:rPr>
          <w:w w:val="130"/>
        </w:rPr>
        <w:t>amelyek folyamatosan tükrözik a hitelintézet kitettségeinek minőségét azzal, hogy ezekre az eszközökre a visszatartási politika megfelelően vonatkozik.</w:t>
      </w:r>
    </w:p>
    <w:p>
      <w:pPr>
        <w:pStyle w:val="ListParagraph"/>
        <w:numPr>
          <w:ilvl w:val="0"/>
          <w:numId w:val="280"/>
        </w:numPr>
        <w:tabs>
          <w:tab w:pos="1083" w:val="left" w:leader="none"/>
        </w:tabs>
        <w:spacing w:line="225" w:lineRule="auto" w:before="1" w:after="0"/>
        <w:ind w:left="113" w:right="130" w:firstLine="204"/>
        <w:jc w:val="both"/>
        <w:rPr>
          <w:sz w:val="24"/>
        </w:rPr>
      </w:pPr>
      <w:r>
        <w:rPr>
          <w:w w:val="125"/>
          <w:sz w:val="24"/>
        </w:rPr>
        <w:t>A teljesítményjavadalmazás legalább 40 százalékát - a belső szabályzatban meghatározott küszöbértéknél magasabb összegű teljesítményjavadalmazás esetén legalább hatvan százalékát - halasztva, az üzleti tevékenység természetétől, kockázataitól és az adott vezető állású személy, munkavállaló tevékenységeitől függően három évnél rövidebb időtartamú munkaviszony esetén a munkaviszony megszűnésekor, egyébként három-ötéves időszak alatt kell kifizetni.</w:t>
      </w:r>
    </w:p>
    <w:p>
      <w:pPr>
        <w:pStyle w:val="ListParagraph"/>
        <w:numPr>
          <w:ilvl w:val="0"/>
          <w:numId w:val="280"/>
        </w:numPr>
        <w:tabs>
          <w:tab w:pos="896" w:val="left" w:leader="none"/>
        </w:tabs>
        <w:spacing w:line="225" w:lineRule="auto" w:before="4" w:after="0"/>
        <w:ind w:left="113" w:right="128" w:firstLine="204"/>
        <w:jc w:val="both"/>
        <w:rPr>
          <w:sz w:val="24"/>
        </w:rPr>
      </w:pPr>
      <w:r>
        <w:rPr>
          <w:w w:val="125"/>
          <w:sz w:val="24"/>
        </w:rPr>
        <w:t>A teljesítményjavadalmazás 100 százalékára csökkentési lehetőség vagy visszakövetelési szabályok alkalmazandóak. A hitelintézet a belső szabályzatában konkrét kritériumokat határoz meg a csökkentési vagy a visszakövetelési szabályok alkalmazására, amelyben tekintettel van arra, hogy  a vezető állású személy vagy a</w:t>
      </w:r>
      <w:r>
        <w:rPr>
          <w:spacing w:val="-1"/>
          <w:w w:val="125"/>
          <w:sz w:val="24"/>
        </w:rPr>
        <w:t> </w:t>
      </w:r>
      <w:r>
        <w:rPr>
          <w:w w:val="125"/>
          <w:sz w:val="24"/>
        </w:rPr>
        <w:t>munkavállaló</w:t>
      </w:r>
    </w:p>
    <w:p>
      <w:pPr>
        <w:pStyle w:val="ListParagraph"/>
        <w:numPr>
          <w:ilvl w:val="0"/>
          <w:numId w:val="285"/>
        </w:numPr>
        <w:tabs>
          <w:tab w:pos="726" w:val="left" w:leader="none"/>
        </w:tabs>
        <w:spacing w:line="225" w:lineRule="auto" w:before="3" w:after="0"/>
        <w:ind w:left="113" w:right="124" w:firstLine="204"/>
        <w:jc w:val="both"/>
        <w:rPr>
          <w:sz w:val="24"/>
        </w:rPr>
      </w:pPr>
      <w:r>
        <w:rPr>
          <w:w w:val="125"/>
          <w:sz w:val="24"/>
        </w:rPr>
        <w:t>részese vagy felelőse volt-e olyan gyakorlatnak, amely a hitelintézet számára bekövetkezett jelentős veszteséget okozott,</w:t>
      </w:r>
      <w:r>
        <w:rPr>
          <w:spacing w:val="18"/>
          <w:w w:val="125"/>
          <w:sz w:val="24"/>
        </w:rPr>
        <w:t> </w:t>
      </w:r>
      <w:r>
        <w:rPr>
          <w:w w:val="125"/>
          <w:sz w:val="24"/>
        </w:rPr>
        <w:t>és</w:t>
      </w:r>
    </w:p>
    <w:p>
      <w:pPr>
        <w:pStyle w:val="ListParagraph"/>
        <w:numPr>
          <w:ilvl w:val="0"/>
          <w:numId w:val="285"/>
        </w:numPr>
        <w:tabs>
          <w:tab w:pos="653" w:val="left" w:leader="none"/>
        </w:tabs>
        <w:spacing w:line="256" w:lineRule="exact" w:before="0" w:after="0"/>
        <w:ind w:left="652" w:right="0" w:hanging="335"/>
        <w:jc w:val="left"/>
        <w:rPr>
          <w:sz w:val="24"/>
        </w:rPr>
      </w:pPr>
      <w:r>
        <w:rPr>
          <w:w w:val="130"/>
          <w:sz w:val="24"/>
        </w:rPr>
        <w:t>megfelel-e</w:t>
      </w:r>
      <w:r>
        <w:rPr>
          <w:spacing w:val="-33"/>
          <w:w w:val="130"/>
          <w:sz w:val="24"/>
        </w:rPr>
        <w:t> </w:t>
      </w:r>
      <w:r>
        <w:rPr>
          <w:w w:val="130"/>
          <w:sz w:val="24"/>
        </w:rPr>
        <w:t>az</w:t>
      </w:r>
      <w:r>
        <w:rPr>
          <w:spacing w:val="-25"/>
          <w:w w:val="130"/>
          <w:sz w:val="24"/>
        </w:rPr>
        <w:t> </w:t>
      </w:r>
      <w:r>
        <w:rPr>
          <w:w w:val="130"/>
          <w:sz w:val="24"/>
        </w:rPr>
        <w:t>alkalmasságra</w:t>
      </w:r>
      <w:r>
        <w:rPr>
          <w:spacing w:val="-24"/>
          <w:w w:val="130"/>
          <w:sz w:val="24"/>
        </w:rPr>
        <w:t> </w:t>
      </w:r>
      <w:r>
        <w:rPr>
          <w:w w:val="130"/>
          <w:sz w:val="24"/>
        </w:rPr>
        <w:t>és</w:t>
      </w:r>
      <w:r>
        <w:rPr>
          <w:spacing w:val="-25"/>
          <w:w w:val="130"/>
          <w:sz w:val="24"/>
        </w:rPr>
        <w:t> </w:t>
      </w:r>
      <w:r>
        <w:rPr>
          <w:w w:val="130"/>
          <w:sz w:val="24"/>
        </w:rPr>
        <w:t>megfelelőségre</w:t>
      </w:r>
      <w:r>
        <w:rPr>
          <w:spacing w:val="-24"/>
          <w:w w:val="130"/>
          <w:sz w:val="24"/>
        </w:rPr>
        <w:t> </w:t>
      </w:r>
      <w:r>
        <w:rPr>
          <w:w w:val="130"/>
          <w:sz w:val="24"/>
        </w:rPr>
        <w:t>vonatkozó</w:t>
      </w:r>
      <w:r>
        <w:rPr>
          <w:spacing w:val="-18"/>
          <w:w w:val="130"/>
          <w:sz w:val="24"/>
        </w:rPr>
        <w:t> </w:t>
      </w:r>
      <w:r>
        <w:rPr>
          <w:w w:val="130"/>
          <w:sz w:val="24"/>
        </w:rPr>
        <w:t>elvárásoknak.</w:t>
      </w:r>
    </w:p>
    <w:p>
      <w:pPr>
        <w:pStyle w:val="ListParagraph"/>
        <w:numPr>
          <w:ilvl w:val="0"/>
          <w:numId w:val="280"/>
        </w:numPr>
        <w:tabs>
          <w:tab w:pos="1047" w:val="left" w:leader="none"/>
        </w:tabs>
        <w:spacing w:line="225" w:lineRule="auto" w:before="6" w:after="0"/>
        <w:ind w:left="113" w:right="126" w:firstLine="204"/>
        <w:jc w:val="both"/>
        <w:rPr>
          <w:sz w:val="24"/>
        </w:rPr>
      </w:pPr>
      <w:r>
        <w:rPr>
          <w:w w:val="130"/>
          <w:sz w:val="24"/>
        </w:rPr>
        <w:t>Ha a hitelintézet pénzügyi teljesítménye a belső szabályzatban</w:t>
      </w:r>
      <w:r>
        <w:rPr>
          <w:spacing w:val="78"/>
          <w:w w:val="130"/>
          <w:sz w:val="24"/>
        </w:rPr>
        <w:t> </w:t>
      </w:r>
      <w:r>
        <w:rPr>
          <w:w w:val="130"/>
          <w:sz w:val="24"/>
        </w:rPr>
        <w:t>meghatározottak szerinti mértékben azért romlik, mert az adott vezető állású személy, munkavállaló túlzott kockázatot vállalt, a vezető állású személy, munkavállaló</w:t>
      </w:r>
      <w:r>
        <w:rPr>
          <w:spacing w:val="-21"/>
          <w:w w:val="130"/>
          <w:sz w:val="24"/>
        </w:rPr>
        <w:t> </w:t>
      </w:r>
      <w:r>
        <w:rPr>
          <w:w w:val="130"/>
          <w:sz w:val="24"/>
        </w:rPr>
        <w:t>kifizetendő</w:t>
      </w:r>
      <w:r>
        <w:rPr>
          <w:spacing w:val="-20"/>
          <w:w w:val="130"/>
          <w:sz w:val="24"/>
        </w:rPr>
        <w:t> </w:t>
      </w:r>
      <w:r>
        <w:rPr>
          <w:w w:val="130"/>
          <w:sz w:val="24"/>
        </w:rPr>
        <w:t>teljesítményjavadalmazását</w:t>
      </w:r>
      <w:r>
        <w:rPr>
          <w:spacing w:val="-21"/>
          <w:w w:val="130"/>
          <w:sz w:val="24"/>
        </w:rPr>
        <w:t> </w:t>
      </w:r>
      <w:r>
        <w:rPr>
          <w:w w:val="130"/>
          <w:sz w:val="24"/>
        </w:rPr>
        <w:t>csökkenteni</w:t>
      </w:r>
      <w:r>
        <w:rPr>
          <w:spacing w:val="-19"/>
          <w:w w:val="130"/>
          <w:sz w:val="24"/>
        </w:rPr>
        <w:t> </w:t>
      </w:r>
      <w:r>
        <w:rPr>
          <w:w w:val="130"/>
          <w:sz w:val="24"/>
        </w:rPr>
        <w:t>kell.</w:t>
      </w:r>
    </w:p>
    <w:p>
      <w:pPr>
        <w:pStyle w:val="ListParagraph"/>
        <w:numPr>
          <w:ilvl w:val="0"/>
          <w:numId w:val="280"/>
        </w:numPr>
        <w:tabs>
          <w:tab w:pos="917" w:val="left" w:leader="none"/>
        </w:tabs>
        <w:spacing w:line="225" w:lineRule="auto" w:before="2" w:after="0"/>
        <w:ind w:left="113" w:right="126" w:firstLine="204"/>
        <w:jc w:val="both"/>
        <w:rPr>
          <w:sz w:val="24"/>
        </w:rPr>
      </w:pPr>
      <w:r>
        <w:rPr>
          <w:w w:val="125"/>
          <w:sz w:val="24"/>
        </w:rPr>
        <w:t>A teljesítményjavadalmazás kifizetése nem eredményezheti azt, hogy a hitelintézet nem tudja a szükséges mértékben megerősíteni a tőkéjét, és kifizetéskor a hitelintézet nem alkalmazhat olyan módszereket, amelyek nem állnak összhangban a javadalmazási politika elveinek</w:t>
      </w:r>
      <w:r>
        <w:rPr>
          <w:spacing w:val="21"/>
          <w:w w:val="125"/>
          <w:sz w:val="24"/>
        </w:rPr>
        <w:t> </w:t>
      </w:r>
      <w:r>
        <w:rPr>
          <w:w w:val="125"/>
          <w:sz w:val="24"/>
        </w:rPr>
        <w:t>teljesülésével.</w:t>
      </w:r>
    </w:p>
    <w:p>
      <w:pPr>
        <w:pStyle w:val="ListParagraph"/>
        <w:numPr>
          <w:ilvl w:val="0"/>
          <w:numId w:val="280"/>
        </w:numPr>
        <w:tabs>
          <w:tab w:pos="1054" w:val="left" w:leader="none"/>
        </w:tabs>
        <w:spacing w:line="225" w:lineRule="auto" w:before="2" w:after="0"/>
        <w:ind w:left="113" w:right="134" w:firstLine="204"/>
        <w:jc w:val="both"/>
        <w:rPr>
          <w:sz w:val="24"/>
        </w:rPr>
      </w:pPr>
      <w:r>
        <w:rPr>
          <w:w w:val="125"/>
          <w:sz w:val="24"/>
        </w:rPr>
        <w:t>A teljesítményjavadalmazás kifizetése nem eredményezheti az e törvényben, továbbá a prudens működésre vonatkozó jogszabályokban, és az 575/2013/EU rendeletben meghatározott követelmények nem</w:t>
      </w:r>
      <w:r>
        <w:rPr>
          <w:spacing w:val="53"/>
          <w:w w:val="125"/>
          <w:sz w:val="24"/>
        </w:rPr>
        <w:t> </w:t>
      </w:r>
      <w:r>
        <w:rPr>
          <w:w w:val="125"/>
          <w:sz w:val="24"/>
        </w:rPr>
        <w:t>teljesítését.</w:t>
      </w:r>
    </w:p>
    <w:p>
      <w:pPr>
        <w:pStyle w:val="ListParagraph"/>
        <w:numPr>
          <w:ilvl w:val="1"/>
          <w:numId w:val="213"/>
        </w:numPr>
        <w:tabs>
          <w:tab w:pos="1024" w:val="left" w:leader="none"/>
        </w:tabs>
        <w:spacing w:line="225" w:lineRule="auto" w:before="1" w:after="0"/>
        <w:ind w:left="113" w:right="133" w:firstLine="204"/>
        <w:jc w:val="both"/>
        <w:rPr>
          <w:sz w:val="24"/>
        </w:rPr>
      </w:pPr>
      <w:r>
        <w:rPr>
          <w:rFonts w:ascii="Arial" w:hAnsi="Arial"/>
          <w:b/>
          <w:w w:val="125"/>
          <w:sz w:val="24"/>
        </w:rPr>
        <w:t>§ </w:t>
      </w:r>
      <w:r>
        <w:rPr>
          <w:w w:val="125"/>
          <w:sz w:val="24"/>
        </w:rPr>
        <w:t>(1) A munkaviszony megszűnéséhez kapcsolódó kifizetések az eltelt időszakban elért teljesítményt tükrözik, az el nem ért eredményhez kifizetés nem</w:t>
      </w:r>
      <w:r>
        <w:rPr>
          <w:spacing w:val="1"/>
          <w:w w:val="125"/>
          <w:sz w:val="24"/>
        </w:rPr>
        <w:t> </w:t>
      </w:r>
      <w:r>
        <w:rPr>
          <w:w w:val="125"/>
          <w:sz w:val="24"/>
        </w:rPr>
        <w:t>kapcsolódhat.</w:t>
      </w:r>
    </w:p>
    <w:p>
      <w:pPr>
        <w:pStyle w:val="ListParagraph"/>
        <w:numPr>
          <w:ilvl w:val="0"/>
          <w:numId w:val="286"/>
        </w:numPr>
        <w:tabs>
          <w:tab w:pos="790" w:val="left" w:leader="none"/>
        </w:tabs>
        <w:spacing w:line="225" w:lineRule="auto" w:before="2" w:after="0"/>
        <w:ind w:left="113" w:right="129" w:firstLine="204"/>
        <w:jc w:val="both"/>
        <w:rPr>
          <w:sz w:val="24"/>
        </w:rPr>
      </w:pPr>
      <w:r>
        <w:rPr>
          <w:w w:val="130"/>
          <w:sz w:val="24"/>
        </w:rPr>
        <w:t>Az előző munkaviszony alapján fennálló, szerződésből következő teljes javadalmazás átvállalásával vagy az előző teljes javadalmazásból következő kompenzáció révén adott újabb teljes javadalmazás összhangban áll a hitelintézet hosszú távú érdekeivel, ideértve a visszatartási, a halasztási, a teljesítmény- és a visszakövetelési megállapodásokat</w:t>
      </w:r>
      <w:r>
        <w:rPr>
          <w:spacing w:val="-41"/>
          <w:w w:val="130"/>
          <w:sz w:val="24"/>
        </w:rPr>
        <w:t> </w:t>
      </w:r>
      <w:r>
        <w:rPr>
          <w:w w:val="130"/>
          <w:sz w:val="24"/>
        </w:rPr>
        <w:t>is.</w:t>
      </w:r>
    </w:p>
    <w:p>
      <w:pPr>
        <w:spacing w:after="0" w:line="225" w:lineRule="auto"/>
        <w:jc w:val="both"/>
        <w:rPr>
          <w:sz w:val="24"/>
        </w:rPr>
        <w:sectPr>
          <w:pgSz w:w="11900" w:h="16820"/>
          <w:pgMar w:header="1104" w:footer="0" w:top="1840" w:bottom="280" w:left="1020" w:right="1000"/>
        </w:sectPr>
      </w:pPr>
    </w:p>
    <w:p>
      <w:pPr>
        <w:pStyle w:val="ListParagraph"/>
        <w:numPr>
          <w:ilvl w:val="0"/>
          <w:numId w:val="286"/>
        </w:numPr>
        <w:tabs>
          <w:tab w:pos="745" w:val="left" w:leader="none"/>
        </w:tabs>
        <w:spacing w:line="225" w:lineRule="auto" w:before="173" w:after="0"/>
        <w:ind w:left="113" w:right="120" w:firstLine="204"/>
        <w:jc w:val="both"/>
        <w:rPr>
          <w:sz w:val="24"/>
        </w:rPr>
      </w:pPr>
      <w:r>
        <w:rPr>
          <w:w w:val="125"/>
          <w:sz w:val="24"/>
        </w:rPr>
        <w:t>Ha a hitelintézet a nyugdíjpolitikára vonatkozó szabályzattal rendelkezik, az összhangban áll a hitelintézet üzleti stratégiájával,  célkitűzéseivel,  értékeivel és hosszú távú érdekeivel. Ha a nyugdíjpolitikára vonatkozó szabályzat alapján a vezető állású személy, munkavállaló részére teljesítményjavadalmazása részeként nem kötelező nyugdíjjuttatás jár, a hitelintézet a munkaviszony megszűnése után ötéves visszatartási időszak figyelembevételével fizetheti ki ezen juttatásokat a 118. § (11) bekezdésben meghatározott eszközök</w:t>
      </w:r>
      <w:r>
        <w:rPr>
          <w:spacing w:val="1"/>
          <w:w w:val="125"/>
          <w:sz w:val="24"/>
        </w:rPr>
        <w:t> </w:t>
      </w:r>
      <w:r>
        <w:rPr>
          <w:w w:val="125"/>
          <w:sz w:val="24"/>
        </w:rPr>
        <w:t>formájában.</w:t>
      </w:r>
    </w:p>
    <w:p>
      <w:pPr>
        <w:pStyle w:val="ListParagraph"/>
        <w:numPr>
          <w:ilvl w:val="1"/>
          <w:numId w:val="213"/>
        </w:numPr>
        <w:tabs>
          <w:tab w:pos="1092" w:val="left" w:leader="none"/>
        </w:tabs>
        <w:spacing w:line="225" w:lineRule="auto" w:before="3" w:after="0"/>
        <w:ind w:left="113" w:right="128" w:firstLine="204"/>
        <w:jc w:val="both"/>
        <w:rPr>
          <w:sz w:val="24"/>
        </w:rPr>
      </w:pPr>
      <w:r>
        <w:rPr>
          <w:rFonts w:ascii="Arial" w:hAnsi="Arial"/>
          <w:b/>
          <w:w w:val="125"/>
          <w:sz w:val="24"/>
        </w:rPr>
        <w:t>§ </w:t>
      </w:r>
      <w:r>
        <w:rPr>
          <w:w w:val="125"/>
          <w:sz w:val="24"/>
        </w:rPr>
        <w:t>(1) A hitelintézet ellenőrzési feladatokat végző munkavállalói - ideértve a belső kontroll feladatkört ellátó munkavállalókat is - javadalmazása független az általuk felügyelt szervezeti egységek teljesítményétől, az a feladatkörükhöz kapcsolódó célkitűzések elérésén</w:t>
      </w:r>
      <w:r>
        <w:rPr>
          <w:spacing w:val="8"/>
          <w:w w:val="125"/>
          <w:sz w:val="24"/>
        </w:rPr>
        <w:t> </w:t>
      </w:r>
      <w:r>
        <w:rPr>
          <w:w w:val="125"/>
          <w:sz w:val="24"/>
        </w:rPr>
        <w:t>alapul.</w:t>
      </w:r>
    </w:p>
    <w:p>
      <w:pPr>
        <w:pStyle w:val="ListParagraph"/>
        <w:numPr>
          <w:ilvl w:val="0"/>
          <w:numId w:val="287"/>
        </w:numPr>
        <w:tabs>
          <w:tab w:pos="855" w:val="left" w:leader="none"/>
        </w:tabs>
        <w:spacing w:line="225" w:lineRule="auto" w:before="3" w:after="0"/>
        <w:ind w:left="113" w:right="125" w:firstLine="204"/>
        <w:jc w:val="both"/>
        <w:rPr>
          <w:sz w:val="24"/>
        </w:rPr>
      </w:pPr>
      <w:r>
        <w:rPr>
          <w:w w:val="125"/>
          <w:sz w:val="24"/>
        </w:rPr>
        <w:t>Az ellenőrzési feladatokat és a kockázatkezelési feladatokat végző munkavállalóknak - ideértve a belső kontroll  feladatkört  ellátó munkavállalókat is - a javadalmazását - a (3) bekezdésben meghatározott kivétellel - a felügyelő bizottság</w:t>
      </w:r>
      <w:r>
        <w:rPr>
          <w:spacing w:val="-3"/>
          <w:w w:val="125"/>
          <w:sz w:val="24"/>
        </w:rPr>
        <w:t> </w:t>
      </w:r>
      <w:r>
        <w:rPr>
          <w:w w:val="125"/>
          <w:sz w:val="24"/>
        </w:rPr>
        <w:t>felügyeli.</w:t>
      </w:r>
    </w:p>
    <w:p>
      <w:pPr>
        <w:pStyle w:val="ListParagraph"/>
        <w:numPr>
          <w:ilvl w:val="0"/>
          <w:numId w:val="287"/>
        </w:numPr>
        <w:tabs>
          <w:tab w:pos="933" w:val="left" w:leader="none"/>
        </w:tabs>
        <w:spacing w:line="225" w:lineRule="auto" w:before="2" w:after="0"/>
        <w:ind w:left="113" w:right="122" w:firstLine="204"/>
        <w:jc w:val="both"/>
        <w:rPr>
          <w:sz w:val="24"/>
        </w:rPr>
      </w:pPr>
      <w:r>
        <w:rPr>
          <w:w w:val="125"/>
          <w:sz w:val="24"/>
        </w:rPr>
        <w:t>Ha a hitelintézet javadalmazási bizottságot állít fel, akkor a javadalmazási bizottság a felelős az érintett munkavállalók javadalmazásának felügyeletéért.</w:t>
      </w:r>
    </w:p>
    <w:p>
      <w:pPr>
        <w:pStyle w:val="ListParagraph"/>
        <w:numPr>
          <w:ilvl w:val="0"/>
          <w:numId w:val="287"/>
        </w:numPr>
        <w:tabs>
          <w:tab w:pos="775" w:val="left" w:leader="none"/>
        </w:tabs>
        <w:spacing w:line="225" w:lineRule="auto" w:before="2" w:after="0"/>
        <w:ind w:left="113" w:right="125" w:firstLine="204"/>
        <w:jc w:val="both"/>
        <w:rPr>
          <w:sz w:val="24"/>
        </w:rPr>
      </w:pPr>
      <w:r>
        <w:rPr>
          <w:w w:val="125"/>
          <w:sz w:val="24"/>
        </w:rPr>
        <w:t>A hitelintézet vezető állású személye, munkavállalója nem köthet olyan fedezeti ügyletet, amely a javadalmazására vonatkozó szerződésben foglalt kockázatvállalás hatásait</w:t>
      </w:r>
      <w:r>
        <w:rPr>
          <w:spacing w:val="1"/>
          <w:w w:val="125"/>
          <w:sz w:val="24"/>
        </w:rPr>
        <w:t> </w:t>
      </w:r>
      <w:r>
        <w:rPr>
          <w:w w:val="125"/>
          <w:sz w:val="24"/>
        </w:rPr>
        <w:t>kiküszöbölné.</w:t>
      </w:r>
    </w:p>
    <w:p>
      <w:pPr>
        <w:pStyle w:val="ListParagraph"/>
        <w:numPr>
          <w:ilvl w:val="1"/>
          <w:numId w:val="213"/>
        </w:numPr>
        <w:tabs>
          <w:tab w:pos="1107" w:val="left" w:leader="none"/>
        </w:tabs>
        <w:spacing w:line="225" w:lineRule="auto" w:before="0" w:after="0"/>
        <w:ind w:left="113" w:right="125" w:firstLine="204"/>
        <w:jc w:val="both"/>
        <w:rPr>
          <w:sz w:val="24"/>
        </w:rPr>
      </w:pPr>
      <w:r>
        <w:rPr>
          <w:rFonts w:ascii="Arial" w:hAnsi="Arial"/>
          <w:b/>
          <w:w w:val="125"/>
          <w:sz w:val="24"/>
        </w:rPr>
        <w:t>§ </w:t>
      </w:r>
      <w:r>
        <w:rPr>
          <w:w w:val="125"/>
          <w:sz w:val="24"/>
        </w:rPr>
        <w:t>(1) Az ezen alcímben foglalt rendelkezések alkalmazásában a központi szervhez tartósan kapcsolt hitelintézet a központi szervével egy hitelintézetnek</w:t>
      </w:r>
      <w:r>
        <w:rPr>
          <w:spacing w:val="1"/>
          <w:w w:val="125"/>
          <w:sz w:val="24"/>
        </w:rPr>
        <w:t> </w:t>
      </w:r>
      <w:r>
        <w:rPr>
          <w:w w:val="125"/>
          <w:sz w:val="24"/>
        </w:rPr>
        <w:t>tekintendő.</w:t>
      </w:r>
    </w:p>
    <w:p>
      <w:pPr>
        <w:pStyle w:val="BodyText"/>
        <w:spacing w:line="225" w:lineRule="auto" w:before="2"/>
        <w:ind w:right="122"/>
        <w:jc w:val="both"/>
      </w:pPr>
      <w:r>
        <w:rPr>
          <w:w w:val="125"/>
        </w:rPr>
        <w:t>(2) Másik EGT-államban székhellyel rendelkező hitelintézet magyarországi fióktelepe a hitelintézet székhelye szerinti állam javadalmazásra vonatkozó jogszabályban foglalt szabályokat alkalmazza.</w:t>
      </w:r>
    </w:p>
    <w:p>
      <w:pPr>
        <w:pStyle w:val="BodyText"/>
        <w:spacing w:before="228"/>
        <w:ind w:left="3285" w:firstLine="0"/>
      </w:pPr>
      <w:r>
        <w:rPr>
          <w:w w:val="125"/>
        </w:rPr>
        <w:t>56. Nyilvánosságra hozatal</w:t>
      </w:r>
    </w:p>
    <w:p>
      <w:pPr>
        <w:pStyle w:val="BodyText"/>
        <w:spacing w:before="8"/>
        <w:ind w:left="0" w:firstLine="0"/>
        <w:rPr>
          <w:sz w:val="10"/>
        </w:rPr>
      </w:pPr>
    </w:p>
    <w:p>
      <w:pPr>
        <w:pStyle w:val="ListParagraph"/>
        <w:numPr>
          <w:ilvl w:val="1"/>
          <w:numId w:val="213"/>
        </w:numPr>
        <w:tabs>
          <w:tab w:pos="1085" w:val="left" w:leader="none"/>
        </w:tabs>
        <w:spacing w:line="262" w:lineRule="exact" w:before="100" w:after="0"/>
        <w:ind w:left="1084" w:right="0" w:hanging="767"/>
        <w:jc w:val="left"/>
        <w:rPr>
          <w:sz w:val="24"/>
        </w:rPr>
      </w:pPr>
      <w:r>
        <w:rPr>
          <w:rFonts w:ascii="Arial" w:hAnsi="Arial"/>
          <w:b/>
          <w:w w:val="120"/>
          <w:sz w:val="24"/>
        </w:rPr>
        <w:t>§ </w:t>
      </w:r>
      <w:r>
        <w:rPr>
          <w:w w:val="120"/>
          <w:sz w:val="24"/>
        </w:rPr>
        <w:t>(1)</w:t>
      </w:r>
      <w:r>
        <w:rPr>
          <w:i/>
          <w:w w:val="120"/>
          <w:position w:val="3"/>
          <w:sz w:val="18"/>
        </w:rPr>
        <w:t>1 </w:t>
      </w:r>
      <w:r>
        <w:rPr>
          <w:w w:val="120"/>
          <w:sz w:val="24"/>
        </w:rPr>
        <w:t>A Felügyelet az 575/2013/EU rendelet Nyolcadik</w:t>
      </w:r>
      <w:r>
        <w:rPr>
          <w:spacing w:val="34"/>
          <w:w w:val="120"/>
          <w:sz w:val="24"/>
        </w:rPr>
        <w:t> </w:t>
      </w:r>
      <w:r>
        <w:rPr>
          <w:w w:val="120"/>
          <w:sz w:val="24"/>
        </w:rPr>
        <w:t>részében</w:t>
      </w:r>
    </w:p>
    <w:p>
      <w:pPr>
        <w:pStyle w:val="BodyText"/>
        <w:spacing w:line="225" w:lineRule="auto" w:before="12"/>
        <w:ind w:right="128" w:firstLine="0"/>
        <w:jc w:val="both"/>
      </w:pPr>
      <w:r>
        <w:rPr>
          <w:w w:val="125"/>
        </w:rPr>
        <w:t>meghatározott információk évesnél gyakoribb nyilvánosságra hozataláról is dönthet, ha a hitelintézet tevékenységi volumene, tevékenységi köre, más országban folytatott tevékenysége, különböző pénzügyi  szektorokban  folytatott tevékenysége, nemzetközi pénzügyi piacon való részvétele, illetve a klíring- és elszámolási rendszerekben való részvétele indokolja</w:t>
      </w:r>
      <w:r>
        <w:rPr>
          <w:spacing w:val="13"/>
          <w:w w:val="125"/>
        </w:rPr>
        <w:t> </w:t>
      </w:r>
      <w:r>
        <w:rPr>
          <w:w w:val="125"/>
        </w:rPr>
        <w:t>azt.</w:t>
      </w:r>
    </w:p>
    <w:p>
      <w:pPr>
        <w:pStyle w:val="ListParagraph"/>
        <w:numPr>
          <w:ilvl w:val="0"/>
          <w:numId w:val="288"/>
        </w:numPr>
        <w:tabs>
          <w:tab w:pos="659" w:val="left" w:leader="none"/>
        </w:tabs>
        <w:spacing w:line="252" w:lineRule="exact" w:before="0" w:after="0"/>
        <w:ind w:left="658" w:right="0" w:hanging="341"/>
        <w:jc w:val="left"/>
        <w:rPr>
          <w:sz w:val="24"/>
        </w:rPr>
      </w:pPr>
      <w:r>
        <w:rPr>
          <w:i/>
          <w:w w:val="125"/>
          <w:position w:val="3"/>
          <w:sz w:val="18"/>
        </w:rPr>
        <w:t>2 </w:t>
      </w:r>
      <w:r>
        <w:rPr>
          <w:w w:val="125"/>
          <w:sz w:val="24"/>
        </w:rPr>
        <w:t>A</w:t>
      </w:r>
      <w:r>
        <w:rPr>
          <w:spacing w:val="38"/>
          <w:w w:val="125"/>
          <w:sz w:val="24"/>
        </w:rPr>
        <w:t> </w:t>
      </w:r>
      <w:r>
        <w:rPr>
          <w:w w:val="125"/>
          <w:sz w:val="24"/>
        </w:rPr>
        <w:t>hitelintézeti</w:t>
      </w:r>
      <w:r>
        <w:rPr>
          <w:spacing w:val="50"/>
          <w:w w:val="125"/>
          <w:sz w:val="24"/>
        </w:rPr>
        <w:t> </w:t>
      </w:r>
      <w:r>
        <w:rPr>
          <w:w w:val="125"/>
          <w:sz w:val="24"/>
        </w:rPr>
        <w:t>anyavállalat</w:t>
      </w:r>
      <w:r>
        <w:rPr>
          <w:spacing w:val="27"/>
          <w:w w:val="125"/>
          <w:sz w:val="24"/>
        </w:rPr>
        <w:t> </w:t>
      </w:r>
      <w:r>
        <w:rPr>
          <w:w w:val="125"/>
          <w:sz w:val="24"/>
        </w:rPr>
        <w:t>és</w:t>
      </w:r>
      <w:r>
        <w:rPr>
          <w:spacing w:val="38"/>
          <w:w w:val="125"/>
          <w:sz w:val="24"/>
        </w:rPr>
        <w:t> </w:t>
      </w:r>
      <w:r>
        <w:rPr>
          <w:w w:val="125"/>
          <w:sz w:val="24"/>
        </w:rPr>
        <w:t>a</w:t>
      </w:r>
      <w:r>
        <w:rPr>
          <w:spacing w:val="38"/>
          <w:w w:val="125"/>
          <w:sz w:val="24"/>
        </w:rPr>
        <w:t> </w:t>
      </w:r>
      <w:r>
        <w:rPr>
          <w:w w:val="125"/>
          <w:sz w:val="24"/>
        </w:rPr>
        <w:t>pénzügyi</w:t>
      </w:r>
      <w:r>
        <w:rPr>
          <w:spacing w:val="38"/>
          <w:w w:val="125"/>
          <w:sz w:val="24"/>
        </w:rPr>
        <w:t> </w:t>
      </w:r>
      <w:r>
        <w:rPr>
          <w:w w:val="125"/>
          <w:sz w:val="24"/>
        </w:rPr>
        <w:t>holding</w:t>
      </w:r>
      <w:r>
        <w:rPr>
          <w:spacing w:val="38"/>
          <w:w w:val="125"/>
          <w:sz w:val="24"/>
        </w:rPr>
        <w:t> </w:t>
      </w:r>
      <w:r>
        <w:rPr>
          <w:w w:val="125"/>
          <w:sz w:val="24"/>
        </w:rPr>
        <w:t>társaság</w:t>
      </w:r>
      <w:r>
        <w:rPr>
          <w:spacing w:val="39"/>
          <w:w w:val="125"/>
          <w:sz w:val="24"/>
        </w:rPr>
        <w:t> </w:t>
      </w:r>
      <w:r>
        <w:rPr>
          <w:w w:val="125"/>
          <w:sz w:val="24"/>
        </w:rPr>
        <w:t>anyavállalat</w:t>
      </w:r>
    </w:p>
    <w:p>
      <w:pPr>
        <w:pStyle w:val="BodyText"/>
        <w:spacing w:line="225" w:lineRule="auto" w:before="12"/>
        <w:ind w:firstLine="0"/>
      </w:pPr>
      <w:r>
        <w:rPr>
          <w:w w:val="125"/>
        </w:rPr>
        <w:t>legalább évente nyilvánosságra hozza a jogi, vállalatirányítási és szervezeti struktúráját, valamint javadalmazási politikáját.</w:t>
      </w:r>
    </w:p>
    <w:p>
      <w:pPr>
        <w:pStyle w:val="ListParagraph"/>
        <w:numPr>
          <w:ilvl w:val="0"/>
          <w:numId w:val="288"/>
        </w:numPr>
        <w:tabs>
          <w:tab w:pos="820" w:val="left" w:leader="none"/>
        </w:tabs>
        <w:spacing w:line="225" w:lineRule="auto" w:before="1" w:after="0"/>
        <w:ind w:left="113" w:right="127" w:firstLine="204"/>
        <w:jc w:val="both"/>
        <w:rPr>
          <w:sz w:val="24"/>
        </w:rPr>
      </w:pPr>
      <w:r>
        <w:rPr>
          <w:w w:val="125"/>
          <w:sz w:val="24"/>
        </w:rPr>
        <w:t>A hitelintézet nyilvánosságra hozatali kötelezettségét honlapján vagy azon az internetes felületen teljesíti, amelyen az éves számviteli beszámolóját hozza</w:t>
      </w:r>
      <w:r>
        <w:rPr>
          <w:spacing w:val="1"/>
          <w:w w:val="125"/>
          <w:sz w:val="24"/>
        </w:rPr>
        <w:t> </w:t>
      </w:r>
      <w:r>
        <w:rPr>
          <w:w w:val="125"/>
          <w:sz w:val="24"/>
        </w:rPr>
        <w:t>nyilvánosságra.</w:t>
      </w:r>
    </w:p>
    <w:p>
      <w:pPr>
        <w:pStyle w:val="ListParagraph"/>
        <w:numPr>
          <w:ilvl w:val="0"/>
          <w:numId w:val="288"/>
        </w:numPr>
        <w:tabs>
          <w:tab w:pos="659" w:val="left" w:leader="none"/>
        </w:tabs>
        <w:spacing w:line="256" w:lineRule="exact" w:before="0" w:after="0"/>
        <w:ind w:left="658" w:right="0" w:hanging="341"/>
        <w:jc w:val="left"/>
        <w:rPr>
          <w:sz w:val="24"/>
        </w:rPr>
      </w:pPr>
      <w:r>
        <w:rPr>
          <w:i/>
          <w:w w:val="125"/>
          <w:position w:val="3"/>
          <w:sz w:val="18"/>
        </w:rPr>
        <w:t>3 </w:t>
      </w:r>
      <w:r>
        <w:rPr>
          <w:w w:val="125"/>
          <w:sz w:val="24"/>
        </w:rPr>
        <w:t>A pénzügyi intézmény a honlapján</w:t>
      </w:r>
      <w:r>
        <w:rPr>
          <w:spacing w:val="-39"/>
          <w:w w:val="125"/>
          <w:sz w:val="24"/>
        </w:rPr>
        <w:t> </w:t>
      </w:r>
      <w:r>
        <w:rPr>
          <w:w w:val="125"/>
          <w:sz w:val="24"/>
        </w:rPr>
        <w:t>közzéteszi</w:t>
      </w:r>
    </w:p>
    <w:p>
      <w:pPr>
        <w:pStyle w:val="ListParagraph"/>
        <w:numPr>
          <w:ilvl w:val="0"/>
          <w:numId w:val="289"/>
        </w:numPr>
        <w:tabs>
          <w:tab w:pos="719" w:val="left" w:leader="none"/>
        </w:tabs>
        <w:spacing w:line="225" w:lineRule="auto" w:before="5" w:after="0"/>
        <w:ind w:left="113" w:right="125" w:firstLine="204"/>
        <w:jc w:val="both"/>
        <w:rPr>
          <w:sz w:val="24"/>
        </w:rPr>
      </w:pPr>
      <w:r>
        <w:rPr>
          <w:w w:val="130"/>
          <w:sz w:val="24"/>
        </w:rPr>
        <w:t>a befolyásoló részesedéssel rendelkező tulajdonosai nevét (cégnevét), tulajdoni és szavazati hányadát, valamint a vele szoros kapcsolatban álló személyek körét, kivéve, ha a szoros kapcsolatot a magyar állam alapozza</w:t>
      </w:r>
      <w:r>
        <w:rPr>
          <w:spacing w:val="78"/>
          <w:w w:val="130"/>
          <w:sz w:val="24"/>
        </w:rPr>
        <w:t> </w:t>
      </w:r>
      <w:r>
        <w:rPr>
          <w:w w:val="130"/>
          <w:sz w:val="24"/>
        </w:rPr>
        <w:t>meg,</w:t>
      </w:r>
    </w:p>
    <w:p>
      <w:pPr>
        <w:pStyle w:val="BodyText"/>
        <w:ind w:left="0" w:firstLine="0"/>
        <w:rPr>
          <w:sz w:val="20"/>
        </w:rPr>
      </w:pPr>
    </w:p>
    <w:p>
      <w:pPr>
        <w:pStyle w:val="BodyText"/>
        <w:spacing w:before="9"/>
        <w:ind w:left="0" w:firstLine="0"/>
        <w:rPr>
          <w:sz w:val="21"/>
        </w:rPr>
      </w:pPr>
      <w:r>
        <w:rPr/>
        <w:pict>
          <v:line style="position:absolute;mso-position-horizontal-relative:page;mso-position-vertical-relative:paragraph;z-index:632;mso-wrap-distance-left:0;mso-wrap-distance-right:0" from="56.693001pt,14.764031pt" to="538.583001pt,14.764031pt" stroked="true" strokeweight=".5pt" strokecolor="#000000">
            <v:stroke dashstyle="solid"/>
            <w10:wrap type="topAndBottom"/>
          </v:line>
        </w:pict>
      </w:r>
    </w:p>
    <w:p>
      <w:pPr>
        <w:pStyle w:val="ListParagraph"/>
        <w:numPr>
          <w:ilvl w:val="0"/>
          <w:numId w:val="290"/>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2"/>
          <w:w w:val="125"/>
          <w:sz w:val="18"/>
        </w:rPr>
        <w:t> </w:t>
      </w:r>
      <w:r>
        <w:rPr>
          <w:i/>
          <w:w w:val="125"/>
          <w:sz w:val="18"/>
        </w:rPr>
        <w:t>131.</w:t>
      </w:r>
      <w:r>
        <w:rPr>
          <w:i/>
          <w:spacing w:val="-11"/>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2016.</w:t>
      </w:r>
      <w:r>
        <w:rPr>
          <w:i/>
          <w:spacing w:val="-11"/>
          <w:w w:val="125"/>
          <w:sz w:val="18"/>
        </w:rPr>
        <w:t> </w:t>
      </w:r>
      <w:r>
        <w:rPr>
          <w:i/>
          <w:w w:val="125"/>
          <w:sz w:val="18"/>
        </w:rPr>
        <w:t>I.</w:t>
      </w:r>
      <w:r>
        <w:rPr>
          <w:i/>
          <w:spacing w:val="-11"/>
          <w:w w:val="125"/>
          <w:sz w:val="18"/>
        </w:rPr>
        <w:t> </w:t>
      </w:r>
      <w:r>
        <w:rPr>
          <w:i/>
          <w:w w:val="125"/>
          <w:sz w:val="18"/>
        </w:rPr>
        <w:t>1-től.</w:t>
      </w:r>
    </w:p>
    <w:p>
      <w:pPr>
        <w:pStyle w:val="ListParagraph"/>
        <w:numPr>
          <w:ilvl w:val="0"/>
          <w:numId w:val="290"/>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2"/>
          <w:w w:val="125"/>
          <w:sz w:val="18"/>
        </w:rPr>
        <w:t> </w:t>
      </w:r>
      <w:r>
        <w:rPr>
          <w:i/>
          <w:w w:val="125"/>
          <w:sz w:val="18"/>
        </w:rPr>
        <w:t>131.</w:t>
      </w:r>
      <w:r>
        <w:rPr>
          <w:i/>
          <w:spacing w:val="-11"/>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2016.</w:t>
      </w:r>
      <w:r>
        <w:rPr>
          <w:i/>
          <w:spacing w:val="-11"/>
          <w:w w:val="125"/>
          <w:sz w:val="18"/>
        </w:rPr>
        <w:t> </w:t>
      </w:r>
      <w:r>
        <w:rPr>
          <w:i/>
          <w:w w:val="125"/>
          <w:sz w:val="18"/>
        </w:rPr>
        <w:t>I.</w:t>
      </w:r>
      <w:r>
        <w:rPr>
          <w:i/>
          <w:spacing w:val="-11"/>
          <w:w w:val="125"/>
          <w:sz w:val="18"/>
        </w:rPr>
        <w:t> </w:t>
      </w:r>
      <w:r>
        <w:rPr>
          <w:i/>
          <w:w w:val="125"/>
          <w:sz w:val="18"/>
        </w:rPr>
        <w:t>1-től.</w:t>
      </w:r>
    </w:p>
    <w:p>
      <w:pPr>
        <w:pStyle w:val="ListParagraph"/>
        <w:numPr>
          <w:ilvl w:val="0"/>
          <w:numId w:val="290"/>
        </w:numPr>
        <w:tabs>
          <w:tab w:pos="686" w:val="left" w:leader="none"/>
          <w:tab w:pos="687" w:val="left" w:leader="none"/>
        </w:tabs>
        <w:spacing w:line="203" w:lineRule="exact" w:before="0" w:after="0"/>
        <w:ind w:left="686" w:right="0" w:hanging="344"/>
        <w:jc w:val="left"/>
        <w:rPr>
          <w:i/>
          <w:sz w:val="18"/>
        </w:rPr>
      </w:pPr>
      <w:r>
        <w:rPr>
          <w:i/>
          <w:w w:val="120"/>
          <w:sz w:val="18"/>
        </w:rPr>
        <w:t>Beiktatta: 2015. évi LXXXV. törvény 203. §. Hatályos: 2015. VII.</w:t>
      </w:r>
      <w:r>
        <w:rPr>
          <w:i/>
          <w:spacing w:val="4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289"/>
        </w:numPr>
        <w:tabs>
          <w:tab w:pos="759" w:val="left" w:leader="none"/>
        </w:tabs>
        <w:spacing w:line="225" w:lineRule="auto" w:before="173" w:after="0"/>
        <w:ind w:left="113" w:right="130" w:firstLine="204"/>
        <w:jc w:val="left"/>
        <w:rPr>
          <w:sz w:val="24"/>
        </w:rPr>
      </w:pPr>
      <w:r>
        <w:rPr>
          <w:w w:val="130"/>
          <w:sz w:val="24"/>
        </w:rPr>
        <w:t>a Felügyelet által a vonatkozó jogszabályok megsértése miatt vele szemben hozott határozat rendelkező</w:t>
      </w:r>
      <w:r>
        <w:rPr>
          <w:spacing w:val="-12"/>
          <w:w w:val="130"/>
          <w:sz w:val="24"/>
        </w:rPr>
        <w:t> </w:t>
      </w:r>
      <w:r>
        <w:rPr>
          <w:w w:val="130"/>
          <w:sz w:val="24"/>
        </w:rPr>
        <w:t>részét.</w:t>
      </w:r>
    </w:p>
    <w:p>
      <w:pPr>
        <w:pStyle w:val="ListParagraph"/>
        <w:numPr>
          <w:ilvl w:val="0"/>
          <w:numId w:val="288"/>
        </w:numPr>
        <w:tabs>
          <w:tab w:pos="659" w:val="left" w:leader="none"/>
        </w:tabs>
        <w:spacing w:line="249" w:lineRule="exact" w:before="0" w:after="0"/>
        <w:ind w:left="658" w:right="0" w:hanging="341"/>
        <w:jc w:val="left"/>
        <w:rPr>
          <w:sz w:val="24"/>
        </w:rPr>
      </w:pPr>
      <w:r>
        <w:rPr>
          <w:i/>
          <w:w w:val="125"/>
          <w:position w:val="3"/>
          <w:sz w:val="18"/>
        </w:rPr>
        <w:t>1</w:t>
      </w:r>
      <w:r>
        <w:rPr>
          <w:i/>
          <w:spacing w:val="52"/>
          <w:w w:val="125"/>
          <w:position w:val="3"/>
          <w:sz w:val="18"/>
        </w:rPr>
        <w:t> </w:t>
      </w:r>
      <w:r>
        <w:rPr>
          <w:w w:val="125"/>
          <w:sz w:val="24"/>
        </w:rPr>
        <w:t>A</w:t>
      </w:r>
      <w:r>
        <w:rPr>
          <w:spacing w:val="17"/>
          <w:w w:val="125"/>
          <w:sz w:val="24"/>
        </w:rPr>
        <w:t> </w:t>
      </w:r>
      <w:r>
        <w:rPr>
          <w:w w:val="125"/>
          <w:sz w:val="24"/>
        </w:rPr>
        <w:t>(4)</w:t>
      </w:r>
      <w:r>
        <w:rPr>
          <w:spacing w:val="11"/>
          <w:w w:val="125"/>
          <w:sz w:val="24"/>
        </w:rPr>
        <w:t> </w:t>
      </w:r>
      <w:r>
        <w:rPr>
          <w:w w:val="125"/>
          <w:sz w:val="24"/>
        </w:rPr>
        <w:t>bekezdés</w:t>
      </w:r>
      <w:r>
        <w:rPr>
          <w:spacing w:val="14"/>
          <w:w w:val="125"/>
          <w:sz w:val="24"/>
        </w:rPr>
        <w:t> </w:t>
      </w:r>
      <w:r>
        <w:rPr>
          <w:i/>
          <w:w w:val="125"/>
          <w:sz w:val="24"/>
        </w:rPr>
        <w:t>b)</w:t>
      </w:r>
      <w:r>
        <w:rPr>
          <w:i/>
          <w:spacing w:val="14"/>
          <w:w w:val="125"/>
          <w:sz w:val="24"/>
        </w:rPr>
        <w:t> </w:t>
      </w:r>
      <w:r>
        <w:rPr>
          <w:w w:val="125"/>
          <w:sz w:val="24"/>
        </w:rPr>
        <w:t>pontja</w:t>
      </w:r>
      <w:r>
        <w:rPr>
          <w:spacing w:val="15"/>
          <w:w w:val="125"/>
          <w:sz w:val="24"/>
        </w:rPr>
        <w:t> </w:t>
      </w:r>
      <w:r>
        <w:rPr>
          <w:w w:val="125"/>
          <w:sz w:val="24"/>
        </w:rPr>
        <w:t>szerinti</w:t>
      </w:r>
      <w:r>
        <w:rPr>
          <w:spacing w:val="14"/>
          <w:w w:val="125"/>
          <w:sz w:val="24"/>
        </w:rPr>
        <w:t> </w:t>
      </w:r>
      <w:r>
        <w:rPr>
          <w:w w:val="125"/>
          <w:sz w:val="24"/>
        </w:rPr>
        <w:t>közzétételi</w:t>
      </w:r>
      <w:r>
        <w:rPr>
          <w:spacing w:val="14"/>
          <w:w w:val="125"/>
          <w:sz w:val="24"/>
        </w:rPr>
        <w:t> </w:t>
      </w:r>
      <w:r>
        <w:rPr>
          <w:w w:val="125"/>
          <w:sz w:val="24"/>
        </w:rPr>
        <w:t>kötelezettség</w:t>
      </w:r>
      <w:r>
        <w:rPr>
          <w:spacing w:val="14"/>
          <w:w w:val="125"/>
          <w:sz w:val="24"/>
        </w:rPr>
        <w:t> </w:t>
      </w:r>
      <w:r>
        <w:rPr>
          <w:w w:val="125"/>
          <w:sz w:val="24"/>
        </w:rPr>
        <w:t>az</w:t>
      </w:r>
      <w:r>
        <w:rPr>
          <w:spacing w:val="14"/>
          <w:w w:val="125"/>
          <w:sz w:val="24"/>
        </w:rPr>
        <w:t> </w:t>
      </w:r>
      <w:r>
        <w:rPr>
          <w:w w:val="125"/>
          <w:sz w:val="24"/>
        </w:rPr>
        <w:t>adott</w:t>
      </w:r>
    </w:p>
    <w:p>
      <w:pPr>
        <w:pStyle w:val="BodyText"/>
        <w:spacing w:line="225" w:lineRule="auto" w:before="12"/>
        <w:ind w:right="128" w:firstLine="0"/>
        <w:jc w:val="both"/>
      </w:pPr>
      <w:r>
        <w:rPr>
          <w:w w:val="125"/>
        </w:rPr>
        <w:t>határozat közlésétől számított öt évig áll fenn. A pénzügyi intézmény jogosult   a határozat indokolását is közzétenni azzal, hogy az indokolás  közzététele során a bank- és üzleti titokvédelmi szabályok által védett adatok közzétételét mellőzni kell. A pénzügyi intézmény mérlegelése alapján a saját üzleti titkai körébe tartozó adatokat</w:t>
      </w:r>
      <w:r>
        <w:rPr>
          <w:spacing w:val="4"/>
          <w:w w:val="125"/>
        </w:rPr>
        <w:t> </w:t>
      </w:r>
      <w:r>
        <w:rPr>
          <w:w w:val="125"/>
        </w:rPr>
        <w:t>közzéteheti.</w:t>
      </w:r>
    </w:p>
    <w:p>
      <w:pPr>
        <w:pStyle w:val="ListParagraph"/>
        <w:numPr>
          <w:ilvl w:val="1"/>
          <w:numId w:val="213"/>
        </w:numPr>
        <w:tabs>
          <w:tab w:pos="1044" w:val="left" w:leader="none"/>
        </w:tabs>
        <w:spacing w:line="251" w:lineRule="exact" w:before="0" w:after="0"/>
        <w:ind w:left="1043" w:right="0" w:hanging="726"/>
        <w:jc w:val="left"/>
        <w:rPr>
          <w:sz w:val="24"/>
        </w:rPr>
      </w:pPr>
      <w:r>
        <w:rPr>
          <w:rFonts w:ascii="Arial" w:hAnsi="Arial"/>
          <w:b/>
          <w:w w:val="120"/>
          <w:sz w:val="24"/>
        </w:rPr>
        <w:t>§ </w:t>
      </w:r>
      <w:r>
        <w:rPr>
          <w:w w:val="120"/>
          <w:sz w:val="24"/>
        </w:rPr>
        <w:t>(1)</w:t>
      </w:r>
      <w:r>
        <w:rPr>
          <w:i/>
          <w:w w:val="120"/>
          <w:position w:val="3"/>
          <w:sz w:val="18"/>
        </w:rPr>
        <w:t>2 </w:t>
      </w:r>
      <w:r>
        <w:rPr>
          <w:w w:val="120"/>
          <w:sz w:val="24"/>
        </w:rPr>
        <w:t>A hitelintézet, ha az 575/2013/EU rendelet alapján</w:t>
      </w:r>
      <w:r>
        <w:rPr>
          <w:spacing w:val="19"/>
          <w:w w:val="120"/>
          <w:sz w:val="24"/>
        </w:rPr>
        <w:t> </w:t>
      </w:r>
      <w:r>
        <w:rPr>
          <w:w w:val="120"/>
          <w:sz w:val="24"/>
        </w:rPr>
        <w:t>összevont</w:t>
      </w:r>
    </w:p>
    <w:p>
      <w:pPr>
        <w:pStyle w:val="BodyText"/>
        <w:spacing w:line="225" w:lineRule="auto" w:before="12"/>
        <w:ind w:right="128" w:firstLine="0"/>
        <w:jc w:val="both"/>
      </w:pPr>
      <w:r>
        <w:rPr>
          <w:w w:val="125"/>
        </w:rPr>
        <w:t>alapú felügyelet alá tartozik, legalább évente egyszer összevont alapon nyilvánosságra hozza az üzleti évre vonatkozóan (EGT-államonként és harmadik országonkénti bontásban)</w:t>
      </w:r>
    </w:p>
    <w:p>
      <w:pPr>
        <w:pStyle w:val="ListParagraph"/>
        <w:numPr>
          <w:ilvl w:val="0"/>
          <w:numId w:val="291"/>
        </w:numPr>
        <w:tabs>
          <w:tab w:pos="631" w:val="left" w:leader="none"/>
        </w:tabs>
        <w:spacing w:line="256" w:lineRule="exact" w:before="0" w:after="0"/>
        <w:ind w:left="630" w:right="0" w:hanging="313"/>
        <w:jc w:val="left"/>
        <w:rPr>
          <w:sz w:val="24"/>
        </w:rPr>
      </w:pPr>
      <w:r>
        <w:rPr>
          <w:w w:val="130"/>
          <w:sz w:val="24"/>
        </w:rPr>
        <w:t>a</w:t>
      </w:r>
      <w:r>
        <w:rPr>
          <w:spacing w:val="-12"/>
          <w:w w:val="130"/>
          <w:sz w:val="24"/>
        </w:rPr>
        <w:t> </w:t>
      </w:r>
      <w:r>
        <w:rPr>
          <w:w w:val="130"/>
          <w:sz w:val="24"/>
        </w:rPr>
        <w:t>hitelintézet</w:t>
      </w:r>
      <w:r>
        <w:rPr>
          <w:spacing w:val="-11"/>
          <w:w w:val="130"/>
          <w:sz w:val="24"/>
        </w:rPr>
        <w:t> </w:t>
      </w:r>
      <w:r>
        <w:rPr>
          <w:w w:val="130"/>
          <w:sz w:val="24"/>
        </w:rPr>
        <w:t>nevét,</w:t>
      </w:r>
      <w:r>
        <w:rPr>
          <w:spacing w:val="-10"/>
          <w:w w:val="130"/>
          <w:sz w:val="24"/>
        </w:rPr>
        <w:t> </w:t>
      </w:r>
      <w:r>
        <w:rPr>
          <w:w w:val="130"/>
          <w:sz w:val="24"/>
        </w:rPr>
        <w:t>tevékenységek</w:t>
      </w:r>
      <w:r>
        <w:rPr>
          <w:spacing w:val="-3"/>
          <w:w w:val="130"/>
          <w:sz w:val="24"/>
        </w:rPr>
        <w:t> </w:t>
      </w:r>
      <w:r>
        <w:rPr>
          <w:w w:val="130"/>
          <w:sz w:val="24"/>
        </w:rPr>
        <w:t>jellegét</w:t>
      </w:r>
      <w:r>
        <w:rPr>
          <w:spacing w:val="-17"/>
          <w:w w:val="130"/>
          <w:sz w:val="24"/>
        </w:rPr>
        <w:t> </w:t>
      </w:r>
      <w:r>
        <w:rPr>
          <w:w w:val="130"/>
          <w:sz w:val="24"/>
        </w:rPr>
        <w:t>és</w:t>
      </w:r>
      <w:r>
        <w:rPr>
          <w:spacing w:val="-5"/>
          <w:w w:val="130"/>
          <w:sz w:val="24"/>
        </w:rPr>
        <w:t> </w:t>
      </w:r>
      <w:r>
        <w:rPr>
          <w:w w:val="130"/>
          <w:sz w:val="24"/>
        </w:rPr>
        <w:t>földrajzi</w:t>
      </w:r>
      <w:r>
        <w:rPr>
          <w:spacing w:val="-19"/>
          <w:w w:val="130"/>
          <w:sz w:val="24"/>
        </w:rPr>
        <w:t> </w:t>
      </w:r>
      <w:r>
        <w:rPr>
          <w:w w:val="130"/>
          <w:sz w:val="24"/>
        </w:rPr>
        <w:t>tagozódását,</w:t>
      </w:r>
    </w:p>
    <w:p>
      <w:pPr>
        <w:pStyle w:val="ListParagraph"/>
        <w:numPr>
          <w:ilvl w:val="0"/>
          <w:numId w:val="291"/>
        </w:numPr>
        <w:tabs>
          <w:tab w:pos="653" w:val="left" w:leader="none"/>
        </w:tabs>
        <w:spacing w:line="260" w:lineRule="exact" w:before="0" w:after="0"/>
        <w:ind w:left="652" w:right="0" w:hanging="335"/>
        <w:jc w:val="left"/>
        <w:rPr>
          <w:sz w:val="24"/>
        </w:rPr>
      </w:pPr>
      <w:r>
        <w:rPr>
          <w:w w:val="130"/>
          <w:sz w:val="24"/>
        </w:rPr>
        <w:t>árbevételét,</w:t>
      </w:r>
    </w:p>
    <w:p>
      <w:pPr>
        <w:pStyle w:val="ListParagraph"/>
        <w:numPr>
          <w:ilvl w:val="0"/>
          <w:numId w:val="291"/>
        </w:numPr>
        <w:tabs>
          <w:tab w:pos="623" w:val="left" w:leader="none"/>
        </w:tabs>
        <w:spacing w:line="260" w:lineRule="exact" w:before="0" w:after="0"/>
        <w:ind w:left="622" w:right="0" w:hanging="305"/>
        <w:jc w:val="left"/>
        <w:rPr>
          <w:sz w:val="24"/>
        </w:rPr>
      </w:pPr>
      <w:r>
        <w:rPr>
          <w:w w:val="130"/>
          <w:sz w:val="24"/>
        </w:rPr>
        <w:t>teljes munkaidőben alkalmazottak létszámát,</w:t>
      </w:r>
    </w:p>
    <w:p>
      <w:pPr>
        <w:pStyle w:val="ListParagraph"/>
        <w:numPr>
          <w:ilvl w:val="0"/>
          <w:numId w:val="291"/>
        </w:numPr>
        <w:tabs>
          <w:tab w:pos="653" w:val="left" w:leader="none"/>
        </w:tabs>
        <w:spacing w:line="260" w:lineRule="exact" w:before="0" w:after="0"/>
        <w:ind w:left="652" w:right="0" w:hanging="335"/>
        <w:jc w:val="left"/>
        <w:rPr>
          <w:sz w:val="24"/>
        </w:rPr>
      </w:pPr>
      <w:r>
        <w:rPr>
          <w:w w:val="130"/>
          <w:sz w:val="24"/>
        </w:rPr>
        <w:t>adózás előtti</w:t>
      </w:r>
      <w:r>
        <w:rPr>
          <w:spacing w:val="-18"/>
          <w:w w:val="130"/>
          <w:sz w:val="24"/>
        </w:rPr>
        <w:t> </w:t>
      </w:r>
      <w:r>
        <w:rPr>
          <w:w w:val="130"/>
          <w:sz w:val="24"/>
        </w:rPr>
        <w:t>eredményét,</w:t>
      </w:r>
    </w:p>
    <w:p>
      <w:pPr>
        <w:pStyle w:val="ListParagraph"/>
        <w:numPr>
          <w:ilvl w:val="0"/>
          <w:numId w:val="291"/>
        </w:numPr>
        <w:tabs>
          <w:tab w:pos="629" w:val="left" w:leader="none"/>
        </w:tabs>
        <w:spacing w:line="260" w:lineRule="exact" w:before="0" w:after="0"/>
        <w:ind w:left="628" w:right="0" w:hanging="311"/>
        <w:jc w:val="left"/>
        <w:rPr>
          <w:sz w:val="24"/>
        </w:rPr>
      </w:pPr>
      <w:r>
        <w:rPr>
          <w:w w:val="130"/>
          <w:sz w:val="24"/>
        </w:rPr>
        <w:t>az eredményt terhelő adókat,</w:t>
      </w:r>
      <w:r>
        <w:rPr>
          <w:spacing w:val="-18"/>
          <w:w w:val="130"/>
          <w:sz w:val="24"/>
        </w:rPr>
        <w:t> </w:t>
      </w:r>
      <w:r>
        <w:rPr>
          <w:w w:val="130"/>
          <w:sz w:val="24"/>
        </w:rPr>
        <w:t>valamint</w:t>
      </w:r>
    </w:p>
    <w:p>
      <w:pPr>
        <w:pStyle w:val="ListParagraph"/>
        <w:numPr>
          <w:ilvl w:val="0"/>
          <w:numId w:val="291"/>
        </w:numPr>
        <w:tabs>
          <w:tab w:pos="577" w:val="left" w:leader="none"/>
        </w:tabs>
        <w:spacing w:line="260" w:lineRule="exact" w:before="0" w:after="0"/>
        <w:ind w:left="576" w:right="0" w:hanging="259"/>
        <w:jc w:val="left"/>
        <w:rPr>
          <w:sz w:val="24"/>
        </w:rPr>
      </w:pPr>
      <w:r>
        <w:rPr>
          <w:w w:val="130"/>
          <w:sz w:val="24"/>
        </w:rPr>
        <w:t>a kapott állami</w:t>
      </w:r>
      <w:r>
        <w:rPr>
          <w:spacing w:val="-11"/>
          <w:w w:val="130"/>
          <w:sz w:val="24"/>
        </w:rPr>
        <w:t> </w:t>
      </w:r>
      <w:r>
        <w:rPr>
          <w:w w:val="130"/>
          <w:sz w:val="24"/>
        </w:rPr>
        <w:t>támogatást.</w:t>
      </w:r>
    </w:p>
    <w:p>
      <w:pPr>
        <w:pStyle w:val="BodyText"/>
        <w:spacing w:line="225" w:lineRule="auto" w:before="5"/>
        <w:ind w:right="122"/>
        <w:jc w:val="both"/>
      </w:pPr>
      <w:r>
        <w:rPr>
          <w:w w:val="125"/>
        </w:rPr>
        <w:t>(2) A hitelintézet egyedi alapon nyilvánosságra hozza az adózott  eredmény  és a mérlegfőösszeg hányadosaként kifejezett eszközarányos jövedelmezőségi mutatóját.</w:t>
      </w:r>
    </w:p>
    <w:p>
      <w:pPr>
        <w:pStyle w:val="BodyText"/>
        <w:spacing w:before="3"/>
        <w:ind w:left="0" w:firstLine="0"/>
        <w:rPr>
          <w:sz w:val="11"/>
        </w:rPr>
      </w:pPr>
    </w:p>
    <w:p>
      <w:pPr>
        <w:pStyle w:val="BodyText"/>
        <w:spacing w:before="99"/>
        <w:ind w:left="1642" w:firstLine="0"/>
      </w:pPr>
      <w:r>
        <w:rPr>
          <w:w w:val="125"/>
        </w:rPr>
        <w:t>57. Belső minősítésen alapuló módszerek alkalmazása</w:t>
      </w:r>
    </w:p>
    <w:p>
      <w:pPr>
        <w:pStyle w:val="ListParagraph"/>
        <w:numPr>
          <w:ilvl w:val="1"/>
          <w:numId w:val="213"/>
        </w:numPr>
        <w:tabs>
          <w:tab w:pos="989" w:val="left" w:leader="none"/>
        </w:tabs>
        <w:spacing w:line="225" w:lineRule="auto" w:before="237" w:after="0"/>
        <w:ind w:left="113" w:right="113" w:firstLine="204"/>
        <w:jc w:val="both"/>
        <w:rPr>
          <w:sz w:val="24"/>
        </w:rPr>
      </w:pPr>
      <w:r>
        <w:rPr>
          <w:rFonts w:ascii="Arial" w:hAnsi="Arial"/>
          <w:b/>
          <w:w w:val="120"/>
          <w:sz w:val="24"/>
        </w:rPr>
        <w:t>§ </w:t>
      </w:r>
      <w:r>
        <w:rPr>
          <w:w w:val="120"/>
          <w:sz w:val="24"/>
        </w:rPr>
        <w:t>(1) Az 575/2013/EU rendelet harmadik része, I. címe 3. fejezetének 1. szakaszában és IV. címe 5. fejezetének  1-5.  szakaszában  meghatározottak sérelme nélkül a hitelintézet a mérete, szervezeti felépítése, tevékenységének jellege, nagyságrendje és összetettsége alapján törekszik a belső minősítésen alapuló módszerek alkalmazására kockázattal súlyozott kitettség értéke és tőkekövetelményének meghatározása</w:t>
      </w:r>
      <w:r>
        <w:rPr>
          <w:spacing w:val="17"/>
          <w:w w:val="120"/>
          <w:sz w:val="24"/>
        </w:rPr>
        <w:t> </w:t>
      </w:r>
      <w:r>
        <w:rPr>
          <w:w w:val="120"/>
          <w:sz w:val="24"/>
        </w:rPr>
        <w:t>során.</w:t>
      </w:r>
    </w:p>
    <w:p>
      <w:pPr>
        <w:pStyle w:val="ListParagraph"/>
        <w:numPr>
          <w:ilvl w:val="0"/>
          <w:numId w:val="292"/>
        </w:numPr>
        <w:tabs>
          <w:tab w:pos="790" w:val="left" w:leader="none"/>
        </w:tabs>
        <w:spacing w:line="225" w:lineRule="auto" w:before="3" w:after="0"/>
        <w:ind w:left="113" w:right="108" w:firstLine="204"/>
        <w:jc w:val="both"/>
        <w:rPr>
          <w:sz w:val="24"/>
        </w:rPr>
      </w:pPr>
      <w:r>
        <w:rPr>
          <w:w w:val="130"/>
          <w:sz w:val="24"/>
        </w:rPr>
        <w:t>A hitelintézet tevékenységének jellege, nagyságrendje és összetettsége alapján a kitettsége tekintetében nem használhatja kizárólagosan a külső hitelminősítő által kiadott</w:t>
      </w:r>
      <w:r>
        <w:rPr>
          <w:spacing w:val="-15"/>
          <w:w w:val="130"/>
          <w:sz w:val="24"/>
        </w:rPr>
        <w:t> </w:t>
      </w:r>
      <w:r>
        <w:rPr>
          <w:w w:val="130"/>
          <w:sz w:val="24"/>
        </w:rPr>
        <w:t>hitelminősítést.</w:t>
      </w:r>
    </w:p>
    <w:p>
      <w:pPr>
        <w:pStyle w:val="ListParagraph"/>
        <w:numPr>
          <w:ilvl w:val="0"/>
          <w:numId w:val="292"/>
        </w:numPr>
        <w:tabs>
          <w:tab w:pos="764" w:val="left" w:leader="none"/>
        </w:tabs>
        <w:spacing w:line="225" w:lineRule="auto" w:before="2" w:after="0"/>
        <w:ind w:left="113" w:right="124" w:firstLine="204"/>
        <w:jc w:val="both"/>
        <w:rPr>
          <w:sz w:val="24"/>
        </w:rPr>
      </w:pPr>
      <w:r>
        <w:rPr>
          <w:w w:val="130"/>
          <w:sz w:val="24"/>
        </w:rPr>
        <w:t>A Felügyelet figyelemmel kíséri a hitelintézetnek az (1) és (2) bekezdés szerinti stratégiai és operatív lépéseit, és ösztönzi a hitelintézetet belső hitelkockázat-értékelési</w:t>
      </w:r>
      <w:r>
        <w:rPr>
          <w:spacing w:val="78"/>
          <w:w w:val="130"/>
          <w:sz w:val="24"/>
        </w:rPr>
        <w:t> </w:t>
      </w:r>
      <w:r>
        <w:rPr>
          <w:w w:val="130"/>
          <w:sz w:val="24"/>
        </w:rPr>
        <w:t>képességük</w:t>
      </w:r>
      <w:r>
        <w:rPr>
          <w:spacing w:val="78"/>
          <w:w w:val="130"/>
          <w:sz w:val="24"/>
        </w:rPr>
        <w:t> </w:t>
      </w:r>
      <w:r>
        <w:rPr>
          <w:w w:val="130"/>
          <w:sz w:val="24"/>
        </w:rPr>
        <w:t>fejlesztésére,</w:t>
      </w:r>
      <w:r>
        <w:rPr>
          <w:spacing w:val="78"/>
          <w:w w:val="130"/>
          <w:sz w:val="24"/>
        </w:rPr>
        <w:t> </w:t>
      </w:r>
      <w:r>
        <w:rPr>
          <w:w w:val="130"/>
          <w:sz w:val="24"/>
        </w:rPr>
        <w:t>belső</w:t>
      </w:r>
      <w:r>
        <w:rPr>
          <w:spacing w:val="78"/>
          <w:w w:val="130"/>
          <w:sz w:val="24"/>
        </w:rPr>
        <w:t> </w:t>
      </w:r>
      <w:r>
        <w:rPr>
          <w:w w:val="130"/>
          <w:sz w:val="24"/>
        </w:rPr>
        <w:t>modellek alkalmazására,</w:t>
      </w:r>
      <w:r>
        <w:rPr>
          <w:spacing w:val="-4"/>
          <w:w w:val="130"/>
          <w:sz w:val="24"/>
        </w:rPr>
        <w:t> </w:t>
      </w:r>
      <w:r>
        <w:rPr>
          <w:w w:val="130"/>
          <w:sz w:val="24"/>
        </w:rPr>
        <w:t>különösen</w:t>
      </w:r>
    </w:p>
    <w:p>
      <w:pPr>
        <w:pStyle w:val="ListParagraph"/>
        <w:numPr>
          <w:ilvl w:val="0"/>
          <w:numId w:val="293"/>
        </w:numPr>
        <w:tabs>
          <w:tab w:pos="637" w:val="left" w:leader="none"/>
        </w:tabs>
        <w:spacing w:line="225" w:lineRule="auto" w:before="2" w:after="0"/>
        <w:ind w:left="113" w:right="124" w:firstLine="204"/>
        <w:jc w:val="both"/>
        <w:rPr>
          <w:sz w:val="24"/>
        </w:rPr>
      </w:pPr>
      <w:r>
        <w:rPr>
          <w:w w:val="130"/>
          <w:sz w:val="24"/>
        </w:rPr>
        <w:t>a</w:t>
      </w:r>
      <w:r>
        <w:rPr>
          <w:spacing w:val="-25"/>
          <w:w w:val="130"/>
          <w:sz w:val="24"/>
        </w:rPr>
        <w:t> </w:t>
      </w:r>
      <w:r>
        <w:rPr>
          <w:w w:val="130"/>
          <w:sz w:val="24"/>
        </w:rPr>
        <w:t>kereskedési</w:t>
      </w:r>
      <w:r>
        <w:rPr>
          <w:spacing w:val="-25"/>
          <w:w w:val="130"/>
          <w:sz w:val="24"/>
        </w:rPr>
        <w:t> </w:t>
      </w:r>
      <w:r>
        <w:rPr>
          <w:w w:val="130"/>
          <w:sz w:val="24"/>
        </w:rPr>
        <w:t>könyvbe</w:t>
      </w:r>
      <w:r>
        <w:rPr>
          <w:spacing w:val="-24"/>
          <w:w w:val="130"/>
          <w:sz w:val="24"/>
        </w:rPr>
        <w:t> </w:t>
      </w:r>
      <w:r>
        <w:rPr>
          <w:w w:val="130"/>
          <w:sz w:val="24"/>
        </w:rPr>
        <w:t>bevezetett,</w:t>
      </w:r>
      <w:r>
        <w:rPr>
          <w:spacing w:val="-25"/>
          <w:w w:val="130"/>
          <w:sz w:val="24"/>
        </w:rPr>
        <w:t> </w:t>
      </w:r>
      <w:r>
        <w:rPr>
          <w:w w:val="130"/>
          <w:sz w:val="24"/>
        </w:rPr>
        <w:t>hitelviszonyt</w:t>
      </w:r>
      <w:r>
        <w:rPr>
          <w:spacing w:val="-24"/>
          <w:w w:val="130"/>
          <w:sz w:val="24"/>
        </w:rPr>
        <w:t> </w:t>
      </w:r>
      <w:r>
        <w:rPr>
          <w:w w:val="130"/>
          <w:sz w:val="24"/>
        </w:rPr>
        <w:t>megtestesítő</w:t>
      </w:r>
      <w:r>
        <w:rPr>
          <w:spacing w:val="-21"/>
          <w:w w:val="130"/>
          <w:sz w:val="24"/>
        </w:rPr>
        <w:t> </w:t>
      </w:r>
      <w:r>
        <w:rPr>
          <w:w w:val="130"/>
          <w:sz w:val="24"/>
        </w:rPr>
        <w:t>értékpapírok egyedi kockázata,</w:t>
      </w:r>
      <w:r>
        <w:rPr>
          <w:spacing w:val="-8"/>
          <w:w w:val="130"/>
          <w:sz w:val="24"/>
        </w:rPr>
        <w:t> </w:t>
      </w:r>
      <w:r>
        <w:rPr>
          <w:w w:val="130"/>
          <w:sz w:val="24"/>
        </w:rPr>
        <w:t>és</w:t>
      </w:r>
    </w:p>
    <w:p>
      <w:pPr>
        <w:pStyle w:val="ListParagraph"/>
        <w:numPr>
          <w:ilvl w:val="0"/>
          <w:numId w:val="293"/>
        </w:numPr>
        <w:tabs>
          <w:tab w:pos="653" w:val="left" w:leader="none"/>
        </w:tabs>
        <w:spacing w:line="256" w:lineRule="exact" w:before="0" w:after="0"/>
        <w:ind w:left="652" w:right="0" w:hanging="335"/>
        <w:jc w:val="left"/>
        <w:rPr>
          <w:sz w:val="24"/>
        </w:rPr>
      </w:pPr>
      <w:r>
        <w:rPr>
          <w:w w:val="130"/>
          <w:sz w:val="24"/>
        </w:rPr>
        <w:t>a nemteljesítési és átminősítési</w:t>
      </w:r>
      <w:r>
        <w:rPr>
          <w:spacing w:val="-28"/>
          <w:w w:val="130"/>
          <w:sz w:val="24"/>
        </w:rPr>
        <w:t> </w:t>
      </w:r>
      <w:r>
        <w:rPr>
          <w:w w:val="130"/>
          <w:sz w:val="24"/>
        </w:rPr>
        <w:t>kockázata</w:t>
      </w:r>
    </w:p>
    <w:p>
      <w:pPr>
        <w:pStyle w:val="BodyText"/>
        <w:spacing w:line="225" w:lineRule="auto" w:before="6"/>
        <w:ind w:right="133" w:firstLine="0"/>
        <w:jc w:val="both"/>
      </w:pPr>
      <w:r>
        <w:rPr>
          <w:w w:val="130"/>
        </w:rPr>
        <w:t>tekintetében, ha a hitelintézet kitettségeinek speciális kockázata abszolút értelemben jelentős és különböző kibocsátók hitelviszonyt megtestesítő értékpapírjaiból nagyszámú jelentős pozícióval rendelkezik.</w:t>
      </w:r>
    </w:p>
    <w:p>
      <w:pPr>
        <w:pStyle w:val="Heading2"/>
        <w:numPr>
          <w:ilvl w:val="1"/>
          <w:numId w:val="184"/>
        </w:numPr>
        <w:tabs>
          <w:tab w:pos="4746" w:val="left" w:leader="none"/>
        </w:tabs>
        <w:spacing w:line="240" w:lineRule="auto" w:before="232" w:after="0"/>
        <w:ind w:left="4745" w:right="0" w:hanging="582"/>
        <w:jc w:val="left"/>
      </w:pPr>
      <w:r>
        <w:rPr>
          <w:w w:val="110"/>
        </w:rPr>
        <w:t>Fejezet</w:t>
      </w:r>
    </w:p>
    <w:p>
      <w:pPr>
        <w:pStyle w:val="BodyText"/>
        <w:spacing w:before="1"/>
        <w:ind w:left="0" w:firstLine="0"/>
        <w:rPr>
          <w:rFonts w:ascii="Georgia-BoldItalic"/>
          <w:b/>
          <w:i/>
          <w:sz w:val="41"/>
        </w:rPr>
      </w:pPr>
    </w:p>
    <w:p>
      <w:pPr>
        <w:spacing w:before="0"/>
        <w:ind w:left="876" w:right="0" w:firstLine="0"/>
        <w:jc w:val="left"/>
        <w:rPr>
          <w:rFonts w:ascii="Georgia-BoldItalic" w:hAnsi="Georgia-BoldItalic"/>
          <w:b/>
          <w:i/>
          <w:sz w:val="24"/>
        </w:rPr>
      </w:pPr>
      <w:r>
        <w:rPr>
          <w:rFonts w:ascii="Georgia-BoldItalic" w:hAnsi="Georgia-BoldItalic"/>
          <w:b/>
          <w:i/>
          <w:w w:val="105"/>
          <w:sz w:val="24"/>
        </w:rPr>
        <w:t>Tulajdonjog gyakorlásának szabályai, irányítás és ellenőrzés</w:t>
      </w:r>
    </w:p>
    <w:p>
      <w:pPr>
        <w:pStyle w:val="BodyText"/>
        <w:ind w:left="0" w:firstLine="0"/>
        <w:rPr>
          <w:rFonts w:ascii="Georgia-BoldItalic"/>
          <w:b/>
          <w:i/>
          <w:sz w:val="20"/>
        </w:rPr>
      </w:pPr>
    </w:p>
    <w:p>
      <w:pPr>
        <w:pStyle w:val="BodyText"/>
        <w:ind w:left="0" w:firstLine="0"/>
        <w:rPr>
          <w:rFonts w:ascii="Georgia-BoldItalic"/>
          <w:b/>
          <w:i/>
          <w:sz w:val="20"/>
        </w:rPr>
      </w:pPr>
    </w:p>
    <w:p>
      <w:pPr>
        <w:pStyle w:val="BodyText"/>
        <w:spacing w:before="8"/>
        <w:ind w:left="0" w:firstLine="0"/>
        <w:rPr>
          <w:rFonts w:ascii="Georgia-BoldItalic"/>
          <w:b/>
          <w:i/>
        </w:rPr>
      </w:pPr>
      <w:r>
        <w:rPr/>
        <w:pict>
          <v:line style="position:absolute;mso-position-horizontal-relative:page;mso-position-vertical-relative:paragraph;z-index:656;mso-wrap-distance-left:0;mso-wrap-distance-right:0" from="56.693001pt,16.251226pt" to="538.583001pt,16.251226pt" stroked="true" strokeweight=".5pt" strokecolor="#000000">
            <v:stroke dashstyle="solid"/>
            <w10:wrap type="topAndBottom"/>
          </v:line>
        </w:pict>
      </w:r>
    </w:p>
    <w:p>
      <w:pPr>
        <w:pStyle w:val="ListParagraph"/>
        <w:numPr>
          <w:ilvl w:val="0"/>
          <w:numId w:val="294"/>
        </w:numPr>
        <w:tabs>
          <w:tab w:pos="686" w:val="left" w:leader="none"/>
          <w:tab w:pos="687" w:val="left" w:leader="none"/>
        </w:tabs>
        <w:spacing w:line="203" w:lineRule="exact" w:before="44" w:after="0"/>
        <w:ind w:left="686" w:right="0" w:hanging="344"/>
        <w:jc w:val="left"/>
        <w:rPr>
          <w:i/>
          <w:sz w:val="18"/>
        </w:rPr>
      </w:pPr>
      <w:r>
        <w:rPr>
          <w:i/>
          <w:w w:val="120"/>
          <w:sz w:val="18"/>
        </w:rPr>
        <w:t>Beiktatta: 2015. évi LXXXV. törvény 203. §. Hatályos: 2015. VII.</w:t>
      </w:r>
      <w:r>
        <w:rPr>
          <w:i/>
          <w:spacing w:val="45"/>
          <w:w w:val="120"/>
          <w:sz w:val="18"/>
        </w:rPr>
        <w:t> </w:t>
      </w:r>
      <w:r>
        <w:rPr>
          <w:i/>
          <w:w w:val="120"/>
          <w:sz w:val="18"/>
        </w:rPr>
        <w:t>7-től.</w:t>
      </w:r>
    </w:p>
    <w:p>
      <w:pPr>
        <w:pStyle w:val="ListParagraph"/>
        <w:numPr>
          <w:ilvl w:val="0"/>
          <w:numId w:val="294"/>
        </w:numPr>
        <w:tabs>
          <w:tab w:pos="686" w:val="left" w:leader="none"/>
          <w:tab w:pos="687" w:val="left" w:leader="none"/>
        </w:tabs>
        <w:spacing w:line="203" w:lineRule="exact" w:before="0" w:after="0"/>
        <w:ind w:left="686" w:right="0" w:hanging="344"/>
        <w:jc w:val="left"/>
        <w:rPr>
          <w:i/>
          <w:sz w:val="18"/>
        </w:rPr>
      </w:pPr>
      <w:r>
        <w:rPr>
          <w:i/>
          <w:w w:val="125"/>
          <w:sz w:val="18"/>
        </w:rPr>
        <w:t>Módosította: 2015. évi CCXV. törvény 152. §</w:t>
      </w:r>
      <w:r>
        <w:rPr>
          <w:i/>
          <w:spacing w:val="-5"/>
          <w:w w:val="125"/>
          <w:sz w:val="18"/>
        </w:rPr>
        <w:t> </w:t>
      </w:r>
      <w:r>
        <w:rPr>
          <w:i/>
          <w:w w:val="125"/>
          <w:sz w:val="18"/>
        </w:rPr>
        <w:t>c).</w:t>
      </w:r>
    </w:p>
    <w:p>
      <w:pPr>
        <w:spacing w:after="0" w:line="203" w:lineRule="exact"/>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1494" w:firstLine="0"/>
      </w:pPr>
      <w:r>
        <w:rPr>
          <w:w w:val="125"/>
        </w:rPr>
        <w:t>58. A befolyásoló részesedéssel rendelkező tulajdonosok</w:t>
      </w:r>
    </w:p>
    <w:p>
      <w:pPr>
        <w:pStyle w:val="ListParagraph"/>
        <w:numPr>
          <w:ilvl w:val="1"/>
          <w:numId w:val="213"/>
        </w:numPr>
        <w:tabs>
          <w:tab w:pos="1058" w:val="left" w:leader="none"/>
        </w:tabs>
        <w:spacing w:line="225" w:lineRule="auto" w:before="237" w:after="0"/>
        <w:ind w:left="113" w:right="114" w:firstLine="204"/>
        <w:jc w:val="both"/>
        <w:rPr>
          <w:sz w:val="24"/>
        </w:rPr>
      </w:pPr>
      <w:r>
        <w:rPr>
          <w:rFonts w:ascii="Arial" w:hAnsi="Arial"/>
          <w:b/>
          <w:w w:val="125"/>
          <w:sz w:val="24"/>
        </w:rPr>
        <w:t>§ </w:t>
      </w:r>
      <w:r>
        <w:rPr>
          <w:w w:val="125"/>
          <w:sz w:val="24"/>
        </w:rPr>
        <w:t>A pénzügyi intézmény befolyásoló részesedéssel rendelkező tagja csak olyan személy</w:t>
      </w:r>
      <w:r>
        <w:rPr>
          <w:spacing w:val="3"/>
          <w:w w:val="125"/>
          <w:sz w:val="24"/>
        </w:rPr>
        <w:t> </w:t>
      </w:r>
      <w:r>
        <w:rPr>
          <w:w w:val="125"/>
          <w:sz w:val="24"/>
        </w:rPr>
        <w:t>lehet,</w:t>
      </w:r>
    </w:p>
    <w:p>
      <w:pPr>
        <w:pStyle w:val="ListParagraph"/>
        <w:numPr>
          <w:ilvl w:val="0"/>
          <w:numId w:val="295"/>
        </w:numPr>
        <w:tabs>
          <w:tab w:pos="738" w:val="left" w:leader="none"/>
        </w:tabs>
        <w:spacing w:line="225" w:lineRule="auto" w:before="1" w:after="0"/>
        <w:ind w:left="113" w:right="125" w:firstLine="204"/>
        <w:jc w:val="both"/>
        <w:rPr>
          <w:sz w:val="24"/>
        </w:rPr>
      </w:pPr>
      <w:r>
        <w:rPr>
          <w:w w:val="125"/>
          <w:sz w:val="24"/>
        </w:rPr>
        <w:t>aki (amely) független a pénzügyi intézmény óvatos, körültekintő és megbízható (a továbbiakban együtt: prudens) működését veszélyeztető befolyástól, jó üzleti hírnévvel rendelkezik, valamint biztosítani képes a pénzügyi intézmény megbízható, gondos tagi irányítását és ellenőrzését, valamint</w:t>
      </w:r>
    </w:p>
    <w:p>
      <w:pPr>
        <w:pStyle w:val="ListParagraph"/>
        <w:numPr>
          <w:ilvl w:val="0"/>
          <w:numId w:val="295"/>
        </w:numPr>
        <w:tabs>
          <w:tab w:pos="673" w:val="left" w:leader="none"/>
        </w:tabs>
        <w:spacing w:line="225" w:lineRule="auto" w:before="3" w:after="0"/>
        <w:ind w:left="113" w:right="131" w:firstLine="204"/>
        <w:jc w:val="both"/>
        <w:rPr>
          <w:sz w:val="24"/>
        </w:rPr>
      </w:pPr>
      <w:r>
        <w:rPr>
          <w:w w:val="130"/>
          <w:sz w:val="24"/>
        </w:rPr>
        <w:t>akinek (amelynek) üzleti kapcsolatrendszere és tagi szerkezete átlátható és ezáltal nem zárja ki a pénzügyi intézmény fölötti hatékony felügyelet gyakorlását.</w:t>
      </w:r>
    </w:p>
    <w:p>
      <w:pPr>
        <w:pStyle w:val="BodyText"/>
        <w:spacing w:before="228"/>
        <w:ind w:left="1224" w:firstLine="0"/>
      </w:pPr>
      <w:r>
        <w:rPr>
          <w:w w:val="125"/>
        </w:rPr>
        <w:t>59. A befolyásoló részesedés megszerzésének engedélyezése</w:t>
      </w:r>
    </w:p>
    <w:p>
      <w:pPr>
        <w:pStyle w:val="ListParagraph"/>
        <w:numPr>
          <w:ilvl w:val="1"/>
          <w:numId w:val="213"/>
        </w:numPr>
        <w:tabs>
          <w:tab w:pos="985" w:val="left" w:leader="none"/>
        </w:tabs>
        <w:spacing w:line="269" w:lineRule="exact" w:before="223" w:after="0"/>
        <w:ind w:left="984" w:right="0" w:hanging="667"/>
        <w:jc w:val="left"/>
        <w:rPr>
          <w:sz w:val="24"/>
        </w:rPr>
      </w:pPr>
      <w:r>
        <w:rPr>
          <w:rFonts w:ascii="Arial" w:hAnsi="Arial"/>
          <w:b/>
          <w:w w:val="120"/>
          <w:sz w:val="24"/>
        </w:rPr>
        <w:t>§</w:t>
      </w:r>
      <w:r>
        <w:rPr>
          <w:rFonts w:ascii="Arial" w:hAnsi="Arial"/>
          <w:b/>
          <w:spacing w:val="24"/>
          <w:w w:val="120"/>
          <w:sz w:val="24"/>
        </w:rPr>
        <w:t> </w:t>
      </w:r>
      <w:r>
        <w:rPr>
          <w:w w:val="120"/>
          <w:sz w:val="24"/>
        </w:rPr>
        <w:t>(1) A Felügyelettől engedélyt kér, aki pénzügyi intézményben</w:t>
      </w:r>
    </w:p>
    <w:p>
      <w:pPr>
        <w:pStyle w:val="ListParagraph"/>
        <w:numPr>
          <w:ilvl w:val="0"/>
          <w:numId w:val="296"/>
        </w:numPr>
        <w:tabs>
          <w:tab w:pos="631" w:val="left" w:leader="none"/>
        </w:tabs>
        <w:spacing w:line="260" w:lineRule="exact" w:before="0" w:after="0"/>
        <w:ind w:left="630" w:right="0" w:hanging="313"/>
        <w:jc w:val="left"/>
        <w:rPr>
          <w:sz w:val="24"/>
        </w:rPr>
      </w:pPr>
      <w:r>
        <w:rPr>
          <w:w w:val="125"/>
          <w:sz w:val="24"/>
        </w:rPr>
        <w:t>befolyásoló részesedést kíván szerezni,</w:t>
      </w:r>
      <w:r>
        <w:rPr>
          <w:spacing w:val="4"/>
          <w:w w:val="125"/>
          <w:sz w:val="24"/>
        </w:rPr>
        <w:t> </w:t>
      </w:r>
      <w:r>
        <w:rPr>
          <w:w w:val="125"/>
          <w:sz w:val="24"/>
        </w:rPr>
        <w:t>vagy</w:t>
      </w:r>
    </w:p>
    <w:p>
      <w:pPr>
        <w:pStyle w:val="ListParagraph"/>
        <w:numPr>
          <w:ilvl w:val="0"/>
          <w:numId w:val="296"/>
        </w:numPr>
        <w:tabs>
          <w:tab w:pos="660" w:val="left" w:leader="none"/>
        </w:tabs>
        <w:spacing w:line="225" w:lineRule="auto" w:before="5" w:after="0"/>
        <w:ind w:left="113" w:right="128" w:firstLine="204"/>
        <w:jc w:val="both"/>
        <w:rPr>
          <w:sz w:val="24"/>
        </w:rPr>
      </w:pPr>
      <w:r>
        <w:rPr>
          <w:w w:val="125"/>
          <w:sz w:val="24"/>
        </w:rPr>
        <w:t>befolyásoló részesedést úgy kívánja módosítani, hogy az elérje a 20, a 33 vagy az 50 százalékos</w:t>
      </w:r>
      <w:r>
        <w:rPr>
          <w:spacing w:val="6"/>
          <w:w w:val="125"/>
          <w:sz w:val="24"/>
        </w:rPr>
        <w:t> </w:t>
      </w:r>
      <w:r>
        <w:rPr>
          <w:w w:val="125"/>
          <w:sz w:val="24"/>
        </w:rPr>
        <w:t>határértéket.</w:t>
      </w:r>
    </w:p>
    <w:p>
      <w:pPr>
        <w:pStyle w:val="ListParagraph"/>
        <w:numPr>
          <w:ilvl w:val="0"/>
          <w:numId w:val="297"/>
        </w:numPr>
        <w:tabs>
          <w:tab w:pos="896" w:val="left" w:leader="none"/>
        </w:tabs>
        <w:spacing w:line="225" w:lineRule="auto" w:before="2" w:after="0"/>
        <w:ind w:left="113" w:right="126" w:firstLine="204"/>
        <w:jc w:val="both"/>
        <w:rPr>
          <w:sz w:val="24"/>
        </w:rPr>
      </w:pPr>
      <w:r>
        <w:rPr>
          <w:w w:val="125"/>
          <w:sz w:val="24"/>
        </w:rPr>
        <w:t>Az (1) bekezdésben meghatározott engedély iránti kérelemhez a kérelmező benyújtja a 18. § (1) bekezdés </w:t>
      </w:r>
      <w:r>
        <w:rPr>
          <w:i/>
          <w:w w:val="125"/>
          <w:sz w:val="24"/>
        </w:rPr>
        <w:t>g), h) </w:t>
      </w:r>
      <w:r>
        <w:rPr>
          <w:w w:val="125"/>
          <w:sz w:val="24"/>
        </w:rPr>
        <w:t>pontjában és a 18. § (2)-(4) bekezdésben meghatározott</w:t>
      </w:r>
      <w:r>
        <w:rPr>
          <w:spacing w:val="4"/>
          <w:w w:val="125"/>
          <w:sz w:val="24"/>
        </w:rPr>
        <w:t> </w:t>
      </w:r>
      <w:r>
        <w:rPr>
          <w:w w:val="125"/>
          <w:sz w:val="24"/>
        </w:rPr>
        <w:t>iratokat.</w:t>
      </w:r>
    </w:p>
    <w:p>
      <w:pPr>
        <w:pStyle w:val="ListParagraph"/>
        <w:numPr>
          <w:ilvl w:val="0"/>
          <w:numId w:val="297"/>
        </w:numPr>
        <w:tabs>
          <w:tab w:pos="826" w:val="left" w:leader="none"/>
        </w:tabs>
        <w:spacing w:line="225" w:lineRule="auto" w:before="1" w:after="0"/>
        <w:ind w:left="113" w:right="130" w:firstLine="204"/>
        <w:jc w:val="both"/>
        <w:rPr>
          <w:sz w:val="24"/>
        </w:rPr>
      </w:pPr>
      <w:r>
        <w:rPr>
          <w:w w:val="130"/>
          <w:sz w:val="24"/>
        </w:rPr>
        <w:t>A pénzügyi intézmény tagja a tagi részesedéséhez vagy a szavazati joghoz kapcsolódó, annak arányát meghaladó előnyöket biztosító megállapodást csak a Felügyelet engedélyével</w:t>
      </w:r>
      <w:r>
        <w:rPr>
          <w:spacing w:val="-31"/>
          <w:w w:val="130"/>
          <w:sz w:val="24"/>
        </w:rPr>
        <w:t> </w:t>
      </w:r>
      <w:r>
        <w:rPr>
          <w:w w:val="130"/>
          <w:sz w:val="24"/>
        </w:rPr>
        <w:t>köthet.</w:t>
      </w:r>
    </w:p>
    <w:p>
      <w:pPr>
        <w:pStyle w:val="ListParagraph"/>
        <w:numPr>
          <w:ilvl w:val="0"/>
          <w:numId w:val="297"/>
        </w:numPr>
        <w:tabs>
          <w:tab w:pos="1038" w:val="left" w:leader="none"/>
        </w:tabs>
        <w:spacing w:line="225" w:lineRule="auto" w:before="2" w:after="0"/>
        <w:ind w:left="113" w:right="128" w:firstLine="204"/>
        <w:jc w:val="both"/>
        <w:rPr>
          <w:sz w:val="24"/>
        </w:rPr>
      </w:pPr>
      <w:r>
        <w:rPr>
          <w:w w:val="125"/>
          <w:sz w:val="24"/>
        </w:rPr>
        <w:t>Pénzügyi intézményben befolyásoló részesedéssel rendelkező vállalkozásban többségi részesedés szerzéséhez a Felügyelet engedélye szükséges.</w:t>
      </w:r>
    </w:p>
    <w:p>
      <w:pPr>
        <w:pStyle w:val="ListParagraph"/>
        <w:numPr>
          <w:ilvl w:val="0"/>
          <w:numId w:val="297"/>
        </w:numPr>
        <w:tabs>
          <w:tab w:pos="734" w:val="left" w:leader="none"/>
        </w:tabs>
        <w:spacing w:line="256" w:lineRule="exact" w:before="0" w:after="0"/>
        <w:ind w:left="733" w:right="0" w:hanging="416"/>
        <w:jc w:val="left"/>
        <w:rPr>
          <w:sz w:val="24"/>
        </w:rPr>
      </w:pPr>
      <w:r>
        <w:rPr>
          <w:w w:val="125"/>
          <w:sz w:val="24"/>
        </w:rPr>
        <w:t>Az (1)-(4) bekezdés szerinti engedély iránti kérelem</w:t>
      </w:r>
      <w:r>
        <w:rPr>
          <w:spacing w:val="16"/>
          <w:w w:val="125"/>
          <w:sz w:val="24"/>
        </w:rPr>
        <w:t> </w:t>
      </w:r>
      <w:r>
        <w:rPr>
          <w:w w:val="125"/>
          <w:sz w:val="24"/>
        </w:rPr>
        <w:t>tartalmazza</w:t>
      </w:r>
    </w:p>
    <w:p>
      <w:pPr>
        <w:pStyle w:val="ListParagraph"/>
        <w:numPr>
          <w:ilvl w:val="0"/>
          <w:numId w:val="298"/>
        </w:numPr>
        <w:tabs>
          <w:tab w:pos="866" w:val="left" w:leader="none"/>
        </w:tabs>
        <w:spacing w:line="225" w:lineRule="auto" w:before="6" w:after="0"/>
        <w:ind w:left="113" w:right="126" w:firstLine="204"/>
        <w:jc w:val="both"/>
        <w:rPr>
          <w:sz w:val="24"/>
        </w:rPr>
      </w:pPr>
      <w:r>
        <w:rPr>
          <w:w w:val="130"/>
          <w:sz w:val="24"/>
        </w:rPr>
        <w:t>a pénzügyi intézményben befolyásoló részesedéssel rendelkező megnevezését,</w:t>
      </w:r>
    </w:p>
    <w:p>
      <w:pPr>
        <w:pStyle w:val="ListParagraph"/>
        <w:numPr>
          <w:ilvl w:val="0"/>
          <w:numId w:val="298"/>
        </w:numPr>
        <w:tabs>
          <w:tab w:pos="875" w:val="left" w:leader="none"/>
        </w:tabs>
        <w:spacing w:line="225" w:lineRule="auto" w:before="1" w:after="0"/>
        <w:ind w:left="113" w:right="126" w:firstLine="204"/>
        <w:jc w:val="both"/>
        <w:rPr>
          <w:sz w:val="24"/>
        </w:rPr>
      </w:pPr>
      <w:r>
        <w:rPr>
          <w:w w:val="130"/>
          <w:sz w:val="24"/>
        </w:rPr>
        <w:t>a pénzügyi intézményben befolyásoló részesedéssel rendelkező vállalkozásból</w:t>
      </w:r>
      <w:r>
        <w:rPr>
          <w:spacing w:val="-14"/>
          <w:w w:val="130"/>
          <w:sz w:val="24"/>
        </w:rPr>
        <w:t> </w:t>
      </w:r>
      <w:r>
        <w:rPr>
          <w:w w:val="130"/>
          <w:sz w:val="24"/>
        </w:rPr>
        <w:t>a</w:t>
      </w:r>
      <w:r>
        <w:rPr>
          <w:spacing w:val="-13"/>
          <w:w w:val="130"/>
          <w:sz w:val="24"/>
        </w:rPr>
        <w:t> </w:t>
      </w:r>
      <w:r>
        <w:rPr>
          <w:w w:val="130"/>
          <w:sz w:val="24"/>
        </w:rPr>
        <w:t>kérelmező</w:t>
      </w:r>
      <w:r>
        <w:rPr>
          <w:spacing w:val="-13"/>
          <w:w w:val="130"/>
          <w:sz w:val="24"/>
        </w:rPr>
        <w:t> </w:t>
      </w:r>
      <w:r>
        <w:rPr>
          <w:w w:val="130"/>
          <w:sz w:val="24"/>
        </w:rPr>
        <w:t>birtokában</w:t>
      </w:r>
      <w:r>
        <w:rPr>
          <w:spacing w:val="-13"/>
          <w:w w:val="130"/>
          <w:sz w:val="24"/>
        </w:rPr>
        <w:t> </w:t>
      </w:r>
      <w:r>
        <w:rPr>
          <w:w w:val="130"/>
          <w:sz w:val="24"/>
        </w:rPr>
        <w:t>lévő</w:t>
      </w:r>
      <w:r>
        <w:rPr>
          <w:spacing w:val="-13"/>
          <w:w w:val="130"/>
          <w:sz w:val="24"/>
        </w:rPr>
        <w:t> </w:t>
      </w:r>
      <w:r>
        <w:rPr>
          <w:w w:val="130"/>
          <w:sz w:val="24"/>
        </w:rPr>
        <w:t>részesedés</w:t>
      </w:r>
      <w:r>
        <w:rPr>
          <w:spacing w:val="-13"/>
          <w:w w:val="130"/>
          <w:sz w:val="24"/>
        </w:rPr>
        <w:t> </w:t>
      </w:r>
      <w:r>
        <w:rPr>
          <w:w w:val="130"/>
          <w:sz w:val="24"/>
        </w:rPr>
        <w:t>megjelölését,</w:t>
      </w:r>
    </w:p>
    <w:p>
      <w:pPr>
        <w:pStyle w:val="ListParagraph"/>
        <w:numPr>
          <w:ilvl w:val="0"/>
          <w:numId w:val="298"/>
        </w:numPr>
        <w:tabs>
          <w:tab w:pos="623" w:val="left" w:leader="none"/>
        </w:tabs>
        <w:spacing w:line="256" w:lineRule="exact" w:before="0" w:after="0"/>
        <w:ind w:left="622" w:right="0" w:hanging="305"/>
        <w:jc w:val="left"/>
        <w:rPr>
          <w:sz w:val="24"/>
        </w:rPr>
      </w:pPr>
      <w:r>
        <w:rPr>
          <w:w w:val="130"/>
          <w:sz w:val="24"/>
        </w:rPr>
        <w:t>a megszerezni kívánt részesedés</w:t>
      </w:r>
      <w:r>
        <w:rPr>
          <w:spacing w:val="-14"/>
          <w:w w:val="130"/>
          <w:sz w:val="24"/>
        </w:rPr>
        <w:t> </w:t>
      </w:r>
      <w:r>
        <w:rPr>
          <w:w w:val="130"/>
          <w:sz w:val="24"/>
        </w:rPr>
        <w:t>arányát,</w:t>
      </w:r>
    </w:p>
    <w:p>
      <w:pPr>
        <w:pStyle w:val="ListParagraph"/>
        <w:numPr>
          <w:ilvl w:val="0"/>
          <w:numId w:val="298"/>
        </w:numPr>
        <w:tabs>
          <w:tab w:pos="659" w:val="left" w:leader="none"/>
        </w:tabs>
        <w:spacing w:line="225" w:lineRule="auto" w:before="5" w:after="0"/>
        <w:ind w:left="113" w:right="130" w:firstLine="204"/>
        <w:jc w:val="both"/>
        <w:rPr>
          <w:sz w:val="24"/>
        </w:rPr>
      </w:pPr>
      <w:r>
        <w:rPr>
          <w:w w:val="130"/>
          <w:sz w:val="24"/>
        </w:rPr>
        <w:t>a</w:t>
      </w:r>
      <w:r>
        <w:rPr>
          <w:spacing w:val="-7"/>
          <w:w w:val="130"/>
          <w:sz w:val="24"/>
        </w:rPr>
        <w:t> </w:t>
      </w:r>
      <w:r>
        <w:rPr>
          <w:w w:val="130"/>
          <w:sz w:val="24"/>
        </w:rPr>
        <w:t>tagi</w:t>
      </w:r>
      <w:r>
        <w:rPr>
          <w:spacing w:val="-7"/>
          <w:w w:val="130"/>
          <w:sz w:val="24"/>
        </w:rPr>
        <w:t> </w:t>
      </w:r>
      <w:r>
        <w:rPr>
          <w:w w:val="130"/>
          <w:sz w:val="24"/>
        </w:rPr>
        <w:t>részesedés</w:t>
      </w:r>
      <w:r>
        <w:rPr>
          <w:spacing w:val="-7"/>
          <w:w w:val="130"/>
          <w:sz w:val="24"/>
        </w:rPr>
        <w:t> </w:t>
      </w:r>
      <w:r>
        <w:rPr>
          <w:w w:val="130"/>
          <w:sz w:val="24"/>
        </w:rPr>
        <w:t>szerzésére</w:t>
      </w:r>
      <w:r>
        <w:rPr>
          <w:spacing w:val="-6"/>
          <w:w w:val="130"/>
          <w:sz w:val="24"/>
        </w:rPr>
        <w:t> </w:t>
      </w:r>
      <w:r>
        <w:rPr>
          <w:w w:val="130"/>
          <w:sz w:val="24"/>
        </w:rPr>
        <w:t>vagy</w:t>
      </w:r>
      <w:r>
        <w:rPr>
          <w:spacing w:val="-8"/>
          <w:w w:val="130"/>
          <w:sz w:val="24"/>
        </w:rPr>
        <w:t> </w:t>
      </w:r>
      <w:r>
        <w:rPr>
          <w:w w:val="130"/>
          <w:sz w:val="24"/>
        </w:rPr>
        <w:t>a</w:t>
      </w:r>
      <w:r>
        <w:rPr>
          <w:spacing w:val="-6"/>
          <w:w w:val="130"/>
          <w:sz w:val="24"/>
        </w:rPr>
        <w:t> </w:t>
      </w:r>
      <w:r>
        <w:rPr>
          <w:w w:val="130"/>
          <w:sz w:val="24"/>
        </w:rPr>
        <w:t>szavazati</w:t>
      </w:r>
      <w:r>
        <w:rPr>
          <w:spacing w:val="-7"/>
          <w:w w:val="130"/>
          <w:sz w:val="24"/>
        </w:rPr>
        <w:t> </w:t>
      </w:r>
      <w:r>
        <w:rPr>
          <w:w w:val="130"/>
          <w:sz w:val="24"/>
        </w:rPr>
        <w:t>joghoz</w:t>
      </w:r>
      <w:r>
        <w:rPr>
          <w:spacing w:val="-7"/>
          <w:w w:val="130"/>
          <w:sz w:val="24"/>
        </w:rPr>
        <w:t> </w:t>
      </w:r>
      <w:r>
        <w:rPr>
          <w:w w:val="130"/>
          <w:sz w:val="24"/>
        </w:rPr>
        <w:t>kapcsolódó,</w:t>
      </w:r>
      <w:r>
        <w:rPr>
          <w:spacing w:val="-7"/>
          <w:w w:val="130"/>
          <w:sz w:val="24"/>
        </w:rPr>
        <w:t> </w:t>
      </w:r>
      <w:r>
        <w:rPr>
          <w:w w:val="130"/>
          <w:sz w:val="24"/>
        </w:rPr>
        <w:t>jelentős előnyöket</w:t>
      </w:r>
      <w:r>
        <w:rPr>
          <w:spacing w:val="-13"/>
          <w:w w:val="130"/>
          <w:sz w:val="24"/>
        </w:rPr>
        <w:t> </w:t>
      </w:r>
      <w:r>
        <w:rPr>
          <w:w w:val="130"/>
          <w:sz w:val="24"/>
        </w:rPr>
        <w:t>biztosító</w:t>
      </w:r>
      <w:r>
        <w:rPr>
          <w:spacing w:val="-12"/>
          <w:w w:val="130"/>
          <w:sz w:val="24"/>
        </w:rPr>
        <w:t> </w:t>
      </w:r>
      <w:r>
        <w:rPr>
          <w:w w:val="130"/>
          <w:sz w:val="24"/>
        </w:rPr>
        <w:t>megállapodásra</w:t>
      </w:r>
      <w:r>
        <w:rPr>
          <w:spacing w:val="-12"/>
          <w:w w:val="130"/>
          <w:sz w:val="24"/>
        </w:rPr>
        <w:t> </w:t>
      </w:r>
      <w:r>
        <w:rPr>
          <w:w w:val="130"/>
          <w:sz w:val="24"/>
        </w:rPr>
        <w:t>tett</w:t>
      </w:r>
      <w:r>
        <w:rPr>
          <w:spacing w:val="-13"/>
          <w:w w:val="130"/>
          <w:sz w:val="24"/>
        </w:rPr>
        <w:t> </w:t>
      </w:r>
      <w:r>
        <w:rPr>
          <w:w w:val="130"/>
          <w:sz w:val="24"/>
        </w:rPr>
        <w:t>szerződéses</w:t>
      </w:r>
      <w:r>
        <w:rPr>
          <w:spacing w:val="-5"/>
          <w:w w:val="130"/>
          <w:sz w:val="24"/>
        </w:rPr>
        <w:t> </w:t>
      </w:r>
      <w:r>
        <w:rPr>
          <w:w w:val="130"/>
          <w:sz w:val="24"/>
        </w:rPr>
        <w:t>ajánlatot,</w:t>
      </w:r>
      <w:r>
        <w:rPr>
          <w:spacing w:val="-19"/>
          <w:w w:val="130"/>
          <w:sz w:val="24"/>
        </w:rPr>
        <w:t> </w:t>
      </w:r>
      <w:r>
        <w:rPr>
          <w:w w:val="130"/>
          <w:sz w:val="24"/>
        </w:rPr>
        <w:t>valamint</w:t>
      </w:r>
    </w:p>
    <w:p>
      <w:pPr>
        <w:pStyle w:val="ListParagraph"/>
        <w:numPr>
          <w:ilvl w:val="0"/>
          <w:numId w:val="298"/>
        </w:numPr>
        <w:tabs>
          <w:tab w:pos="833" w:val="left" w:leader="none"/>
        </w:tabs>
        <w:spacing w:line="225" w:lineRule="auto" w:before="1" w:after="0"/>
        <w:ind w:left="113" w:right="113" w:firstLine="204"/>
        <w:jc w:val="both"/>
        <w:rPr>
          <w:sz w:val="24"/>
        </w:rPr>
      </w:pPr>
      <w:r>
        <w:rPr>
          <w:w w:val="125"/>
          <w:sz w:val="24"/>
        </w:rPr>
        <w:t>a kérelmezőnél vezető tisztségviselői beosztásban lévő személy tekintetében a 137. § (4)  bekezdésében  meghatározott  kizáró  ok megítéléséhez szükséges tényeket és a 137. § (6) bekezdésében meghatározott büntetőeljárással kapcsolatos</w:t>
      </w:r>
      <w:r>
        <w:rPr>
          <w:spacing w:val="4"/>
          <w:w w:val="125"/>
          <w:sz w:val="24"/>
        </w:rPr>
        <w:t> </w:t>
      </w:r>
      <w:r>
        <w:rPr>
          <w:w w:val="125"/>
          <w:sz w:val="24"/>
        </w:rPr>
        <w:t>nyilatkozatot.</w:t>
      </w:r>
    </w:p>
    <w:p>
      <w:pPr>
        <w:pStyle w:val="ListParagraph"/>
        <w:numPr>
          <w:ilvl w:val="1"/>
          <w:numId w:val="213"/>
        </w:numPr>
        <w:tabs>
          <w:tab w:pos="988" w:val="left" w:leader="none"/>
        </w:tabs>
        <w:spacing w:line="225" w:lineRule="auto" w:before="2" w:after="0"/>
        <w:ind w:left="113" w:right="124" w:firstLine="204"/>
        <w:jc w:val="both"/>
        <w:rPr>
          <w:sz w:val="24"/>
        </w:rPr>
      </w:pPr>
      <w:r>
        <w:rPr>
          <w:rFonts w:ascii="Arial" w:hAnsi="Arial"/>
          <w:b/>
          <w:w w:val="125"/>
          <w:sz w:val="24"/>
        </w:rPr>
        <w:t>§ </w:t>
      </w:r>
      <w:r>
        <w:rPr>
          <w:w w:val="125"/>
          <w:sz w:val="24"/>
        </w:rPr>
        <w:t>(1) A befolyásoló részesedés mértékének megállapításánál a szavazati jog kiszámítása - a szavazati jog gyakorlásának korlátozására vonatkozó előírásoktól függetlenül - mindazon részesedés alapján történik, amelyhez a vállalkozás létesítő okiratának rendelkezése alapján szavazati jog</w:t>
      </w:r>
      <w:r>
        <w:rPr>
          <w:spacing w:val="-18"/>
          <w:w w:val="125"/>
          <w:sz w:val="24"/>
        </w:rPr>
        <w:t> </w:t>
      </w:r>
      <w:r>
        <w:rPr>
          <w:w w:val="125"/>
          <w:sz w:val="24"/>
        </w:rPr>
        <w:t>kapcsolódik.</w:t>
      </w:r>
    </w:p>
    <w:p>
      <w:pPr>
        <w:pStyle w:val="ListParagraph"/>
        <w:numPr>
          <w:ilvl w:val="0"/>
          <w:numId w:val="299"/>
        </w:numPr>
        <w:tabs>
          <w:tab w:pos="816" w:val="left" w:leader="none"/>
        </w:tabs>
        <w:spacing w:line="225" w:lineRule="auto" w:before="2" w:after="0"/>
        <w:ind w:left="113" w:right="125" w:firstLine="204"/>
        <w:jc w:val="both"/>
        <w:rPr>
          <w:sz w:val="24"/>
        </w:rPr>
      </w:pPr>
      <w:r>
        <w:rPr>
          <w:w w:val="130"/>
          <w:sz w:val="24"/>
        </w:rPr>
        <w:t>A befolyásoló részesedés mértékének meghatározásakor a kérelmező részesedésén</w:t>
      </w:r>
      <w:r>
        <w:rPr>
          <w:spacing w:val="-10"/>
          <w:w w:val="130"/>
          <w:sz w:val="24"/>
        </w:rPr>
        <w:t> </w:t>
      </w:r>
      <w:r>
        <w:rPr>
          <w:w w:val="130"/>
          <w:sz w:val="24"/>
        </w:rPr>
        <w:t>kívül</w:t>
      </w:r>
      <w:r>
        <w:rPr>
          <w:spacing w:val="-9"/>
          <w:w w:val="130"/>
          <w:sz w:val="24"/>
        </w:rPr>
        <w:t> </w:t>
      </w:r>
      <w:r>
        <w:rPr>
          <w:w w:val="130"/>
          <w:sz w:val="24"/>
        </w:rPr>
        <w:t>a</w:t>
      </w:r>
      <w:r>
        <w:rPr>
          <w:spacing w:val="-9"/>
          <w:w w:val="130"/>
          <w:sz w:val="24"/>
        </w:rPr>
        <w:t> </w:t>
      </w:r>
      <w:r>
        <w:rPr>
          <w:w w:val="130"/>
          <w:sz w:val="24"/>
        </w:rPr>
        <w:t>(3)</w:t>
      </w:r>
      <w:r>
        <w:rPr>
          <w:spacing w:val="-9"/>
          <w:w w:val="130"/>
          <w:sz w:val="24"/>
        </w:rPr>
        <w:t> </w:t>
      </w:r>
      <w:r>
        <w:rPr>
          <w:w w:val="130"/>
          <w:sz w:val="24"/>
        </w:rPr>
        <w:t>és</w:t>
      </w:r>
      <w:r>
        <w:rPr>
          <w:spacing w:val="-9"/>
          <w:w w:val="130"/>
          <w:sz w:val="24"/>
        </w:rPr>
        <w:t> </w:t>
      </w:r>
      <w:r>
        <w:rPr>
          <w:w w:val="130"/>
          <w:sz w:val="24"/>
        </w:rPr>
        <w:t>(4)</w:t>
      </w:r>
      <w:r>
        <w:rPr>
          <w:spacing w:val="1"/>
          <w:w w:val="130"/>
          <w:sz w:val="24"/>
        </w:rPr>
        <w:t> </w:t>
      </w:r>
      <w:r>
        <w:rPr>
          <w:w w:val="130"/>
          <w:sz w:val="24"/>
        </w:rPr>
        <w:t>bekezdés</w:t>
      </w:r>
      <w:r>
        <w:rPr>
          <w:spacing w:val="-18"/>
          <w:w w:val="130"/>
          <w:sz w:val="24"/>
        </w:rPr>
        <w:t> </w:t>
      </w:r>
      <w:r>
        <w:rPr>
          <w:w w:val="130"/>
          <w:sz w:val="24"/>
        </w:rPr>
        <w:t>szerinti</w:t>
      </w:r>
      <w:r>
        <w:rPr>
          <w:spacing w:val="-9"/>
          <w:w w:val="130"/>
          <w:sz w:val="24"/>
        </w:rPr>
        <w:t> </w:t>
      </w:r>
      <w:r>
        <w:rPr>
          <w:w w:val="130"/>
          <w:sz w:val="24"/>
        </w:rPr>
        <w:t>szavazati</w:t>
      </w:r>
      <w:r>
        <w:rPr>
          <w:spacing w:val="-9"/>
          <w:w w:val="130"/>
          <w:sz w:val="24"/>
        </w:rPr>
        <w:t> </w:t>
      </w:r>
      <w:r>
        <w:rPr>
          <w:w w:val="130"/>
          <w:sz w:val="24"/>
        </w:rPr>
        <w:t>jogot</w:t>
      </w:r>
      <w:r>
        <w:rPr>
          <w:spacing w:val="-6"/>
          <w:w w:val="130"/>
          <w:sz w:val="24"/>
        </w:rPr>
        <w:t> </w:t>
      </w:r>
      <w:r>
        <w:rPr>
          <w:w w:val="130"/>
          <w:sz w:val="24"/>
        </w:rPr>
        <w:t>is</w:t>
      </w:r>
      <w:r>
        <w:rPr>
          <w:spacing w:val="-12"/>
          <w:w w:val="130"/>
          <w:sz w:val="24"/>
        </w:rPr>
        <w:t> </w:t>
      </w:r>
      <w:r>
        <w:rPr>
          <w:w w:val="130"/>
          <w:sz w:val="24"/>
        </w:rPr>
        <w:t>figyelembe kell</w:t>
      </w:r>
      <w:r>
        <w:rPr>
          <w:spacing w:val="-4"/>
          <w:w w:val="130"/>
          <w:sz w:val="24"/>
        </w:rPr>
        <w:t> </w:t>
      </w:r>
      <w:r>
        <w:rPr>
          <w:w w:val="130"/>
          <w:sz w:val="24"/>
        </w:rPr>
        <w:t>venni.</w:t>
      </w:r>
    </w:p>
    <w:p>
      <w:pPr>
        <w:pStyle w:val="ListParagraph"/>
        <w:numPr>
          <w:ilvl w:val="0"/>
          <w:numId w:val="299"/>
        </w:numPr>
        <w:tabs>
          <w:tab w:pos="762" w:val="left" w:leader="none"/>
        </w:tabs>
        <w:spacing w:line="225" w:lineRule="auto" w:before="2" w:after="0"/>
        <w:ind w:left="113" w:right="124" w:firstLine="204"/>
        <w:jc w:val="both"/>
        <w:rPr>
          <w:sz w:val="24"/>
        </w:rPr>
      </w:pPr>
      <w:r>
        <w:rPr>
          <w:w w:val="125"/>
          <w:sz w:val="24"/>
        </w:rPr>
        <w:t>A befolyásoló részesedés mértékének meghatározásakor figyelembe kell venni a kérelmező ellenőrzött vállalkozásaként</w:t>
      </w:r>
      <w:r>
        <w:rPr>
          <w:spacing w:val="1"/>
          <w:w w:val="125"/>
          <w:sz w:val="24"/>
        </w:rPr>
        <w:t> </w:t>
      </w:r>
      <w:r>
        <w:rPr>
          <w:w w:val="125"/>
          <w:sz w:val="24"/>
        </w:rPr>
        <w:t>működő</w:t>
      </w:r>
    </w:p>
    <w:p>
      <w:pPr>
        <w:spacing w:after="0" w:line="225" w:lineRule="auto"/>
        <w:jc w:val="both"/>
        <w:rPr>
          <w:sz w:val="24"/>
        </w:rPr>
        <w:sectPr>
          <w:pgSz w:w="11900" w:h="16820"/>
          <w:pgMar w:header="1104" w:footer="0" w:top="1840" w:bottom="280" w:left="1020" w:right="1000"/>
        </w:sectPr>
      </w:pPr>
    </w:p>
    <w:p>
      <w:pPr>
        <w:pStyle w:val="ListParagraph"/>
        <w:numPr>
          <w:ilvl w:val="0"/>
          <w:numId w:val="300"/>
        </w:numPr>
        <w:tabs>
          <w:tab w:pos="687" w:val="left" w:leader="none"/>
        </w:tabs>
        <w:spacing w:line="225" w:lineRule="auto" w:before="173" w:after="0"/>
        <w:ind w:left="113" w:right="128" w:firstLine="204"/>
        <w:jc w:val="both"/>
        <w:rPr>
          <w:sz w:val="24"/>
        </w:rPr>
      </w:pPr>
      <w:r>
        <w:rPr>
          <w:w w:val="125"/>
          <w:sz w:val="24"/>
        </w:rPr>
        <w:t>befektetési alapkezelő, átruházható értékpapírokkal foglalkozó kollektív befektetési vállalkozást (a továbbiakban: ÁÉKBV) kezelő vállalkozás szavazati jogát, ha a befektetési alapkezelő, ÁÉKBV-t kezelő vállalkozás az általa kezelt értékpapír-állományhoz kapcsolódó szavazati jogot,</w:t>
      </w:r>
    </w:p>
    <w:p>
      <w:pPr>
        <w:pStyle w:val="ListParagraph"/>
        <w:numPr>
          <w:ilvl w:val="0"/>
          <w:numId w:val="300"/>
        </w:numPr>
        <w:tabs>
          <w:tab w:pos="489" w:val="left" w:leader="none"/>
          <w:tab w:pos="735" w:val="left" w:leader="none"/>
          <w:tab w:pos="2050" w:val="left" w:leader="none"/>
          <w:tab w:pos="2405" w:val="left" w:leader="none"/>
          <w:tab w:pos="3886" w:val="left" w:leader="none"/>
          <w:tab w:pos="4826" w:val="left" w:leader="none"/>
          <w:tab w:pos="6361" w:val="left" w:leader="none"/>
          <w:tab w:pos="8499" w:val="left" w:leader="none"/>
        </w:tabs>
        <w:spacing w:line="225" w:lineRule="auto" w:before="2" w:after="0"/>
        <w:ind w:left="113" w:right="124" w:firstLine="204"/>
        <w:jc w:val="left"/>
        <w:rPr>
          <w:sz w:val="24"/>
        </w:rPr>
      </w:pPr>
      <w:r>
        <w:rPr>
          <w:w w:val="125"/>
          <w:sz w:val="24"/>
        </w:rPr>
        <w:t>hitelintézet, befektetési vállalkozás szavazati jogát, ha a hitelintézet, befektetési vállalkozás az általa kezelt portfólióhoz kapcsolódó szavazati jogot a</w:t>
        <w:tab/>
        <w:t>kérelmező,</w:t>
        <w:tab/>
        <w:t>a</w:t>
        <w:tab/>
        <w:t>kérelmező</w:t>
        <w:tab/>
        <w:t>másik</w:t>
        <w:tab/>
        <w:t>ellenőrzött</w:t>
        <w:tab/>
        <w:t>vállalkozásának</w:t>
        <w:tab/>
        <w:t>közvetlen, közvetett bármely más módon adott utasítása alapján</w:t>
      </w:r>
      <w:r>
        <w:rPr>
          <w:spacing w:val="56"/>
          <w:w w:val="125"/>
          <w:sz w:val="24"/>
        </w:rPr>
        <w:t> </w:t>
      </w:r>
      <w:r>
        <w:rPr>
          <w:w w:val="125"/>
          <w:sz w:val="24"/>
        </w:rPr>
        <w:t>gyakorolhatja.</w:t>
      </w:r>
    </w:p>
    <w:p>
      <w:pPr>
        <w:pStyle w:val="ListParagraph"/>
        <w:numPr>
          <w:ilvl w:val="0"/>
          <w:numId w:val="299"/>
        </w:numPr>
        <w:tabs>
          <w:tab w:pos="816" w:val="left" w:leader="none"/>
        </w:tabs>
        <w:spacing w:line="225" w:lineRule="auto" w:before="2" w:after="0"/>
        <w:ind w:left="113" w:right="126" w:firstLine="204"/>
        <w:jc w:val="both"/>
        <w:rPr>
          <w:sz w:val="24"/>
        </w:rPr>
      </w:pPr>
      <w:r>
        <w:rPr>
          <w:w w:val="130"/>
          <w:sz w:val="24"/>
        </w:rPr>
        <w:t>A befolyásoló részesedés mértékének meghatározásakor a kérelmező szavazati jogaként szükséges figyelembe venni a részesedéshez kapcsolódó szavazati jogot,</w:t>
      </w:r>
      <w:r>
        <w:rPr>
          <w:spacing w:val="-7"/>
          <w:w w:val="130"/>
          <w:sz w:val="24"/>
        </w:rPr>
        <w:t> </w:t>
      </w:r>
      <w:r>
        <w:rPr>
          <w:w w:val="130"/>
          <w:sz w:val="24"/>
        </w:rPr>
        <w:t>amelyet</w:t>
      </w:r>
    </w:p>
    <w:p>
      <w:pPr>
        <w:pStyle w:val="ListParagraph"/>
        <w:numPr>
          <w:ilvl w:val="0"/>
          <w:numId w:val="301"/>
        </w:numPr>
        <w:tabs>
          <w:tab w:pos="827" w:val="left" w:leader="none"/>
        </w:tabs>
        <w:spacing w:line="225" w:lineRule="auto" w:before="2" w:after="0"/>
        <w:ind w:left="113" w:right="128" w:firstLine="204"/>
        <w:jc w:val="both"/>
        <w:rPr>
          <w:sz w:val="24"/>
        </w:rPr>
      </w:pPr>
      <w:r>
        <w:rPr>
          <w:w w:val="130"/>
          <w:sz w:val="24"/>
        </w:rPr>
        <w:t>a kérelmező és harmadik személy olyan megállapodás alapján gyakorolhat, amely lehetővé teszi a megállapodásban részes felek számára a szavazati jog összehangolt</w:t>
      </w:r>
      <w:r>
        <w:rPr>
          <w:spacing w:val="-13"/>
          <w:w w:val="130"/>
          <w:sz w:val="24"/>
        </w:rPr>
        <w:t> </w:t>
      </w:r>
      <w:r>
        <w:rPr>
          <w:w w:val="130"/>
          <w:sz w:val="24"/>
        </w:rPr>
        <w:t>gyakorlását,</w:t>
      </w:r>
    </w:p>
    <w:p>
      <w:pPr>
        <w:pStyle w:val="ListParagraph"/>
        <w:numPr>
          <w:ilvl w:val="0"/>
          <w:numId w:val="301"/>
        </w:numPr>
        <w:tabs>
          <w:tab w:pos="855" w:val="left" w:leader="none"/>
        </w:tabs>
        <w:spacing w:line="225" w:lineRule="auto" w:before="2" w:after="0"/>
        <w:ind w:left="113" w:right="132" w:firstLine="204"/>
        <w:jc w:val="both"/>
        <w:rPr>
          <w:sz w:val="24"/>
        </w:rPr>
      </w:pPr>
      <w:r>
        <w:rPr>
          <w:w w:val="130"/>
          <w:sz w:val="24"/>
        </w:rPr>
        <w:t>a kérelmező a szavazati jog ideiglenes átruházására irányuló megállapodás alapján</w:t>
      </w:r>
      <w:r>
        <w:rPr>
          <w:spacing w:val="-10"/>
          <w:w w:val="130"/>
          <w:sz w:val="24"/>
        </w:rPr>
        <w:t> </w:t>
      </w:r>
      <w:r>
        <w:rPr>
          <w:w w:val="130"/>
          <w:sz w:val="24"/>
        </w:rPr>
        <w:t>gyakorolhat,</w:t>
      </w:r>
    </w:p>
    <w:p>
      <w:pPr>
        <w:pStyle w:val="ListParagraph"/>
        <w:numPr>
          <w:ilvl w:val="0"/>
          <w:numId w:val="301"/>
        </w:numPr>
        <w:tabs>
          <w:tab w:pos="885" w:val="left" w:leader="none"/>
        </w:tabs>
        <w:spacing w:line="225" w:lineRule="auto" w:before="1" w:after="0"/>
        <w:ind w:left="113" w:right="128" w:firstLine="204"/>
        <w:jc w:val="both"/>
        <w:rPr>
          <w:sz w:val="24"/>
        </w:rPr>
      </w:pPr>
      <w:r>
        <w:rPr>
          <w:w w:val="130"/>
          <w:sz w:val="24"/>
        </w:rPr>
        <w:t>a kérelmező a nála biztosítékként elhelyezett részesedéshez kapcsolódóan, megállapodás alapján</w:t>
      </w:r>
      <w:r>
        <w:rPr>
          <w:spacing w:val="-20"/>
          <w:w w:val="130"/>
          <w:sz w:val="24"/>
        </w:rPr>
        <w:t> </w:t>
      </w:r>
      <w:r>
        <w:rPr>
          <w:w w:val="130"/>
          <w:sz w:val="24"/>
        </w:rPr>
        <w:t>gyakorolhat,</w:t>
      </w:r>
    </w:p>
    <w:p>
      <w:pPr>
        <w:pStyle w:val="ListParagraph"/>
        <w:numPr>
          <w:ilvl w:val="0"/>
          <w:numId w:val="301"/>
        </w:numPr>
        <w:tabs>
          <w:tab w:pos="788" w:val="left" w:leader="none"/>
        </w:tabs>
        <w:spacing w:line="225" w:lineRule="auto" w:before="1" w:after="0"/>
        <w:ind w:left="113" w:right="129" w:firstLine="204"/>
        <w:jc w:val="both"/>
        <w:rPr>
          <w:sz w:val="24"/>
        </w:rPr>
      </w:pPr>
      <w:r>
        <w:rPr>
          <w:w w:val="125"/>
          <w:sz w:val="24"/>
        </w:rPr>
        <w:t>a kérelmező a részesedésre vonatkozó haszonélvezeti jog alapján gyakorolhat,</w:t>
      </w:r>
    </w:p>
    <w:p>
      <w:pPr>
        <w:pStyle w:val="ListParagraph"/>
        <w:numPr>
          <w:ilvl w:val="0"/>
          <w:numId w:val="301"/>
        </w:numPr>
        <w:tabs>
          <w:tab w:pos="691" w:val="left" w:leader="none"/>
        </w:tabs>
        <w:spacing w:line="225" w:lineRule="auto" w:before="1" w:after="0"/>
        <w:ind w:left="113" w:right="115" w:firstLine="204"/>
        <w:jc w:val="both"/>
        <w:rPr>
          <w:sz w:val="24"/>
        </w:rPr>
      </w:pPr>
      <w:r>
        <w:rPr>
          <w:w w:val="130"/>
          <w:sz w:val="24"/>
        </w:rPr>
        <w:t>a kérelmező ellenőrzött vállalkozása az </w:t>
      </w:r>
      <w:r>
        <w:rPr>
          <w:i/>
          <w:w w:val="130"/>
          <w:sz w:val="24"/>
        </w:rPr>
        <w:t>a)-d) </w:t>
      </w:r>
      <w:r>
        <w:rPr>
          <w:w w:val="130"/>
          <w:sz w:val="24"/>
        </w:rPr>
        <w:t>pontban meghatározottak alapján</w:t>
      </w:r>
      <w:r>
        <w:rPr>
          <w:spacing w:val="-4"/>
          <w:w w:val="130"/>
          <w:sz w:val="24"/>
        </w:rPr>
        <w:t> </w:t>
      </w:r>
      <w:r>
        <w:rPr>
          <w:w w:val="130"/>
          <w:sz w:val="24"/>
        </w:rPr>
        <w:t>gyakorolhat,</w:t>
      </w:r>
    </w:p>
    <w:p>
      <w:pPr>
        <w:pStyle w:val="ListParagraph"/>
        <w:numPr>
          <w:ilvl w:val="0"/>
          <w:numId w:val="301"/>
        </w:numPr>
        <w:tabs>
          <w:tab w:pos="597" w:val="left" w:leader="none"/>
        </w:tabs>
        <w:spacing w:line="225" w:lineRule="auto" w:before="1" w:after="0"/>
        <w:ind w:left="113" w:right="135" w:firstLine="204"/>
        <w:jc w:val="both"/>
        <w:rPr>
          <w:sz w:val="24"/>
        </w:rPr>
      </w:pPr>
      <w:r>
        <w:rPr>
          <w:w w:val="125"/>
          <w:sz w:val="24"/>
        </w:rPr>
        <w:t>a kérelmező letétkezelőként - a letevő konkrét utasítása hiányában - saját döntése alapján</w:t>
      </w:r>
      <w:r>
        <w:rPr>
          <w:spacing w:val="2"/>
          <w:w w:val="125"/>
          <w:sz w:val="24"/>
        </w:rPr>
        <w:t> </w:t>
      </w:r>
      <w:r>
        <w:rPr>
          <w:w w:val="125"/>
          <w:sz w:val="24"/>
        </w:rPr>
        <w:t>gyakorolhat,</w:t>
      </w:r>
    </w:p>
    <w:p>
      <w:pPr>
        <w:pStyle w:val="ListParagraph"/>
        <w:numPr>
          <w:ilvl w:val="0"/>
          <w:numId w:val="301"/>
        </w:numPr>
        <w:tabs>
          <w:tab w:pos="692" w:val="left" w:leader="none"/>
        </w:tabs>
        <w:spacing w:line="225" w:lineRule="auto" w:before="2" w:after="0"/>
        <w:ind w:left="113" w:right="131" w:firstLine="204"/>
        <w:jc w:val="both"/>
        <w:rPr>
          <w:sz w:val="24"/>
        </w:rPr>
      </w:pPr>
      <w:r>
        <w:rPr>
          <w:w w:val="125"/>
          <w:sz w:val="24"/>
        </w:rPr>
        <w:t>harmadik személy - a kérelmezővel kötött megállapodás alapján - saját nevében, a kérelmező javára gyakorolhat,</w:t>
      </w:r>
      <w:r>
        <w:rPr>
          <w:spacing w:val="6"/>
          <w:w w:val="125"/>
          <w:sz w:val="24"/>
        </w:rPr>
        <w:t> </w:t>
      </w:r>
      <w:r>
        <w:rPr>
          <w:w w:val="125"/>
          <w:sz w:val="24"/>
        </w:rPr>
        <w:t>vagy</w:t>
      </w:r>
    </w:p>
    <w:p>
      <w:pPr>
        <w:pStyle w:val="ListParagraph"/>
        <w:numPr>
          <w:ilvl w:val="0"/>
          <w:numId w:val="301"/>
        </w:numPr>
        <w:tabs>
          <w:tab w:pos="724" w:val="left" w:leader="none"/>
        </w:tabs>
        <w:spacing w:line="225" w:lineRule="auto" w:before="1" w:after="0"/>
        <w:ind w:left="113" w:right="131" w:firstLine="204"/>
        <w:jc w:val="both"/>
        <w:rPr>
          <w:sz w:val="24"/>
        </w:rPr>
      </w:pPr>
      <w:r>
        <w:rPr>
          <w:w w:val="125"/>
          <w:sz w:val="24"/>
        </w:rPr>
        <w:t>a kérelmező meghatalmazottként - a meghatalmazó konkrét utasítása hiányában - saját döntése alapján</w:t>
      </w:r>
      <w:r>
        <w:rPr>
          <w:spacing w:val="9"/>
          <w:w w:val="125"/>
          <w:sz w:val="24"/>
        </w:rPr>
        <w:t> </w:t>
      </w:r>
      <w:r>
        <w:rPr>
          <w:w w:val="125"/>
          <w:sz w:val="24"/>
        </w:rPr>
        <w:t>gyakorolhat.</w:t>
      </w:r>
    </w:p>
    <w:p>
      <w:pPr>
        <w:pStyle w:val="ListParagraph"/>
        <w:numPr>
          <w:ilvl w:val="0"/>
          <w:numId w:val="299"/>
        </w:numPr>
        <w:tabs>
          <w:tab w:pos="765" w:val="left" w:leader="none"/>
        </w:tabs>
        <w:spacing w:line="225" w:lineRule="auto" w:before="1" w:after="0"/>
        <w:ind w:left="113" w:right="124" w:firstLine="204"/>
        <w:jc w:val="both"/>
        <w:rPr>
          <w:sz w:val="24"/>
        </w:rPr>
      </w:pPr>
      <w:r>
        <w:rPr>
          <w:w w:val="130"/>
          <w:sz w:val="24"/>
        </w:rPr>
        <w:t>A befolyásoló részesedés mértékének meghatározásakor nem szükséges figyelembe</w:t>
      </w:r>
      <w:r>
        <w:rPr>
          <w:spacing w:val="-27"/>
          <w:w w:val="130"/>
          <w:sz w:val="24"/>
        </w:rPr>
        <w:t> </w:t>
      </w:r>
      <w:r>
        <w:rPr>
          <w:w w:val="130"/>
          <w:sz w:val="24"/>
        </w:rPr>
        <w:t>venni</w:t>
      </w:r>
      <w:r>
        <w:rPr>
          <w:spacing w:val="-26"/>
          <w:w w:val="130"/>
          <w:sz w:val="24"/>
        </w:rPr>
        <w:t> </w:t>
      </w:r>
      <w:r>
        <w:rPr>
          <w:w w:val="130"/>
          <w:sz w:val="24"/>
        </w:rPr>
        <w:t>a</w:t>
      </w:r>
      <w:r>
        <w:rPr>
          <w:spacing w:val="-26"/>
          <w:w w:val="130"/>
          <w:sz w:val="24"/>
        </w:rPr>
        <w:t> </w:t>
      </w:r>
      <w:r>
        <w:rPr>
          <w:w w:val="130"/>
          <w:sz w:val="24"/>
        </w:rPr>
        <w:t>kérelmező</w:t>
      </w:r>
      <w:r>
        <w:rPr>
          <w:spacing w:val="-27"/>
          <w:w w:val="130"/>
          <w:sz w:val="24"/>
        </w:rPr>
        <w:t> </w:t>
      </w:r>
      <w:r>
        <w:rPr>
          <w:w w:val="130"/>
          <w:sz w:val="24"/>
        </w:rPr>
        <w:t>ellenőrzött</w:t>
      </w:r>
      <w:r>
        <w:rPr>
          <w:spacing w:val="-26"/>
          <w:w w:val="130"/>
          <w:sz w:val="24"/>
        </w:rPr>
        <w:t> </w:t>
      </w:r>
      <w:r>
        <w:rPr>
          <w:w w:val="130"/>
          <w:sz w:val="24"/>
        </w:rPr>
        <w:t>vállalkozásának</w:t>
      </w:r>
      <w:r>
        <w:rPr>
          <w:spacing w:val="-27"/>
          <w:w w:val="130"/>
          <w:sz w:val="24"/>
        </w:rPr>
        <w:t> </w:t>
      </w:r>
      <w:r>
        <w:rPr>
          <w:w w:val="130"/>
          <w:sz w:val="24"/>
        </w:rPr>
        <w:t>szavazati</w:t>
      </w:r>
      <w:r>
        <w:rPr>
          <w:spacing w:val="-26"/>
          <w:w w:val="130"/>
          <w:sz w:val="24"/>
        </w:rPr>
        <w:t> </w:t>
      </w:r>
      <w:r>
        <w:rPr>
          <w:w w:val="130"/>
          <w:sz w:val="24"/>
        </w:rPr>
        <w:t>jogát,</w:t>
      </w:r>
      <w:r>
        <w:rPr>
          <w:spacing w:val="-26"/>
          <w:w w:val="130"/>
          <w:sz w:val="24"/>
        </w:rPr>
        <w:t> </w:t>
      </w:r>
      <w:r>
        <w:rPr>
          <w:w w:val="130"/>
          <w:sz w:val="24"/>
        </w:rPr>
        <w:t>ha</w:t>
      </w:r>
      <w:r>
        <w:rPr>
          <w:spacing w:val="-26"/>
          <w:w w:val="130"/>
          <w:sz w:val="24"/>
        </w:rPr>
        <w:t> </w:t>
      </w:r>
      <w:r>
        <w:rPr>
          <w:w w:val="130"/>
          <w:sz w:val="24"/>
        </w:rPr>
        <w:t>a kérelmező és annak ellenőrzött vállalkozása a részesedés megszerzésekor írásban nyilatkozik arról,</w:t>
      </w:r>
      <w:r>
        <w:rPr>
          <w:spacing w:val="-9"/>
          <w:w w:val="130"/>
          <w:sz w:val="24"/>
        </w:rPr>
        <w:t> </w:t>
      </w:r>
      <w:r>
        <w:rPr>
          <w:w w:val="130"/>
          <w:sz w:val="24"/>
        </w:rPr>
        <w:t>hogy</w:t>
      </w:r>
    </w:p>
    <w:p>
      <w:pPr>
        <w:pStyle w:val="ListParagraph"/>
        <w:numPr>
          <w:ilvl w:val="0"/>
          <w:numId w:val="302"/>
        </w:numPr>
        <w:tabs>
          <w:tab w:pos="632" w:val="left" w:leader="none"/>
        </w:tabs>
        <w:spacing w:line="225" w:lineRule="auto" w:before="2" w:after="0"/>
        <w:ind w:left="113" w:right="129" w:firstLine="204"/>
        <w:jc w:val="both"/>
        <w:rPr>
          <w:sz w:val="24"/>
        </w:rPr>
      </w:pPr>
      <w:r>
        <w:rPr>
          <w:w w:val="130"/>
          <w:sz w:val="24"/>
        </w:rPr>
        <w:t>a</w:t>
      </w:r>
      <w:r>
        <w:rPr>
          <w:spacing w:val="-33"/>
          <w:w w:val="130"/>
          <w:sz w:val="24"/>
        </w:rPr>
        <w:t> </w:t>
      </w:r>
      <w:r>
        <w:rPr>
          <w:w w:val="130"/>
          <w:sz w:val="24"/>
        </w:rPr>
        <w:t>szavazati</w:t>
      </w:r>
      <w:r>
        <w:rPr>
          <w:spacing w:val="-25"/>
          <w:w w:val="130"/>
          <w:sz w:val="24"/>
        </w:rPr>
        <w:t> </w:t>
      </w:r>
      <w:r>
        <w:rPr>
          <w:w w:val="130"/>
          <w:sz w:val="24"/>
        </w:rPr>
        <w:t>jogot</w:t>
      </w:r>
      <w:r>
        <w:rPr>
          <w:spacing w:val="-38"/>
          <w:w w:val="130"/>
          <w:sz w:val="24"/>
        </w:rPr>
        <w:t> </w:t>
      </w:r>
      <w:r>
        <w:rPr>
          <w:w w:val="130"/>
          <w:sz w:val="24"/>
        </w:rPr>
        <w:t>nem</w:t>
      </w:r>
      <w:r>
        <w:rPr>
          <w:spacing w:val="-32"/>
          <w:w w:val="130"/>
          <w:sz w:val="24"/>
        </w:rPr>
        <w:t> </w:t>
      </w:r>
      <w:r>
        <w:rPr>
          <w:w w:val="130"/>
          <w:sz w:val="24"/>
        </w:rPr>
        <w:t>gyakorolja</w:t>
      </w:r>
      <w:r>
        <w:rPr>
          <w:spacing w:val="-32"/>
          <w:w w:val="130"/>
          <w:sz w:val="24"/>
        </w:rPr>
        <w:t> </w:t>
      </w:r>
      <w:r>
        <w:rPr>
          <w:w w:val="130"/>
          <w:sz w:val="24"/>
        </w:rPr>
        <w:t>vagy</w:t>
      </w:r>
      <w:r>
        <w:rPr>
          <w:spacing w:val="-32"/>
          <w:w w:val="130"/>
          <w:sz w:val="24"/>
        </w:rPr>
        <w:t> </w:t>
      </w:r>
      <w:r>
        <w:rPr>
          <w:w w:val="130"/>
          <w:sz w:val="24"/>
        </w:rPr>
        <w:t>harmadik</w:t>
      </w:r>
      <w:r>
        <w:rPr>
          <w:spacing w:val="-32"/>
          <w:w w:val="130"/>
          <w:sz w:val="24"/>
        </w:rPr>
        <w:t> </w:t>
      </w:r>
      <w:r>
        <w:rPr>
          <w:w w:val="130"/>
          <w:sz w:val="24"/>
        </w:rPr>
        <w:t>személy</w:t>
      </w:r>
      <w:r>
        <w:rPr>
          <w:spacing w:val="-32"/>
          <w:w w:val="130"/>
          <w:sz w:val="24"/>
        </w:rPr>
        <w:t> </w:t>
      </w:r>
      <w:r>
        <w:rPr>
          <w:w w:val="130"/>
          <w:sz w:val="24"/>
        </w:rPr>
        <w:t>a</w:t>
      </w:r>
      <w:r>
        <w:rPr>
          <w:spacing w:val="-33"/>
          <w:w w:val="130"/>
          <w:sz w:val="24"/>
        </w:rPr>
        <w:t> </w:t>
      </w:r>
      <w:r>
        <w:rPr>
          <w:w w:val="130"/>
          <w:sz w:val="24"/>
        </w:rPr>
        <w:t>kérelmezőtől</w:t>
      </w:r>
      <w:r>
        <w:rPr>
          <w:spacing w:val="-32"/>
          <w:w w:val="130"/>
          <w:sz w:val="24"/>
        </w:rPr>
        <w:t> </w:t>
      </w:r>
      <w:r>
        <w:rPr>
          <w:w w:val="130"/>
          <w:sz w:val="24"/>
        </w:rPr>
        <w:t>és annak ellenőrzött vállalkozásától függetlenül gyakorolhatja, és a részesedést annak megszerzésétől számított egy éven belül</w:t>
      </w:r>
      <w:r>
        <w:rPr>
          <w:spacing w:val="-42"/>
          <w:w w:val="130"/>
          <w:sz w:val="24"/>
        </w:rPr>
        <w:t> </w:t>
      </w:r>
      <w:r>
        <w:rPr>
          <w:w w:val="130"/>
          <w:sz w:val="24"/>
        </w:rPr>
        <w:t>elidegeníti,</w:t>
      </w:r>
    </w:p>
    <w:p>
      <w:pPr>
        <w:pStyle w:val="ListParagraph"/>
        <w:numPr>
          <w:ilvl w:val="0"/>
          <w:numId w:val="302"/>
        </w:numPr>
        <w:tabs>
          <w:tab w:pos="769" w:val="left" w:leader="none"/>
        </w:tabs>
        <w:spacing w:line="225" w:lineRule="auto" w:before="2" w:after="0"/>
        <w:ind w:left="113" w:right="130" w:firstLine="204"/>
        <w:jc w:val="both"/>
        <w:rPr>
          <w:sz w:val="24"/>
        </w:rPr>
      </w:pPr>
      <w:r>
        <w:rPr>
          <w:w w:val="125"/>
          <w:sz w:val="24"/>
        </w:rPr>
        <w:t>a szavazati jogot harmadik - a kérelmezőtől és annak ellenőrzött vállalkozásától független - személy papír alapú vagy elektronikus eszköz útján adott konkrét utasítása szerint gyakorolhatja,</w:t>
      </w:r>
      <w:r>
        <w:rPr>
          <w:spacing w:val="15"/>
          <w:w w:val="125"/>
          <w:sz w:val="24"/>
        </w:rPr>
        <w:t> </w:t>
      </w:r>
      <w:r>
        <w:rPr>
          <w:w w:val="125"/>
          <w:sz w:val="24"/>
        </w:rPr>
        <w:t>vagy</w:t>
      </w:r>
    </w:p>
    <w:p>
      <w:pPr>
        <w:pStyle w:val="ListParagraph"/>
        <w:numPr>
          <w:ilvl w:val="0"/>
          <w:numId w:val="302"/>
        </w:numPr>
        <w:tabs>
          <w:tab w:pos="640" w:val="left" w:leader="none"/>
        </w:tabs>
        <w:spacing w:line="225" w:lineRule="auto" w:before="2" w:after="0"/>
        <w:ind w:left="113" w:right="127" w:firstLine="204"/>
        <w:jc w:val="both"/>
        <w:rPr>
          <w:sz w:val="24"/>
        </w:rPr>
      </w:pPr>
      <w:r>
        <w:rPr>
          <w:w w:val="130"/>
          <w:sz w:val="24"/>
        </w:rPr>
        <w:t>a</w:t>
      </w:r>
      <w:r>
        <w:rPr>
          <w:spacing w:val="-32"/>
          <w:w w:val="130"/>
          <w:sz w:val="24"/>
        </w:rPr>
        <w:t> </w:t>
      </w:r>
      <w:r>
        <w:rPr>
          <w:w w:val="130"/>
          <w:sz w:val="24"/>
        </w:rPr>
        <w:t>pénzügyi</w:t>
      </w:r>
      <w:r>
        <w:rPr>
          <w:spacing w:val="-31"/>
          <w:w w:val="130"/>
          <w:sz w:val="24"/>
        </w:rPr>
        <w:t> </w:t>
      </w:r>
      <w:r>
        <w:rPr>
          <w:w w:val="130"/>
          <w:sz w:val="24"/>
        </w:rPr>
        <w:t>intézmény</w:t>
      </w:r>
      <w:r>
        <w:rPr>
          <w:spacing w:val="-32"/>
          <w:w w:val="130"/>
          <w:sz w:val="24"/>
        </w:rPr>
        <w:t> </w:t>
      </w:r>
      <w:r>
        <w:rPr>
          <w:w w:val="130"/>
          <w:sz w:val="24"/>
        </w:rPr>
        <w:t>döntéshozó,</w:t>
      </w:r>
      <w:r>
        <w:rPr>
          <w:spacing w:val="-31"/>
          <w:w w:val="130"/>
          <w:sz w:val="24"/>
        </w:rPr>
        <w:t> </w:t>
      </w:r>
      <w:r>
        <w:rPr>
          <w:w w:val="130"/>
          <w:sz w:val="24"/>
        </w:rPr>
        <w:t>ügyvezető</w:t>
      </w:r>
      <w:r>
        <w:rPr>
          <w:spacing w:val="-31"/>
          <w:w w:val="130"/>
          <w:sz w:val="24"/>
        </w:rPr>
        <w:t> </w:t>
      </w:r>
      <w:r>
        <w:rPr>
          <w:w w:val="130"/>
          <w:sz w:val="24"/>
        </w:rPr>
        <w:t>vagy</w:t>
      </w:r>
      <w:r>
        <w:rPr>
          <w:spacing w:val="-32"/>
          <w:w w:val="130"/>
          <w:sz w:val="24"/>
        </w:rPr>
        <w:t> </w:t>
      </w:r>
      <w:r>
        <w:rPr>
          <w:w w:val="130"/>
          <w:sz w:val="24"/>
        </w:rPr>
        <w:t>felügyelő</w:t>
      </w:r>
      <w:r>
        <w:rPr>
          <w:spacing w:val="-32"/>
          <w:w w:val="130"/>
          <w:sz w:val="24"/>
        </w:rPr>
        <w:t> </w:t>
      </w:r>
      <w:r>
        <w:rPr>
          <w:w w:val="130"/>
          <w:sz w:val="24"/>
        </w:rPr>
        <w:t>szervei,</w:t>
      </w:r>
      <w:r>
        <w:rPr>
          <w:spacing w:val="-31"/>
          <w:w w:val="130"/>
          <w:sz w:val="24"/>
        </w:rPr>
        <w:t> </w:t>
      </w:r>
      <w:r>
        <w:rPr>
          <w:w w:val="130"/>
          <w:sz w:val="24"/>
        </w:rPr>
        <w:t>vagy testületi</w:t>
      </w:r>
      <w:r>
        <w:rPr>
          <w:spacing w:val="78"/>
          <w:w w:val="130"/>
          <w:sz w:val="24"/>
        </w:rPr>
        <w:t> </w:t>
      </w:r>
      <w:r>
        <w:rPr>
          <w:w w:val="130"/>
          <w:sz w:val="24"/>
        </w:rPr>
        <w:t>tagjainak kinevezésére, felmentésére vonatkozó döntések meghozatalában nem vesz</w:t>
      </w:r>
      <w:r>
        <w:rPr>
          <w:spacing w:val="-11"/>
          <w:w w:val="130"/>
          <w:sz w:val="24"/>
        </w:rPr>
        <w:t> </w:t>
      </w:r>
      <w:r>
        <w:rPr>
          <w:w w:val="130"/>
          <w:sz w:val="24"/>
        </w:rPr>
        <w:t>részt.</w:t>
      </w:r>
    </w:p>
    <w:p>
      <w:pPr>
        <w:pStyle w:val="ListParagraph"/>
        <w:numPr>
          <w:ilvl w:val="0"/>
          <w:numId w:val="299"/>
        </w:numPr>
        <w:tabs>
          <w:tab w:pos="765" w:val="left" w:leader="none"/>
        </w:tabs>
        <w:spacing w:line="225" w:lineRule="auto" w:before="1" w:after="0"/>
        <w:ind w:left="113" w:right="121" w:firstLine="204"/>
        <w:jc w:val="both"/>
        <w:rPr>
          <w:sz w:val="24"/>
        </w:rPr>
      </w:pPr>
      <w:r>
        <w:rPr>
          <w:w w:val="130"/>
          <w:sz w:val="24"/>
        </w:rPr>
        <w:t>A befolyásoló részesedés mértékének meghatározásakor nem szükséges figyelembe venni a kérelmező ellenőrzött vállalkozásaként működő hitelintézet, befektetési vállalkozás szavazati jogát, ha a hitelintézet, befektetési vállalkozás rendelkezik portfóliókezelési tevékenység végzésére jogosító engedéllyel,</w:t>
      </w:r>
      <w:r>
        <w:rPr>
          <w:spacing w:val="-8"/>
          <w:w w:val="130"/>
          <w:sz w:val="24"/>
        </w:rPr>
        <w:t> </w:t>
      </w:r>
      <w:r>
        <w:rPr>
          <w:w w:val="130"/>
          <w:sz w:val="24"/>
        </w:rPr>
        <w:t>és</w:t>
      </w:r>
    </w:p>
    <w:p>
      <w:pPr>
        <w:pStyle w:val="ListParagraph"/>
        <w:numPr>
          <w:ilvl w:val="0"/>
          <w:numId w:val="303"/>
        </w:numPr>
        <w:tabs>
          <w:tab w:pos="744" w:val="left" w:leader="none"/>
        </w:tabs>
        <w:spacing w:line="225" w:lineRule="auto" w:before="3" w:after="0"/>
        <w:ind w:left="113" w:right="133" w:firstLine="204"/>
        <w:jc w:val="both"/>
        <w:rPr>
          <w:sz w:val="24"/>
        </w:rPr>
      </w:pPr>
      <w:r>
        <w:rPr>
          <w:w w:val="130"/>
          <w:sz w:val="24"/>
        </w:rPr>
        <w:t>papír alapú vagy elektronikus eszköz útján adott konkrét utasítása alapján,</w:t>
      </w:r>
    </w:p>
    <w:p>
      <w:pPr>
        <w:pStyle w:val="ListParagraph"/>
        <w:numPr>
          <w:ilvl w:val="0"/>
          <w:numId w:val="303"/>
        </w:numPr>
        <w:tabs>
          <w:tab w:pos="653" w:val="left" w:leader="none"/>
        </w:tabs>
        <w:spacing w:line="256" w:lineRule="exact" w:before="0" w:after="0"/>
        <w:ind w:left="652" w:right="0" w:hanging="335"/>
        <w:jc w:val="left"/>
        <w:rPr>
          <w:sz w:val="24"/>
        </w:rPr>
      </w:pPr>
      <w:r>
        <w:rPr>
          <w:w w:val="130"/>
          <w:sz w:val="24"/>
        </w:rPr>
        <w:t>a kérelmezőtől</w:t>
      </w:r>
      <w:r>
        <w:rPr>
          <w:spacing w:val="-19"/>
          <w:w w:val="130"/>
          <w:sz w:val="24"/>
        </w:rPr>
        <w:t> </w:t>
      </w:r>
      <w:r>
        <w:rPr>
          <w:w w:val="130"/>
          <w:sz w:val="24"/>
        </w:rPr>
        <w:t>függetlenül</w:t>
      </w:r>
    </w:p>
    <w:p>
      <w:pPr>
        <w:pStyle w:val="BodyText"/>
        <w:spacing w:line="268" w:lineRule="exact"/>
        <w:ind w:firstLine="0"/>
      </w:pPr>
      <w:r>
        <w:rPr>
          <w:w w:val="125"/>
        </w:rPr>
        <w:t>gyakorolhatja az általa kezelt portfólióhoz kapcsolódó szavazati jogot.</w:t>
      </w:r>
    </w:p>
    <w:p>
      <w:pPr>
        <w:spacing w:after="0" w:line="268" w:lineRule="exact"/>
        <w:sectPr>
          <w:pgSz w:w="11900" w:h="16820"/>
          <w:pgMar w:header="1104" w:footer="0" w:top="1840" w:bottom="280" w:left="1020" w:right="1000"/>
        </w:sectPr>
      </w:pPr>
    </w:p>
    <w:p>
      <w:pPr>
        <w:pStyle w:val="ListParagraph"/>
        <w:numPr>
          <w:ilvl w:val="1"/>
          <w:numId w:val="213"/>
        </w:numPr>
        <w:tabs>
          <w:tab w:pos="1035" w:val="left" w:leader="none"/>
        </w:tabs>
        <w:spacing w:line="225" w:lineRule="auto" w:before="172" w:after="0"/>
        <w:ind w:left="113" w:right="126" w:firstLine="204"/>
        <w:jc w:val="both"/>
        <w:rPr>
          <w:sz w:val="24"/>
        </w:rPr>
      </w:pPr>
      <w:r>
        <w:rPr>
          <w:rFonts w:ascii="Arial" w:hAnsi="Arial"/>
          <w:b/>
          <w:w w:val="125"/>
          <w:sz w:val="24"/>
        </w:rPr>
        <w:t>§ </w:t>
      </w:r>
      <w:r>
        <w:rPr>
          <w:w w:val="125"/>
          <w:sz w:val="24"/>
        </w:rPr>
        <w:t>(1) A pénzügyi intézményben befolyásoló részesedéssel rendelkező személy a szerződéskötést megelőzően két nappal a  Felügyeletnek  bejelenti, ha</w:t>
      </w:r>
    </w:p>
    <w:p>
      <w:pPr>
        <w:pStyle w:val="ListParagraph"/>
        <w:numPr>
          <w:ilvl w:val="0"/>
          <w:numId w:val="304"/>
        </w:numPr>
        <w:tabs>
          <w:tab w:pos="631" w:val="left" w:leader="none"/>
        </w:tabs>
        <w:spacing w:line="256" w:lineRule="exact" w:before="0" w:after="0"/>
        <w:ind w:left="630" w:right="0" w:hanging="313"/>
        <w:jc w:val="left"/>
        <w:rPr>
          <w:sz w:val="24"/>
        </w:rPr>
      </w:pPr>
      <w:r>
        <w:rPr>
          <w:w w:val="130"/>
          <w:sz w:val="24"/>
        </w:rPr>
        <w:t>befolyásoló</w:t>
      </w:r>
      <w:r>
        <w:rPr>
          <w:spacing w:val="-15"/>
          <w:w w:val="130"/>
          <w:sz w:val="24"/>
        </w:rPr>
        <w:t> </w:t>
      </w:r>
      <w:r>
        <w:rPr>
          <w:w w:val="130"/>
          <w:sz w:val="24"/>
        </w:rPr>
        <w:t>részesedését</w:t>
      </w:r>
      <w:r>
        <w:rPr>
          <w:spacing w:val="-15"/>
          <w:w w:val="130"/>
          <w:sz w:val="24"/>
        </w:rPr>
        <w:t> </w:t>
      </w:r>
      <w:r>
        <w:rPr>
          <w:w w:val="130"/>
          <w:sz w:val="24"/>
        </w:rPr>
        <w:t>teljes</w:t>
      </w:r>
      <w:r>
        <w:rPr>
          <w:spacing w:val="-16"/>
          <w:w w:val="130"/>
          <w:sz w:val="24"/>
        </w:rPr>
        <w:t> </w:t>
      </w:r>
      <w:r>
        <w:rPr>
          <w:w w:val="130"/>
          <w:sz w:val="24"/>
        </w:rPr>
        <w:t>egészében</w:t>
      </w:r>
      <w:r>
        <w:rPr>
          <w:spacing w:val="-16"/>
          <w:w w:val="130"/>
          <w:sz w:val="24"/>
        </w:rPr>
        <w:t> </w:t>
      </w:r>
      <w:r>
        <w:rPr>
          <w:w w:val="130"/>
          <w:sz w:val="24"/>
        </w:rPr>
        <w:t>meg</w:t>
      </w:r>
      <w:r>
        <w:rPr>
          <w:spacing w:val="-16"/>
          <w:w w:val="130"/>
          <w:sz w:val="24"/>
        </w:rPr>
        <w:t> </w:t>
      </w:r>
      <w:r>
        <w:rPr>
          <w:w w:val="130"/>
          <w:sz w:val="24"/>
        </w:rPr>
        <w:t>kívánja</w:t>
      </w:r>
      <w:r>
        <w:rPr>
          <w:spacing w:val="-16"/>
          <w:w w:val="130"/>
          <w:sz w:val="24"/>
        </w:rPr>
        <w:t> </w:t>
      </w:r>
      <w:r>
        <w:rPr>
          <w:w w:val="130"/>
          <w:sz w:val="24"/>
        </w:rPr>
        <w:t>szüntetni,</w:t>
      </w:r>
      <w:r>
        <w:rPr>
          <w:spacing w:val="-15"/>
          <w:w w:val="130"/>
          <w:sz w:val="24"/>
        </w:rPr>
        <w:t> </w:t>
      </w:r>
      <w:r>
        <w:rPr>
          <w:w w:val="130"/>
          <w:sz w:val="24"/>
        </w:rPr>
        <w:t>vagy</w:t>
      </w:r>
    </w:p>
    <w:p>
      <w:pPr>
        <w:pStyle w:val="ListParagraph"/>
        <w:numPr>
          <w:ilvl w:val="0"/>
          <w:numId w:val="304"/>
        </w:numPr>
        <w:tabs>
          <w:tab w:pos="645" w:val="left" w:leader="none"/>
        </w:tabs>
        <w:spacing w:line="225" w:lineRule="auto" w:before="5" w:after="0"/>
        <w:ind w:left="113" w:right="128" w:firstLine="204"/>
        <w:jc w:val="both"/>
        <w:rPr>
          <w:sz w:val="24"/>
        </w:rPr>
      </w:pPr>
      <w:r>
        <w:rPr>
          <w:w w:val="125"/>
          <w:sz w:val="24"/>
        </w:rPr>
        <w:t>befolyásoló részesedését úgy kívánja módosítani, hogy az a 20, 33 vagy 50 százalékos határérték alá</w:t>
      </w:r>
      <w:r>
        <w:rPr>
          <w:spacing w:val="6"/>
          <w:w w:val="125"/>
          <w:sz w:val="24"/>
        </w:rPr>
        <w:t> </w:t>
      </w:r>
      <w:r>
        <w:rPr>
          <w:w w:val="125"/>
          <w:sz w:val="24"/>
        </w:rPr>
        <w:t>csökkenjen.</w:t>
      </w:r>
    </w:p>
    <w:p>
      <w:pPr>
        <w:pStyle w:val="ListParagraph"/>
        <w:numPr>
          <w:ilvl w:val="0"/>
          <w:numId w:val="305"/>
        </w:numPr>
        <w:tabs>
          <w:tab w:pos="907" w:val="left" w:leader="none"/>
        </w:tabs>
        <w:spacing w:line="225" w:lineRule="auto" w:before="1" w:after="0"/>
        <w:ind w:left="113" w:right="125" w:firstLine="204"/>
        <w:jc w:val="both"/>
        <w:rPr>
          <w:sz w:val="24"/>
        </w:rPr>
      </w:pPr>
      <w:r>
        <w:rPr>
          <w:w w:val="125"/>
          <w:sz w:val="24"/>
        </w:rPr>
        <w:t>Az (1) bekezdésben meghatározott személy két napon belül a Felügyeletnek bejelenti, ha új vezető tisztségviselőt</w:t>
      </w:r>
      <w:r>
        <w:rPr>
          <w:spacing w:val="18"/>
          <w:w w:val="125"/>
          <w:sz w:val="24"/>
        </w:rPr>
        <w:t> </w:t>
      </w:r>
      <w:r>
        <w:rPr>
          <w:w w:val="125"/>
          <w:sz w:val="24"/>
        </w:rPr>
        <w:t>választott.</w:t>
      </w:r>
    </w:p>
    <w:p>
      <w:pPr>
        <w:pStyle w:val="ListParagraph"/>
        <w:numPr>
          <w:ilvl w:val="0"/>
          <w:numId w:val="305"/>
        </w:numPr>
        <w:tabs>
          <w:tab w:pos="832" w:val="left" w:leader="none"/>
        </w:tabs>
        <w:spacing w:line="225" w:lineRule="auto" w:before="1" w:after="0"/>
        <w:ind w:left="113" w:right="126" w:firstLine="204"/>
        <w:jc w:val="both"/>
        <w:rPr>
          <w:sz w:val="24"/>
        </w:rPr>
      </w:pPr>
      <w:r>
        <w:rPr>
          <w:w w:val="125"/>
          <w:sz w:val="24"/>
        </w:rPr>
        <w:t>A bejelentés - az (1) bekezdés </w:t>
      </w:r>
      <w:r>
        <w:rPr>
          <w:i/>
          <w:w w:val="125"/>
          <w:sz w:val="24"/>
        </w:rPr>
        <w:t>b) </w:t>
      </w:r>
      <w:r>
        <w:rPr>
          <w:w w:val="125"/>
          <w:sz w:val="24"/>
        </w:rPr>
        <w:t>pontja esetében - tartalmazza a fennmaradó tagi részesedést, a szavazati jog mértékét vagy a jelentős előnyt biztosító szerződés módosítását</w:t>
      </w:r>
      <w:r>
        <w:rPr>
          <w:spacing w:val="3"/>
          <w:w w:val="125"/>
          <w:sz w:val="24"/>
        </w:rPr>
        <w:t> </w:t>
      </w:r>
      <w:r>
        <w:rPr>
          <w:w w:val="125"/>
          <w:sz w:val="24"/>
        </w:rPr>
        <w:t>is.</w:t>
      </w:r>
    </w:p>
    <w:p>
      <w:pPr>
        <w:pStyle w:val="ListParagraph"/>
        <w:numPr>
          <w:ilvl w:val="1"/>
          <w:numId w:val="213"/>
        </w:numPr>
        <w:tabs>
          <w:tab w:pos="1048" w:val="left" w:leader="none"/>
        </w:tabs>
        <w:spacing w:line="225" w:lineRule="auto" w:before="1" w:after="0"/>
        <w:ind w:left="113" w:right="123" w:firstLine="204"/>
        <w:jc w:val="both"/>
        <w:rPr>
          <w:sz w:val="24"/>
        </w:rPr>
      </w:pPr>
      <w:r>
        <w:rPr>
          <w:rFonts w:ascii="Arial" w:hAnsi="Arial"/>
          <w:b/>
          <w:w w:val="125"/>
          <w:sz w:val="24"/>
        </w:rPr>
        <w:t>§ </w:t>
      </w:r>
      <w:r>
        <w:rPr>
          <w:w w:val="125"/>
          <w:sz w:val="24"/>
        </w:rPr>
        <w:t>(1) A Felügyelet a 126. § (1) és (3) bekezdésében meghatározott kérelem átvételét a benyújtástól számított két munkanapon belül, írásban igazolja a kérelmező, illetve a befolyással rendelkező felé (a továbbiakban: átvételi igazolás), és egyben tájékoztatja a (2)-(6) bekezdésben meghatározott ügyintézési határidőről. Ez a rendelkezés megfelelően alkalmazandó a hiánypótlás esetében</w:t>
      </w:r>
      <w:r>
        <w:rPr>
          <w:spacing w:val="2"/>
          <w:w w:val="125"/>
          <w:sz w:val="24"/>
        </w:rPr>
        <w:t> </w:t>
      </w:r>
      <w:r>
        <w:rPr>
          <w:w w:val="125"/>
          <w:sz w:val="24"/>
        </w:rPr>
        <w:t>is.</w:t>
      </w:r>
    </w:p>
    <w:p>
      <w:pPr>
        <w:pStyle w:val="ListParagraph"/>
        <w:numPr>
          <w:ilvl w:val="0"/>
          <w:numId w:val="306"/>
        </w:numPr>
        <w:tabs>
          <w:tab w:pos="932" w:val="left" w:leader="none"/>
        </w:tabs>
        <w:spacing w:line="225" w:lineRule="auto" w:before="4" w:after="0"/>
        <w:ind w:left="113" w:right="125" w:firstLine="204"/>
        <w:jc w:val="both"/>
        <w:rPr>
          <w:sz w:val="24"/>
        </w:rPr>
      </w:pPr>
      <w:r>
        <w:rPr>
          <w:w w:val="125"/>
          <w:sz w:val="24"/>
        </w:rPr>
        <w:t>A Felügyelet az átvételi igazolás kiállításától számított hatvan munkanapon belül megvizsgálja a befolyásszerzési szándékot abból a szempontból, hogy annak megvalósulását követően az e törvényben foglaltak teljesítése biztosítható-e.</w:t>
      </w:r>
    </w:p>
    <w:p>
      <w:pPr>
        <w:pStyle w:val="ListParagraph"/>
        <w:numPr>
          <w:ilvl w:val="0"/>
          <w:numId w:val="306"/>
        </w:numPr>
        <w:tabs>
          <w:tab w:pos="783" w:val="left" w:leader="none"/>
        </w:tabs>
        <w:spacing w:line="225" w:lineRule="auto" w:before="2" w:after="0"/>
        <w:ind w:left="113" w:right="126" w:firstLine="204"/>
        <w:jc w:val="both"/>
        <w:rPr>
          <w:sz w:val="24"/>
        </w:rPr>
      </w:pPr>
      <w:r>
        <w:rPr>
          <w:w w:val="125"/>
          <w:sz w:val="24"/>
        </w:rPr>
        <w:t>A Felügyelet az e törvényben meghatározott információk hiányos vagy nem megfelelő módon való benyújtása esetén az átvételi igazolás kiállításától számított ötven munkanapon belül, az értékelés befejezéséhez szükséges információk megjelölésével, írásban további tájékoztatást, illetve a hiányok pótlását kérheti (a továbbiakban:</w:t>
      </w:r>
      <w:r>
        <w:rPr>
          <w:spacing w:val="8"/>
          <w:w w:val="125"/>
          <w:sz w:val="24"/>
        </w:rPr>
        <w:t> </w:t>
      </w:r>
      <w:r>
        <w:rPr>
          <w:w w:val="125"/>
          <w:sz w:val="24"/>
        </w:rPr>
        <w:t>hiánypótlás).</w:t>
      </w:r>
    </w:p>
    <w:p>
      <w:pPr>
        <w:pStyle w:val="ListParagraph"/>
        <w:numPr>
          <w:ilvl w:val="0"/>
          <w:numId w:val="306"/>
        </w:numPr>
        <w:tabs>
          <w:tab w:pos="734" w:val="left" w:leader="none"/>
        </w:tabs>
        <w:spacing w:line="257" w:lineRule="exact" w:before="0" w:after="0"/>
        <w:ind w:left="733" w:right="0" w:hanging="416"/>
        <w:jc w:val="left"/>
        <w:rPr>
          <w:sz w:val="24"/>
        </w:rPr>
      </w:pPr>
      <w:r>
        <w:rPr>
          <w:w w:val="125"/>
          <w:sz w:val="24"/>
        </w:rPr>
        <w:t>A hiánypótlásra biztosított határidő húsz</w:t>
      </w:r>
      <w:r>
        <w:rPr>
          <w:spacing w:val="23"/>
          <w:w w:val="125"/>
          <w:sz w:val="24"/>
        </w:rPr>
        <w:t> </w:t>
      </w:r>
      <w:r>
        <w:rPr>
          <w:w w:val="125"/>
          <w:sz w:val="24"/>
        </w:rPr>
        <w:t>munkanap.</w:t>
      </w:r>
    </w:p>
    <w:p>
      <w:pPr>
        <w:pStyle w:val="ListParagraph"/>
        <w:numPr>
          <w:ilvl w:val="0"/>
          <w:numId w:val="306"/>
        </w:numPr>
        <w:tabs>
          <w:tab w:pos="734" w:val="left" w:leader="none"/>
        </w:tabs>
        <w:spacing w:line="260" w:lineRule="exact" w:before="0" w:after="0"/>
        <w:ind w:left="733" w:right="0" w:hanging="416"/>
        <w:jc w:val="left"/>
        <w:rPr>
          <w:sz w:val="24"/>
        </w:rPr>
      </w:pPr>
      <w:r>
        <w:rPr>
          <w:w w:val="125"/>
          <w:sz w:val="24"/>
        </w:rPr>
        <w:t>A hiánypótlásra biztosított határidő harminc munkanap, ha a</w:t>
      </w:r>
      <w:r>
        <w:rPr>
          <w:spacing w:val="69"/>
          <w:w w:val="125"/>
          <w:sz w:val="24"/>
        </w:rPr>
        <w:t> </w:t>
      </w:r>
      <w:r>
        <w:rPr>
          <w:w w:val="125"/>
          <w:sz w:val="24"/>
        </w:rPr>
        <w:t>kérelmező</w:t>
      </w:r>
    </w:p>
    <w:p>
      <w:pPr>
        <w:pStyle w:val="ListParagraph"/>
        <w:numPr>
          <w:ilvl w:val="0"/>
          <w:numId w:val="307"/>
        </w:numPr>
        <w:tabs>
          <w:tab w:pos="631" w:val="left" w:leader="none"/>
        </w:tabs>
        <w:spacing w:line="260" w:lineRule="exact" w:before="0" w:after="0"/>
        <w:ind w:left="630" w:right="0" w:hanging="313"/>
        <w:jc w:val="left"/>
        <w:rPr>
          <w:sz w:val="24"/>
        </w:rPr>
      </w:pPr>
      <w:r>
        <w:rPr>
          <w:w w:val="125"/>
          <w:sz w:val="24"/>
        </w:rPr>
        <w:t>székhelye harmadik országban található,</w:t>
      </w:r>
      <w:r>
        <w:rPr>
          <w:spacing w:val="6"/>
          <w:w w:val="125"/>
          <w:sz w:val="24"/>
        </w:rPr>
        <w:t> </w:t>
      </w:r>
      <w:r>
        <w:rPr>
          <w:w w:val="125"/>
          <w:sz w:val="24"/>
        </w:rPr>
        <w:t>vagy</w:t>
      </w:r>
    </w:p>
    <w:p>
      <w:pPr>
        <w:pStyle w:val="ListParagraph"/>
        <w:numPr>
          <w:ilvl w:val="0"/>
          <w:numId w:val="307"/>
        </w:numPr>
        <w:tabs>
          <w:tab w:pos="675" w:val="left" w:leader="none"/>
        </w:tabs>
        <w:spacing w:line="225" w:lineRule="auto" w:before="5" w:after="0"/>
        <w:ind w:left="113" w:right="132" w:firstLine="204"/>
        <w:jc w:val="both"/>
        <w:rPr>
          <w:sz w:val="24"/>
        </w:rPr>
      </w:pPr>
      <w:r>
        <w:rPr>
          <w:w w:val="130"/>
          <w:sz w:val="24"/>
        </w:rPr>
        <w:t>nem</w:t>
      </w:r>
      <w:r>
        <w:rPr>
          <w:spacing w:val="-10"/>
          <w:w w:val="130"/>
          <w:sz w:val="24"/>
        </w:rPr>
        <w:t> </w:t>
      </w:r>
      <w:r>
        <w:rPr>
          <w:w w:val="130"/>
          <w:sz w:val="24"/>
        </w:rPr>
        <w:t>tartozik</w:t>
      </w:r>
      <w:r>
        <w:rPr>
          <w:spacing w:val="-5"/>
          <w:w w:val="130"/>
          <w:sz w:val="24"/>
        </w:rPr>
        <w:t> </w:t>
      </w:r>
      <w:r>
        <w:rPr>
          <w:w w:val="130"/>
          <w:sz w:val="24"/>
        </w:rPr>
        <w:t>a</w:t>
      </w:r>
      <w:r>
        <w:rPr>
          <w:spacing w:val="-15"/>
          <w:w w:val="130"/>
          <w:sz w:val="24"/>
        </w:rPr>
        <w:t> </w:t>
      </w:r>
      <w:r>
        <w:rPr>
          <w:w w:val="130"/>
          <w:sz w:val="24"/>
        </w:rPr>
        <w:t>Tanács</w:t>
      </w:r>
      <w:r>
        <w:rPr>
          <w:spacing w:val="-1"/>
          <w:w w:val="130"/>
          <w:sz w:val="24"/>
        </w:rPr>
        <w:t> </w:t>
      </w:r>
      <w:r>
        <w:rPr>
          <w:spacing w:val="-3"/>
          <w:w w:val="130"/>
          <w:sz w:val="24"/>
        </w:rPr>
        <w:t>85/611/EGK,</w:t>
      </w:r>
      <w:r>
        <w:rPr>
          <w:spacing w:val="-10"/>
          <w:w w:val="130"/>
          <w:sz w:val="24"/>
        </w:rPr>
        <w:t> </w:t>
      </w:r>
      <w:r>
        <w:rPr>
          <w:w w:val="130"/>
          <w:sz w:val="24"/>
        </w:rPr>
        <w:t>a</w:t>
      </w:r>
      <w:r>
        <w:rPr>
          <w:spacing w:val="-10"/>
          <w:w w:val="130"/>
          <w:sz w:val="24"/>
        </w:rPr>
        <w:t> </w:t>
      </w:r>
      <w:r>
        <w:rPr>
          <w:w w:val="130"/>
          <w:sz w:val="24"/>
        </w:rPr>
        <w:t>92/49/EGK</w:t>
      </w:r>
      <w:r>
        <w:rPr>
          <w:spacing w:val="-10"/>
          <w:w w:val="130"/>
          <w:sz w:val="24"/>
        </w:rPr>
        <w:t> </w:t>
      </w:r>
      <w:r>
        <w:rPr>
          <w:w w:val="130"/>
          <w:sz w:val="24"/>
        </w:rPr>
        <w:t>irányelvét,</w:t>
      </w:r>
      <w:r>
        <w:rPr>
          <w:spacing w:val="-10"/>
          <w:w w:val="130"/>
          <w:sz w:val="24"/>
        </w:rPr>
        <w:t> </w:t>
      </w:r>
      <w:r>
        <w:rPr>
          <w:w w:val="130"/>
          <w:sz w:val="24"/>
        </w:rPr>
        <w:t>valamint</w:t>
      </w:r>
      <w:r>
        <w:rPr>
          <w:spacing w:val="-10"/>
          <w:w w:val="130"/>
          <w:sz w:val="24"/>
        </w:rPr>
        <w:t> </w:t>
      </w:r>
      <w:r>
        <w:rPr>
          <w:w w:val="130"/>
          <w:sz w:val="24"/>
        </w:rPr>
        <w:t>az Európai Parlament és a Tanács 2002/83/EK, a 2005/68/EK és a 2006/48/EK irányelvét</w:t>
      </w:r>
      <w:r>
        <w:rPr>
          <w:spacing w:val="-26"/>
          <w:w w:val="130"/>
          <w:sz w:val="24"/>
        </w:rPr>
        <w:t> </w:t>
      </w:r>
      <w:r>
        <w:rPr>
          <w:w w:val="130"/>
          <w:sz w:val="24"/>
        </w:rPr>
        <w:t>átültető</w:t>
      </w:r>
      <w:r>
        <w:rPr>
          <w:spacing w:val="-26"/>
          <w:w w:val="130"/>
          <w:sz w:val="24"/>
        </w:rPr>
        <w:t> </w:t>
      </w:r>
      <w:r>
        <w:rPr>
          <w:w w:val="130"/>
          <w:sz w:val="24"/>
        </w:rPr>
        <w:t>EGT-állami</w:t>
      </w:r>
      <w:r>
        <w:rPr>
          <w:spacing w:val="-26"/>
          <w:w w:val="130"/>
          <w:sz w:val="24"/>
        </w:rPr>
        <w:t> </w:t>
      </w:r>
      <w:r>
        <w:rPr>
          <w:w w:val="130"/>
          <w:sz w:val="24"/>
        </w:rPr>
        <w:t>jogszabályok</w:t>
      </w:r>
      <w:r>
        <w:rPr>
          <w:spacing w:val="-25"/>
          <w:w w:val="130"/>
          <w:sz w:val="24"/>
        </w:rPr>
        <w:t> </w:t>
      </w:r>
      <w:r>
        <w:rPr>
          <w:w w:val="130"/>
          <w:sz w:val="24"/>
        </w:rPr>
        <w:t>szerinti</w:t>
      </w:r>
      <w:r>
        <w:rPr>
          <w:spacing w:val="-25"/>
          <w:w w:val="130"/>
          <w:sz w:val="24"/>
        </w:rPr>
        <w:t> </w:t>
      </w:r>
      <w:r>
        <w:rPr>
          <w:w w:val="130"/>
          <w:sz w:val="24"/>
        </w:rPr>
        <w:t>felügyelet</w:t>
      </w:r>
      <w:r>
        <w:rPr>
          <w:spacing w:val="-26"/>
          <w:w w:val="130"/>
          <w:sz w:val="24"/>
        </w:rPr>
        <w:t> </w:t>
      </w:r>
      <w:r>
        <w:rPr>
          <w:w w:val="130"/>
          <w:sz w:val="24"/>
        </w:rPr>
        <w:t>hatálya</w:t>
      </w:r>
      <w:r>
        <w:rPr>
          <w:spacing w:val="-25"/>
          <w:w w:val="130"/>
          <w:sz w:val="24"/>
        </w:rPr>
        <w:t> </w:t>
      </w:r>
      <w:r>
        <w:rPr>
          <w:w w:val="130"/>
          <w:sz w:val="24"/>
        </w:rPr>
        <w:t>alá.</w:t>
      </w:r>
    </w:p>
    <w:p>
      <w:pPr>
        <w:pStyle w:val="ListParagraph"/>
        <w:numPr>
          <w:ilvl w:val="0"/>
          <w:numId w:val="306"/>
        </w:numPr>
        <w:tabs>
          <w:tab w:pos="843" w:val="left" w:leader="none"/>
        </w:tabs>
        <w:spacing w:line="225" w:lineRule="auto" w:before="2" w:after="0"/>
        <w:ind w:left="113" w:right="126" w:firstLine="204"/>
        <w:jc w:val="both"/>
        <w:rPr>
          <w:sz w:val="24"/>
        </w:rPr>
      </w:pPr>
      <w:r>
        <w:rPr>
          <w:w w:val="125"/>
          <w:sz w:val="24"/>
        </w:rPr>
        <w:t>A hiánypótlás kérelmező általi teljesítését követően a Felügyelet a kérelmezőtől jogosult egyéb tájékoztatást is kérni. Ezen tájékoztatás teljesítésére biztosított határidőt  azonban  az  ügyintézési  határidő számításánál figyelembe kell</w:t>
      </w:r>
      <w:r>
        <w:rPr>
          <w:spacing w:val="1"/>
          <w:w w:val="125"/>
          <w:sz w:val="24"/>
        </w:rPr>
        <w:t> </w:t>
      </w:r>
      <w:r>
        <w:rPr>
          <w:w w:val="125"/>
          <w:sz w:val="24"/>
        </w:rPr>
        <w:t>venni.</w:t>
      </w:r>
    </w:p>
    <w:p>
      <w:pPr>
        <w:pStyle w:val="ListParagraph"/>
        <w:numPr>
          <w:ilvl w:val="1"/>
          <w:numId w:val="213"/>
        </w:numPr>
        <w:tabs>
          <w:tab w:pos="985" w:val="left" w:leader="none"/>
        </w:tabs>
        <w:spacing w:line="257" w:lineRule="exact" w:before="0" w:after="0"/>
        <w:ind w:left="984" w:right="0" w:hanging="667"/>
        <w:jc w:val="left"/>
        <w:rPr>
          <w:sz w:val="24"/>
        </w:rPr>
      </w:pPr>
      <w:r>
        <w:rPr>
          <w:rFonts w:ascii="Arial" w:hAnsi="Arial"/>
          <w:b/>
          <w:w w:val="120"/>
          <w:sz w:val="24"/>
        </w:rPr>
        <w:t>§ </w:t>
      </w:r>
      <w:r>
        <w:rPr>
          <w:w w:val="120"/>
          <w:sz w:val="24"/>
        </w:rPr>
        <w:t>(1) Ha a</w:t>
      </w:r>
      <w:r>
        <w:rPr>
          <w:spacing w:val="16"/>
          <w:w w:val="120"/>
          <w:sz w:val="24"/>
        </w:rPr>
        <w:t> </w:t>
      </w:r>
      <w:r>
        <w:rPr>
          <w:w w:val="120"/>
          <w:sz w:val="24"/>
        </w:rPr>
        <w:t>kérelmező</w:t>
      </w:r>
    </w:p>
    <w:p>
      <w:pPr>
        <w:pStyle w:val="ListParagraph"/>
        <w:numPr>
          <w:ilvl w:val="0"/>
          <w:numId w:val="308"/>
        </w:numPr>
        <w:tabs>
          <w:tab w:pos="834" w:val="left" w:leader="none"/>
        </w:tabs>
        <w:spacing w:line="225" w:lineRule="auto" w:before="6" w:after="0"/>
        <w:ind w:left="113" w:right="129" w:firstLine="204"/>
        <w:jc w:val="both"/>
        <w:rPr>
          <w:sz w:val="24"/>
        </w:rPr>
      </w:pPr>
      <w:r>
        <w:rPr>
          <w:w w:val="125"/>
          <w:sz w:val="24"/>
        </w:rPr>
        <w:t>másik EGT-államban tevékenység végzésére jogosító engedéllyel rendelkező pénzügyi intézmény, befektetési vállalkozás, biztosító, viszontbiztosító, ÁÉKBV-t kezelő</w:t>
      </w:r>
      <w:r>
        <w:rPr>
          <w:spacing w:val="-11"/>
          <w:w w:val="125"/>
          <w:sz w:val="24"/>
        </w:rPr>
        <w:t> </w:t>
      </w:r>
      <w:r>
        <w:rPr>
          <w:w w:val="125"/>
          <w:sz w:val="24"/>
        </w:rPr>
        <w:t>vállalkozás,</w:t>
      </w:r>
    </w:p>
    <w:p>
      <w:pPr>
        <w:pStyle w:val="ListParagraph"/>
        <w:numPr>
          <w:ilvl w:val="0"/>
          <w:numId w:val="308"/>
        </w:numPr>
        <w:tabs>
          <w:tab w:pos="653" w:val="left" w:leader="none"/>
        </w:tabs>
        <w:spacing w:line="256" w:lineRule="exact" w:before="0" w:after="0"/>
        <w:ind w:left="652" w:right="0" w:hanging="335"/>
        <w:jc w:val="left"/>
        <w:rPr>
          <w:sz w:val="24"/>
        </w:rPr>
      </w:pPr>
      <w:r>
        <w:rPr>
          <w:w w:val="125"/>
          <w:sz w:val="24"/>
        </w:rPr>
        <w:t>anyavállalata az </w:t>
      </w:r>
      <w:r>
        <w:rPr>
          <w:i/>
          <w:w w:val="125"/>
          <w:sz w:val="24"/>
        </w:rPr>
        <w:t>a) </w:t>
      </w:r>
      <w:r>
        <w:rPr>
          <w:w w:val="125"/>
          <w:sz w:val="24"/>
        </w:rPr>
        <w:t>pontban foglalt vállalkozásnak</w:t>
      </w:r>
      <w:r>
        <w:rPr>
          <w:spacing w:val="-11"/>
          <w:w w:val="125"/>
          <w:sz w:val="24"/>
        </w:rPr>
        <w:t> </w:t>
      </w:r>
      <w:r>
        <w:rPr>
          <w:w w:val="125"/>
          <w:sz w:val="24"/>
        </w:rPr>
        <w:t>vagy</w:t>
      </w:r>
    </w:p>
    <w:p>
      <w:pPr>
        <w:pStyle w:val="ListParagraph"/>
        <w:numPr>
          <w:ilvl w:val="0"/>
          <w:numId w:val="308"/>
        </w:numPr>
        <w:tabs>
          <w:tab w:pos="623" w:val="left" w:leader="none"/>
        </w:tabs>
        <w:spacing w:line="260" w:lineRule="exact" w:before="0" w:after="0"/>
        <w:ind w:left="622" w:right="0" w:hanging="305"/>
        <w:jc w:val="left"/>
        <w:rPr>
          <w:sz w:val="24"/>
        </w:rPr>
      </w:pPr>
      <w:r>
        <w:rPr>
          <w:w w:val="125"/>
          <w:sz w:val="24"/>
        </w:rPr>
        <w:t>ellenőrzött vállalkozása az </w:t>
      </w:r>
      <w:r>
        <w:rPr>
          <w:i/>
          <w:w w:val="125"/>
          <w:sz w:val="24"/>
        </w:rPr>
        <w:t>a) </w:t>
      </w:r>
      <w:r>
        <w:rPr>
          <w:w w:val="125"/>
          <w:sz w:val="24"/>
        </w:rPr>
        <w:t>pontban foglalt vállalkozás,</w:t>
      </w:r>
    </w:p>
    <w:p>
      <w:pPr>
        <w:pStyle w:val="BodyText"/>
        <w:spacing w:line="225" w:lineRule="auto" w:before="5"/>
        <w:ind w:right="125" w:firstLine="0"/>
        <w:jc w:val="both"/>
      </w:pPr>
      <w:r>
        <w:rPr>
          <w:w w:val="125"/>
        </w:rPr>
        <w:t>akkor a Felügyelet a kérelmet haladéktalanul továbbítja a pénzügyi intézmény, a befektetési vállalkozás, a biztosító, a viszontbiztosító és az ÁÉKBV-t kezelő vállalkozás székhelye szerinti, illetékes felügyeleti</w:t>
      </w:r>
      <w:r>
        <w:rPr>
          <w:spacing w:val="9"/>
          <w:w w:val="125"/>
        </w:rPr>
        <w:t> </w:t>
      </w:r>
      <w:r>
        <w:rPr>
          <w:w w:val="125"/>
        </w:rPr>
        <w:t>hatóságnak.</w:t>
      </w:r>
    </w:p>
    <w:p>
      <w:pPr>
        <w:pStyle w:val="ListParagraph"/>
        <w:numPr>
          <w:ilvl w:val="0"/>
          <w:numId w:val="309"/>
        </w:numPr>
        <w:tabs>
          <w:tab w:pos="755" w:val="left" w:leader="none"/>
        </w:tabs>
        <w:spacing w:line="225" w:lineRule="auto" w:before="2" w:after="0"/>
        <w:ind w:left="113" w:right="112" w:firstLine="204"/>
        <w:jc w:val="both"/>
        <w:rPr>
          <w:sz w:val="24"/>
        </w:rPr>
      </w:pPr>
      <w:r>
        <w:rPr>
          <w:w w:val="125"/>
          <w:sz w:val="24"/>
        </w:rPr>
        <w:t>Az illetékes felügyeleti hatóságok által a Felügyelet számára megküldött állásfoglalásokat a Felügyelet határozata indokolásában</w:t>
      </w:r>
      <w:r>
        <w:rPr>
          <w:spacing w:val="28"/>
          <w:w w:val="125"/>
          <w:sz w:val="24"/>
        </w:rPr>
        <w:t> </w:t>
      </w:r>
      <w:r>
        <w:rPr>
          <w:w w:val="125"/>
          <w:sz w:val="24"/>
        </w:rPr>
        <w:t>ismerteti.</w:t>
      </w:r>
    </w:p>
    <w:p>
      <w:pPr>
        <w:pStyle w:val="ListParagraph"/>
        <w:numPr>
          <w:ilvl w:val="0"/>
          <w:numId w:val="309"/>
        </w:numPr>
        <w:tabs>
          <w:tab w:pos="817" w:val="left" w:leader="none"/>
        </w:tabs>
        <w:spacing w:line="225" w:lineRule="auto" w:before="1" w:after="0"/>
        <w:ind w:left="113" w:right="128" w:firstLine="204"/>
        <w:jc w:val="both"/>
        <w:rPr>
          <w:sz w:val="24"/>
        </w:rPr>
      </w:pPr>
      <w:r>
        <w:rPr>
          <w:w w:val="130"/>
          <w:sz w:val="24"/>
        </w:rPr>
        <w:t>Ha az (1) bekezdés szerinti kérelmező kérelmét egy másik illetékes felügyeleti hatóság továbbította a Felügyelet részére, akkor a Felügyelet a szükséges</w:t>
      </w:r>
      <w:r>
        <w:rPr>
          <w:spacing w:val="-19"/>
          <w:w w:val="130"/>
          <w:sz w:val="24"/>
        </w:rPr>
        <w:t> </w:t>
      </w:r>
      <w:r>
        <w:rPr>
          <w:w w:val="130"/>
          <w:sz w:val="24"/>
        </w:rPr>
        <w:t>információkat</w:t>
      </w:r>
      <w:r>
        <w:rPr>
          <w:spacing w:val="-19"/>
          <w:w w:val="130"/>
          <w:sz w:val="24"/>
        </w:rPr>
        <w:t> </w:t>
      </w:r>
      <w:r>
        <w:rPr>
          <w:w w:val="130"/>
          <w:sz w:val="24"/>
        </w:rPr>
        <w:t>a</w:t>
      </w:r>
      <w:r>
        <w:rPr>
          <w:spacing w:val="-18"/>
          <w:w w:val="130"/>
          <w:sz w:val="24"/>
        </w:rPr>
        <w:t> </w:t>
      </w:r>
      <w:r>
        <w:rPr>
          <w:w w:val="130"/>
          <w:sz w:val="24"/>
        </w:rPr>
        <w:t>kérelmet</w:t>
      </w:r>
      <w:r>
        <w:rPr>
          <w:spacing w:val="-19"/>
          <w:w w:val="130"/>
          <w:sz w:val="24"/>
        </w:rPr>
        <w:t> </w:t>
      </w:r>
      <w:r>
        <w:rPr>
          <w:w w:val="130"/>
          <w:sz w:val="24"/>
        </w:rPr>
        <w:t>továbbító</w:t>
      </w:r>
      <w:r>
        <w:rPr>
          <w:spacing w:val="-19"/>
          <w:w w:val="130"/>
          <w:sz w:val="24"/>
        </w:rPr>
        <w:t> </w:t>
      </w:r>
      <w:r>
        <w:rPr>
          <w:w w:val="130"/>
          <w:sz w:val="24"/>
        </w:rPr>
        <w:t>illetékes</w:t>
      </w:r>
      <w:r>
        <w:rPr>
          <w:spacing w:val="-19"/>
          <w:w w:val="130"/>
          <w:sz w:val="24"/>
        </w:rPr>
        <w:t> </w:t>
      </w:r>
      <w:r>
        <w:rPr>
          <w:w w:val="130"/>
          <w:sz w:val="24"/>
        </w:rPr>
        <w:t>felügyeleti</w:t>
      </w:r>
      <w:r>
        <w:rPr>
          <w:spacing w:val="-18"/>
          <w:w w:val="130"/>
          <w:sz w:val="24"/>
        </w:rPr>
        <w:t> </w:t>
      </w:r>
      <w:r>
        <w:rPr>
          <w:w w:val="130"/>
          <w:sz w:val="24"/>
        </w:rPr>
        <w:t>hatóságnak átadja, javaslatát megfogalmazza, indokolt esetben a kérelem elfogadása tekintetében fenntartását jelentheti</w:t>
      </w:r>
      <w:r>
        <w:rPr>
          <w:spacing w:val="-7"/>
          <w:w w:val="130"/>
          <w:sz w:val="24"/>
        </w:rPr>
        <w:t> </w:t>
      </w:r>
      <w:r>
        <w:rPr>
          <w:w w:val="130"/>
          <w:sz w:val="24"/>
        </w:rPr>
        <w:t>be.</w:t>
      </w:r>
    </w:p>
    <w:p>
      <w:pPr>
        <w:spacing w:after="0" w:line="225" w:lineRule="auto"/>
        <w:jc w:val="both"/>
        <w:rPr>
          <w:sz w:val="24"/>
        </w:rPr>
        <w:sectPr>
          <w:pgSz w:w="11900" w:h="16820"/>
          <w:pgMar w:header="1104" w:footer="0" w:top="1840" w:bottom="280" w:left="1020" w:right="1000"/>
        </w:sectPr>
      </w:pPr>
    </w:p>
    <w:p>
      <w:pPr>
        <w:pStyle w:val="ListParagraph"/>
        <w:numPr>
          <w:ilvl w:val="1"/>
          <w:numId w:val="213"/>
        </w:numPr>
        <w:tabs>
          <w:tab w:pos="1048" w:val="left" w:leader="none"/>
        </w:tabs>
        <w:spacing w:line="225" w:lineRule="auto" w:before="172" w:after="0"/>
        <w:ind w:left="113" w:right="128" w:firstLine="204"/>
        <w:jc w:val="both"/>
        <w:rPr>
          <w:sz w:val="24"/>
        </w:rPr>
      </w:pPr>
      <w:r>
        <w:rPr>
          <w:rFonts w:ascii="Arial" w:hAnsi="Arial"/>
          <w:b/>
          <w:w w:val="120"/>
          <w:sz w:val="24"/>
        </w:rPr>
        <w:t>§ </w:t>
      </w:r>
      <w:r>
        <w:rPr>
          <w:w w:val="120"/>
          <w:sz w:val="24"/>
        </w:rPr>
        <w:t>(1) A Felügyelet a 126. § (1) és (3) bekezdésében meghatározott engedély iránti kérelmet elutasítja,  ha  a  kérelmező  -  ideértve  annak  tagját  vagy vezető tisztségviselőjét is</w:t>
      </w:r>
      <w:r>
        <w:rPr>
          <w:spacing w:val="18"/>
          <w:w w:val="120"/>
          <w:sz w:val="24"/>
        </w:rPr>
        <w:t> </w:t>
      </w:r>
      <w:r>
        <w:rPr>
          <w:w w:val="120"/>
          <w:sz w:val="24"/>
        </w:rPr>
        <w:t>-</w:t>
      </w:r>
    </w:p>
    <w:p>
      <w:pPr>
        <w:pStyle w:val="ListParagraph"/>
        <w:numPr>
          <w:ilvl w:val="0"/>
          <w:numId w:val="310"/>
        </w:numPr>
        <w:tabs>
          <w:tab w:pos="794" w:val="left" w:leader="none"/>
        </w:tabs>
        <w:spacing w:line="225" w:lineRule="auto" w:before="1" w:after="0"/>
        <w:ind w:left="113" w:right="116" w:firstLine="204"/>
        <w:jc w:val="both"/>
        <w:rPr>
          <w:sz w:val="24"/>
        </w:rPr>
      </w:pPr>
      <w:r>
        <w:rPr>
          <w:w w:val="130"/>
          <w:sz w:val="24"/>
        </w:rPr>
        <w:t>tevékenysége, illetve a pénzügyi intézményre gyakorolt befolyása veszélyezteti</w:t>
      </w:r>
      <w:r>
        <w:rPr>
          <w:spacing w:val="-16"/>
          <w:w w:val="130"/>
          <w:sz w:val="24"/>
        </w:rPr>
        <w:t> </w:t>
      </w:r>
      <w:r>
        <w:rPr>
          <w:w w:val="130"/>
          <w:sz w:val="24"/>
        </w:rPr>
        <w:t>a</w:t>
      </w:r>
      <w:r>
        <w:rPr>
          <w:spacing w:val="-28"/>
          <w:w w:val="130"/>
          <w:sz w:val="24"/>
        </w:rPr>
        <w:t> </w:t>
      </w:r>
      <w:r>
        <w:rPr>
          <w:w w:val="130"/>
          <w:sz w:val="24"/>
        </w:rPr>
        <w:t>pénzügyi</w:t>
      </w:r>
      <w:r>
        <w:rPr>
          <w:spacing w:val="-22"/>
          <w:w w:val="130"/>
          <w:sz w:val="24"/>
        </w:rPr>
        <w:t> </w:t>
      </w:r>
      <w:r>
        <w:rPr>
          <w:w w:val="130"/>
          <w:sz w:val="24"/>
        </w:rPr>
        <w:t>intézmény</w:t>
      </w:r>
      <w:r>
        <w:rPr>
          <w:spacing w:val="-22"/>
          <w:w w:val="130"/>
          <w:sz w:val="24"/>
        </w:rPr>
        <w:t> </w:t>
      </w:r>
      <w:r>
        <w:rPr>
          <w:w w:val="130"/>
          <w:sz w:val="24"/>
        </w:rPr>
        <w:t>független,</w:t>
      </w:r>
      <w:r>
        <w:rPr>
          <w:spacing w:val="-23"/>
          <w:w w:val="130"/>
          <w:sz w:val="24"/>
        </w:rPr>
        <w:t> </w:t>
      </w:r>
      <w:r>
        <w:rPr>
          <w:w w:val="130"/>
          <w:sz w:val="24"/>
        </w:rPr>
        <w:t>megbízható</w:t>
      </w:r>
      <w:r>
        <w:rPr>
          <w:spacing w:val="-22"/>
          <w:w w:val="130"/>
          <w:sz w:val="24"/>
        </w:rPr>
        <w:t> </w:t>
      </w:r>
      <w:r>
        <w:rPr>
          <w:w w:val="130"/>
          <w:sz w:val="24"/>
        </w:rPr>
        <w:t>és</w:t>
      </w:r>
      <w:r>
        <w:rPr>
          <w:spacing w:val="-22"/>
          <w:w w:val="130"/>
          <w:sz w:val="24"/>
        </w:rPr>
        <w:t> </w:t>
      </w:r>
      <w:r>
        <w:rPr>
          <w:w w:val="130"/>
          <w:sz w:val="24"/>
        </w:rPr>
        <w:t>körültekintő</w:t>
      </w:r>
      <w:r>
        <w:rPr>
          <w:spacing w:val="-22"/>
          <w:w w:val="130"/>
          <w:sz w:val="24"/>
        </w:rPr>
        <w:t> </w:t>
      </w:r>
      <w:r>
        <w:rPr>
          <w:w w:val="130"/>
          <w:sz w:val="24"/>
        </w:rPr>
        <w:t>tagi irányítását,</w:t>
      </w:r>
    </w:p>
    <w:p>
      <w:pPr>
        <w:pStyle w:val="ListParagraph"/>
        <w:numPr>
          <w:ilvl w:val="0"/>
          <w:numId w:val="310"/>
        </w:numPr>
        <w:tabs>
          <w:tab w:pos="914" w:val="left" w:leader="none"/>
        </w:tabs>
        <w:spacing w:line="225" w:lineRule="auto" w:before="2" w:after="0"/>
        <w:ind w:left="113" w:right="134" w:firstLine="204"/>
        <w:jc w:val="both"/>
        <w:rPr>
          <w:sz w:val="24"/>
        </w:rPr>
      </w:pPr>
      <w:r>
        <w:rPr>
          <w:w w:val="130"/>
          <w:sz w:val="24"/>
        </w:rPr>
        <w:t>üzleti tevékenységének, kapcsolatainak jellege, vagy a más vállalkozásokkal fennálló közvetlen és közvetett tagi részesedésének szerkezete</w:t>
      </w:r>
      <w:r>
        <w:rPr>
          <w:spacing w:val="-14"/>
          <w:w w:val="130"/>
          <w:sz w:val="24"/>
        </w:rPr>
        <w:t> </w:t>
      </w:r>
      <w:r>
        <w:rPr>
          <w:w w:val="130"/>
          <w:sz w:val="24"/>
        </w:rPr>
        <w:t>olyan,</w:t>
      </w:r>
      <w:r>
        <w:rPr>
          <w:spacing w:val="-14"/>
          <w:w w:val="130"/>
          <w:sz w:val="24"/>
        </w:rPr>
        <w:t> </w:t>
      </w:r>
      <w:r>
        <w:rPr>
          <w:w w:val="130"/>
          <w:sz w:val="24"/>
        </w:rPr>
        <w:t>hogy</w:t>
      </w:r>
      <w:r>
        <w:rPr>
          <w:spacing w:val="-14"/>
          <w:w w:val="130"/>
          <w:sz w:val="24"/>
        </w:rPr>
        <w:t> </w:t>
      </w:r>
      <w:r>
        <w:rPr>
          <w:w w:val="130"/>
          <w:sz w:val="24"/>
        </w:rPr>
        <w:t>a</w:t>
      </w:r>
      <w:r>
        <w:rPr>
          <w:spacing w:val="-15"/>
          <w:w w:val="130"/>
          <w:sz w:val="24"/>
        </w:rPr>
        <w:t> </w:t>
      </w:r>
      <w:r>
        <w:rPr>
          <w:w w:val="130"/>
          <w:sz w:val="24"/>
        </w:rPr>
        <w:t>felügyeleti</w:t>
      </w:r>
      <w:r>
        <w:rPr>
          <w:spacing w:val="-14"/>
          <w:w w:val="130"/>
          <w:sz w:val="24"/>
        </w:rPr>
        <w:t> </w:t>
      </w:r>
      <w:r>
        <w:rPr>
          <w:w w:val="130"/>
          <w:sz w:val="24"/>
        </w:rPr>
        <w:t>tevékenységet</w:t>
      </w:r>
      <w:r>
        <w:rPr>
          <w:spacing w:val="-14"/>
          <w:w w:val="130"/>
          <w:sz w:val="24"/>
        </w:rPr>
        <w:t> </w:t>
      </w:r>
      <w:r>
        <w:rPr>
          <w:w w:val="130"/>
          <w:sz w:val="24"/>
        </w:rPr>
        <w:t>akadályozza</w:t>
      </w:r>
      <w:r>
        <w:rPr>
          <w:spacing w:val="-15"/>
          <w:w w:val="130"/>
          <w:sz w:val="24"/>
        </w:rPr>
        <w:t> </w:t>
      </w:r>
      <w:r>
        <w:rPr>
          <w:w w:val="130"/>
          <w:sz w:val="24"/>
        </w:rPr>
        <w:t>vagy</w:t>
      </w:r>
    </w:p>
    <w:p>
      <w:pPr>
        <w:pStyle w:val="ListParagraph"/>
        <w:numPr>
          <w:ilvl w:val="0"/>
          <w:numId w:val="310"/>
        </w:numPr>
        <w:tabs>
          <w:tab w:pos="623" w:val="left" w:leader="none"/>
        </w:tabs>
        <w:spacing w:line="256" w:lineRule="exact" w:before="0" w:after="0"/>
        <w:ind w:left="622" w:right="0" w:hanging="305"/>
        <w:jc w:val="left"/>
        <w:rPr>
          <w:sz w:val="24"/>
        </w:rPr>
      </w:pPr>
      <w:r>
        <w:rPr>
          <w:w w:val="125"/>
          <w:sz w:val="24"/>
        </w:rPr>
        <w:t>nem rendelkezik jó üzleti</w:t>
      </w:r>
      <w:r>
        <w:rPr>
          <w:spacing w:val="3"/>
          <w:w w:val="125"/>
          <w:sz w:val="24"/>
        </w:rPr>
        <w:t> </w:t>
      </w:r>
      <w:r>
        <w:rPr>
          <w:w w:val="125"/>
          <w:sz w:val="24"/>
        </w:rPr>
        <w:t>hírnévvel,</w:t>
      </w:r>
    </w:p>
    <w:p>
      <w:pPr>
        <w:pStyle w:val="ListParagraph"/>
        <w:numPr>
          <w:ilvl w:val="0"/>
          <w:numId w:val="310"/>
        </w:numPr>
        <w:tabs>
          <w:tab w:pos="567" w:val="left" w:leader="none"/>
          <w:tab w:pos="1313" w:val="left" w:leader="none"/>
          <w:tab w:pos="3231" w:val="left" w:leader="none"/>
          <w:tab w:pos="5483" w:val="left" w:leader="none"/>
          <w:tab w:pos="7059" w:val="left" w:leader="none"/>
          <w:tab w:pos="9180" w:val="left" w:leader="none"/>
        </w:tabs>
        <w:spacing w:line="225" w:lineRule="auto" w:before="6" w:after="0"/>
        <w:ind w:left="113" w:right="126" w:firstLine="204"/>
        <w:jc w:val="both"/>
        <w:rPr>
          <w:sz w:val="24"/>
        </w:rPr>
      </w:pPr>
      <w:r>
        <w:rPr>
          <w:i/>
          <w:w w:val="125"/>
          <w:position w:val="3"/>
          <w:sz w:val="18"/>
        </w:rPr>
        <w:t>1 </w:t>
      </w:r>
      <w:r>
        <w:rPr>
          <w:w w:val="125"/>
          <w:sz w:val="24"/>
        </w:rPr>
        <w:t>befolyásoló részesedése szerzésével kapcsolatban feltételezhető, hogy az erre</w:t>
        <w:tab/>
        <w:t>vonatkozó</w:t>
        <w:tab/>
        <w:t>jogszabályok</w:t>
        <w:tab/>
        <w:t>alapján</w:t>
        <w:tab/>
        <w:t>pénzmosást</w:t>
        <w:tab/>
      </w:r>
      <w:r>
        <w:rPr>
          <w:w w:val="120"/>
          <w:sz w:val="24"/>
        </w:rPr>
        <w:t>vagy </w:t>
      </w:r>
      <w:r>
        <w:rPr>
          <w:w w:val="125"/>
          <w:sz w:val="24"/>
        </w:rPr>
        <w:t>terrorizmus-finanszírozást követnek vagy követtek el, vagy kísérelnek vagy kíséreltek meg elkövetni, vagy hogy a szándékolt befolyásoló részesedés szerzése növelheti ennek</w:t>
      </w:r>
      <w:r>
        <w:rPr>
          <w:spacing w:val="15"/>
          <w:w w:val="125"/>
          <w:sz w:val="24"/>
        </w:rPr>
        <w:t> </w:t>
      </w:r>
      <w:r>
        <w:rPr>
          <w:w w:val="125"/>
          <w:sz w:val="24"/>
        </w:rPr>
        <w:t>kockázatát.</w:t>
      </w:r>
    </w:p>
    <w:p>
      <w:pPr>
        <w:pStyle w:val="ListParagraph"/>
        <w:numPr>
          <w:ilvl w:val="0"/>
          <w:numId w:val="311"/>
        </w:numPr>
        <w:tabs>
          <w:tab w:pos="829" w:val="left" w:leader="none"/>
        </w:tabs>
        <w:spacing w:line="225" w:lineRule="auto" w:before="2" w:after="0"/>
        <w:ind w:left="113" w:right="131" w:firstLine="204"/>
        <w:jc w:val="both"/>
        <w:rPr>
          <w:sz w:val="24"/>
        </w:rPr>
      </w:pPr>
      <w:r>
        <w:rPr>
          <w:w w:val="125"/>
          <w:sz w:val="24"/>
        </w:rPr>
        <w:t>Az engedélyt kérő személy vagy tagjának, vezető tisztségviselőjének tevékenysége, illetve a pénzügyi intézményre gyakorolt befolyása különösen akkor veszélyezteti a pénzügyi intézmény független, megbízható és körültekintő tagi irányítását,</w:t>
      </w:r>
      <w:r>
        <w:rPr>
          <w:spacing w:val="10"/>
          <w:w w:val="125"/>
          <w:sz w:val="24"/>
        </w:rPr>
        <w:t> </w:t>
      </w:r>
      <w:r>
        <w:rPr>
          <w:w w:val="125"/>
          <w:sz w:val="24"/>
        </w:rPr>
        <w:t>ha</w:t>
      </w:r>
    </w:p>
    <w:p>
      <w:pPr>
        <w:pStyle w:val="ListParagraph"/>
        <w:numPr>
          <w:ilvl w:val="0"/>
          <w:numId w:val="312"/>
        </w:numPr>
        <w:tabs>
          <w:tab w:pos="646" w:val="left" w:leader="none"/>
        </w:tabs>
        <w:spacing w:line="225" w:lineRule="auto" w:before="3" w:after="0"/>
        <w:ind w:left="113" w:right="126" w:firstLine="204"/>
        <w:jc w:val="both"/>
        <w:rPr>
          <w:sz w:val="24"/>
        </w:rPr>
      </w:pPr>
      <w:r>
        <w:rPr>
          <w:w w:val="130"/>
          <w:sz w:val="24"/>
        </w:rPr>
        <w:t>pénzügyi, gazdasági helyzete az ajánlat tárgyát képező</w:t>
      </w:r>
      <w:r>
        <w:rPr>
          <w:spacing w:val="-36"/>
          <w:w w:val="130"/>
          <w:sz w:val="24"/>
        </w:rPr>
        <w:t> </w:t>
      </w:r>
      <w:r>
        <w:rPr>
          <w:w w:val="130"/>
          <w:sz w:val="24"/>
        </w:rPr>
        <w:t>részesedésszerzés nagyságához viszonyítva nem minősíthető</w:t>
      </w:r>
      <w:r>
        <w:rPr>
          <w:spacing w:val="-38"/>
          <w:w w:val="130"/>
          <w:sz w:val="24"/>
        </w:rPr>
        <w:t> </w:t>
      </w:r>
      <w:r>
        <w:rPr>
          <w:w w:val="130"/>
          <w:sz w:val="24"/>
        </w:rPr>
        <w:t>megfelelőnek,</w:t>
      </w:r>
    </w:p>
    <w:p>
      <w:pPr>
        <w:pStyle w:val="ListParagraph"/>
        <w:numPr>
          <w:ilvl w:val="0"/>
          <w:numId w:val="312"/>
        </w:numPr>
        <w:tabs>
          <w:tab w:pos="794" w:val="left" w:leader="none"/>
        </w:tabs>
        <w:spacing w:line="225" w:lineRule="auto" w:before="1" w:after="0"/>
        <w:ind w:left="113" w:right="121" w:firstLine="204"/>
        <w:jc w:val="both"/>
        <w:rPr>
          <w:sz w:val="24"/>
        </w:rPr>
      </w:pPr>
      <w:r>
        <w:rPr>
          <w:w w:val="130"/>
          <w:sz w:val="24"/>
        </w:rPr>
        <w:t>nem bizonyítható a részesedésszerzéshez felhasznált pénzeszközök eredetének törvényessége vagy a pénzeszközök tulajdonosaként megjelölt</w:t>
      </w:r>
      <w:r>
        <w:rPr>
          <w:spacing w:val="78"/>
          <w:w w:val="130"/>
          <w:sz w:val="24"/>
        </w:rPr>
        <w:t> </w:t>
      </w:r>
      <w:r>
        <w:rPr>
          <w:w w:val="130"/>
          <w:sz w:val="24"/>
        </w:rPr>
        <w:t>személy adatainak</w:t>
      </w:r>
      <w:r>
        <w:rPr>
          <w:spacing w:val="-8"/>
          <w:w w:val="130"/>
          <w:sz w:val="24"/>
        </w:rPr>
        <w:t> </w:t>
      </w:r>
      <w:r>
        <w:rPr>
          <w:w w:val="130"/>
          <w:sz w:val="24"/>
        </w:rPr>
        <w:t>valódisága,</w:t>
      </w:r>
    </w:p>
    <w:p>
      <w:pPr>
        <w:pStyle w:val="ListParagraph"/>
        <w:numPr>
          <w:ilvl w:val="0"/>
          <w:numId w:val="312"/>
        </w:numPr>
        <w:tabs>
          <w:tab w:pos="623" w:val="left" w:leader="none"/>
        </w:tabs>
        <w:spacing w:line="256" w:lineRule="exact" w:before="0" w:after="0"/>
        <w:ind w:left="622" w:right="0" w:hanging="305"/>
        <w:jc w:val="left"/>
        <w:rPr>
          <w:sz w:val="24"/>
        </w:rPr>
      </w:pPr>
      <w:r>
        <w:rPr>
          <w:w w:val="130"/>
          <w:sz w:val="24"/>
        </w:rPr>
        <w:t>nem</w:t>
      </w:r>
      <w:r>
        <w:rPr>
          <w:spacing w:val="-14"/>
          <w:w w:val="130"/>
          <w:sz w:val="24"/>
        </w:rPr>
        <w:t> </w:t>
      </w:r>
      <w:r>
        <w:rPr>
          <w:w w:val="130"/>
          <w:sz w:val="24"/>
        </w:rPr>
        <w:t>teljesíti</w:t>
      </w:r>
      <w:r>
        <w:rPr>
          <w:spacing w:val="-4"/>
          <w:w w:val="130"/>
          <w:sz w:val="24"/>
        </w:rPr>
        <w:t> </w:t>
      </w:r>
      <w:r>
        <w:rPr>
          <w:w w:val="130"/>
          <w:sz w:val="24"/>
        </w:rPr>
        <w:t>a</w:t>
      </w:r>
      <w:r>
        <w:rPr>
          <w:spacing w:val="-21"/>
          <w:w w:val="130"/>
          <w:sz w:val="24"/>
        </w:rPr>
        <w:t> </w:t>
      </w:r>
      <w:r>
        <w:rPr>
          <w:w w:val="130"/>
          <w:sz w:val="24"/>
        </w:rPr>
        <w:t>rendkívüli</w:t>
      </w:r>
      <w:r>
        <w:rPr>
          <w:spacing w:val="-19"/>
          <w:w w:val="130"/>
          <w:sz w:val="24"/>
        </w:rPr>
        <w:t> </w:t>
      </w:r>
      <w:r>
        <w:rPr>
          <w:w w:val="130"/>
          <w:sz w:val="24"/>
        </w:rPr>
        <w:t>intézkedési</w:t>
      </w:r>
      <w:r>
        <w:rPr>
          <w:spacing w:val="-15"/>
          <w:w w:val="130"/>
          <w:sz w:val="24"/>
        </w:rPr>
        <w:t> </w:t>
      </w:r>
      <w:r>
        <w:rPr>
          <w:w w:val="130"/>
          <w:sz w:val="24"/>
        </w:rPr>
        <w:t>tervben</w:t>
      </w:r>
      <w:r>
        <w:rPr>
          <w:spacing w:val="-14"/>
          <w:w w:val="130"/>
          <w:sz w:val="24"/>
        </w:rPr>
        <w:t> </w:t>
      </w:r>
      <w:r>
        <w:rPr>
          <w:w w:val="130"/>
          <w:sz w:val="24"/>
        </w:rPr>
        <w:t>megállapított</w:t>
      </w:r>
      <w:r>
        <w:rPr>
          <w:spacing w:val="-15"/>
          <w:w w:val="130"/>
          <w:sz w:val="24"/>
        </w:rPr>
        <w:t> </w:t>
      </w:r>
      <w:r>
        <w:rPr>
          <w:w w:val="130"/>
          <w:sz w:val="24"/>
        </w:rPr>
        <w:t>feltételeket,</w:t>
      </w:r>
    </w:p>
    <w:p>
      <w:pPr>
        <w:pStyle w:val="ListParagraph"/>
        <w:numPr>
          <w:ilvl w:val="0"/>
          <w:numId w:val="312"/>
        </w:numPr>
        <w:tabs>
          <w:tab w:pos="696" w:val="left" w:leader="none"/>
        </w:tabs>
        <w:spacing w:line="225" w:lineRule="auto" w:before="5" w:after="0"/>
        <w:ind w:left="113" w:right="127" w:firstLine="204"/>
        <w:jc w:val="both"/>
        <w:rPr>
          <w:sz w:val="24"/>
        </w:rPr>
      </w:pPr>
      <w:r>
        <w:rPr>
          <w:w w:val="125"/>
          <w:sz w:val="24"/>
        </w:rPr>
        <w:t>szavazati jogának gyakorlását a Felügyelet - a bejelentést megelőző öt éven belül - felfüggesztette</w:t>
      </w:r>
      <w:r>
        <w:rPr>
          <w:spacing w:val="2"/>
          <w:w w:val="125"/>
          <w:sz w:val="24"/>
        </w:rPr>
        <w:t> </w:t>
      </w:r>
      <w:r>
        <w:rPr>
          <w:w w:val="125"/>
          <w:sz w:val="24"/>
        </w:rPr>
        <w:t>vagy</w:t>
      </w:r>
    </w:p>
    <w:p>
      <w:pPr>
        <w:pStyle w:val="ListParagraph"/>
        <w:numPr>
          <w:ilvl w:val="0"/>
          <w:numId w:val="312"/>
        </w:numPr>
        <w:tabs>
          <w:tab w:pos="636" w:val="left" w:leader="none"/>
        </w:tabs>
        <w:spacing w:line="225" w:lineRule="auto" w:before="2" w:after="0"/>
        <w:ind w:left="113" w:right="130" w:firstLine="204"/>
        <w:jc w:val="both"/>
        <w:rPr>
          <w:sz w:val="24"/>
        </w:rPr>
      </w:pPr>
      <w:r>
        <w:rPr>
          <w:w w:val="125"/>
          <w:sz w:val="24"/>
        </w:rPr>
        <w:t>természetes személy esetén a 137. § (4) bekezdésében foglalt kizáró ok áll fenn.</w:t>
      </w:r>
    </w:p>
    <w:p>
      <w:pPr>
        <w:pStyle w:val="ListParagraph"/>
        <w:numPr>
          <w:ilvl w:val="0"/>
          <w:numId w:val="311"/>
        </w:numPr>
        <w:tabs>
          <w:tab w:pos="774" w:val="left" w:leader="none"/>
        </w:tabs>
        <w:spacing w:line="225" w:lineRule="auto" w:before="1" w:after="0"/>
        <w:ind w:left="113" w:right="129" w:firstLine="204"/>
        <w:jc w:val="both"/>
        <w:rPr>
          <w:sz w:val="24"/>
        </w:rPr>
      </w:pPr>
      <w:r>
        <w:rPr>
          <w:w w:val="130"/>
          <w:sz w:val="24"/>
        </w:rPr>
        <w:t>Ha a befolyásoló részesedés engedélyezésének megtagadására okot adó körülmény</w:t>
      </w:r>
      <w:r>
        <w:rPr>
          <w:spacing w:val="-21"/>
          <w:w w:val="130"/>
          <w:sz w:val="24"/>
        </w:rPr>
        <w:t> </w:t>
      </w:r>
      <w:r>
        <w:rPr>
          <w:w w:val="130"/>
          <w:sz w:val="24"/>
        </w:rPr>
        <w:t>nem</w:t>
      </w:r>
      <w:r>
        <w:rPr>
          <w:spacing w:val="-20"/>
          <w:w w:val="130"/>
          <w:sz w:val="24"/>
        </w:rPr>
        <w:t> </w:t>
      </w:r>
      <w:r>
        <w:rPr>
          <w:w w:val="130"/>
          <w:sz w:val="24"/>
        </w:rPr>
        <w:t>áll</w:t>
      </w:r>
      <w:r>
        <w:rPr>
          <w:spacing w:val="-20"/>
          <w:w w:val="130"/>
          <w:sz w:val="24"/>
        </w:rPr>
        <w:t> </w:t>
      </w:r>
      <w:r>
        <w:rPr>
          <w:w w:val="130"/>
          <w:sz w:val="24"/>
        </w:rPr>
        <w:t>fenn,</w:t>
      </w:r>
      <w:r>
        <w:rPr>
          <w:spacing w:val="-20"/>
          <w:w w:val="130"/>
          <w:sz w:val="24"/>
        </w:rPr>
        <w:t> </w:t>
      </w:r>
      <w:r>
        <w:rPr>
          <w:w w:val="130"/>
          <w:sz w:val="24"/>
        </w:rPr>
        <w:t>de</w:t>
      </w:r>
      <w:r>
        <w:rPr>
          <w:spacing w:val="-19"/>
          <w:w w:val="130"/>
          <w:sz w:val="24"/>
        </w:rPr>
        <w:t> </w:t>
      </w:r>
      <w:r>
        <w:rPr>
          <w:w w:val="130"/>
          <w:sz w:val="24"/>
        </w:rPr>
        <w:t>a</w:t>
      </w:r>
      <w:r>
        <w:rPr>
          <w:spacing w:val="-20"/>
          <w:w w:val="130"/>
          <w:sz w:val="24"/>
        </w:rPr>
        <w:t> </w:t>
      </w:r>
      <w:r>
        <w:rPr>
          <w:w w:val="130"/>
          <w:sz w:val="24"/>
        </w:rPr>
        <w:t>természetes</w:t>
      </w:r>
      <w:r>
        <w:rPr>
          <w:spacing w:val="-21"/>
          <w:w w:val="130"/>
          <w:sz w:val="24"/>
        </w:rPr>
        <w:t> </w:t>
      </w:r>
      <w:r>
        <w:rPr>
          <w:w w:val="130"/>
          <w:sz w:val="24"/>
        </w:rPr>
        <w:t>személy</w:t>
      </w:r>
      <w:r>
        <w:rPr>
          <w:spacing w:val="-20"/>
          <w:w w:val="130"/>
          <w:sz w:val="24"/>
        </w:rPr>
        <w:t> </w:t>
      </w:r>
      <w:r>
        <w:rPr>
          <w:w w:val="130"/>
          <w:sz w:val="24"/>
        </w:rPr>
        <w:t>mint</w:t>
      </w:r>
      <w:r>
        <w:rPr>
          <w:spacing w:val="-20"/>
          <w:w w:val="130"/>
          <w:sz w:val="24"/>
        </w:rPr>
        <w:t> </w:t>
      </w:r>
      <w:r>
        <w:rPr>
          <w:w w:val="130"/>
          <w:sz w:val="24"/>
        </w:rPr>
        <w:t>kérelmező</w:t>
      </w:r>
      <w:r>
        <w:rPr>
          <w:spacing w:val="-20"/>
          <w:w w:val="130"/>
          <w:sz w:val="24"/>
        </w:rPr>
        <w:t> </w:t>
      </w:r>
      <w:r>
        <w:rPr>
          <w:w w:val="130"/>
          <w:sz w:val="24"/>
        </w:rPr>
        <w:t>ellen</w:t>
      </w:r>
      <w:r>
        <w:rPr>
          <w:spacing w:val="-21"/>
          <w:w w:val="130"/>
          <w:sz w:val="24"/>
        </w:rPr>
        <w:t> </w:t>
      </w:r>
      <w:r>
        <w:rPr>
          <w:w w:val="130"/>
          <w:sz w:val="24"/>
        </w:rPr>
        <w:t>a</w:t>
      </w:r>
      <w:r>
        <w:rPr>
          <w:spacing w:val="-20"/>
          <w:w w:val="130"/>
          <w:sz w:val="24"/>
        </w:rPr>
        <w:t> </w:t>
      </w:r>
      <w:r>
        <w:rPr>
          <w:w w:val="130"/>
          <w:sz w:val="24"/>
        </w:rPr>
        <w:t>137.</w:t>
      </w:r>
    </w:p>
    <w:p>
      <w:pPr>
        <w:pStyle w:val="BodyText"/>
        <w:spacing w:line="225" w:lineRule="auto" w:before="1"/>
        <w:ind w:right="126" w:firstLine="0"/>
        <w:jc w:val="both"/>
      </w:pPr>
      <w:r>
        <w:rPr>
          <w:w w:val="125"/>
        </w:rPr>
        <w:t>§ (6) bekezdésében meghatározott büntetőeljárás van folyamatban, a  Felügyelet az engedélyt a tag szavazati jogának a büntetőeljárás befejezéséig történő felfüggesztésével adja</w:t>
      </w:r>
      <w:r>
        <w:rPr>
          <w:spacing w:val="3"/>
          <w:w w:val="125"/>
        </w:rPr>
        <w:t> </w:t>
      </w:r>
      <w:r>
        <w:rPr>
          <w:w w:val="125"/>
        </w:rPr>
        <w:t>meg.</w:t>
      </w:r>
    </w:p>
    <w:p>
      <w:pPr>
        <w:pStyle w:val="ListParagraph"/>
        <w:numPr>
          <w:ilvl w:val="0"/>
          <w:numId w:val="311"/>
        </w:numPr>
        <w:tabs>
          <w:tab w:pos="771" w:val="left" w:leader="none"/>
        </w:tabs>
        <w:spacing w:line="225" w:lineRule="auto" w:before="2" w:after="0"/>
        <w:ind w:left="113" w:right="132" w:firstLine="204"/>
        <w:jc w:val="both"/>
        <w:rPr>
          <w:sz w:val="24"/>
        </w:rPr>
      </w:pPr>
      <w:r>
        <w:rPr>
          <w:w w:val="130"/>
          <w:sz w:val="24"/>
        </w:rPr>
        <w:t>Az</w:t>
      </w:r>
      <w:r>
        <w:rPr>
          <w:spacing w:val="-10"/>
          <w:w w:val="130"/>
          <w:sz w:val="24"/>
        </w:rPr>
        <w:t> </w:t>
      </w:r>
      <w:r>
        <w:rPr>
          <w:w w:val="130"/>
          <w:sz w:val="24"/>
        </w:rPr>
        <w:t>(1)-(2)</w:t>
      </w:r>
      <w:r>
        <w:rPr>
          <w:spacing w:val="-10"/>
          <w:w w:val="130"/>
          <w:sz w:val="24"/>
        </w:rPr>
        <w:t> </w:t>
      </w:r>
      <w:r>
        <w:rPr>
          <w:w w:val="130"/>
          <w:sz w:val="24"/>
        </w:rPr>
        <w:t>bekezdésben</w:t>
      </w:r>
      <w:r>
        <w:rPr>
          <w:spacing w:val="-10"/>
          <w:w w:val="130"/>
          <w:sz w:val="24"/>
        </w:rPr>
        <w:t> </w:t>
      </w:r>
      <w:r>
        <w:rPr>
          <w:w w:val="130"/>
          <w:sz w:val="24"/>
        </w:rPr>
        <w:t>meghatározott</w:t>
      </w:r>
      <w:r>
        <w:rPr>
          <w:spacing w:val="-9"/>
          <w:w w:val="130"/>
          <w:sz w:val="24"/>
        </w:rPr>
        <w:t> </w:t>
      </w:r>
      <w:r>
        <w:rPr>
          <w:w w:val="130"/>
          <w:sz w:val="24"/>
        </w:rPr>
        <w:t>tény</w:t>
      </w:r>
      <w:r>
        <w:rPr>
          <w:spacing w:val="-7"/>
          <w:w w:val="130"/>
          <w:sz w:val="24"/>
        </w:rPr>
        <w:t> </w:t>
      </w:r>
      <w:r>
        <w:rPr>
          <w:w w:val="130"/>
          <w:sz w:val="24"/>
        </w:rPr>
        <w:t>vagy</w:t>
      </w:r>
      <w:r>
        <w:rPr>
          <w:spacing w:val="-10"/>
          <w:w w:val="130"/>
          <w:sz w:val="24"/>
        </w:rPr>
        <w:t> </w:t>
      </w:r>
      <w:r>
        <w:rPr>
          <w:w w:val="130"/>
          <w:sz w:val="24"/>
        </w:rPr>
        <w:t>körülmény</w:t>
      </w:r>
      <w:r>
        <w:rPr>
          <w:spacing w:val="-14"/>
          <w:w w:val="130"/>
          <w:sz w:val="24"/>
        </w:rPr>
        <w:t> </w:t>
      </w:r>
      <w:r>
        <w:rPr>
          <w:w w:val="130"/>
          <w:sz w:val="24"/>
        </w:rPr>
        <w:t>ellenőrzése érdekében a Felügyelet bármelyik érdekelt féltől törvény felhatalmazása alapján kezelhető adatot, illetve tájékoztatást</w:t>
      </w:r>
      <w:r>
        <w:rPr>
          <w:spacing w:val="-24"/>
          <w:w w:val="130"/>
          <w:sz w:val="24"/>
        </w:rPr>
        <w:t> </w:t>
      </w:r>
      <w:r>
        <w:rPr>
          <w:w w:val="130"/>
          <w:sz w:val="24"/>
        </w:rPr>
        <w:t>kérhet.</w:t>
      </w:r>
    </w:p>
    <w:p>
      <w:pPr>
        <w:pStyle w:val="ListParagraph"/>
        <w:numPr>
          <w:ilvl w:val="0"/>
          <w:numId w:val="311"/>
        </w:numPr>
        <w:tabs>
          <w:tab w:pos="777" w:val="left" w:leader="none"/>
        </w:tabs>
        <w:spacing w:line="225" w:lineRule="auto" w:before="1" w:after="0"/>
        <w:ind w:left="113" w:right="123" w:firstLine="204"/>
        <w:jc w:val="both"/>
        <w:rPr>
          <w:sz w:val="24"/>
        </w:rPr>
      </w:pPr>
      <w:r>
        <w:rPr>
          <w:w w:val="130"/>
          <w:sz w:val="24"/>
        </w:rPr>
        <w:t>Ha a befolyásoló részesedés megszerzésének feltételei már nem állnak fenn, a Felügyelet a jogellenes állapot megszüntetéséig vagy megszűnéséig, illetve a feltételek meglétének ismételt igazolásáig a tag szavazati jogának gyakorlását</w:t>
      </w:r>
      <w:r>
        <w:rPr>
          <w:spacing w:val="-4"/>
          <w:w w:val="130"/>
          <w:sz w:val="24"/>
        </w:rPr>
        <w:t> </w:t>
      </w:r>
      <w:r>
        <w:rPr>
          <w:w w:val="130"/>
          <w:sz w:val="24"/>
        </w:rPr>
        <w:t>felfüggeszti.</w:t>
      </w:r>
    </w:p>
    <w:p>
      <w:pPr>
        <w:pStyle w:val="ListParagraph"/>
        <w:numPr>
          <w:ilvl w:val="0"/>
          <w:numId w:val="311"/>
        </w:numPr>
        <w:tabs>
          <w:tab w:pos="849" w:val="left" w:leader="none"/>
        </w:tabs>
        <w:spacing w:line="225" w:lineRule="auto" w:before="3" w:after="0"/>
        <w:ind w:left="113" w:right="123" w:firstLine="204"/>
        <w:jc w:val="both"/>
        <w:rPr>
          <w:sz w:val="24"/>
        </w:rPr>
      </w:pPr>
      <w:r>
        <w:rPr>
          <w:w w:val="125"/>
          <w:sz w:val="24"/>
        </w:rPr>
        <w:t>Ha pénzügyi intézmény tagja szavazati jogát törvény rendelkezése alapján nem gyakorolhatja, szavazati jogát a határozatképesség megállapításánál számításon kívül kell</w:t>
      </w:r>
      <w:r>
        <w:rPr>
          <w:spacing w:val="1"/>
          <w:w w:val="125"/>
          <w:sz w:val="24"/>
        </w:rPr>
        <w:t> </w:t>
      </w:r>
      <w:r>
        <w:rPr>
          <w:w w:val="125"/>
          <w:sz w:val="24"/>
        </w:rPr>
        <w:t>hagyni.</w:t>
      </w:r>
    </w:p>
    <w:p>
      <w:pPr>
        <w:pStyle w:val="ListParagraph"/>
        <w:numPr>
          <w:ilvl w:val="0"/>
          <w:numId w:val="311"/>
        </w:numPr>
        <w:tabs>
          <w:tab w:pos="766" w:val="left" w:leader="none"/>
        </w:tabs>
        <w:spacing w:line="225" w:lineRule="auto" w:before="1" w:after="0"/>
        <w:ind w:left="113" w:right="130" w:firstLine="204"/>
        <w:jc w:val="both"/>
        <w:rPr>
          <w:sz w:val="24"/>
        </w:rPr>
      </w:pPr>
      <w:r>
        <w:rPr>
          <w:w w:val="125"/>
          <w:sz w:val="24"/>
        </w:rPr>
        <w:t>A Felügyelet engedélye nem helyettesíti a Gazdasági Versenyhivatalnak az irányítás megszerzéséhez szükséges</w:t>
      </w:r>
      <w:r>
        <w:rPr>
          <w:spacing w:val="10"/>
          <w:w w:val="125"/>
          <w:sz w:val="24"/>
        </w:rPr>
        <w:t> </w:t>
      </w:r>
      <w:r>
        <w:rPr>
          <w:w w:val="125"/>
          <w:sz w:val="24"/>
        </w:rPr>
        <w:t>engedélyét.</w:t>
      </w:r>
    </w:p>
    <w:p>
      <w:pPr>
        <w:pStyle w:val="ListParagraph"/>
        <w:numPr>
          <w:ilvl w:val="1"/>
          <w:numId w:val="213"/>
        </w:numPr>
        <w:tabs>
          <w:tab w:pos="992" w:val="left" w:leader="none"/>
        </w:tabs>
        <w:spacing w:line="225" w:lineRule="auto" w:before="1" w:after="0"/>
        <w:ind w:left="113" w:right="109" w:firstLine="204"/>
        <w:jc w:val="both"/>
        <w:rPr>
          <w:sz w:val="24"/>
        </w:rPr>
      </w:pPr>
      <w:r>
        <w:rPr>
          <w:rFonts w:ascii="Arial" w:hAnsi="Arial"/>
          <w:b/>
          <w:w w:val="125"/>
          <w:sz w:val="24"/>
        </w:rPr>
        <w:t>§ </w:t>
      </w:r>
      <w:r>
        <w:rPr>
          <w:w w:val="125"/>
          <w:sz w:val="24"/>
        </w:rPr>
        <w:t>(1) Ha a Felügyelet a 129. §-ban meghatározott ügyintézési határidőn belül a befolyásoló részesedés megszerzésének, illetve a meglévő befolyásoló részesedés mértéke növelésének jóváhagyását nem tagadja meg, a jóváhagyás megadottnak tekintendő.</w:t>
      </w:r>
    </w:p>
    <w:p>
      <w:pPr>
        <w:pStyle w:val="BodyText"/>
        <w:spacing w:before="9"/>
        <w:ind w:left="0" w:firstLine="0"/>
        <w:rPr>
          <w:sz w:val="27"/>
        </w:rPr>
      </w:pPr>
      <w:r>
        <w:rPr/>
        <w:pict>
          <v:line style="position:absolute;mso-position-horizontal-relative:page;mso-position-vertical-relative:paragraph;z-index:680;mso-wrap-distance-left:0;mso-wrap-distance-right:0" from="56.693001pt,18.216343pt" to="538.583001pt,18.21634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LXIX. törvény 168. §. Hatályos: 2017. VII.</w:t>
      </w:r>
      <w:r>
        <w:rPr>
          <w:i/>
          <w:spacing w:val="-13"/>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BodyText"/>
        <w:spacing w:line="225" w:lineRule="auto" w:before="173"/>
        <w:ind w:right="125"/>
        <w:jc w:val="both"/>
      </w:pPr>
      <w:r>
        <w:rPr>
          <w:w w:val="130"/>
        </w:rPr>
        <w:t>(2)</w:t>
      </w:r>
      <w:r>
        <w:rPr>
          <w:spacing w:val="-10"/>
          <w:w w:val="130"/>
        </w:rPr>
        <w:t> </w:t>
      </w:r>
      <w:r>
        <w:rPr>
          <w:w w:val="130"/>
        </w:rPr>
        <w:t>Ha</w:t>
      </w:r>
      <w:r>
        <w:rPr>
          <w:spacing w:val="-32"/>
          <w:w w:val="130"/>
        </w:rPr>
        <w:t> </w:t>
      </w:r>
      <w:r>
        <w:rPr>
          <w:w w:val="130"/>
        </w:rPr>
        <w:t>a</w:t>
      </w:r>
      <w:r>
        <w:rPr>
          <w:spacing w:val="-20"/>
          <w:w w:val="130"/>
        </w:rPr>
        <w:t> </w:t>
      </w:r>
      <w:r>
        <w:rPr>
          <w:w w:val="130"/>
        </w:rPr>
        <w:t>Felügyelet</w:t>
      </w:r>
      <w:r>
        <w:rPr>
          <w:spacing w:val="-22"/>
          <w:w w:val="130"/>
        </w:rPr>
        <w:t> </w:t>
      </w:r>
      <w:r>
        <w:rPr>
          <w:w w:val="130"/>
        </w:rPr>
        <w:t>a</w:t>
      </w:r>
      <w:r>
        <w:rPr>
          <w:spacing w:val="-21"/>
          <w:w w:val="130"/>
        </w:rPr>
        <w:t> </w:t>
      </w:r>
      <w:r>
        <w:rPr>
          <w:w w:val="130"/>
        </w:rPr>
        <w:t>befolyásoló</w:t>
      </w:r>
      <w:r>
        <w:rPr>
          <w:spacing w:val="-21"/>
          <w:w w:val="130"/>
        </w:rPr>
        <w:t> </w:t>
      </w:r>
      <w:r>
        <w:rPr>
          <w:w w:val="130"/>
        </w:rPr>
        <w:t>részesedés</w:t>
      </w:r>
      <w:r>
        <w:rPr>
          <w:spacing w:val="-14"/>
          <w:w w:val="130"/>
        </w:rPr>
        <w:t> </w:t>
      </w:r>
      <w:r>
        <w:rPr>
          <w:w w:val="130"/>
        </w:rPr>
        <w:t>megszerzését,</w:t>
      </w:r>
      <w:r>
        <w:rPr>
          <w:spacing w:val="-28"/>
          <w:w w:val="130"/>
        </w:rPr>
        <w:t> </w:t>
      </w:r>
      <w:r>
        <w:rPr>
          <w:w w:val="130"/>
        </w:rPr>
        <w:t>illetve</w:t>
      </w:r>
      <w:r>
        <w:rPr>
          <w:spacing w:val="-22"/>
          <w:w w:val="130"/>
        </w:rPr>
        <w:t> </w:t>
      </w:r>
      <w:r>
        <w:rPr>
          <w:w w:val="130"/>
        </w:rPr>
        <w:t>a</w:t>
      </w:r>
      <w:r>
        <w:rPr>
          <w:spacing w:val="-21"/>
          <w:w w:val="130"/>
        </w:rPr>
        <w:t> </w:t>
      </w:r>
      <w:r>
        <w:rPr>
          <w:w w:val="130"/>
        </w:rPr>
        <w:t>meglévő befolyásoló részesedés mértékének növelését nem tagadja meg, annak lebonyolítására határidőt állapíthat meg, amely nem haladhatja meg a hat hónapot.</w:t>
      </w:r>
    </w:p>
    <w:p>
      <w:pPr>
        <w:pStyle w:val="ListParagraph"/>
        <w:numPr>
          <w:ilvl w:val="1"/>
          <w:numId w:val="213"/>
        </w:numPr>
        <w:tabs>
          <w:tab w:pos="1070" w:val="left" w:leader="none"/>
        </w:tabs>
        <w:spacing w:line="225" w:lineRule="auto" w:before="1" w:after="0"/>
        <w:ind w:left="113" w:right="127" w:firstLine="204"/>
        <w:jc w:val="both"/>
        <w:rPr>
          <w:sz w:val="24"/>
        </w:rPr>
      </w:pPr>
      <w:r>
        <w:rPr>
          <w:rFonts w:ascii="Arial" w:hAnsi="Arial"/>
          <w:b/>
          <w:w w:val="125"/>
          <w:sz w:val="24"/>
        </w:rPr>
        <w:t>§ </w:t>
      </w:r>
      <w:r>
        <w:rPr>
          <w:w w:val="125"/>
          <w:sz w:val="24"/>
        </w:rPr>
        <w:t>Az előírt engedély iránti kérelem benyújtásának elmulasztása, a kérelem elutasítása, az előírt bejelentési kötelezettség elmulasztása vagy az adatszolgáltatás megtagadása esetén a részesedésszerzésre vagy az előny biztosítására irányuló szerződésből származó szavazati jogok gyakorlását a Felügyelet a megfelelő törvényes feltételek biztosításáig</w:t>
      </w:r>
      <w:r>
        <w:rPr>
          <w:spacing w:val="30"/>
          <w:w w:val="125"/>
          <w:sz w:val="24"/>
        </w:rPr>
        <w:t> </w:t>
      </w:r>
      <w:r>
        <w:rPr>
          <w:w w:val="125"/>
          <w:sz w:val="24"/>
        </w:rPr>
        <w:t>megtilthatja.</w:t>
      </w:r>
    </w:p>
    <w:p>
      <w:pPr>
        <w:pStyle w:val="ListParagraph"/>
        <w:numPr>
          <w:ilvl w:val="1"/>
          <w:numId w:val="213"/>
        </w:numPr>
        <w:tabs>
          <w:tab w:pos="985" w:val="left" w:leader="none"/>
        </w:tabs>
        <w:spacing w:line="257" w:lineRule="exact" w:before="0" w:after="0"/>
        <w:ind w:left="984" w:right="0" w:hanging="667"/>
        <w:jc w:val="left"/>
        <w:rPr>
          <w:sz w:val="24"/>
        </w:rPr>
      </w:pPr>
      <w:r>
        <w:rPr>
          <w:rFonts w:ascii="Arial" w:hAnsi="Arial"/>
          <w:b/>
          <w:w w:val="120"/>
          <w:sz w:val="24"/>
        </w:rPr>
        <w:t>§ </w:t>
      </w:r>
      <w:r>
        <w:rPr>
          <w:w w:val="120"/>
          <w:sz w:val="24"/>
        </w:rPr>
        <w:t>(1) Aki a pénzügyi</w:t>
      </w:r>
      <w:r>
        <w:rPr>
          <w:spacing w:val="21"/>
          <w:w w:val="120"/>
          <w:sz w:val="24"/>
        </w:rPr>
        <w:t> </w:t>
      </w:r>
      <w:r>
        <w:rPr>
          <w:w w:val="120"/>
          <w:sz w:val="24"/>
        </w:rPr>
        <w:t>intézményben</w:t>
      </w:r>
    </w:p>
    <w:p>
      <w:pPr>
        <w:pStyle w:val="ListParagraph"/>
        <w:numPr>
          <w:ilvl w:val="0"/>
          <w:numId w:val="313"/>
        </w:numPr>
        <w:tabs>
          <w:tab w:pos="631" w:val="left" w:leader="none"/>
        </w:tabs>
        <w:spacing w:line="260" w:lineRule="exact" w:before="0" w:after="0"/>
        <w:ind w:left="630" w:right="0" w:hanging="313"/>
        <w:jc w:val="left"/>
        <w:rPr>
          <w:sz w:val="24"/>
        </w:rPr>
      </w:pPr>
      <w:r>
        <w:rPr>
          <w:w w:val="130"/>
          <w:sz w:val="24"/>
        </w:rPr>
        <w:t>befolyásoló részesedést</w:t>
      </w:r>
      <w:r>
        <w:rPr>
          <w:spacing w:val="-7"/>
          <w:w w:val="130"/>
          <w:sz w:val="24"/>
        </w:rPr>
        <w:t> </w:t>
      </w:r>
      <w:r>
        <w:rPr>
          <w:w w:val="130"/>
          <w:sz w:val="24"/>
        </w:rPr>
        <w:t>szerzett,</w:t>
      </w:r>
    </w:p>
    <w:p>
      <w:pPr>
        <w:pStyle w:val="ListParagraph"/>
        <w:numPr>
          <w:ilvl w:val="0"/>
          <w:numId w:val="313"/>
        </w:numPr>
        <w:tabs>
          <w:tab w:pos="653" w:val="left" w:leader="none"/>
        </w:tabs>
        <w:spacing w:line="260" w:lineRule="exact" w:before="0" w:after="0"/>
        <w:ind w:left="652" w:right="0" w:hanging="335"/>
        <w:jc w:val="left"/>
        <w:rPr>
          <w:sz w:val="24"/>
        </w:rPr>
      </w:pPr>
      <w:r>
        <w:rPr>
          <w:w w:val="125"/>
          <w:sz w:val="24"/>
        </w:rPr>
        <w:t>befolyásoló részesedését úgy módosította,</w:t>
      </w:r>
      <w:r>
        <w:rPr>
          <w:spacing w:val="-6"/>
          <w:w w:val="125"/>
          <w:sz w:val="24"/>
        </w:rPr>
        <w:t> </w:t>
      </w:r>
      <w:r>
        <w:rPr>
          <w:w w:val="125"/>
          <w:sz w:val="24"/>
        </w:rPr>
        <w:t>hogy</w:t>
      </w:r>
    </w:p>
    <w:p>
      <w:pPr>
        <w:pStyle w:val="BodyText"/>
        <w:spacing w:line="260" w:lineRule="exact"/>
        <w:ind w:left="317" w:firstLine="0"/>
      </w:pPr>
      <w:r>
        <w:rPr>
          <w:i/>
          <w:w w:val="125"/>
        </w:rPr>
        <w:t>ba) </w:t>
      </w:r>
      <w:r>
        <w:rPr>
          <w:w w:val="125"/>
        </w:rPr>
        <w:t>az eléri a 20, 33 vagy 50 százalékos határértéket vagy</w:t>
      </w:r>
    </w:p>
    <w:p>
      <w:pPr>
        <w:pStyle w:val="BodyText"/>
        <w:spacing w:line="260" w:lineRule="exact"/>
        <w:ind w:left="317" w:firstLine="0"/>
      </w:pPr>
      <w:r>
        <w:rPr>
          <w:i/>
          <w:w w:val="130"/>
        </w:rPr>
        <w:t>bb) </w:t>
      </w:r>
      <w:r>
        <w:rPr>
          <w:w w:val="130"/>
        </w:rPr>
        <w:t>az már nem éri el a 20, 33 vagy 50 százalékos határértéket vagy</w:t>
      </w:r>
    </w:p>
    <w:p>
      <w:pPr>
        <w:pStyle w:val="ListParagraph"/>
        <w:numPr>
          <w:ilvl w:val="0"/>
          <w:numId w:val="313"/>
        </w:numPr>
        <w:tabs>
          <w:tab w:pos="666" w:val="left" w:leader="none"/>
        </w:tabs>
        <w:spacing w:line="225" w:lineRule="auto" w:before="5" w:after="0"/>
        <w:ind w:left="113" w:right="136" w:firstLine="204"/>
        <w:jc w:val="both"/>
        <w:rPr>
          <w:sz w:val="24"/>
        </w:rPr>
      </w:pPr>
      <w:r>
        <w:rPr>
          <w:w w:val="125"/>
          <w:sz w:val="24"/>
        </w:rPr>
        <w:t>a tulajdonjoghoz vagy a szavazati joghoz kapcsolódó, jelentős előnyöket biztosító megállapodást kötött, vagy az ilyen megállapodást</w:t>
      </w:r>
      <w:r>
        <w:rPr>
          <w:spacing w:val="25"/>
          <w:w w:val="125"/>
          <w:sz w:val="24"/>
        </w:rPr>
        <w:t> </w:t>
      </w:r>
      <w:r>
        <w:rPr>
          <w:w w:val="125"/>
          <w:sz w:val="24"/>
        </w:rPr>
        <w:t>módosította</w:t>
      </w:r>
    </w:p>
    <w:p>
      <w:pPr>
        <w:pStyle w:val="BodyText"/>
        <w:spacing w:line="256" w:lineRule="exact"/>
        <w:ind w:firstLine="0"/>
      </w:pPr>
      <w:r>
        <w:rPr>
          <w:w w:val="130"/>
        </w:rPr>
        <w:t>a szerződéskötést követő harminc napon belül írásban értesíti a Felügyeletet.</w:t>
      </w:r>
    </w:p>
    <w:p>
      <w:pPr>
        <w:pStyle w:val="BodyText"/>
        <w:spacing w:line="225" w:lineRule="auto" w:before="6"/>
        <w:ind w:right="132"/>
        <w:jc w:val="both"/>
      </w:pPr>
      <w:r>
        <w:rPr>
          <w:w w:val="130"/>
        </w:rPr>
        <w:t>(2) A pénzügyi intézmény öt munkanapon belül a Felügyeletet írásban tájékoztatja, ha tudomást szerez a 126-128. §-ban meghatározott arányú részesedés megszerzéséről, elidegenítéséről, illetve módosulásáról.</w:t>
      </w:r>
    </w:p>
    <w:p>
      <w:pPr>
        <w:pStyle w:val="BodyText"/>
        <w:spacing w:line="225" w:lineRule="auto" w:before="242"/>
        <w:ind w:left="2886" w:hanging="2055"/>
      </w:pPr>
      <w:r>
        <w:rPr>
          <w:w w:val="125"/>
        </w:rPr>
        <w:t>60. A tulajdonosokra, a vezető testületek tagjaira és a vezető állású személyekre vonatkozó szabályok</w:t>
      </w:r>
    </w:p>
    <w:p>
      <w:pPr>
        <w:pStyle w:val="BodyText"/>
        <w:spacing w:before="11"/>
        <w:ind w:left="0" w:firstLine="0"/>
        <w:rPr>
          <w:sz w:val="10"/>
        </w:rPr>
      </w:pPr>
    </w:p>
    <w:p>
      <w:pPr>
        <w:pStyle w:val="ListParagraph"/>
        <w:numPr>
          <w:ilvl w:val="1"/>
          <w:numId w:val="213"/>
        </w:numPr>
        <w:tabs>
          <w:tab w:pos="1063" w:val="left" w:leader="none"/>
        </w:tabs>
        <w:spacing w:line="262" w:lineRule="exact" w:before="100" w:after="0"/>
        <w:ind w:left="1062" w:right="0" w:hanging="745"/>
        <w:jc w:val="left"/>
        <w:rPr>
          <w:sz w:val="24"/>
        </w:rPr>
      </w:pPr>
      <w:r>
        <w:rPr>
          <w:rFonts w:ascii="Arial" w:hAnsi="Arial"/>
          <w:b/>
          <w:w w:val="120"/>
          <w:sz w:val="24"/>
        </w:rPr>
        <w:t>§</w:t>
      </w:r>
      <w:r>
        <w:rPr>
          <w:i/>
          <w:w w:val="120"/>
          <w:position w:val="3"/>
          <w:sz w:val="18"/>
        </w:rPr>
        <w:t>1</w:t>
      </w:r>
      <w:r>
        <w:rPr>
          <w:i/>
          <w:spacing w:val="33"/>
          <w:w w:val="120"/>
          <w:position w:val="3"/>
          <w:sz w:val="18"/>
        </w:rPr>
        <w:t> </w:t>
      </w:r>
      <w:r>
        <w:rPr>
          <w:w w:val="120"/>
          <w:sz w:val="24"/>
        </w:rPr>
        <w:t>(1)</w:t>
      </w:r>
      <w:r>
        <w:rPr>
          <w:spacing w:val="42"/>
          <w:w w:val="120"/>
          <w:sz w:val="24"/>
        </w:rPr>
        <w:t> </w:t>
      </w:r>
      <w:r>
        <w:rPr>
          <w:w w:val="120"/>
          <w:sz w:val="24"/>
        </w:rPr>
        <w:t>A</w:t>
      </w:r>
      <w:r>
        <w:rPr>
          <w:spacing w:val="42"/>
          <w:w w:val="120"/>
          <w:sz w:val="24"/>
        </w:rPr>
        <w:t> </w:t>
      </w:r>
      <w:r>
        <w:rPr>
          <w:w w:val="120"/>
          <w:sz w:val="24"/>
        </w:rPr>
        <w:t>nyilvános</w:t>
      </w:r>
      <w:r>
        <w:rPr>
          <w:spacing w:val="42"/>
          <w:w w:val="120"/>
          <w:sz w:val="24"/>
        </w:rPr>
        <w:t> </w:t>
      </w:r>
      <w:r>
        <w:rPr>
          <w:w w:val="120"/>
          <w:sz w:val="24"/>
        </w:rPr>
        <w:t>részvénytársasági</w:t>
      </w:r>
      <w:r>
        <w:rPr>
          <w:spacing w:val="42"/>
          <w:w w:val="120"/>
          <w:sz w:val="24"/>
        </w:rPr>
        <w:t> </w:t>
      </w:r>
      <w:r>
        <w:rPr>
          <w:w w:val="120"/>
          <w:sz w:val="24"/>
        </w:rPr>
        <w:t>formában</w:t>
      </w:r>
      <w:r>
        <w:rPr>
          <w:spacing w:val="42"/>
          <w:w w:val="120"/>
          <w:sz w:val="24"/>
        </w:rPr>
        <w:t> </w:t>
      </w:r>
      <w:r>
        <w:rPr>
          <w:w w:val="120"/>
          <w:sz w:val="24"/>
        </w:rPr>
        <w:t>működő</w:t>
      </w:r>
      <w:r>
        <w:rPr>
          <w:spacing w:val="42"/>
          <w:w w:val="120"/>
          <w:sz w:val="24"/>
        </w:rPr>
        <w:t> </w:t>
      </w:r>
      <w:r>
        <w:rPr>
          <w:w w:val="120"/>
          <w:sz w:val="24"/>
        </w:rPr>
        <w:t>hitelintézet</w:t>
      </w:r>
    </w:p>
    <w:p>
      <w:pPr>
        <w:pStyle w:val="BodyText"/>
        <w:spacing w:line="225" w:lineRule="auto" w:before="12"/>
        <w:ind w:right="122" w:firstLine="0"/>
        <w:jc w:val="both"/>
      </w:pPr>
      <w:r>
        <w:rPr>
          <w:w w:val="130"/>
        </w:rPr>
        <w:t>alapszabálya meghatározhatja az egy részvényes által gyakorolható szavazati jog legmagasabb mértékét. A szavazati jog legmagasabb mértékének</w:t>
      </w:r>
      <w:r>
        <w:rPr>
          <w:spacing w:val="78"/>
          <w:w w:val="130"/>
        </w:rPr>
        <w:t> </w:t>
      </w:r>
      <w:r>
        <w:rPr>
          <w:w w:val="130"/>
        </w:rPr>
        <w:t>meghatározása</w:t>
      </w:r>
      <w:r>
        <w:rPr>
          <w:spacing w:val="-10"/>
          <w:w w:val="130"/>
        </w:rPr>
        <w:t> </w:t>
      </w:r>
      <w:r>
        <w:rPr>
          <w:w w:val="130"/>
        </w:rPr>
        <w:t>során</w:t>
      </w:r>
      <w:r>
        <w:rPr>
          <w:spacing w:val="3"/>
          <w:w w:val="130"/>
        </w:rPr>
        <w:t> </w:t>
      </w:r>
      <w:r>
        <w:rPr>
          <w:w w:val="130"/>
        </w:rPr>
        <w:t>tilos</w:t>
      </w:r>
      <w:r>
        <w:rPr>
          <w:spacing w:val="-23"/>
          <w:w w:val="130"/>
        </w:rPr>
        <w:t> </w:t>
      </w:r>
      <w:r>
        <w:rPr>
          <w:w w:val="130"/>
        </w:rPr>
        <w:t>a</w:t>
      </w:r>
      <w:r>
        <w:rPr>
          <w:spacing w:val="-10"/>
          <w:w w:val="130"/>
        </w:rPr>
        <w:t> </w:t>
      </w:r>
      <w:r>
        <w:rPr>
          <w:w w:val="130"/>
        </w:rPr>
        <w:t>részvényesek</w:t>
      </w:r>
      <w:r>
        <w:rPr>
          <w:spacing w:val="-10"/>
          <w:w w:val="130"/>
        </w:rPr>
        <w:t> </w:t>
      </w:r>
      <w:r>
        <w:rPr>
          <w:w w:val="130"/>
        </w:rPr>
        <w:t>közötti</w:t>
      </w:r>
      <w:r>
        <w:rPr>
          <w:spacing w:val="-10"/>
          <w:w w:val="130"/>
        </w:rPr>
        <w:t> </w:t>
      </w:r>
      <w:r>
        <w:rPr>
          <w:w w:val="130"/>
        </w:rPr>
        <w:t>bármiféle</w:t>
      </w:r>
      <w:r>
        <w:rPr>
          <w:spacing w:val="-9"/>
          <w:w w:val="130"/>
        </w:rPr>
        <w:t> </w:t>
      </w:r>
      <w:r>
        <w:rPr>
          <w:w w:val="130"/>
        </w:rPr>
        <w:t>különbségtétel.</w:t>
      </w:r>
      <w:r>
        <w:rPr>
          <w:spacing w:val="-10"/>
          <w:w w:val="130"/>
        </w:rPr>
        <w:t> </w:t>
      </w:r>
      <w:r>
        <w:rPr>
          <w:w w:val="130"/>
        </w:rPr>
        <w:t>A társaság alapszabálya az alapszabályban meghatározott részvényesi csoport szavazati joggyakorlását maximáló szabályt is</w:t>
      </w:r>
      <w:r>
        <w:rPr>
          <w:spacing w:val="-38"/>
          <w:w w:val="130"/>
        </w:rPr>
        <w:t> </w:t>
      </w:r>
      <w:r>
        <w:rPr>
          <w:w w:val="130"/>
        </w:rPr>
        <w:t>előírhat.</w:t>
      </w:r>
    </w:p>
    <w:p>
      <w:pPr>
        <w:pStyle w:val="BodyText"/>
        <w:spacing w:line="225" w:lineRule="auto" w:before="3"/>
        <w:ind w:right="123"/>
        <w:jc w:val="both"/>
      </w:pPr>
      <w:r>
        <w:rPr>
          <w:w w:val="130"/>
        </w:rPr>
        <w:t>(2)</w:t>
      </w:r>
      <w:r>
        <w:rPr>
          <w:spacing w:val="-15"/>
          <w:w w:val="130"/>
        </w:rPr>
        <w:t> </w:t>
      </w:r>
      <w:r>
        <w:rPr>
          <w:w w:val="130"/>
        </w:rPr>
        <w:t>A</w:t>
      </w:r>
      <w:r>
        <w:rPr>
          <w:spacing w:val="-29"/>
          <w:w w:val="130"/>
        </w:rPr>
        <w:t> </w:t>
      </w:r>
      <w:r>
        <w:rPr>
          <w:w w:val="130"/>
        </w:rPr>
        <w:t>nyilvános</w:t>
      </w:r>
      <w:r>
        <w:rPr>
          <w:spacing w:val="-21"/>
          <w:w w:val="130"/>
        </w:rPr>
        <w:t> </w:t>
      </w:r>
      <w:r>
        <w:rPr>
          <w:w w:val="130"/>
        </w:rPr>
        <w:t>részvénytársasági</w:t>
      </w:r>
      <w:r>
        <w:rPr>
          <w:spacing w:val="-22"/>
          <w:w w:val="130"/>
        </w:rPr>
        <w:t> </w:t>
      </w:r>
      <w:r>
        <w:rPr>
          <w:w w:val="130"/>
        </w:rPr>
        <w:t>formában</w:t>
      </w:r>
      <w:r>
        <w:rPr>
          <w:spacing w:val="-21"/>
          <w:w w:val="130"/>
        </w:rPr>
        <w:t> </w:t>
      </w:r>
      <w:r>
        <w:rPr>
          <w:w w:val="130"/>
        </w:rPr>
        <w:t>működő</w:t>
      </w:r>
      <w:r>
        <w:rPr>
          <w:spacing w:val="-22"/>
          <w:w w:val="130"/>
        </w:rPr>
        <w:t> </w:t>
      </w:r>
      <w:r>
        <w:rPr>
          <w:w w:val="130"/>
        </w:rPr>
        <w:t>hitelintézet</w:t>
      </w:r>
      <w:r>
        <w:rPr>
          <w:spacing w:val="-22"/>
          <w:w w:val="130"/>
        </w:rPr>
        <w:t> </w:t>
      </w:r>
      <w:r>
        <w:rPr>
          <w:w w:val="130"/>
        </w:rPr>
        <w:t>közgyűlése legalább</w:t>
      </w:r>
      <w:r>
        <w:rPr>
          <w:spacing w:val="-20"/>
          <w:w w:val="130"/>
        </w:rPr>
        <w:t> </w:t>
      </w:r>
      <w:r>
        <w:rPr>
          <w:w w:val="130"/>
        </w:rPr>
        <w:t>kétharmados</w:t>
      </w:r>
      <w:r>
        <w:rPr>
          <w:spacing w:val="-19"/>
          <w:w w:val="130"/>
        </w:rPr>
        <w:t> </w:t>
      </w:r>
      <w:r>
        <w:rPr>
          <w:w w:val="130"/>
        </w:rPr>
        <w:t>szótöbbséggel</w:t>
      </w:r>
      <w:r>
        <w:rPr>
          <w:spacing w:val="-19"/>
          <w:w w:val="130"/>
        </w:rPr>
        <w:t> </w:t>
      </w:r>
      <w:r>
        <w:rPr>
          <w:w w:val="130"/>
        </w:rPr>
        <w:t>határozhat</w:t>
      </w:r>
      <w:r>
        <w:rPr>
          <w:spacing w:val="-18"/>
          <w:w w:val="130"/>
        </w:rPr>
        <w:t> </w:t>
      </w:r>
      <w:r>
        <w:rPr>
          <w:w w:val="130"/>
        </w:rPr>
        <w:t>az</w:t>
      </w:r>
      <w:r>
        <w:rPr>
          <w:spacing w:val="-19"/>
          <w:w w:val="130"/>
        </w:rPr>
        <w:t> </w:t>
      </w:r>
      <w:r>
        <w:rPr>
          <w:w w:val="130"/>
        </w:rPr>
        <w:t>alapszabály</w:t>
      </w:r>
      <w:r>
        <w:rPr>
          <w:spacing w:val="-18"/>
          <w:w w:val="130"/>
        </w:rPr>
        <w:t> </w:t>
      </w:r>
      <w:r>
        <w:rPr>
          <w:w w:val="130"/>
        </w:rPr>
        <w:t>olyan</w:t>
      </w:r>
      <w:r>
        <w:rPr>
          <w:spacing w:val="-19"/>
          <w:w w:val="130"/>
        </w:rPr>
        <w:t> </w:t>
      </w:r>
      <w:r>
        <w:rPr>
          <w:w w:val="130"/>
        </w:rPr>
        <w:t>tartalmú módosításáról, amelynek alapján az e törvényben rögzített, a Felügyelet által alkalmazható</w:t>
      </w:r>
      <w:r>
        <w:rPr>
          <w:spacing w:val="-28"/>
          <w:w w:val="130"/>
        </w:rPr>
        <w:t> </w:t>
      </w:r>
      <w:r>
        <w:rPr>
          <w:w w:val="130"/>
        </w:rPr>
        <w:t>intézkedés,</w:t>
      </w:r>
      <w:r>
        <w:rPr>
          <w:spacing w:val="-28"/>
          <w:w w:val="130"/>
        </w:rPr>
        <w:t> </w:t>
      </w:r>
      <w:r>
        <w:rPr>
          <w:w w:val="130"/>
        </w:rPr>
        <w:t>kivételes</w:t>
      </w:r>
      <w:r>
        <w:rPr>
          <w:spacing w:val="-27"/>
          <w:w w:val="130"/>
        </w:rPr>
        <w:t> </w:t>
      </w:r>
      <w:r>
        <w:rPr>
          <w:w w:val="130"/>
        </w:rPr>
        <w:t>intézkedés</w:t>
      </w:r>
      <w:r>
        <w:rPr>
          <w:spacing w:val="-28"/>
          <w:w w:val="130"/>
        </w:rPr>
        <w:t> </w:t>
      </w:r>
      <w:r>
        <w:rPr>
          <w:w w:val="130"/>
        </w:rPr>
        <w:t>vagy</w:t>
      </w:r>
      <w:r>
        <w:rPr>
          <w:spacing w:val="-27"/>
          <w:w w:val="130"/>
        </w:rPr>
        <w:t> </w:t>
      </w:r>
      <w:r>
        <w:rPr>
          <w:w w:val="130"/>
        </w:rPr>
        <w:t>a</w:t>
      </w:r>
      <w:r>
        <w:rPr>
          <w:spacing w:val="-28"/>
          <w:w w:val="130"/>
        </w:rPr>
        <w:t> </w:t>
      </w:r>
      <w:r>
        <w:rPr>
          <w:w w:val="130"/>
        </w:rPr>
        <w:t>Szantv.</w:t>
      </w:r>
      <w:r>
        <w:rPr>
          <w:spacing w:val="-28"/>
          <w:w w:val="130"/>
        </w:rPr>
        <w:t> </w:t>
      </w:r>
      <w:r>
        <w:rPr>
          <w:w w:val="130"/>
        </w:rPr>
        <w:t>szerinti</w:t>
      </w:r>
      <w:r>
        <w:rPr>
          <w:spacing w:val="-27"/>
          <w:w w:val="130"/>
        </w:rPr>
        <w:t> </w:t>
      </w:r>
      <w:r>
        <w:rPr>
          <w:w w:val="130"/>
        </w:rPr>
        <w:t>szanálási eljárás elrendelésének elkerülése érdekében szükséges tőkeemelésről döntő közgyűlést</w:t>
      </w:r>
      <w:r>
        <w:rPr>
          <w:spacing w:val="-9"/>
          <w:w w:val="130"/>
        </w:rPr>
        <w:t> </w:t>
      </w:r>
      <w:r>
        <w:rPr>
          <w:w w:val="130"/>
        </w:rPr>
        <w:t>annak</w:t>
      </w:r>
      <w:r>
        <w:rPr>
          <w:spacing w:val="-9"/>
          <w:w w:val="130"/>
        </w:rPr>
        <w:t> </w:t>
      </w:r>
      <w:r>
        <w:rPr>
          <w:w w:val="130"/>
        </w:rPr>
        <w:t>kezdőnapját</w:t>
      </w:r>
      <w:r>
        <w:rPr>
          <w:spacing w:val="-8"/>
          <w:w w:val="130"/>
        </w:rPr>
        <w:t> </w:t>
      </w:r>
      <w:r>
        <w:rPr>
          <w:w w:val="130"/>
        </w:rPr>
        <w:t>megelőzően</w:t>
      </w:r>
      <w:r>
        <w:rPr>
          <w:spacing w:val="-9"/>
          <w:w w:val="130"/>
        </w:rPr>
        <w:t> </w:t>
      </w:r>
      <w:r>
        <w:rPr>
          <w:w w:val="130"/>
        </w:rPr>
        <w:t>legalább</w:t>
      </w:r>
      <w:r>
        <w:rPr>
          <w:spacing w:val="-8"/>
          <w:w w:val="130"/>
        </w:rPr>
        <w:t> </w:t>
      </w:r>
      <w:r>
        <w:rPr>
          <w:w w:val="130"/>
        </w:rPr>
        <w:t>tíz</w:t>
      </w:r>
      <w:r>
        <w:rPr>
          <w:spacing w:val="-9"/>
          <w:w w:val="130"/>
        </w:rPr>
        <w:t> </w:t>
      </w:r>
      <w:r>
        <w:rPr>
          <w:w w:val="130"/>
        </w:rPr>
        <w:t>nappal</w:t>
      </w:r>
      <w:r>
        <w:rPr>
          <w:spacing w:val="-9"/>
          <w:w w:val="130"/>
        </w:rPr>
        <w:t> </w:t>
      </w:r>
      <w:r>
        <w:rPr>
          <w:w w:val="130"/>
        </w:rPr>
        <w:t>össze</w:t>
      </w:r>
      <w:r>
        <w:rPr>
          <w:spacing w:val="-8"/>
          <w:w w:val="130"/>
        </w:rPr>
        <w:t> </w:t>
      </w:r>
      <w:r>
        <w:rPr>
          <w:w w:val="130"/>
        </w:rPr>
        <w:t>lehessen hívni.</w:t>
      </w:r>
    </w:p>
    <w:p>
      <w:pPr>
        <w:pStyle w:val="ListParagraph"/>
        <w:numPr>
          <w:ilvl w:val="1"/>
          <w:numId w:val="213"/>
        </w:numPr>
        <w:tabs>
          <w:tab w:pos="985" w:val="left" w:leader="none"/>
        </w:tabs>
        <w:spacing w:line="225" w:lineRule="auto" w:before="3" w:after="0"/>
        <w:ind w:left="113" w:right="129" w:firstLine="204"/>
        <w:jc w:val="both"/>
        <w:rPr>
          <w:sz w:val="24"/>
        </w:rPr>
      </w:pPr>
      <w:r>
        <w:rPr>
          <w:rFonts w:ascii="Arial" w:hAnsi="Arial"/>
          <w:b/>
          <w:w w:val="125"/>
          <w:sz w:val="24"/>
        </w:rPr>
        <w:t>§ </w:t>
      </w:r>
      <w:r>
        <w:rPr>
          <w:w w:val="125"/>
          <w:sz w:val="24"/>
        </w:rPr>
        <w:t>(1) A pénzügyi intézmény igazgatósága a névre szóló részvényekről és a részvények tulajdonosáról olyan részvénykönyvet vezet, amely a következő adatokat tartalmazza:</w:t>
      </w:r>
    </w:p>
    <w:p>
      <w:pPr>
        <w:pStyle w:val="ListParagraph"/>
        <w:numPr>
          <w:ilvl w:val="0"/>
          <w:numId w:val="314"/>
        </w:numPr>
        <w:tabs>
          <w:tab w:pos="556" w:val="left" w:leader="none"/>
        </w:tabs>
        <w:spacing w:line="250" w:lineRule="exact" w:before="0" w:after="0"/>
        <w:ind w:left="555" w:right="0" w:hanging="238"/>
        <w:jc w:val="left"/>
        <w:rPr>
          <w:sz w:val="24"/>
        </w:rPr>
      </w:pPr>
      <w:r>
        <w:rPr>
          <w:i/>
          <w:w w:val="130"/>
          <w:position w:val="3"/>
          <w:sz w:val="18"/>
        </w:rPr>
        <w:t>2 </w:t>
      </w:r>
      <w:r>
        <w:rPr>
          <w:w w:val="130"/>
          <w:sz w:val="24"/>
        </w:rPr>
        <w:t>a részvénytulajdonosok nevét, természetes személy esetén</w:t>
      </w:r>
      <w:r>
        <w:rPr>
          <w:spacing w:val="-2"/>
          <w:w w:val="130"/>
          <w:sz w:val="24"/>
        </w:rPr>
        <w:t> </w:t>
      </w:r>
      <w:r>
        <w:rPr>
          <w:w w:val="130"/>
          <w:sz w:val="24"/>
        </w:rPr>
        <w:t>lakcímét,</w:t>
      </w:r>
    </w:p>
    <w:p>
      <w:pPr>
        <w:pStyle w:val="BodyText"/>
        <w:spacing w:line="225" w:lineRule="auto" w:before="12"/>
        <w:ind w:firstLine="0"/>
      </w:pPr>
      <w:r>
        <w:rPr>
          <w:w w:val="130"/>
        </w:rPr>
        <w:t>anyja nevét, állampolgárságát, jogi személy és egyéni cég esetén pedig székhelyét,</w:t>
      </w:r>
    </w:p>
    <w:p>
      <w:pPr>
        <w:pStyle w:val="ListParagraph"/>
        <w:numPr>
          <w:ilvl w:val="0"/>
          <w:numId w:val="314"/>
        </w:numPr>
        <w:tabs>
          <w:tab w:pos="673" w:val="left" w:leader="none"/>
        </w:tabs>
        <w:spacing w:line="225" w:lineRule="auto" w:before="1" w:after="0"/>
        <w:ind w:left="113" w:right="136" w:firstLine="204"/>
        <w:jc w:val="left"/>
        <w:rPr>
          <w:sz w:val="24"/>
        </w:rPr>
      </w:pPr>
      <w:r>
        <w:rPr>
          <w:w w:val="130"/>
          <w:sz w:val="24"/>
        </w:rPr>
        <w:t>ha a részvénynek több tulajdonosa van, akkor a tulajdonosok és a közös képviselő </w:t>
      </w:r>
      <w:r>
        <w:rPr>
          <w:i/>
          <w:w w:val="130"/>
          <w:sz w:val="24"/>
        </w:rPr>
        <w:t>a) </w:t>
      </w:r>
      <w:r>
        <w:rPr>
          <w:w w:val="130"/>
          <w:sz w:val="24"/>
        </w:rPr>
        <w:t>pontban meghatározott</w:t>
      </w:r>
      <w:r>
        <w:rPr>
          <w:spacing w:val="-15"/>
          <w:w w:val="130"/>
          <w:sz w:val="24"/>
        </w:rPr>
        <w:t> </w:t>
      </w:r>
      <w:r>
        <w:rPr>
          <w:w w:val="130"/>
          <w:sz w:val="24"/>
        </w:rPr>
        <w:t>adatait,</w:t>
      </w:r>
    </w:p>
    <w:p>
      <w:pPr>
        <w:pStyle w:val="ListParagraph"/>
        <w:numPr>
          <w:ilvl w:val="0"/>
          <w:numId w:val="314"/>
        </w:numPr>
        <w:tabs>
          <w:tab w:pos="623" w:val="left" w:leader="none"/>
        </w:tabs>
        <w:spacing w:line="256" w:lineRule="exact" w:before="0" w:after="0"/>
        <w:ind w:left="622" w:right="0" w:hanging="305"/>
        <w:jc w:val="left"/>
        <w:rPr>
          <w:sz w:val="24"/>
        </w:rPr>
      </w:pPr>
      <w:r>
        <w:rPr>
          <w:w w:val="130"/>
          <w:sz w:val="24"/>
        </w:rPr>
        <w:t>a részvény értékpapírkódját, sorozatát és</w:t>
      </w:r>
      <w:r>
        <w:rPr>
          <w:spacing w:val="-20"/>
          <w:w w:val="130"/>
          <w:sz w:val="24"/>
        </w:rPr>
        <w:t> </w:t>
      </w:r>
      <w:r>
        <w:rPr>
          <w:w w:val="130"/>
          <w:sz w:val="24"/>
        </w:rPr>
        <w:t>névértékét,</w:t>
      </w:r>
    </w:p>
    <w:p>
      <w:pPr>
        <w:pStyle w:val="ListParagraph"/>
        <w:numPr>
          <w:ilvl w:val="0"/>
          <w:numId w:val="314"/>
        </w:numPr>
        <w:tabs>
          <w:tab w:pos="653" w:val="left" w:leader="none"/>
        </w:tabs>
        <w:spacing w:line="260" w:lineRule="exact" w:before="0" w:after="0"/>
        <w:ind w:left="652" w:right="0" w:hanging="335"/>
        <w:jc w:val="left"/>
        <w:rPr>
          <w:sz w:val="24"/>
        </w:rPr>
      </w:pPr>
      <w:r>
        <w:rPr>
          <w:w w:val="130"/>
          <w:sz w:val="24"/>
        </w:rPr>
        <w:t>a részvény</w:t>
      </w:r>
      <w:r>
        <w:rPr>
          <w:spacing w:val="-17"/>
          <w:w w:val="130"/>
          <w:sz w:val="24"/>
        </w:rPr>
        <w:t> </w:t>
      </w:r>
      <w:r>
        <w:rPr>
          <w:w w:val="130"/>
          <w:sz w:val="24"/>
        </w:rPr>
        <w:t>fajtáját,</w:t>
      </w:r>
    </w:p>
    <w:p>
      <w:pPr>
        <w:pStyle w:val="ListParagraph"/>
        <w:numPr>
          <w:ilvl w:val="0"/>
          <w:numId w:val="314"/>
        </w:numPr>
        <w:tabs>
          <w:tab w:pos="555" w:val="left" w:leader="none"/>
        </w:tabs>
        <w:spacing w:line="260" w:lineRule="exact" w:before="0" w:after="0"/>
        <w:ind w:left="554" w:right="0" w:hanging="237"/>
        <w:jc w:val="left"/>
        <w:rPr>
          <w:sz w:val="18"/>
        </w:rPr>
      </w:pPr>
      <w:r>
        <w:rPr>
          <w:i/>
          <w:w w:val="127"/>
          <w:position w:val="3"/>
          <w:sz w:val="18"/>
        </w:rPr>
        <w:t>3</w:t>
      </w:r>
      <w:r>
        <w:rPr>
          <w:sz w:val="18"/>
        </w:rPr>
      </w:r>
    </w:p>
    <w:p>
      <w:pPr>
        <w:pStyle w:val="ListParagraph"/>
        <w:numPr>
          <w:ilvl w:val="0"/>
          <w:numId w:val="314"/>
        </w:numPr>
        <w:tabs>
          <w:tab w:pos="577" w:val="left" w:leader="none"/>
        </w:tabs>
        <w:spacing w:line="268" w:lineRule="exact" w:before="0" w:after="0"/>
        <w:ind w:left="576" w:right="0" w:hanging="259"/>
        <w:jc w:val="left"/>
        <w:rPr>
          <w:sz w:val="24"/>
        </w:rPr>
      </w:pPr>
      <w:r>
        <w:rPr>
          <w:w w:val="130"/>
          <w:sz w:val="24"/>
        </w:rPr>
        <w:t>a</w:t>
      </w:r>
      <w:r>
        <w:rPr>
          <w:spacing w:val="-21"/>
          <w:w w:val="130"/>
          <w:sz w:val="24"/>
        </w:rPr>
        <w:t> </w:t>
      </w:r>
      <w:r>
        <w:rPr>
          <w:w w:val="130"/>
          <w:sz w:val="24"/>
        </w:rPr>
        <w:t>részvényvásárlás</w:t>
      </w:r>
      <w:r>
        <w:rPr>
          <w:spacing w:val="-20"/>
          <w:w w:val="130"/>
          <w:sz w:val="24"/>
        </w:rPr>
        <w:t> </w:t>
      </w:r>
      <w:r>
        <w:rPr>
          <w:w w:val="130"/>
          <w:sz w:val="24"/>
        </w:rPr>
        <w:t>részvénykönyvbe</w:t>
      </w:r>
      <w:r>
        <w:rPr>
          <w:spacing w:val="-19"/>
          <w:w w:val="130"/>
          <w:sz w:val="24"/>
        </w:rPr>
        <w:t> </w:t>
      </w:r>
      <w:r>
        <w:rPr>
          <w:w w:val="130"/>
          <w:sz w:val="24"/>
        </w:rPr>
        <w:t>történő</w:t>
      </w:r>
      <w:r>
        <w:rPr>
          <w:spacing w:val="-21"/>
          <w:w w:val="130"/>
          <w:sz w:val="24"/>
        </w:rPr>
        <w:t> </w:t>
      </w:r>
      <w:r>
        <w:rPr>
          <w:w w:val="130"/>
          <w:sz w:val="24"/>
        </w:rPr>
        <w:t>bejegyzésének</w:t>
      </w:r>
      <w:r>
        <w:rPr>
          <w:spacing w:val="-19"/>
          <w:w w:val="130"/>
          <w:sz w:val="24"/>
        </w:rPr>
        <w:t> </w:t>
      </w:r>
      <w:r>
        <w:rPr>
          <w:w w:val="130"/>
          <w:sz w:val="24"/>
        </w:rPr>
        <w:t>időpontját,</w:t>
      </w:r>
    </w:p>
    <w:p>
      <w:pPr>
        <w:pStyle w:val="BodyText"/>
        <w:spacing w:before="8"/>
        <w:ind w:left="0" w:firstLine="0"/>
        <w:rPr>
          <w:sz w:val="18"/>
        </w:rPr>
      </w:pPr>
      <w:r>
        <w:rPr/>
        <w:pict>
          <v:line style="position:absolute;mso-position-horizontal-relative:page;mso-position-vertical-relative:paragraph;z-index:704;mso-wrap-distance-left:0;mso-wrap-distance-right:0" from="56.693001pt,12.997227pt" to="538.583001pt,12.997227pt" stroked="true" strokeweight=".5pt" strokecolor="#000000">
            <v:stroke dashstyle="solid"/>
            <w10:wrap type="topAndBottom"/>
          </v:line>
        </w:pict>
      </w:r>
    </w:p>
    <w:p>
      <w:pPr>
        <w:pStyle w:val="ListParagraph"/>
        <w:numPr>
          <w:ilvl w:val="0"/>
          <w:numId w:val="315"/>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XXXVII. törvény 161. § (11). Hatályos: 2014. IX.</w:t>
      </w:r>
      <w:r>
        <w:rPr>
          <w:i/>
          <w:spacing w:val="-32"/>
          <w:w w:val="125"/>
          <w:sz w:val="18"/>
        </w:rPr>
        <w:t> </w:t>
      </w:r>
      <w:r>
        <w:rPr>
          <w:i/>
          <w:w w:val="125"/>
          <w:sz w:val="18"/>
        </w:rPr>
        <w:t>16-tól.</w:t>
      </w:r>
    </w:p>
    <w:p>
      <w:pPr>
        <w:pStyle w:val="ListParagraph"/>
        <w:numPr>
          <w:ilvl w:val="0"/>
          <w:numId w:val="315"/>
        </w:numPr>
        <w:tabs>
          <w:tab w:pos="686" w:val="left" w:leader="none"/>
          <w:tab w:pos="687" w:val="left" w:leader="none"/>
        </w:tabs>
        <w:spacing w:line="200" w:lineRule="exact" w:before="0" w:after="0"/>
        <w:ind w:left="686" w:right="0" w:hanging="344"/>
        <w:jc w:val="left"/>
        <w:rPr>
          <w:i/>
          <w:sz w:val="18"/>
        </w:rPr>
      </w:pPr>
      <w:r>
        <w:rPr>
          <w:i/>
          <w:w w:val="125"/>
          <w:sz w:val="18"/>
        </w:rPr>
        <w:t>Módosította: ugyane törvény 308. § (2)</w:t>
      </w:r>
      <w:r>
        <w:rPr>
          <w:i/>
          <w:spacing w:val="-1"/>
          <w:w w:val="125"/>
          <w:sz w:val="18"/>
        </w:rPr>
        <w:t> </w:t>
      </w:r>
      <w:r>
        <w:rPr>
          <w:i/>
          <w:w w:val="125"/>
          <w:sz w:val="18"/>
        </w:rPr>
        <w:t>c).</w:t>
      </w:r>
    </w:p>
    <w:p>
      <w:pPr>
        <w:pStyle w:val="ListParagraph"/>
        <w:numPr>
          <w:ilvl w:val="0"/>
          <w:numId w:val="315"/>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2014.</w:t>
      </w:r>
      <w:r>
        <w:rPr>
          <w:i/>
          <w:spacing w:val="8"/>
          <w:w w:val="120"/>
          <w:sz w:val="18"/>
        </w:rPr>
        <w:t> </w:t>
      </w:r>
      <w:r>
        <w:rPr>
          <w:i/>
          <w:w w:val="120"/>
          <w:sz w:val="18"/>
        </w:rPr>
        <w:t>évi</w:t>
      </w:r>
      <w:r>
        <w:rPr>
          <w:i/>
          <w:spacing w:val="9"/>
          <w:w w:val="120"/>
          <w:sz w:val="18"/>
        </w:rPr>
        <w:t> </w:t>
      </w:r>
      <w:r>
        <w:rPr>
          <w:i/>
          <w:w w:val="120"/>
          <w:sz w:val="18"/>
        </w:rPr>
        <w:t>XVI.</w:t>
      </w:r>
      <w:r>
        <w:rPr>
          <w:i/>
          <w:spacing w:val="8"/>
          <w:w w:val="120"/>
          <w:sz w:val="18"/>
        </w:rPr>
        <w:t> </w:t>
      </w:r>
      <w:r>
        <w:rPr>
          <w:i/>
          <w:w w:val="120"/>
          <w:sz w:val="18"/>
        </w:rPr>
        <w:t>törvény</w:t>
      </w:r>
      <w:r>
        <w:rPr>
          <w:i/>
          <w:spacing w:val="8"/>
          <w:w w:val="120"/>
          <w:sz w:val="18"/>
        </w:rPr>
        <w:t> </w:t>
      </w:r>
      <w:r>
        <w:rPr>
          <w:i/>
          <w:w w:val="120"/>
          <w:sz w:val="18"/>
        </w:rPr>
        <w:t>298.</w:t>
      </w:r>
      <w:r>
        <w:rPr>
          <w:i/>
          <w:spacing w:val="8"/>
          <w:w w:val="120"/>
          <w:sz w:val="18"/>
        </w:rPr>
        <w:t> </w:t>
      </w:r>
      <w:r>
        <w:rPr>
          <w:i/>
          <w:w w:val="120"/>
          <w:sz w:val="18"/>
        </w:rPr>
        <w:t>§</w:t>
      </w:r>
      <w:r>
        <w:rPr>
          <w:i/>
          <w:spacing w:val="10"/>
          <w:w w:val="120"/>
          <w:sz w:val="18"/>
        </w:rPr>
        <w:t> </w:t>
      </w:r>
      <w:r>
        <w:rPr>
          <w:i/>
          <w:w w:val="120"/>
          <w:sz w:val="18"/>
        </w:rPr>
        <w:t>(1)</w:t>
      </w:r>
      <w:r>
        <w:rPr>
          <w:i/>
          <w:spacing w:val="9"/>
          <w:w w:val="120"/>
          <w:sz w:val="18"/>
        </w:rPr>
        <w:t> </w:t>
      </w:r>
      <w:r>
        <w:rPr>
          <w:i/>
          <w:w w:val="120"/>
          <w:sz w:val="18"/>
        </w:rPr>
        <w:t>c).</w:t>
      </w:r>
      <w:r>
        <w:rPr>
          <w:i/>
          <w:spacing w:val="9"/>
          <w:w w:val="120"/>
          <w:sz w:val="18"/>
        </w:rPr>
        <w:t> </w:t>
      </w:r>
      <w:r>
        <w:rPr>
          <w:i/>
          <w:w w:val="120"/>
          <w:sz w:val="18"/>
        </w:rPr>
        <w:t>Hatálytalan:</w:t>
      </w:r>
      <w:r>
        <w:rPr>
          <w:i/>
          <w:spacing w:val="9"/>
          <w:w w:val="120"/>
          <w:sz w:val="18"/>
        </w:rPr>
        <w:t> </w:t>
      </w:r>
      <w:r>
        <w:rPr>
          <w:i/>
          <w:w w:val="120"/>
          <w:sz w:val="18"/>
        </w:rPr>
        <w:t>2014.</w:t>
      </w:r>
      <w:r>
        <w:rPr>
          <w:i/>
          <w:spacing w:val="9"/>
          <w:w w:val="120"/>
          <w:sz w:val="18"/>
        </w:rPr>
        <w:t> </w:t>
      </w:r>
      <w:r>
        <w:rPr>
          <w:i/>
          <w:w w:val="120"/>
          <w:sz w:val="18"/>
        </w:rPr>
        <w:t>III.</w:t>
      </w:r>
      <w:r>
        <w:rPr>
          <w:i/>
          <w:spacing w:val="9"/>
          <w:w w:val="120"/>
          <w:sz w:val="18"/>
        </w:rPr>
        <w:t> </w:t>
      </w:r>
      <w:r>
        <w:rPr>
          <w:i/>
          <w:w w:val="120"/>
          <w:sz w:val="18"/>
        </w:rPr>
        <w:t>15-től.</w:t>
      </w:r>
    </w:p>
    <w:p>
      <w:pPr>
        <w:spacing w:after="0" w:line="203" w:lineRule="exact"/>
        <w:jc w:val="left"/>
        <w:rPr>
          <w:sz w:val="18"/>
        </w:rPr>
        <w:sectPr>
          <w:pgSz w:w="11900" w:h="16820"/>
          <w:pgMar w:header="1104" w:footer="0" w:top="1840" w:bottom="280" w:left="1020" w:right="1000"/>
        </w:sectPr>
      </w:pPr>
    </w:p>
    <w:p>
      <w:pPr>
        <w:pStyle w:val="ListParagraph"/>
        <w:numPr>
          <w:ilvl w:val="0"/>
          <w:numId w:val="314"/>
        </w:numPr>
        <w:tabs>
          <w:tab w:pos="653" w:val="left" w:leader="none"/>
        </w:tabs>
        <w:spacing w:line="268" w:lineRule="exact" w:before="159" w:after="0"/>
        <w:ind w:left="652" w:right="0" w:hanging="335"/>
        <w:jc w:val="left"/>
        <w:rPr>
          <w:sz w:val="24"/>
        </w:rPr>
      </w:pPr>
      <w:r>
        <w:rPr>
          <w:w w:val="125"/>
          <w:sz w:val="24"/>
        </w:rPr>
        <w:t>a felülbélyegzés</w:t>
      </w:r>
      <w:r>
        <w:rPr>
          <w:spacing w:val="-10"/>
          <w:w w:val="125"/>
          <w:sz w:val="24"/>
        </w:rPr>
        <w:t> </w:t>
      </w:r>
      <w:r>
        <w:rPr>
          <w:w w:val="125"/>
          <w:sz w:val="24"/>
        </w:rPr>
        <w:t>időpontját,</w:t>
      </w:r>
    </w:p>
    <w:p>
      <w:pPr>
        <w:pStyle w:val="ListParagraph"/>
        <w:numPr>
          <w:ilvl w:val="0"/>
          <w:numId w:val="314"/>
        </w:numPr>
        <w:tabs>
          <w:tab w:pos="643" w:val="left" w:leader="none"/>
        </w:tabs>
        <w:spacing w:line="260" w:lineRule="exact" w:before="0" w:after="0"/>
        <w:ind w:left="642" w:right="0" w:hanging="325"/>
        <w:jc w:val="left"/>
        <w:rPr>
          <w:sz w:val="24"/>
        </w:rPr>
      </w:pPr>
      <w:r>
        <w:rPr>
          <w:w w:val="130"/>
          <w:sz w:val="24"/>
        </w:rPr>
        <w:t>a</w:t>
      </w:r>
      <w:r>
        <w:rPr>
          <w:spacing w:val="-5"/>
          <w:w w:val="130"/>
          <w:sz w:val="24"/>
        </w:rPr>
        <w:t> </w:t>
      </w:r>
      <w:r>
        <w:rPr>
          <w:w w:val="130"/>
          <w:sz w:val="24"/>
        </w:rPr>
        <w:t>részvény</w:t>
      </w:r>
      <w:r>
        <w:rPr>
          <w:spacing w:val="-24"/>
          <w:w w:val="130"/>
          <w:sz w:val="24"/>
        </w:rPr>
        <w:t> </w:t>
      </w:r>
      <w:r>
        <w:rPr>
          <w:w w:val="130"/>
          <w:sz w:val="24"/>
        </w:rPr>
        <w:t>bevonásának</w:t>
      </w:r>
      <w:r>
        <w:rPr>
          <w:spacing w:val="-14"/>
          <w:w w:val="130"/>
          <w:sz w:val="24"/>
        </w:rPr>
        <w:t> </w:t>
      </w:r>
      <w:r>
        <w:rPr>
          <w:w w:val="130"/>
          <w:sz w:val="24"/>
        </w:rPr>
        <w:t>és</w:t>
      </w:r>
      <w:r>
        <w:rPr>
          <w:spacing w:val="-15"/>
          <w:w w:val="130"/>
          <w:sz w:val="24"/>
        </w:rPr>
        <w:t> </w:t>
      </w:r>
      <w:r>
        <w:rPr>
          <w:w w:val="130"/>
          <w:sz w:val="24"/>
        </w:rPr>
        <w:t>megsemmisítésének</w:t>
      </w:r>
      <w:r>
        <w:rPr>
          <w:spacing w:val="-15"/>
          <w:w w:val="130"/>
          <w:sz w:val="24"/>
        </w:rPr>
        <w:t> </w:t>
      </w:r>
      <w:r>
        <w:rPr>
          <w:w w:val="130"/>
          <w:sz w:val="24"/>
        </w:rPr>
        <w:t>időpontját,</w:t>
      </w:r>
      <w:r>
        <w:rPr>
          <w:spacing w:val="-15"/>
          <w:w w:val="130"/>
          <w:sz w:val="24"/>
        </w:rPr>
        <w:t> </w:t>
      </w:r>
      <w:r>
        <w:rPr>
          <w:w w:val="130"/>
          <w:sz w:val="24"/>
        </w:rPr>
        <w:t>valamint</w:t>
      </w:r>
    </w:p>
    <w:p>
      <w:pPr>
        <w:pStyle w:val="ListParagraph"/>
        <w:numPr>
          <w:ilvl w:val="0"/>
          <w:numId w:val="314"/>
        </w:numPr>
        <w:tabs>
          <w:tab w:pos="705" w:val="left" w:leader="none"/>
        </w:tabs>
        <w:spacing w:line="225" w:lineRule="auto" w:before="6" w:after="0"/>
        <w:ind w:left="113" w:right="129" w:firstLine="204"/>
        <w:jc w:val="both"/>
        <w:rPr>
          <w:sz w:val="24"/>
        </w:rPr>
      </w:pPr>
      <w:r>
        <w:rPr>
          <w:w w:val="130"/>
          <w:sz w:val="24"/>
        </w:rPr>
        <w:t>a tulajdonszerzéssel összefüggő felügyeleti határozat ügyszámát és meghozatalának</w:t>
      </w:r>
      <w:r>
        <w:rPr>
          <w:spacing w:val="-5"/>
          <w:w w:val="130"/>
          <w:sz w:val="24"/>
        </w:rPr>
        <w:t> </w:t>
      </w:r>
      <w:r>
        <w:rPr>
          <w:w w:val="130"/>
          <w:sz w:val="24"/>
        </w:rPr>
        <w:t>időpontját.</w:t>
      </w:r>
    </w:p>
    <w:p>
      <w:pPr>
        <w:pStyle w:val="ListParagraph"/>
        <w:numPr>
          <w:ilvl w:val="0"/>
          <w:numId w:val="316"/>
        </w:numPr>
        <w:tabs>
          <w:tab w:pos="992" w:val="left" w:leader="none"/>
        </w:tabs>
        <w:spacing w:line="225" w:lineRule="auto" w:before="1" w:after="0"/>
        <w:ind w:left="113" w:right="125" w:firstLine="204"/>
        <w:jc w:val="both"/>
        <w:rPr>
          <w:sz w:val="24"/>
        </w:rPr>
      </w:pPr>
      <w:r>
        <w:rPr>
          <w:w w:val="125"/>
          <w:sz w:val="24"/>
        </w:rPr>
        <w:t>A részvénykönyvet az igazgatóság úgy vezeti, hogy abból visszamenőlegesen is megállapítható legyen mindennemű változtatás, módosítás, törlés vagy javítás, az adatot bejegyző személye, valamint a bejegyzés jogalapja és</w:t>
      </w:r>
      <w:r>
        <w:rPr>
          <w:spacing w:val="2"/>
          <w:w w:val="125"/>
          <w:sz w:val="24"/>
        </w:rPr>
        <w:t> </w:t>
      </w:r>
      <w:r>
        <w:rPr>
          <w:w w:val="125"/>
          <w:sz w:val="24"/>
        </w:rPr>
        <w:t>időpontja.</w:t>
      </w:r>
    </w:p>
    <w:p>
      <w:pPr>
        <w:pStyle w:val="ListParagraph"/>
        <w:numPr>
          <w:ilvl w:val="0"/>
          <w:numId w:val="316"/>
        </w:numPr>
        <w:tabs>
          <w:tab w:pos="767" w:val="left" w:leader="none"/>
        </w:tabs>
        <w:spacing w:line="225" w:lineRule="auto" w:before="2" w:after="0"/>
        <w:ind w:left="113" w:right="127" w:firstLine="204"/>
        <w:jc w:val="both"/>
        <w:rPr>
          <w:sz w:val="24"/>
        </w:rPr>
      </w:pPr>
      <w:r>
        <w:rPr>
          <w:w w:val="130"/>
          <w:sz w:val="24"/>
        </w:rPr>
        <w:t>A</w:t>
      </w:r>
      <w:r>
        <w:rPr>
          <w:spacing w:val="-10"/>
          <w:w w:val="130"/>
          <w:sz w:val="24"/>
        </w:rPr>
        <w:t> </w:t>
      </w:r>
      <w:r>
        <w:rPr>
          <w:w w:val="130"/>
          <w:sz w:val="24"/>
        </w:rPr>
        <w:t>részvénykönyv</w:t>
      </w:r>
      <w:r>
        <w:rPr>
          <w:spacing w:val="-9"/>
          <w:w w:val="130"/>
          <w:sz w:val="24"/>
        </w:rPr>
        <w:t> </w:t>
      </w:r>
      <w:r>
        <w:rPr>
          <w:w w:val="130"/>
          <w:sz w:val="24"/>
        </w:rPr>
        <w:t>mellékleteként</w:t>
      </w:r>
      <w:r>
        <w:rPr>
          <w:spacing w:val="-3"/>
          <w:w w:val="130"/>
          <w:sz w:val="24"/>
        </w:rPr>
        <w:t> </w:t>
      </w:r>
      <w:r>
        <w:rPr>
          <w:w w:val="130"/>
          <w:sz w:val="24"/>
        </w:rPr>
        <w:t>az</w:t>
      </w:r>
      <w:r>
        <w:rPr>
          <w:spacing w:val="-16"/>
          <w:w w:val="130"/>
          <w:sz w:val="24"/>
        </w:rPr>
        <w:t> </w:t>
      </w:r>
      <w:r>
        <w:rPr>
          <w:w w:val="130"/>
          <w:sz w:val="24"/>
        </w:rPr>
        <w:t>igazgatóság</w:t>
      </w:r>
      <w:r>
        <w:rPr>
          <w:spacing w:val="-9"/>
          <w:w w:val="130"/>
          <w:sz w:val="24"/>
        </w:rPr>
        <w:t> </w:t>
      </w:r>
      <w:r>
        <w:rPr>
          <w:w w:val="130"/>
          <w:sz w:val="24"/>
        </w:rPr>
        <w:t>nyilvántartja</w:t>
      </w:r>
      <w:r>
        <w:rPr>
          <w:spacing w:val="-10"/>
          <w:w w:val="130"/>
          <w:sz w:val="24"/>
        </w:rPr>
        <w:t> </w:t>
      </w:r>
      <w:r>
        <w:rPr>
          <w:w w:val="130"/>
          <w:sz w:val="24"/>
        </w:rPr>
        <w:t>a</w:t>
      </w:r>
      <w:r>
        <w:rPr>
          <w:spacing w:val="-9"/>
          <w:w w:val="130"/>
          <w:sz w:val="24"/>
        </w:rPr>
        <w:t> </w:t>
      </w:r>
      <w:r>
        <w:rPr>
          <w:w w:val="130"/>
          <w:sz w:val="24"/>
        </w:rPr>
        <w:t>legalább öt százalékot elérő tagok által a pénzügyi intézményben birtokolt, a 3. melléklet szerint számított közvetett tulajdonának azonosításra alkalmas adatait is. A pénzügyi intézményben ötszázalékos vagy ezt meghaladó tulajdoni hányaddal rendelkező, illetve ilyen hányadot megszerző tag a pénzügyi</w:t>
      </w:r>
      <w:r>
        <w:rPr>
          <w:spacing w:val="-14"/>
          <w:w w:val="130"/>
          <w:sz w:val="24"/>
        </w:rPr>
        <w:t> </w:t>
      </w:r>
      <w:r>
        <w:rPr>
          <w:w w:val="130"/>
          <w:sz w:val="24"/>
        </w:rPr>
        <w:t>intézményben</w:t>
      </w:r>
      <w:r>
        <w:rPr>
          <w:spacing w:val="-30"/>
          <w:w w:val="130"/>
          <w:sz w:val="24"/>
        </w:rPr>
        <w:t> </w:t>
      </w:r>
      <w:r>
        <w:rPr>
          <w:w w:val="130"/>
          <w:sz w:val="24"/>
        </w:rPr>
        <w:t>birtokolt</w:t>
      </w:r>
      <w:r>
        <w:rPr>
          <w:spacing w:val="-22"/>
          <w:w w:val="130"/>
          <w:sz w:val="24"/>
        </w:rPr>
        <w:t> </w:t>
      </w:r>
      <w:r>
        <w:rPr>
          <w:w w:val="130"/>
          <w:sz w:val="24"/>
        </w:rPr>
        <w:t>közvetett</w:t>
      </w:r>
      <w:r>
        <w:rPr>
          <w:spacing w:val="-22"/>
          <w:w w:val="130"/>
          <w:sz w:val="24"/>
        </w:rPr>
        <w:t> </w:t>
      </w:r>
      <w:r>
        <w:rPr>
          <w:w w:val="130"/>
          <w:sz w:val="24"/>
        </w:rPr>
        <w:t>tulajdonát,</w:t>
      </w:r>
      <w:r>
        <w:rPr>
          <w:spacing w:val="-22"/>
          <w:w w:val="130"/>
          <w:sz w:val="24"/>
        </w:rPr>
        <w:t> </w:t>
      </w:r>
      <w:r>
        <w:rPr>
          <w:w w:val="130"/>
          <w:sz w:val="24"/>
        </w:rPr>
        <w:t>illetve</w:t>
      </w:r>
      <w:r>
        <w:rPr>
          <w:spacing w:val="-23"/>
          <w:w w:val="130"/>
          <w:sz w:val="24"/>
        </w:rPr>
        <w:t> </w:t>
      </w:r>
      <w:r>
        <w:rPr>
          <w:w w:val="130"/>
          <w:sz w:val="24"/>
        </w:rPr>
        <w:t>annak</w:t>
      </w:r>
      <w:r>
        <w:rPr>
          <w:spacing w:val="-22"/>
          <w:w w:val="130"/>
          <w:sz w:val="24"/>
        </w:rPr>
        <w:t> </w:t>
      </w:r>
      <w:r>
        <w:rPr>
          <w:w w:val="130"/>
          <w:sz w:val="24"/>
        </w:rPr>
        <w:t>változását az azonosításra alkalmas adatok egyidejű közlésével bejelenti a pénzügyi intézménynek.</w:t>
      </w:r>
    </w:p>
    <w:p>
      <w:pPr>
        <w:pStyle w:val="ListParagraph"/>
        <w:numPr>
          <w:ilvl w:val="0"/>
          <w:numId w:val="316"/>
        </w:numPr>
        <w:tabs>
          <w:tab w:pos="809" w:val="left" w:leader="none"/>
        </w:tabs>
        <w:spacing w:line="225" w:lineRule="auto" w:before="5" w:after="0"/>
        <w:ind w:left="113" w:right="132" w:firstLine="204"/>
        <w:jc w:val="both"/>
        <w:rPr>
          <w:sz w:val="24"/>
        </w:rPr>
      </w:pPr>
      <w:r>
        <w:rPr>
          <w:w w:val="125"/>
          <w:sz w:val="24"/>
        </w:rPr>
        <w:t>A (3) bekezdésben foglalt kötelezettségét nem teljesítő tag szavazati jogának gyakorlását a kötelezettség teljesítéséig a Felügyelet</w:t>
      </w:r>
      <w:r>
        <w:rPr>
          <w:spacing w:val="-8"/>
          <w:w w:val="125"/>
          <w:sz w:val="24"/>
        </w:rPr>
        <w:t> </w:t>
      </w:r>
      <w:r>
        <w:rPr>
          <w:w w:val="125"/>
          <w:sz w:val="24"/>
        </w:rPr>
        <w:t>felfüggeszti.</w:t>
      </w:r>
    </w:p>
    <w:p>
      <w:pPr>
        <w:pStyle w:val="ListParagraph"/>
        <w:numPr>
          <w:ilvl w:val="0"/>
          <w:numId w:val="316"/>
        </w:numPr>
        <w:tabs>
          <w:tab w:pos="750" w:val="left" w:leader="none"/>
        </w:tabs>
        <w:spacing w:line="225" w:lineRule="auto" w:before="1" w:after="0"/>
        <w:ind w:left="113" w:right="128" w:firstLine="204"/>
        <w:jc w:val="both"/>
        <w:rPr>
          <w:sz w:val="24"/>
        </w:rPr>
      </w:pPr>
      <w:r>
        <w:rPr>
          <w:w w:val="125"/>
          <w:sz w:val="24"/>
        </w:rPr>
        <w:t>A részvénytársasági formában működő pénzügyi intézmény vezető állású személye a tulajdonában lévő, a pénzügyi intézmény által kibocsátott részvényét a pénzügyi intézmény igazgatóságának</w:t>
      </w:r>
      <w:r>
        <w:rPr>
          <w:spacing w:val="31"/>
          <w:w w:val="125"/>
          <w:sz w:val="24"/>
        </w:rPr>
        <w:t> </w:t>
      </w:r>
      <w:r>
        <w:rPr>
          <w:w w:val="125"/>
          <w:sz w:val="24"/>
        </w:rPr>
        <w:t>bejelenti.</w:t>
      </w:r>
    </w:p>
    <w:p>
      <w:pPr>
        <w:pStyle w:val="ListParagraph"/>
        <w:numPr>
          <w:ilvl w:val="1"/>
          <w:numId w:val="213"/>
        </w:numPr>
        <w:tabs>
          <w:tab w:pos="1011" w:val="left" w:leader="none"/>
        </w:tabs>
        <w:spacing w:line="225" w:lineRule="auto" w:before="1" w:after="0"/>
        <w:ind w:left="113" w:right="132" w:firstLine="204"/>
        <w:jc w:val="both"/>
        <w:rPr>
          <w:sz w:val="24"/>
        </w:rPr>
      </w:pPr>
      <w:r>
        <w:rPr>
          <w:rFonts w:ascii="Arial" w:hAnsi="Arial"/>
          <w:b/>
          <w:w w:val="125"/>
          <w:sz w:val="24"/>
        </w:rPr>
        <w:t>§ </w:t>
      </w:r>
      <w:r>
        <w:rPr>
          <w:w w:val="125"/>
          <w:sz w:val="24"/>
        </w:rPr>
        <w:t>(1) A Felügyelet előzetes engedélyével választható meg és nevezhető ki a pénzügyi intézménynél a vezető állású személy, továbbá a pénzügyi holding társaság és a vegyes pénzügyi holding társaság tevékenységét ténylegesen irányító vezető állású</w:t>
      </w:r>
      <w:r>
        <w:rPr>
          <w:spacing w:val="2"/>
          <w:w w:val="125"/>
          <w:sz w:val="24"/>
        </w:rPr>
        <w:t> </w:t>
      </w:r>
      <w:r>
        <w:rPr>
          <w:w w:val="125"/>
          <w:sz w:val="24"/>
        </w:rPr>
        <w:t>személy.</w:t>
      </w:r>
    </w:p>
    <w:p>
      <w:pPr>
        <w:pStyle w:val="ListParagraph"/>
        <w:numPr>
          <w:ilvl w:val="0"/>
          <w:numId w:val="317"/>
        </w:numPr>
        <w:tabs>
          <w:tab w:pos="659" w:val="left" w:leader="none"/>
          <w:tab w:pos="976" w:val="left" w:leader="none"/>
          <w:tab w:pos="1533" w:val="left" w:leader="none"/>
          <w:tab w:pos="2006" w:val="left" w:leader="none"/>
          <w:tab w:pos="2551" w:val="left" w:leader="none"/>
          <w:tab w:pos="4333" w:val="left" w:leader="none"/>
          <w:tab w:pos="6319" w:val="left" w:leader="none"/>
          <w:tab w:pos="7792" w:val="left" w:leader="none"/>
          <w:tab w:pos="9065" w:val="left" w:leader="none"/>
          <w:tab w:pos="9412" w:val="left" w:leader="none"/>
        </w:tabs>
        <w:spacing w:line="250" w:lineRule="exact" w:before="0" w:after="0"/>
        <w:ind w:left="658" w:right="0" w:hanging="341"/>
        <w:jc w:val="left"/>
        <w:rPr>
          <w:sz w:val="24"/>
        </w:rPr>
      </w:pPr>
      <w:r>
        <w:rPr>
          <w:i/>
          <w:w w:val="130"/>
          <w:position w:val="3"/>
          <w:sz w:val="18"/>
        </w:rPr>
        <w:t>1</w:t>
        <w:tab/>
      </w:r>
      <w:r>
        <w:rPr>
          <w:w w:val="130"/>
          <w:sz w:val="24"/>
        </w:rPr>
        <w:t>Ha</w:t>
        <w:tab/>
        <w:t>az</w:t>
        <w:tab/>
        <w:t>(1)</w:t>
        <w:tab/>
        <w:t>bekezdésben</w:t>
        <w:tab/>
        <w:t>meghatározott</w:t>
        <w:tab/>
        <w:t>személlyel</w:t>
        <w:tab/>
        <w:t>szemben</w:t>
        <w:tab/>
        <w:t>a</w:t>
        <w:tab/>
        <w:t>(6)</w:t>
      </w:r>
    </w:p>
    <w:p>
      <w:pPr>
        <w:pStyle w:val="BodyText"/>
        <w:spacing w:line="225" w:lineRule="auto" w:before="12"/>
        <w:ind w:right="128" w:firstLine="0"/>
        <w:jc w:val="both"/>
      </w:pPr>
      <w:r>
        <w:rPr>
          <w:w w:val="130"/>
        </w:rPr>
        <w:t>bekezdésben meghatározott büntetőeljárás van folyamatban, a Felügyelet a kérelem elbírálásával kapcsolatos eljárását a büntetőeljárás befejezéséig felfüggeszti.</w:t>
      </w:r>
    </w:p>
    <w:p>
      <w:pPr>
        <w:pStyle w:val="ListParagraph"/>
        <w:numPr>
          <w:ilvl w:val="0"/>
          <w:numId w:val="317"/>
        </w:numPr>
        <w:tabs>
          <w:tab w:pos="756" w:val="left" w:leader="none"/>
        </w:tabs>
        <w:spacing w:line="225" w:lineRule="auto" w:before="2" w:after="0"/>
        <w:ind w:left="113" w:right="125" w:firstLine="204"/>
        <w:jc w:val="both"/>
        <w:rPr>
          <w:sz w:val="24"/>
        </w:rPr>
      </w:pPr>
      <w:r>
        <w:rPr>
          <w:w w:val="130"/>
          <w:sz w:val="24"/>
        </w:rPr>
        <w:t>A</w:t>
      </w:r>
      <w:r>
        <w:rPr>
          <w:spacing w:val="-12"/>
          <w:w w:val="130"/>
          <w:sz w:val="24"/>
        </w:rPr>
        <w:t> </w:t>
      </w:r>
      <w:r>
        <w:rPr>
          <w:w w:val="130"/>
          <w:sz w:val="24"/>
        </w:rPr>
        <w:t>Felügyelet</w:t>
      </w:r>
      <w:r>
        <w:rPr>
          <w:spacing w:val="-12"/>
          <w:w w:val="130"/>
          <w:sz w:val="24"/>
        </w:rPr>
        <w:t> </w:t>
      </w:r>
      <w:r>
        <w:rPr>
          <w:w w:val="130"/>
          <w:sz w:val="24"/>
        </w:rPr>
        <w:t>a</w:t>
      </w:r>
      <w:r>
        <w:rPr>
          <w:spacing w:val="-12"/>
          <w:w w:val="130"/>
          <w:sz w:val="24"/>
        </w:rPr>
        <w:t> </w:t>
      </w:r>
      <w:r>
        <w:rPr>
          <w:w w:val="130"/>
          <w:sz w:val="24"/>
        </w:rPr>
        <w:t>természetes</w:t>
      </w:r>
      <w:r>
        <w:rPr>
          <w:spacing w:val="-12"/>
          <w:w w:val="130"/>
          <w:sz w:val="24"/>
        </w:rPr>
        <w:t> </w:t>
      </w:r>
      <w:r>
        <w:rPr>
          <w:w w:val="130"/>
          <w:sz w:val="24"/>
        </w:rPr>
        <w:t>személy</w:t>
      </w:r>
      <w:r>
        <w:rPr>
          <w:spacing w:val="-12"/>
          <w:w w:val="130"/>
          <w:sz w:val="24"/>
        </w:rPr>
        <w:t> </w:t>
      </w:r>
      <w:r>
        <w:rPr>
          <w:w w:val="130"/>
          <w:sz w:val="24"/>
        </w:rPr>
        <w:t>megválasztására,</w:t>
      </w:r>
      <w:r>
        <w:rPr>
          <w:spacing w:val="-3"/>
          <w:w w:val="130"/>
          <w:sz w:val="24"/>
        </w:rPr>
        <w:t> </w:t>
      </w:r>
      <w:r>
        <w:rPr>
          <w:w w:val="130"/>
          <w:sz w:val="24"/>
        </w:rPr>
        <w:t>vagy</w:t>
      </w:r>
      <w:r>
        <w:rPr>
          <w:spacing w:val="-20"/>
          <w:w w:val="130"/>
          <w:sz w:val="24"/>
        </w:rPr>
        <w:t> </w:t>
      </w:r>
      <w:r>
        <w:rPr>
          <w:w w:val="130"/>
          <w:sz w:val="24"/>
        </w:rPr>
        <w:t>kinevezésére irányuló engedélykérelmet akkor utasítja el, ha a (4) és (5) bekezdésben felsorolt</w:t>
      </w:r>
      <w:r>
        <w:rPr>
          <w:spacing w:val="-11"/>
          <w:w w:val="130"/>
          <w:sz w:val="24"/>
        </w:rPr>
        <w:t> </w:t>
      </w:r>
      <w:r>
        <w:rPr>
          <w:w w:val="130"/>
          <w:sz w:val="24"/>
        </w:rPr>
        <w:t>kizáró</w:t>
      </w:r>
      <w:r>
        <w:rPr>
          <w:spacing w:val="-10"/>
          <w:w w:val="130"/>
          <w:sz w:val="24"/>
        </w:rPr>
        <w:t> </w:t>
      </w:r>
      <w:r>
        <w:rPr>
          <w:w w:val="130"/>
          <w:sz w:val="24"/>
        </w:rPr>
        <w:t>okok</w:t>
      </w:r>
      <w:r>
        <w:rPr>
          <w:spacing w:val="-10"/>
          <w:w w:val="130"/>
          <w:sz w:val="24"/>
        </w:rPr>
        <w:t> </w:t>
      </w:r>
      <w:r>
        <w:rPr>
          <w:w w:val="130"/>
          <w:sz w:val="24"/>
        </w:rPr>
        <w:t>valamelyike</w:t>
      </w:r>
      <w:r>
        <w:rPr>
          <w:spacing w:val="-11"/>
          <w:w w:val="130"/>
          <w:sz w:val="24"/>
        </w:rPr>
        <w:t> </w:t>
      </w:r>
      <w:r>
        <w:rPr>
          <w:w w:val="130"/>
          <w:sz w:val="24"/>
        </w:rPr>
        <w:t>a</w:t>
      </w:r>
      <w:r>
        <w:rPr>
          <w:spacing w:val="-10"/>
          <w:w w:val="130"/>
          <w:sz w:val="24"/>
        </w:rPr>
        <w:t> </w:t>
      </w:r>
      <w:r>
        <w:rPr>
          <w:w w:val="130"/>
          <w:sz w:val="24"/>
        </w:rPr>
        <w:t>kinevezésre</w:t>
      </w:r>
      <w:r>
        <w:rPr>
          <w:spacing w:val="-10"/>
          <w:w w:val="130"/>
          <w:sz w:val="24"/>
        </w:rPr>
        <w:t> </w:t>
      </w:r>
      <w:r>
        <w:rPr>
          <w:w w:val="130"/>
          <w:sz w:val="24"/>
        </w:rPr>
        <w:t>vagy</w:t>
      </w:r>
      <w:r>
        <w:rPr>
          <w:spacing w:val="-10"/>
          <w:w w:val="130"/>
          <w:sz w:val="24"/>
        </w:rPr>
        <w:t> </w:t>
      </w:r>
      <w:r>
        <w:rPr>
          <w:w w:val="130"/>
          <w:sz w:val="24"/>
        </w:rPr>
        <w:t>megválasztásra</w:t>
      </w:r>
      <w:r>
        <w:rPr>
          <w:spacing w:val="-11"/>
          <w:w w:val="130"/>
          <w:sz w:val="24"/>
        </w:rPr>
        <w:t> </w:t>
      </w:r>
      <w:r>
        <w:rPr>
          <w:w w:val="130"/>
          <w:sz w:val="24"/>
        </w:rPr>
        <w:t>javasolt személlyel</w:t>
      </w:r>
      <w:r>
        <w:rPr>
          <w:spacing w:val="22"/>
          <w:w w:val="130"/>
          <w:sz w:val="24"/>
        </w:rPr>
        <w:t> </w:t>
      </w:r>
      <w:r>
        <w:rPr>
          <w:w w:val="130"/>
          <w:sz w:val="24"/>
        </w:rPr>
        <w:t>szemben</w:t>
      </w:r>
      <w:r>
        <w:rPr>
          <w:spacing w:val="22"/>
          <w:w w:val="130"/>
          <w:sz w:val="24"/>
        </w:rPr>
        <w:t> </w:t>
      </w:r>
      <w:r>
        <w:rPr>
          <w:w w:val="130"/>
          <w:sz w:val="24"/>
        </w:rPr>
        <w:t>fennáll</w:t>
      </w:r>
      <w:r>
        <w:rPr>
          <w:spacing w:val="22"/>
          <w:w w:val="130"/>
          <w:sz w:val="24"/>
        </w:rPr>
        <w:t> </w:t>
      </w:r>
      <w:r>
        <w:rPr>
          <w:w w:val="130"/>
          <w:sz w:val="24"/>
        </w:rPr>
        <w:t>vagy</w:t>
      </w:r>
      <w:r>
        <w:rPr>
          <w:spacing w:val="22"/>
          <w:w w:val="130"/>
          <w:sz w:val="24"/>
        </w:rPr>
        <w:t> </w:t>
      </w:r>
      <w:r>
        <w:rPr>
          <w:w w:val="130"/>
          <w:sz w:val="24"/>
        </w:rPr>
        <w:t>ügyvezető</w:t>
      </w:r>
      <w:r>
        <w:rPr>
          <w:spacing w:val="22"/>
          <w:w w:val="130"/>
          <w:sz w:val="24"/>
        </w:rPr>
        <w:t> </w:t>
      </w:r>
      <w:r>
        <w:rPr>
          <w:w w:val="130"/>
          <w:sz w:val="24"/>
        </w:rPr>
        <w:t>esetén,</w:t>
      </w:r>
      <w:r>
        <w:rPr>
          <w:spacing w:val="21"/>
          <w:w w:val="130"/>
          <w:sz w:val="24"/>
        </w:rPr>
        <w:t> </w:t>
      </w:r>
      <w:r>
        <w:rPr>
          <w:w w:val="130"/>
          <w:sz w:val="24"/>
        </w:rPr>
        <w:t>ha</w:t>
      </w:r>
      <w:r>
        <w:rPr>
          <w:spacing w:val="22"/>
          <w:w w:val="130"/>
          <w:sz w:val="24"/>
        </w:rPr>
        <w:t> </w:t>
      </w:r>
      <w:r>
        <w:rPr>
          <w:w w:val="130"/>
          <w:sz w:val="24"/>
        </w:rPr>
        <w:t>a</w:t>
      </w:r>
      <w:r>
        <w:rPr>
          <w:spacing w:val="22"/>
          <w:w w:val="130"/>
          <w:sz w:val="24"/>
        </w:rPr>
        <w:t> </w:t>
      </w:r>
      <w:r>
        <w:rPr>
          <w:w w:val="130"/>
          <w:sz w:val="24"/>
        </w:rPr>
        <w:t>javasolt</w:t>
      </w:r>
      <w:r>
        <w:rPr>
          <w:spacing w:val="22"/>
          <w:w w:val="130"/>
          <w:sz w:val="24"/>
        </w:rPr>
        <w:t> </w:t>
      </w:r>
      <w:r>
        <w:rPr>
          <w:w w:val="130"/>
          <w:sz w:val="24"/>
        </w:rPr>
        <w:t>személy</w:t>
      </w:r>
      <w:r>
        <w:rPr>
          <w:spacing w:val="22"/>
          <w:w w:val="130"/>
          <w:sz w:val="24"/>
        </w:rPr>
        <w:t> </w:t>
      </w:r>
      <w:r>
        <w:rPr>
          <w:w w:val="130"/>
          <w:sz w:val="24"/>
        </w:rPr>
        <w:t>a</w:t>
      </w:r>
    </w:p>
    <w:p>
      <w:pPr>
        <w:pStyle w:val="BodyText"/>
        <w:spacing w:line="257" w:lineRule="exact"/>
        <w:ind w:firstLine="0"/>
      </w:pPr>
      <w:r>
        <w:rPr>
          <w:w w:val="125"/>
        </w:rPr>
        <w:t>155. §-ban foglalt feltételeknek nem felel meg.</w:t>
      </w:r>
    </w:p>
    <w:p>
      <w:pPr>
        <w:pStyle w:val="ListParagraph"/>
        <w:numPr>
          <w:ilvl w:val="0"/>
          <w:numId w:val="317"/>
        </w:numPr>
        <w:tabs>
          <w:tab w:pos="737" w:val="left" w:leader="none"/>
        </w:tabs>
        <w:spacing w:line="225" w:lineRule="auto" w:before="5" w:after="0"/>
        <w:ind w:left="113" w:right="131" w:firstLine="204"/>
        <w:jc w:val="both"/>
        <w:rPr>
          <w:sz w:val="24"/>
        </w:rPr>
      </w:pPr>
      <w:r>
        <w:rPr>
          <w:w w:val="125"/>
          <w:sz w:val="24"/>
        </w:rPr>
        <w:t>Pénzügyi intézménynél és vegyes pénzügyi holding társaságnál nem lehet vezető állású személy az, aki</w:t>
      </w:r>
    </w:p>
    <w:p>
      <w:pPr>
        <w:pStyle w:val="ListParagraph"/>
        <w:numPr>
          <w:ilvl w:val="0"/>
          <w:numId w:val="318"/>
        </w:numPr>
        <w:tabs>
          <w:tab w:pos="712" w:val="left" w:leader="none"/>
        </w:tabs>
        <w:spacing w:line="225" w:lineRule="auto" w:before="1" w:after="0"/>
        <w:ind w:left="113" w:right="122" w:firstLine="204"/>
        <w:jc w:val="both"/>
        <w:rPr>
          <w:sz w:val="24"/>
        </w:rPr>
      </w:pPr>
      <w:r>
        <w:rPr>
          <w:w w:val="125"/>
          <w:sz w:val="24"/>
        </w:rPr>
        <w:t>befolyásoló részesedéssel rendelkezik (vagy rendelkezett) vagy vezető állású személy (vagy az volt) egy olyan pénzügyi</w:t>
      </w:r>
      <w:r>
        <w:rPr>
          <w:spacing w:val="-12"/>
          <w:w w:val="125"/>
          <w:sz w:val="24"/>
        </w:rPr>
        <w:t> </w:t>
      </w:r>
      <w:r>
        <w:rPr>
          <w:w w:val="125"/>
          <w:sz w:val="24"/>
        </w:rPr>
        <w:t>intézményben,</w:t>
      </w:r>
    </w:p>
    <w:p>
      <w:pPr>
        <w:pStyle w:val="BodyText"/>
        <w:spacing w:line="225" w:lineRule="auto" w:before="1"/>
        <w:ind w:right="128"/>
        <w:jc w:val="both"/>
      </w:pPr>
      <w:r>
        <w:rPr>
          <w:i/>
          <w:w w:val="130"/>
        </w:rPr>
        <w:t>aa) </w:t>
      </w:r>
      <w:r>
        <w:rPr>
          <w:w w:val="130"/>
        </w:rPr>
        <w:t>amely esetében a fizetésképtelenséget csak a Felügyelet által alkalmazott kivételes intézkedésekkel lehet elkerülni, vagy</w:t>
      </w:r>
    </w:p>
    <w:p>
      <w:pPr>
        <w:pStyle w:val="BodyText"/>
        <w:spacing w:line="225" w:lineRule="auto" w:before="2"/>
        <w:ind w:right="129"/>
        <w:jc w:val="both"/>
      </w:pPr>
      <w:r>
        <w:rPr>
          <w:i/>
          <w:w w:val="130"/>
        </w:rPr>
        <w:t>ab)</w:t>
      </w:r>
      <w:r>
        <w:rPr>
          <w:i/>
          <w:w w:val="130"/>
          <w:position w:val="3"/>
          <w:sz w:val="18"/>
        </w:rPr>
        <w:t>2</w:t>
      </w:r>
      <w:r>
        <w:rPr>
          <w:i/>
          <w:spacing w:val="-10"/>
          <w:w w:val="130"/>
          <w:position w:val="3"/>
          <w:sz w:val="18"/>
        </w:rPr>
        <w:t> </w:t>
      </w:r>
      <w:r>
        <w:rPr>
          <w:w w:val="130"/>
        </w:rPr>
        <w:t>amelyet</w:t>
      </w:r>
      <w:r>
        <w:rPr>
          <w:spacing w:val="-37"/>
          <w:w w:val="130"/>
        </w:rPr>
        <w:t> </w:t>
      </w:r>
      <w:r>
        <w:rPr>
          <w:w w:val="130"/>
        </w:rPr>
        <w:t>a</w:t>
      </w:r>
      <w:r>
        <w:rPr>
          <w:spacing w:val="-31"/>
          <w:w w:val="130"/>
        </w:rPr>
        <w:t> </w:t>
      </w:r>
      <w:r>
        <w:rPr>
          <w:w w:val="130"/>
        </w:rPr>
        <w:t>tevékenységi</w:t>
      </w:r>
      <w:r>
        <w:rPr>
          <w:spacing w:val="-35"/>
          <w:w w:val="130"/>
        </w:rPr>
        <w:t> </w:t>
      </w:r>
      <w:r>
        <w:rPr>
          <w:w w:val="130"/>
        </w:rPr>
        <w:t>engedély</w:t>
      </w:r>
      <w:r>
        <w:rPr>
          <w:spacing w:val="-24"/>
          <w:w w:val="130"/>
        </w:rPr>
        <w:t> </w:t>
      </w:r>
      <w:r>
        <w:rPr>
          <w:w w:val="130"/>
        </w:rPr>
        <w:t>visszavonása</w:t>
      </w:r>
      <w:r>
        <w:rPr>
          <w:spacing w:val="-43"/>
          <w:w w:val="130"/>
        </w:rPr>
        <w:t> </w:t>
      </w:r>
      <w:r>
        <w:rPr>
          <w:w w:val="130"/>
        </w:rPr>
        <w:t>miatt</w:t>
      </w:r>
      <w:r>
        <w:rPr>
          <w:spacing w:val="-33"/>
          <w:w w:val="130"/>
        </w:rPr>
        <w:t> </w:t>
      </w:r>
      <w:r>
        <w:rPr>
          <w:w w:val="130"/>
        </w:rPr>
        <w:t>fel</w:t>
      </w:r>
      <w:r>
        <w:rPr>
          <w:spacing w:val="-33"/>
          <w:w w:val="130"/>
        </w:rPr>
        <w:t> </w:t>
      </w:r>
      <w:r>
        <w:rPr>
          <w:w w:val="130"/>
        </w:rPr>
        <w:t>kellett</w:t>
      </w:r>
      <w:r>
        <w:rPr>
          <w:spacing w:val="-33"/>
          <w:w w:val="130"/>
        </w:rPr>
        <w:t> </w:t>
      </w:r>
      <w:r>
        <w:rPr>
          <w:w w:val="130"/>
        </w:rPr>
        <w:t>számolni, és akinek személyes felelősségét e helyzet kialakulásáért jogerős vagy végleges határozat</w:t>
      </w:r>
      <w:r>
        <w:rPr>
          <w:spacing w:val="-7"/>
          <w:w w:val="130"/>
        </w:rPr>
        <w:t> </w:t>
      </w:r>
      <w:r>
        <w:rPr>
          <w:w w:val="130"/>
        </w:rPr>
        <w:t>megállapította;</w:t>
      </w:r>
    </w:p>
    <w:p>
      <w:pPr>
        <w:pStyle w:val="ListParagraph"/>
        <w:numPr>
          <w:ilvl w:val="0"/>
          <w:numId w:val="318"/>
        </w:numPr>
        <w:tabs>
          <w:tab w:pos="567" w:val="left" w:leader="none"/>
          <w:tab w:pos="916" w:val="left" w:leader="none"/>
          <w:tab w:pos="2178" w:val="left" w:leader="none"/>
          <w:tab w:pos="2966" w:val="left" w:leader="none"/>
          <w:tab w:pos="4838" w:val="left" w:leader="none"/>
          <w:tab w:pos="6518" w:val="left" w:leader="none"/>
          <w:tab w:pos="6882" w:val="left" w:leader="none"/>
          <w:tab w:pos="8025" w:val="left" w:leader="none"/>
          <w:tab w:pos="8813" w:val="left" w:leader="none"/>
          <w:tab w:pos="9604" w:val="left" w:leader="none"/>
        </w:tabs>
        <w:spacing w:line="249" w:lineRule="exact" w:before="0" w:after="0"/>
        <w:ind w:left="566" w:right="0" w:hanging="249"/>
        <w:jc w:val="left"/>
        <w:rPr>
          <w:sz w:val="24"/>
        </w:rPr>
      </w:pPr>
      <w:r>
        <w:rPr>
          <w:i/>
          <w:w w:val="130"/>
          <w:position w:val="3"/>
          <w:sz w:val="18"/>
        </w:rPr>
        <w:t>3</w:t>
        <w:tab/>
      </w:r>
      <w:r>
        <w:rPr>
          <w:w w:val="130"/>
          <w:sz w:val="24"/>
        </w:rPr>
        <w:t>súlyosan</w:t>
        <w:tab/>
        <w:t>vagy</w:t>
        <w:tab/>
        <w:t>rendszeresen</w:t>
        <w:tab/>
        <w:t>megsértette</w:t>
        <w:tab/>
        <w:t>e</w:t>
        <w:tab/>
        <w:t>törvény</w:t>
        <w:tab/>
        <w:t>vagy</w:t>
        <w:tab/>
        <w:t>más,</w:t>
        <w:tab/>
        <w:t>a</w:t>
      </w:r>
    </w:p>
    <w:p>
      <w:pPr>
        <w:pStyle w:val="BodyText"/>
        <w:spacing w:line="225" w:lineRule="auto" w:before="12"/>
        <w:ind w:right="131" w:firstLine="0"/>
        <w:jc w:val="both"/>
      </w:pPr>
      <w:r>
        <w:rPr>
          <w:w w:val="130"/>
        </w:rPr>
        <w:t>banküzemre</w:t>
      </w:r>
      <w:r>
        <w:rPr>
          <w:spacing w:val="-30"/>
          <w:w w:val="130"/>
        </w:rPr>
        <w:t> </w:t>
      </w:r>
      <w:r>
        <w:rPr>
          <w:w w:val="130"/>
        </w:rPr>
        <w:t>vagy</w:t>
      </w:r>
      <w:r>
        <w:rPr>
          <w:spacing w:val="-30"/>
          <w:w w:val="130"/>
        </w:rPr>
        <w:t> </w:t>
      </w:r>
      <w:r>
        <w:rPr>
          <w:w w:val="130"/>
        </w:rPr>
        <w:t>a</w:t>
      </w:r>
      <w:r>
        <w:rPr>
          <w:spacing w:val="-29"/>
          <w:w w:val="130"/>
        </w:rPr>
        <w:t> </w:t>
      </w:r>
      <w:r>
        <w:rPr>
          <w:w w:val="130"/>
        </w:rPr>
        <w:t>pénzügyi</w:t>
      </w:r>
      <w:r>
        <w:rPr>
          <w:spacing w:val="-27"/>
          <w:w w:val="130"/>
        </w:rPr>
        <w:t> </w:t>
      </w:r>
      <w:r>
        <w:rPr>
          <w:w w:val="130"/>
        </w:rPr>
        <w:t>intézmény</w:t>
      </w:r>
      <w:r>
        <w:rPr>
          <w:spacing w:val="-32"/>
          <w:w w:val="130"/>
        </w:rPr>
        <w:t> </w:t>
      </w:r>
      <w:r>
        <w:rPr>
          <w:w w:val="130"/>
        </w:rPr>
        <w:t>gazdálkodására</w:t>
      </w:r>
      <w:r>
        <w:rPr>
          <w:spacing w:val="-30"/>
          <w:w w:val="130"/>
        </w:rPr>
        <w:t> </w:t>
      </w:r>
      <w:r>
        <w:rPr>
          <w:w w:val="130"/>
        </w:rPr>
        <w:t>vonatkozó</w:t>
      </w:r>
      <w:r>
        <w:rPr>
          <w:spacing w:val="-30"/>
          <w:w w:val="130"/>
        </w:rPr>
        <w:t> </w:t>
      </w:r>
      <w:r>
        <w:rPr>
          <w:w w:val="130"/>
        </w:rPr>
        <w:t>jogszabály előírásait,</w:t>
      </w:r>
      <w:r>
        <w:rPr>
          <w:spacing w:val="-14"/>
          <w:w w:val="130"/>
        </w:rPr>
        <w:t> </w:t>
      </w:r>
      <w:r>
        <w:rPr>
          <w:w w:val="130"/>
        </w:rPr>
        <w:t>és</w:t>
      </w:r>
      <w:r>
        <w:rPr>
          <w:spacing w:val="-13"/>
          <w:w w:val="130"/>
        </w:rPr>
        <w:t> </w:t>
      </w:r>
      <w:r>
        <w:rPr>
          <w:w w:val="130"/>
        </w:rPr>
        <w:t>ezt</w:t>
      </w:r>
      <w:r>
        <w:rPr>
          <w:spacing w:val="-13"/>
          <w:w w:val="130"/>
        </w:rPr>
        <w:t> </w:t>
      </w:r>
      <w:r>
        <w:rPr>
          <w:w w:val="130"/>
        </w:rPr>
        <w:t>a</w:t>
      </w:r>
      <w:r>
        <w:rPr>
          <w:spacing w:val="-12"/>
          <w:w w:val="130"/>
        </w:rPr>
        <w:t> </w:t>
      </w:r>
      <w:r>
        <w:rPr>
          <w:w w:val="130"/>
        </w:rPr>
        <w:t>Felügyelet,</w:t>
      </w:r>
      <w:r>
        <w:rPr>
          <w:spacing w:val="-13"/>
          <w:w w:val="130"/>
        </w:rPr>
        <w:t> </w:t>
      </w:r>
      <w:r>
        <w:rPr>
          <w:w w:val="130"/>
        </w:rPr>
        <w:t>más</w:t>
      </w:r>
      <w:r>
        <w:rPr>
          <w:spacing w:val="-13"/>
          <w:w w:val="130"/>
        </w:rPr>
        <w:t> </w:t>
      </w:r>
      <w:r>
        <w:rPr>
          <w:w w:val="130"/>
        </w:rPr>
        <w:t>hatóság</w:t>
      </w:r>
      <w:r>
        <w:rPr>
          <w:spacing w:val="-12"/>
          <w:w w:val="130"/>
        </w:rPr>
        <w:t> </w:t>
      </w:r>
      <w:r>
        <w:rPr>
          <w:w w:val="130"/>
        </w:rPr>
        <w:t>végleges</w:t>
      </w:r>
      <w:r>
        <w:rPr>
          <w:spacing w:val="-13"/>
          <w:w w:val="130"/>
        </w:rPr>
        <w:t> </w:t>
      </w:r>
      <w:r>
        <w:rPr>
          <w:w w:val="130"/>
        </w:rPr>
        <w:t>határozata</w:t>
      </w:r>
      <w:r>
        <w:rPr>
          <w:spacing w:val="-12"/>
          <w:w w:val="130"/>
        </w:rPr>
        <w:t> </w:t>
      </w:r>
      <w:r>
        <w:rPr>
          <w:w w:val="130"/>
        </w:rPr>
        <w:t>vagy</w:t>
      </w:r>
      <w:r>
        <w:rPr>
          <w:spacing w:val="-13"/>
          <w:w w:val="130"/>
        </w:rPr>
        <w:t> </w:t>
      </w:r>
      <w:r>
        <w:rPr>
          <w:w w:val="130"/>
        </w:rPr>
        <w:t>a</w:t>
      </w:r>
      <w:r>
        <w:rPr>
          <w:spacing w:val="-13"/>
          <w:w w:val="130"/>
        </w:rPr>
        <w:t> </w:t>
      </w:r>
      <w:r>
        <w:rPr>
          <w:w w:val="130"/>
        </w:rPr>
        <w:t>bíróság jogerős ítélete öt évnél nem régebben</w:t>
      </w:r>
      <w:r>
        <w:rPr>
          <w:spacing w:val="-27"/>
          <w:w w:val="130"/>
        </w:rPr>
        <w:t> </w:t>
      </w:r>
      <w:r>
        <w:rPr>
          <w:w w:val="130"/>
        </w:rPr>
        <w:t>megállapította;</w:t>
      </w:r>
    </w:p>
    <w:p>
      <w:pPr>
        <w:pStyle w:val="ListParagraph"/>
        <w:numPr>
          <w:ilvl w:val="0"/>
          <w:numId w:val="318"/>
        </w:numPr>
        <w:tabs>
          <w:tab w:pos="623" w:val="left" w:leader="none"/>
        </w:tabs>
        <w:spacing w:line="256" w:lineRule="exact" w:before="0" w:after="0"/>
        <w:ind w:left="622" w:right="0" w:hanging="305"/>
        <w:jc w:val="left"/>
        <w:rPr>
          <w:sz w:val="24"/>
        </w:rPr>
      </w:pPr>
      <w:r>
        <w:rPr>
          <w:w w:val="130"/>
          <w:sz w:val="24"/>
        </w:rPr>
        <w:t>büntetett</w:t>
      </w:r>
      <w:r>
        <w:rPr>
          <w:spacing w:val="-2"/>
          <w:w w:val="130"/>
          <w:sz w:val="24"/>
        </w:rPr>
        <w:t> </w:t>
      </w:r>
      <w:r>
        <w:rPr>
          <w:w w:val="130"/>
          <w:sz w:val="24"/>
        </w:rPr>
        <w:t>előéletű;</w:t>
      </w:r>
    </w:p>
    <w:p>
      <w:pPr>
        <w:pStyle w:val="ListParagraph"/>
        <w:numPr>
          <w:ilvl w:val="0"/>
          <w:numId w:val="318"/>
        </w:numPr>
        <w:tabs>
          <w:tab w:pos="653" w:val="left" w:leader="none"/>
        </w:tabs>
        <w:spacing w:line="268" w:lineRule="exact" w:before="0" w:after="0"/>
        <w:ind w:left="652" w:right="0" w:hanging="335"/>
        <w:jc w:val="left"/>
        <w:rPr>
          <w:sz w:val="24"/>
        </w:rPr>
      </w:pPr>
      <w:r>
        <w:rPr>
          <w:w w:val="125"/>
          <w:sz w:val="24"/>
        </w:rPr>
        <w:t>nem rendelkezik jó üzleti</w:t>
      </w:r>
      <w:r>
        <w:rPr>
          <w:spacing w:val="-8"/>
          <w:w w:val="125"/>
          <w:sz w:val="24"/>
        </w:rPr>
        <w:t> </w:t>
      </w:r>
      <w:r>
        <w:rPr>
          <w:w w:val="125"/>
          <w:sz w:val="24"/>
        </w:rPr>
        <w:t>hírnévvel.</w:t>
      </w:r>
    </w:p>
    <w:p>
      <w:pPr>
        <w:pStyle w:val="BodyText"/>
        <w:spacing w:before="3"/>
        <w:ind w:left="0" w:firstLine="0"/>
        <w:rPr>
          <w:sz w:val="15"/>
        </w:rPr>
      </w:pPr>
      <w:r>
        <w:rPr/>
        <w:pict>
          <v:line style="position:absolute;mso-position-horizontal-relative:page;mso-position-vertical-relative:paragraph;z-index:728;mso-wrap-distance-left:0;mso-wrap-distance-right:0" from="56.693001pt,10.989023pt" to="538.583001pt,10.989023pt" stroked="true" strokeweight=".5pt" strokecolor="#000000">
            <v:stroke dashstyle="solid"/>
            <w10:wrap type="topAndBottom"/>
          </v:line>
        </w:pict>
      </w:r>
    </w:p>
    <w:p>
      <w:pPr>
        <w:tabs>
          <w:tab w:pos="686" w:val="left" w:leader="none"/>
        </w:tabs>
        <w:spacing w:line="232" w:lineRule="auto" w:before="49"/>
        <w:ind w:left="342" w:right="5138" w:firstLine="0"/>
        <w:jc w:val="left"/>
        <w:rPr>
          <w:i/>
          <w:sz w:val="18"/>
        </w:rPr>
      </w:pPr>
      <w:r>
        <w:rPr>
          <w:i/>
          <w:w w:val="125"/>
          <w:sz w:val="18"/>
        </w:rPr>
        <w:t>1</w:t>
        <w:tab/>
        <w:t>Módosította:</w:t>
      </w:r>
      <w:r>
        <w:rPr>
          <w:i/>
          <w:spacing w:val="-10"/>
          <w:w w:val="125"/>
          <w:sz w:val="18"/>
        </w:rPr>
        <w:t> </w:t>
      </w:r>
      <w:r>
        <w:rPr>
          <w:i/>
          <w:w w:val="125"/>
          <w:sz w:val="18"/>
        </w:rPr>
        <w:t>2017.</w:t>
      </w:r>
      <w:r>
        <w:rPr>
          <w:i/>
          <w:spacing w:val="-9"/>
          <w:w w:val="125"/>
          <w:sz w:val="18"/>
        </w:rPr>
        <w:t> </w:t>
      </w:r>
      <w:r>
        <w:rPr>
          <w:i/>
          <w:w w:val="125"/>
          <w:sz w:val="18"/>
        </w:rPr>
        <w:t>évi</w:t>
      </w:r>
      <w:r>
        <w:rPr>
          <w:i/>
          <w:spacing w:val="-9"/>
          <w:w w:val="125"/>
          <w:sz w:val="18"/>
        </w:rPr>
        <w:t> </w:t>
      </w:r>
      <w:r>
        <w:rPr>
          <w:i/>
          <w:w w:val="125"/>
          <w:sz w:val="18"/>
        </w:rPr>
        <w:t>CXCI.</w:t>
      </w:r>
      <w:r>
        <w:rPr>
          <w:i/>
          <w:spacing w:val="-9"/>
          <w:w w:val="125"/>
          <w:sz w:val="18"/>
        </w:rPr>
        <w:t> </w:t>
      </w:r>
      <w:r>
        <w:rPr>
          <w:i/>
          <w:w w:val="125"/>
          <w:sz w:val="18"/>
        </w:rPr>
        <w:t>törvény</w:t>
      </w:r>
      <w:r>
        <w:rPr>
          <w:i/>
          <w:spacing w:val="-9"/>
          <w:w w:val="125"/>
          <w:sz w:val="18"/>
        </w:rPr>
        <w:t> </w:t>
      </w:r>
      <w:r>
        <w:rPr>
          <w:i/>
          <w:w w:val="125"/>
          <w:sz w:val="18"/>
        </w:rPr>
        <w:t>8.</w:t>
      </w:r>
      <w:r>
        <w:rPr>
          <w:i/>
          <w:spacing w:val="-9"/>
          <w:w w:val="125"/>
          <w:sz w:val="18"/>
        </w:rPr>
        <w:t> </w:t>
      </w:r>
      <w:r>
        <w:rPr>
          <w:i/>
          <w:w w:val="125"/>
          <w:sz w:val="18"/>
        </w:rPr>
        <w:t>§</w:t>
      </w:r>
      <w:r>
        <w:rPr>
          <w:i/>
          <w:spacing w:val="-9"/>
          <w:w w:val="125"/>
          <w:sz w:val="18"/>
        </w:rPr>
        <w:t> </w:t>
      </w:r>
      <w:r>
        <w:rPr>
          <w:i/>
          <w:w w:val="125"/>
          <w:sz w:val="18"/>
        </w:rPr>
        <w:t>a). 2</w:t>
        <w:tab/>
        <w:t>Módosította: 2017. évi L. törvény 469. § b). 3</w:t>
        <w:tab/>
        <w:t>Módosította: 2017. évi L. törvény 469. §</w:t>
      </w:r>
      <w:r>
        <w:rPr>
          <w:i/>
          <w:spacing w:val="-18"/>
          <w:w w:val="125"/>
          <w:sz w:val="18"/>
        </w:rPr>
        <w:t> </w:t>
      </w:r>
      <w:r>
        <w:rPr>
          <w:i/>
          <w:w w:val="125"/>
          <w:sz w:val="18"/>
        </w:rPr>
        <w:t>c).</w:t>
      </w:r>
    </w:p>
    <w:p>
      <w:pPr>
        <w:spacing w:after="0" w:line="232" w:lineRule="auto"/>
        <w:jc w:val="left"/>
        <w:rPr>
          <w:sz w:val="18"/>
        </w:rPr>
        <w:sectPr>
          <w:pgSz w:w="11900" w:h="16820"/>
          <w:pgMar w:header="1104" w:footer="0" w:top="1840" w:bottom="280" w:left="1020" w:right="1000"/>
        </w:sectPr>
      </w:pPr>
    </w:p>
    <w:p>
      <w:pPr>
        <w:pStyle w:val="ListParagraph"/>
        <w:numPr>
          <w:ilvl w:val="0"/>
          <w:numId w:val="317"/>
        </w:numPr>
        <w:tabs>
          <w:tab w:pos="773" w:val="left" w:leader="none"/>
        </w:tabs>
        <w:spacing w:line="225" w:lineRule="auto" w:before="173" w:after="0"/>
        <w:ind w:left="113" w:right="107" w:firstLine="204"/>
        <w:jc w:val="left"/>
        <w:rPr>
          <w:sz w:val="24"/>
        </w:rPr>
      </w:pPr>
      <w:r>
        <w:rPr>
          <w:w w:val="125"/>
          <w:sz w:val="24"/>
        </w:rPr>
        <w:t>Hitelintézetnél nem lehet vezető állású személy - a felügyelő bizottsági  tag kivételével - a (4) bekezdésben foglaltakon túl az sem,</w:t>
      </w:r>
      <w:r>
        <w:rPr>
          <w:spacing w:val="11"/>
          <w:w w:val="125"/>
          <w:sz w:val="24"/>
        </w:rPr>
        <w:t> </w:t>
      </w:r>
      <w:r>
        <w:rPr>
          <w:w w:val="125"/>
          <w:sz w:val="24"/>
        </w:rPr>
        <w:t>aki</w:t>
      </w:r>
    </w:p>
    <w:p>
      <w:pPr>
        <w:pStyle w:val="ListParagraph"/>
        <w:numPr>
          <w:ilvl w:val="0"/>
          <w:numId w:val="319"/>
        </w:numPr>
        <w:tabs>
          <w:tab w:pos="669" w:val="left" w:leader="none"/>
        </w:tabs>
        <w:spacing w:line="225" w:lineRule="auto" w:before="1" w:after="0"/>
        <w:ind w:left="113" w:right="129" w:firstLine="204"/>
        <w:jc w:val="both"/>
        <w:rPr>
          <w:sz w:val="24"/>
        </w:rPr>
      </w:pPr>
      <w:r>
        <w:rPr>
          <w:w w:val="125"/>
          <w:sz w:val="24"/>
        </w:rPr>
        <w:t>nem rendelkezik legalább háromévi - a banki vagy vállalati gazdálkodás vagy a közigazgatás pénzügyi, illetve gazdasági területén szerzett - vezetői gyakorlattal,</w:t>
      </w:r>
    </w:p>
    <w:p>
      <w:pPr>
        <w:pStyle w:val="ListParagraph"/>
        <w:numPr>
          <w:ilvl w:val="0"/>
          <w:numId w:val="319"/>
        </w:numPr>
        <w:tabs>
          <w:tab w:pos="653" w:val="left" w:leader="none"/>
        </w:tabs>
        <w:spacing w:line="256" w:lineRule="exact" w:before="0" w:after="0"/>
        <w:ind w:left="652" w:right="0" w:hanging="335"/>
        <w:jc w:val="left"/>
        <w:rPr>
          <w:sz w:val="24"/>
        </w:rPr>
      </w:pPr>
      <w:r>
        <w:rPr>
          <w:w w:val="125"/>
          <w:sz w:val="24"/>
        </w:rPr>
        <w:t>más pénzügyi intézménynél</w:t>
      </w:r>
      <w:r>
        <w:rPr>
          <w:spacing w:val="-14"/>
          <w:w w:val="125"/>
          <w:sz w:val="24"/>
        </w:rPr>
        <w:t> </w:t>
      </w:r>
      <w:r>
        <w:rPr>
          <w:w w:val="125"/>
          <w:sz w:val="24"/>
        </w:rPr>
        <w:t>könyvvizsgáló,</w:t>
      </w:r>
    </w:p>
    <w:p>
      <w:pPr>
        <w:pStyle w:val="ListParagraph"/>
        <w:numPr>
          <w:ilvl w:val="0"/>
          <w:numId w:val="319"/>
        </w:numPr>
        <w:tabs>
          <w:tab w:pos="715" w:val="left" w:leader="none"/>
        </w:tabs>
        <w:spacing w:line="225" w:lineRule="auto" w:before="5" w:after="0"/>
        <w:ind w:left="113" w:right="137" w:firstLine="204"/>
        <w:jc w:val="left"/>
        <w:rPr>
          <w:sz w:val="24"/>
        </w:rPr>
      </w:pPr>
      <w:r>
        <w:rPr>
          <w:w w:val="130"/>
          <w:sz w:val="24"/>
        </w:rPr>
        <w:t>olyan tisztséget tölt be, amely tisztség ellátása korlátozhatja szakmai feladatainak</w:t>
      </w:r>
      <w:r>
        <w:rPr>
          <w:spacing w:val="-3"/>
          <w:w w:val="130"/>
          <w:sz w:val="24"/>
        </w:rPr>
        <w:t> </w:t>
      </w:r>
      <w:r>
        <w:rPr>
          <w:w w:val="130"/>
          <w:sz w:val="24"/>
        </w:rPr>
        <w:t>ellátását.</w:t>
      </w:r>
    </w:p>
    <w:p>
      <w:pPr>
        <w:pStyle w:val="ListParagraph"/>
        <w:numPr>
          <w:ilvl w:val="0"/>
          <w:numId w:val="317"/>
        </w:numPr>
        <w:tabs>
          <w:tab w:pos="659" w:val="left" w:leader="none"/>
        </w:tabs>
        <w:spacing w:line="256" w:lineRule="exact" w:before="0" w:after="0"/>
        <w:ind w:left="658" w:right="0" w:hanging="341"/>
        <w:jc w:val="left"/>
        <w:rPr>
          <w:sz w:val="24"/>
        </w:rPr>
      </w:pPr>
      <w:r>
        <w:rPr>
          <w:i/>
          <w:w w:val="125"/>
          <w:position w:val="3"/>
          <w:sz w:val="18"/>
        </w:rPr>
        <w:t>1 </w:t>
      </w:r>
      <w:r>
        <w:rPr>
          <w:w w:val="125"/>
          <w:sz w:val="24"/>
        </w:rPr>
        <w:t>Azon vezető állású személy, akivel</w:t>
      </w:r>
      <w:r>
        <w:rPr>
          <w:spacing w:val="-42"/>
          <w:w w:val="125"/>
          <w:sz w:val="24"/>
        </w:rPr>
        <w:t> </w:t>
      </w:r>
      <w:r>
        <w:rPr>
          <w:w w:val="125"/>
          <w:sz w:val="24"/>
        </w:rPr>
        <w:t>szemben</w:t>
      </w:r>
    </w:p>
    <w:p>
      <w:pPr>
        <w:pStyle w:val="ListParagraph"/>
        <w:numPr>
          <w:ilvl w:val="0"/>
          <w:numId w:val="320"/>
        </w:numPr>
        <w:tabs>
          <w:tab w:pos="658" w:val="left" w:leader="none"/>
        </w:tabs>
        <w:spacing w:line="260" w:lineRule="exact" w:before="0" w:after="0"/>
        <w:ind w:left="657" w:right="0" w:hanging="340"/>
        <w:jc w:val="left"/>
        <w:rPr>
          <w:sz w:val="24"/>
        </w:rPr>
      </w:pPr>
      <w:r>
        <w:rPr>
          <w:w w:val="125"/>
          <w:sz w:val="24"/>
        </w:rPr>
        <w:t>a</w:t>
      </w:r>
      <w:r>
        <w:rPr>
          <w:spacing w:val="18"/>
          <w:w w:val="125"/>
          <w:sz w:val="24"/>
        </w:rPr>
        <w:t> </w:t>
      </w:r>
      <w:r>
        <w:rPr>
          <w:w w:val="125"/>
          <w:sz w:val="24"/>
        </w:rPr>
        <w:t>2013.</w:t>
      </w:r>
      <w:r>
        <w:rPr>
          <w:spacing w:val="19"/>
          <w:w w:val="125"/>
          <w:sz w:val="24"/>
        </w:rPr>
        <w:t> </w:t>
      </w:r>
      <w:r>
        <w:rPr>
          <w:w w:val="125"/>
          <w:sz w:val="24"/>
        </w:rPr>
        <w:t>június</w:t>
      </w:r>
      <w:r>
        <w:rPr>
          <w:spacing w:val="19"/>
          <w:w w:val="125"/>
          <w:sz w:val="24"/>
        </w:rPr>
        <w:t> </w:t>
      </w:r>
      <w:r>
        <w:rPr>
          <w:w w:val="125"/>
          <w:sz w:val="24"/>
        </w:rPr>
        <w:t>30-ig</w:t>
      </w:r>
      <w:r>
        <w:rPr>
          <w:spacing w:val="19"/>
          <w:w w:val="125"/>
          <w:sz w:val="24"/>
        </w:rPr>
        <w:t> </w:t>
      </w:r>
      <w:r>
        <w:rPr>
          <w:w w:val="125"/>
          <w:sz w:val="24"/>
        </w:rPr>
        <w:t>hatályban</w:t>
      </w:r>
      <w:r>
        <w:rPr>
          <w:spacing w:val="19"/>
          <w:w w:val="125"/>
          <w:sz w:val="24"/>
        </w:rPr>
        <w:t> </w:t>
      </w:r>
      <w:r>
        <w:rPr>
          <w:w w:val="125"/>
          <w:sz w:val="24"/>
        </w:rPr>
        <w:t>volt</w:t>
      </w:r>
      <w:r>
        <w:rPr>
          <w:spacing w:val="18"/>
          <w:w w:val="125"/>
          <w:sz w:val="24"/>
        </w:rPr>
        <w:t> </w:t>
      </w:r>
      <w:r>
        <w:rPr>
          <w:w w:val="125"/>
          <w:sz w:val="24"/>
        </w:rPr>
        <w:t>1978.</w:t>
      </w:r>
      <w:r>
        <w:rPr>
          <w:spacing w:val="19"/>
          <w:w w:val="125"/>
          <w:sz w:val="24"/>
        </w:rPr>
        <w:t> </w:t>
      </w:r>
      <w:r>
        <w:rPr>
          <w:w w:val="125"/>
          <w:sz w:val="24"/>
        </w:rPr>
        <w:t>évi</w:t>
      </w:r>
      <w:r>
        <w:rPr>
          <w:spacing w:val="24"/>
          <w:w w:val="125"/>
          <w:sz w:val="24"/>
        </w:rPr>
        <w:t> </w:t>
      </w:r>
      <w:r>
        <w:rPr>
          <w:w w:val="125"/>
          <w:sz w:val="24"/>
        </w:rPr>
        <w:t>IV.</w:t>
      </w:r>
      <w:r>
        <w:rPr>
          <w:spacing w:val="14"/>
          <w:w w:val="125"/>
          <w:sz w:val="24"/>
        </w:rPr>
        <w:t> </w:t>
      </w:r>
      <w:r>
        <w:rPr>
          <w:w w:val="125"/>
          <w:sz w:val="24"/>
        </w:rPr>
        <w:t>törvény</w:t>
      </w:r>
      <w:r>
        <w:rPr>
          <w:spacing w:val="18"/>
          <w:w w:val="125"/>
          <w:sz w:val="24"/>
        </w:rPr>
        <w:t> </w:t>
      </w:r>
      <w:r>
        <w:rPr>
          <w:w w:val="125"/>
          <w:sz w:val="24"/>
        </w:rPr>
        <w:t>XV.</w:t>
      </w:r>
      <w:r>
        <w:rPr>
          <w:spacing w:val="18"/>
          <w:w w:val="125"/>
          <w:sz w:val="24"/>
        </w:rPr>
        <w:t> </w:t>
      </w:r>
      <w:r>
        <w:rPr>
          <w:w w:val="125"/>
          <w:sz w:val="24"/>
        </w:rPr>
        <w:t>fejezetének</w:t>
      </w:r>
    </w:p>
    <w:p>
      <w:pPr>
        <w:pStyle w:val="ListParagraph"/>
        <w:numPr>
          <w:ilvl w:val="0"/>
          <w:numId w:val="321"/>
        </w:numPr>
        <w:tabs>
          <w:tab w:pos="629" w:val="left" w:leader="none"/>
        </w:tabs>
        <w:spacing w:line="260" w:lineRule="exact" w:before="0" w:after="0"/>
        <w:ind w:left="628" w:right="0" w:hanging="515"/>
        <w:jc w:val="both"/>
        <w:rPr>
          <w:sz w:val="24"/>
        </w:rPr>
      </w:pPr>
      <w:r>
        <w:rPr>
          <w:w w:val="120"/>
          <w:sz w:val="24"/>
        </w:rPr>
        <w:t>és VIII. címében, a XVII. és XVIII. fejezetében</w:t>
      </w:r>
      <w:r>
        <w:rPr>
          <w:spacing w:val="30"/>
          <w:w w:val="120"/>
          <w:sz w:val="24"/>
        </w:rPr>
        <w:t> </w:t>
      </w:r>
      <w:r>
        <w:rPr>
          <w:w w:val="120"/>
          <w:sz w:val="24"/>
        </w:rPr>
        <w:t>vagy</w:t>
      </w:r>
    </w:p>
    <w:p>
      <w:pPr>
        <w:pStyle w:val="ListParagraph"/>
        <w:numPr>
          <w:ilvl w:val="0"/>
          <w:numId w:val="320"/>
        </w:numPr>
        <w:tabs>
          <w:tab w:pos="653" w:val="left" w:leader="none"/>
        </w:tabs>
        <w:spacing w:line="260" w:lineRule="exact" w:before="0" w:after="0"/>
        <w:ind w:left="652" w:right="0" w:hanging="335"/>
        <w:jc w:val="left"/>
        <w:rPr>
          <w:sz w:val="24"/>
        </w:rPr>
      </w:pPr>
      <w:r>
        <w:rPr>
          <w:w w:val="120"/>
          <w:sz w:val="24"/>
        </w:rPr>
        <w:t>a Btk. XXVII. vagy XXXV-XLIII.</w:t>
      </w:r>
      <w:r>
        <w:rPr>
          <w:spacing w:val="-14"/>
          <w:w w:val="120"/>
          <w:sz w:val="24"/>
        </w:rPr>
        <w:t> </w:t>
      </w:r>
      <w:r>
        <w:rPr>
          <w:w w:val="120"/>
          <w:sz w:val="24"/>
        </w:rPr>
        <w:t>Fejezetében</w:t>
      </w:r>
    </w:p>
    <w:p>
      <w:pPr>
        <w:pStyle w:val="BodyText"/>
        <w:spacing w:line="225" w:lineRule="auto" w:before="6"/>
        <w:ind w:right="129" w:firstLine="0"/>
        <w:jc w:val="both"/>
      </w:pPr>
      <w:r>
        <w:rPr>
          <w:w w:val="130"/>
        </w:rPr>
        <w:t>meghatározott bűncselekmény miatt az ügyészség vádat emelt, illetve külföldön vagyon elleni vagy gazdasági bűncselekmény miatt az illetékes hatóság vádat emelt, ezt a tényt a vádemelésről való tudomásszerzését követően</w:t>
      </w:r>
      <w:r>
        <w:rPr>
          <w:spacing w:val="-27"/>
          <w:w w:val="130"/>
        </w:rPr>
        <w:t> </w:t>
      </w:r>
      <w:r>
        <w:rPr>
          <w:w w:val="130"/>
        </w:rPr>
        <w:t>haladéktalanul</w:t>
      </w:r>
      <w:r>
        <w:rPr>
          <w:spacing w:val="-26"/>
          <w:w w:val="130"/>
        </w:rPr>
        <w:t> </w:t>
      </w:r>
      <w:r>
        <w:rPr>
          <w:w w:val="130"/>
        </w:rPr>
        <w:t>bejelenti</w:t>
      </w:r>
      <w:r>
        <w:rPr>
          <w:spacing w:val="-27"/>
          <w:w w:val="130"/>
        </w:rPr>
        <w:t> </w:t>
      </w:r>
      <w:r>
        <w:rPr>
          <w:w w:val="130"/>
        </w:rPr>
        <w:t>a</w:t>
      </w:r>
      <w:r>
        <w:rPr>
          <w:spacing w:val="-26"/>
          <w:w w:val="130"/>
        </w:rPr>
        <w:t> </w:t>
      </w:r>
      <w:r>
        <w:rPr>
          <w:w w:val="130"/>
        </w:rPr>
        <w:t>Felügyeletnek.</w:t>
      </w:r>
      <w:r>
        <w:rPr>
          <w:spacing w:val="-27"/>
          <w:w w:val="130"/>
        </w:rPr>
        <w:t> </w:t>
      </w:r>
      <w:r>
        <w:rPr>
          <w:w w:val="130"/>
        </w:rPr>
        <w:t>A</w:t>
      </w:r>
      <w:r>
        <w:rPr>
          <w:spacing w:val="-26"/>
          <w:w w:val="130"/>
        </w:rPr>
        <w:t> </w:t>
      </w:r>
      <w:r>
        <w:rPr>
          <w:w w:val="130"/>
        </w:rPr>
        <w:t>bejelentéshez</w:t>
      </w:r>
      <w:r>
        <w:rPr>
          <w:spacing w:val="-27"/>
          <w:w w:val="130"/>
        </w:rPr>
        <w:t> </w:t>
      </w:r>
      <w:r>
        <w:rPr>
          <w:w w:val="130"/>
        </w:rPr>
        <w:t>mellékelni kell</w:t>
      </w:r>
      <w:r>
        <w:rPr>
          <w:spacing w:val="-30"/>
          <w:w w:val="130"/>
        </w:rPr>
        <w:t> </w:t>
      </w:r>
      <w:r>
        <w:rPr>
          <w:w w:val="130"/>
        </w:rPr>
        <w:t>a</w:t>
      </w:r>
      <w:r>
        <w:rPr>
          <w:spacing w:val="-29"/>
          <w:w w:val="130"/>
        </w:rPr>
        <w:t> </w:t>
      </w:r>
      <w:r>
        <w:rPr>
          <w:w w:val="130"/>
        </w:rPr>
        <w:t>vádemelésről</w:t>
      </w:r>
      <w:r>
        <w:rPr>
          <w:spacing w:val="-30"/>
          <w:w w:val="130"/>
        </w:rPr>
        <w:t> </w:t>
      </w:r>
      <w:r>
        <w:rPr>
          <w:w w:val="130"/>
        </w:rPr>
        <w:t>szóló</w:t>
      </w:r>
      <w:r>
        <w:rPr>
          <w:spacing w:val="-29"/>
          <w:w w:val="130"/>
        </w:rPr>
        <w:t> </w:t>
      </w:r>
      <w:r>
        <w:rPr>
          <w:w w:val="130"/>
        </w:rPr>
        <w:t>okiratot</w:t>
      </w:r>
      <w:r>
        <w:rPr>
          <w:spacing w:val="-29"/>
          <w:w w:val="130"/>
        </w:rPr>
        <w:t> </w:t>
      </w:r>
      <w:r>
        <w:rPr>
          <w:w w:val="130"/>
        </w:rPr>
        <w:t>és</w:t>
      </w:r>
      <w:r>
        <w:rPr>
          <w:spacing w:val="-29"/>
          <w:w w:val="130"/>
        </w:rPr>
        <w:t> </w:t>
      </w:r>
      <w:r>
        <w:rPr>
          <w:w w:val="130"/>
        </w:rPr>
        <w:t>a</w:t>
      </w:r>
      <w:r>
        <w:rPr>
          <w:spacing w:val="-29"/>
          <w:w w:val="130"/>
        </w:rPr>
        <w:t> </w:t>
      </w:r>
      <w:r>
        <w:rPr>
          <w:w w:val="130"/>
        </w:rPr>
        <w:t>vádemelés</w:t>
      </w:r>
      <w:r>
        <w:rPr>
          <w:spacing w:val="-30"/>
          <w:w w:val="130"/>
        </w:rPr>
        <w:t> </w:t>
      </w:r>
      <w:r>
        <w:rPr>
          <w:w w:val="130"/>
        </w:rPr>
        <w:t>alapjául</w:t>
      </w:r>
      <w:r>
        <w:rPr>
          <w:spacing w:val="-29"/>
          <w:w w:val="130"/>
        </w:rPr>
        <w:t> </w:t>
      </w:r>
      <w:r>
        <w:rPr>
          <w:w w:val="130"/>
        </w:rPr>
        <w:t>szolgáló</w:t>
      </w:r>
      <w:r>
        <w:rPr>
          <w:spacing w:val="-29"/>
          <w:w w:val="130"/>
        </w:rPr>
        <w:t> </w:t>
      </w:r>
      <w:r>
        <w:rPr>
          <w:w w:val="130"/>
        </w:rPr>
        <w:t>cselekmény leírását.</w:t>
      </w:r>
    </w:p>
    <w:p>
      <w:pPr>
        <w:pStyle w:val="ListParagraph"/>
        <w:numPr>
          <w:ilvl w:val="0"/>
          <w:numId w:val="317"/>
        </w:numPr>
        <w:tabs>
          <w:tab w:pos="659" w:val="left" w:leader="none"/>
        </w:tabs>
        <w:spacing w:line="251" w:lineRule="exact" w:before="0" w:after="0"/>
        <w:ind w:left="658" w:right="0" w:hanging="341"/>
        <w:jc w:val="left"/>
        <w:rPr>
          <w:sz w:val="24"/>
        </w:rPr>
      </w:pPr>
      <w:r>
        <w:rPr>
          <w:i/>
          <w:w w:val="125"/>
          <w:position w:val="3"/>
          <w:sz w:val="18"/>
        </w:rPr>
        <w:t>2</w:t>
      </w:r>
      <w:r>
        <w:rPr>
          <w:i/>
          <w:spacing w:val="49"/>
          <w:w w:val="125"/>
          <w:position w:val="3"/>
          <w:sz w:val="18"/>
        </w:rPr>
        <w:t> </w:t>
      </w:r>
      <w:r>
        <w:rPr>
          <w:w w:val="125"/>
          <w:sz w:val="24"/>
        </w:rPr>
        <w:t>Ha</w:t>
      </w:r>
      <w:r>
        <w:rPr>
          <w:spacing w:val="31"/>
          <w:w w:val="125"/>
          <w:sz w:val="24"/>
        </w:rPr>
        <w:t> </w:t>
      </w:r>
      <w:r>
        <w:rPr>
          <w:w w:val="125"/>
          <w:sz w:val="24"/>
        </w:rPr>
        <w:t>az</w:t>
      </w:r>
      <w:r>
        <w:rPr>
          <w:spacing w:val="30"/>
          <w:w w:val="125"/>
          <w:sz w:val="24"/>
        </w:rPr>
        <w:t> </w:t>
      </w:r>
      <w:r>
        <w:rPr>
          <w:w w:val="125"/>
          <w:sz w:val="24"/>
        </w:rPr>
        <w:t>ügyészség</w:t>
      </w:r>
      <w:r>
        <w:rPr>
          <w:spacing w:val="31"/>
          <w:w w:val="125"/>
          <w:sz w:val="24"/>
        </w:rPr>
        <w:t> </w:t>
      </w:r>
      <w:r>
        <w:rPr>
          <w:w w:val="125"/>
          <w:sz w:val="24"/>
        </w:rPr>
        <w:t>vádat</w:t>
      </w:r>
      <w:r>
        <w:rPr>
          <w:spacing w:val="30"/>
          <w:w w:val="125"/>
          <w:sz w:val="24"/>
        </w:rPr>
        <w:t> </w:t>
      </w:r>
      <w:r>
        <w:rPr>
          <w:w w:val="125"/>
          <w:sz w:val="24"/>
        </w:rPr>
        <w:t>emelt</w:t>
      </w:r>
      <w:r>
        <w:rPr>
          <w:spacing w:val="31"/>
          <w:w w:val="125"/>
          <w:sz w:val="24"/>
        </w:rPr>
        <w:t> </w:t>
      </w:r>
      <w:r>
        <w:rPr>
          <w:w w:val="125"/>
          <w:sz w:val="24"/>
        </w:rPr>
        <w:t>vagy</w:t>
      </w:r>
      <w:r>
        <w:rPr>
          <w:spacing w:val="31"/>
          <w:w w:val="125"/>
          <w:sz w:val="24"/>
        </w:rPr>
        <w:t> </w:t>
      </w:r>
      <w:r>
        <w:rPr>
          <w:w w:val="125"/>
          <w:sz w:val="24"/>
        </w:rPr>
        <w:t>az</w:t>
      </w:r>
      <w:r>
        <w:rPr>
          <w:spacing w:val="30"/>
          <w:w w:val="125"/>
          <w:sz w:val="24"/>
        </w:rPr>
        <w:t> </w:t>
      </w:r>
      <w:r>
        <w:rPr>
          <w:w w:val="125"/>
          <w:sz w:val="24"/>
        </w:rPr>
        <w:t>illetékes</w:t>
      </w:r>
      <w:r>
        <w:rPr>
          <w:spacing w:val="31"/>
          <w:w w:val="125"/>
          <w:sz w:val="24"/>
        </w:rPr>
        <w:t> </w:t>
      </w:r>
      <w:r>
        <w:rPr>
          <w:w w:val="125"/>
          <w:sz w:val="24"/>
        </w:rPr>
        <w:t>hatóság</w:t>
      </w:r>
      <w:r>
        <w:rPr>
          <w:spacing w:val="31"/>
          <w:w w:val="125"/>
          <w:sz w:val="24"/>
        </w:rPr>
        <w:t> </w:t>
      </w:r>
      <w:r>
        <w:rPr>
          <w:w w:val="125"/>
          <w:sz w:val="24"/>
        </w:rPr>
        <w:t>külföldön</w:t>
      </w:r>
      <w:r>
        <w:rPr>
          <w:spacing w:val="30"/>
          <w:w w:val="125"/>
          <w:sz w:val="24"/>
        </w:rPr>
        <w:t> </w:t>
      </w:r>
      <w:r>
        <w:rPr>
          <w:w w:val="125"/>
          <w:sz w:val="24"/>
        </w:rPr>
        <w:t>olyan</w:t>
      </w:r>
    </w:p>
    <w:p>
      <w:pPr>
        <w:pStyle w:val="BodyText"/>
        <w:spacing w:line="225" w:lineRule="auto" w:before="12"/>
        <w:ind w:right="111" w:firstLine="0"/>
        <w:jc w:val="both"/>
      </w:pPr>
      <w:r>
        <w:rPr>
          <w:w w:val="130"/>
        </w:rPr>
        <w:t>vagyon elleni vagy gazdasági bűncselekmény miatt emelt vádat, amely a magyar jog szerint is büntetendő, a Felügyelet a (6) bekezdés szerinti bejelentés alapján mérlegeli, hogy a vezető állású személy ellen emelt vád alkalmas-e a pénzügyi intézmény iránti bizalom vagy a pénzügyi közvetítőrendszer iránti közbizalom megingatására.</w:t>
      </w:r>
    </w:p>
    <w:p>
      <w:pPr>
        <w:pStyle w:val="ListParagraph"/>
        <w:numPr>
          <w:ilvl w:val="0"/>
          <w:numId w:val="317"/>
        </w:numPr>
        <w:tabs>
          <w:tab w:pos="659" w:val="left" w:leader="none"/>
        </w:tabs>
        <w:spacing w:line="225" w:lineRule="auto" w:before="3" w:after="0"/>
        <w:ind w:left="113" w:right="127" w:firstLine="204"/>
        <w:jc w:val="both"/>
        <w:rPr>
          <w:sz w:val="24"/>
        </w:rPr>
      </w:pPr>
      <w:r>
        <w:rPr>
          <w:i/>
          <w:w w:val="130"/>
          <w:position w:val="3"/>
          <w:sz w:val="18"/>
        </w:rPr>
        <w:t>3</w:t>
      </w:r>
      <w:r>
        <w:rPr>
          <w:i/>
          <w:spacing w:val="-7"/>
          <w:w w:val="130"/>
          <w:position w:val="3"/>
          <w:sz w:val="18"/>
        </w:rPr>
        <w:t> </w:t>
      </w:r>
      <w:r>
        <w:rPr>
          <w:w w:val="130"/>
          <w:sz w:val="24"/>
        </w:rPr>
        <w:t>Amennyiben</w:t>
      </w:r>
      <w:r>
        <w:rPr>
          <w:spacing w:val="-25"/>
          <w:w w:val="130"/>
          <w:sz w:val="24"/>
        </w:rPr>
        <w:t> </w:t>
      </w:r>
      <w:r>
        <w:rPr>
          <w:w w:val="130"/>
          <w:sz w:val="24"/>
        </w:rPr>
        <w:t>a</w:t>
      </w:r>
      <w:r>
        <w:rPr>
          <w:spacing w:val="-26"/>
          <w:w w:val="130"/>
          <w:sz w:val="24"/>
        </w:rPr>
        <w:t> </w:t>
      </w:r>
      <w:r>
        <w:rPr>
          <w:w w:val="130"/>
          <w:sz w:val="24"/>
        </w:rPr>
        <w:t>Felügyelet</w:t>
      </w:r>
      <w:r>
        <w:rPr>
          <w:spacing w:val="-25"/>
          <w:w w:val="130"/>
          <w:sz w:val="24"/>
        </w:rPr>
        <w:t> </w:t>
      </w:r>
      <w:r>
        <w:rPr>
          <w:w w:val="130"/>
          <w:sz w:val="24"/>
        </w:rPr>
        <w:t>a</w:t>
      </w:r>
      <w:r>
        <w:rPr>
          <w:spacing w:val="-26"/>
          <w:w w:val="130"/>
          <w:sz w:val="24"/>
        </w:rPr>
        <w:t> </w:t>
      </w:r>
      <w:r>
        <w:rPr>
          <w:w w:val="130"/>
          <w:sz w:val="24"/>
        </w:rPr>
        <w:t>(7)</w:t>
      </w:r>
      <w:r>
        <w:rPr>
          <w:spacing w:val="-26"/>
          <w:w w:val="130"/>
          <w:sz w:val="24"/>
        </w:rPr>
        <w:t> </w:t>
      </w:r>
      <w:r>
        <w:rPr>
          <w:w w:val="130"/>
          <w:sz w:val="24"/>
        </w:rPr>
        <w:t>bekezdés</w:t>
      </w:r>
      <w:r>
        <w:rPr>
          <w:spacing w:val="-25"/>
          <w:w w:val="130"/>
          <w:sz w:val="24"/>
        </w:rPr>
        <w:t> </w:t>
      </w:r>
      <w:r>
        <w:rPr>
          <w:w w:val="130"/>
          <w:sz w:val="24"/>
        </w:rPr>
        <w:t>szerinti</w:t>
      </w:r>
      <w:r>
        <w:rPr>
          <w:spacing w:val="-26"/>
          <w:w w:val="130"/>
          <w:sz w:val="24"/>
        </w:rPr>
        <w:t> </w:t>
      </w:r>
      <w:r>
        <w:rPr>
          <w:w w:val="130"/>
          <w:sz w:val="24"/>
        </w:rPr>
        <w:t>mérlegelési</w:t>
      </w:r>
      <w:r>
        <w:rPr>
          <w:spacing w:val="-25"/>
          <w:w w:val="130"/>
          <w:sz w:val="24"/>
        </w:rPr>
        <w:t> </w:t>
      </w:r>
      <w:r>
        <w:rPr>
          <w:w w:val="130"/>
          <w:sz w:val="24"/>
        </w:rPr>
        <w:t>jogkörében úgy ítéli meg, hogy a (6) bekezdésben említett vádemeléssel érintett cselekmény a pénzügyi intézmény iránti bizalom vagy a pénzügyi közvetítőrendszer iránti közbizalom megingatására alkalmas, a kinevezésre, illetve a megválasztásra irányuló engedélyt a büntetőeljárás befejezéséig felfüggeszti.</w:t>
      </w:r>
    </w:p>
    <w:p>
      <w:pPr>
        <w:pStyle w:val="ListParagraph"/>
        <w:numPr>
          <w:ilvl w:val="0"/>
          <w:numId w:val="317"/>
        </w:numPr>
        <w:tabs>
          <w:tab w:pos="659" w:val="left" w:leader="none"/>
          <w:tab w:pos="1090" w:val="left" w:leader="none"/>
          <w:tab w:pos="2233" w:val="left" w:leader="none"/>
          <w:tab w:pos="3268" w:val="left" w:leader="none"/>
          <w:tab w:pos="4559" w:val="left" w:leader="none"/>
          <w:tab w:pos="7096" w:val="left" w:leader="none"/>
          <w:tab w:pos="7995" w:val="left" w:leader="none"/>
        </w:tabs>
        <w:spacing w:line="251" w:lineRule="exact" w:before="0" w:after="0"/>
        <w:ind w:left="658" w:right="0" w:hanging="341"/>
        <w:jc w:val="left"/>
        <w:rPr>
          <w:sz w:val="24"/>
        </w:rPr>
      </w:pPr>
      <w:r>
        <w:rPr>
          <w:i/>
          <w:w w:val="125"/>
          <w:position w:val="3"/>
          <w:sz w:val="18"/>
        </w:rPr>
        <w:t>4</w:t>
        <w:tab/>
      </w:r>
      <w:r>
        <w:rPr>
          <w:w w:val="125"/>
          <w:sz w:val="24"/>
        </w:rPr>
        <w:t>Vezető</w:t>
        <w:tab/>
        <w:t>állású</w:t>
        <w:tab/>
        <w:t>személy</w:t>
        <w:tab/>
        <w:t>megválasztásának</w:t>
        <w:tab/>
        <w:t>vagy</w:t>
        <w:tab/>
        <w:t>kinevezésének</w:t>
      </w:r>
    </w:p>
    <w:p>
      <w:pPr>
        <w:pStyle w:val="BodyText"/>
        <w:spacing w:line="225" w:lineRule="auto" w:before="12"/>
        <w:ind w:right="126" w:firstLine="0"/>
        <w:jc w:val="both"/>
      </w:pPr>
      <w:r>
        <w:rPr>
          <w:w w:val="130"/>
        </w:rPr>
        <w:t>engedélyezésére irányuló eljárásban az engedélykérelemben megjelölt természetes személy nyilatkozik arról, hogy folyik-e vele szemben büntetőeljárás, és ha igen, a folyamatban lévő büntetőeljárásban emeltek-e ellene a (6) bekezdésben meghatározott bűncselekmény elkövetése miatt vádat. Ha a vád a pénzügyi intézmény iránti bizalom vagy a pénzügyi közvetítőrendszer iránti közbizalom megingatására alkalmas, a Felügyelet a kinevezés, illetve a megválasztás engedélyezésére irányuló eljárást a büntetőeljárás befejezéséig felfüggeszti.</w:t>
      </w:r>
    </w:p>
    <w:p>
      <w:pPr>
        <w:pStyle w:val="ListParagraph"/>
        <w:numPr>
          <w:ilvl w:val="0"/>
          <w:numId w:val="317"/>
        </w:numPr>
        <w:tabs>
          <w:tab w:pos="812" w:val="left" w:leader="none"/>
          <w:tab w:pos="1308" w:val="left" w:leader="none"/>
          <w:tab w:pos="2892" w:val="left" w:leader="none"/>
          <w:tab w:pos="5467" w:val="left" w:leader="none"/>
          <w:tab w:pos="7020" w:val="left" w:leader="none"/>
          <w:tab w:pos="8374" w:val="left" w:leader="none"/>
        </w:tabs>
        <w:spacing w:line="253" w:lineRule="exact" w:before="0" w:after="0"/>
        <w:ind w:left="811" w:right="0" w:hanging="494"/>
        <w:jc w:val="left"/>
        <w:rPr>
          <w:sz w:val="24"/>
        </w:rPr>
      </w:pPr>
      <w:r>
        <w:rPr>
          <w:i/>
          <w:w w:val="125"/>
          <w:position w:val="3"/>
          <w:sz w:val="18"/>
        </w:rPr>
        <w:t>5</w:t>
        <w:tab/>
      </w:r>
      <w:r>
        <w:rPr>
          <w:w w:val="125"/>
          <w:sz w:val="24"/>
        </w:rPr>
        <w:t>Nyilvános</w:t>
        <w:tab/>
        <w:t>részvénytársasági</w:t>
        <w:tab/>
        <w:t>formában</w:t>
        <w:tab/>
        <w:t>működő</w:t>
        <w:tab/>
        <w:t>hitelintézet</w:t>
      </w:r>
    </w:p>
    <w:p>
      <w:pPr>
        <w:pStyle w:val="BodyText"/>
        <w:spacing w:line="225" w:lineRule="auto" w:before="12"/>
        <w:ind w:right="130" w:firstLine="0"/>
        <w:jc w:val="both"/>
      </w:pPr>
      <w:r>
        <w:rPr>
          <w:w w:val="130"/>
        </w:rPr>
        <w:t>alapszabálya az igazgatósági tagok visszahívását a szavazatok egyszerű többségénél nagyobb, de legfeljebb háromnegyedes arányú határozathoz is kötheti.</w:t>
      </w:r>
    </w:p>
    <w:p>
      <w:pPr>
        <w:pStyle w:val="ListParagraph"/>
        <w:numPr>
          <w:ilvl w:val="0"/>
          <w:numId w:val="322"/>
        </w:numPr>
        <w:tabs>
          <w:tab w:pos="985" w:val="left" w:leader="none"/>
        </w:tabs>
        <w:spacing w:line="256" w:lineRule="exact" w:before="0" w:after="0"/>
        <w:ind w:left="984" w:right="0" w:hanging="667"/>
        <w:jc w:val="left"/>
        <w:rPr>
          <w:sz w:val="24"/>
        </w:rPr>
      </w:pPr>
      <w:r>
        <w:rPr>
          <w:rFonts w:ascii="Arial" w:hAnsi="Arial"/>
          <w:b/>
          <w:w w:val="125"/>
          <w:sz w:val="24"/>
        </w:rPr>
        <w:t>§</w:t>
      </w:r>
      <w:r>
        <w:rPr>
          <w:rFonts w:ascii="Arial" w:hAnsi="Arial"/>
          <w:b/>
          <w:spacing w:val="-10"/>
          <w:w w:val="125"/>
          <w:sz w:val="24"/>
        </w:rPr>
        <w:t> </w:t>
      </w:r>
      <w:r>
        <w:rPr>
          <w:w w:val="125"/>
          <w:sz w:val="24"/>
        </w:rPr>
        <w:t>(1)</w:t>
      </w:r>
      <w:r>
        <w:rPr>
          <w:spacing w:val="-7"/>
          <w:w w:val="125"/>
          <w:sz w:val="24"/>
        </w:rPr>
        <w:t> </w:t>
      </w:r>
      <w:r>
        <w:rPr>
          <w:w w:val="125"/>
          <w:sz w:val="24"/>
        </w:rPr>
        <w:t>Ahol</w:t>
      </w:r>
      <w:r>
        <w:rPr>
          <w:spacing w:val="-7"/>
          <w:w w:val="125"/>
          <w:sz w:val="24"/>
        </w:rPr>
        <w:t> </w:t>
      </w:r>
      <w:r>
        <w:rPr>
          <w:w w:val="125"/>
          <w:sz w:val="24"/>
        </w:rPr>
        <w:t>e</w:t>
      </w:r>
      <w:r>
        <w:rPr>
          <w:spacing w:val="-8"/>
          <w:w w:val="125"/>
          <w:sz w:val="24"/>
        </w:rPr>
        <w:t> </w:t>
      </w:r>
      <w:r>
        <w:rPr>
          <w:w w:val="125"/>
          <w:sz w:val="24"/>
        </w:rPr>
        <w:t>törvény</w:t>
      </w:r>
      <w:r>
        <w:rPr>
          <w:spacing w:val="-8"/>
          <w:w w:val="125"/>
          <w:sz w:val="24"/>
        </w:rPr>
        <w:t> </w:t>
      </w:r>
      <w:r>
        <w:rPr>
          <w:w w:val="125"/>
          <w:sz w:val="24"/>
        </w:rPr>
        <w:t>pénzügyi</w:t>
      </w:r>
      <w:r>
        <w:rPr>
          <w:spacing w:val="-7"/>
          <w:w w:val="125"/>
          <w:sz w:val="24"/>
        </w:rPr>
        <w:t> </w:t>
      </w:r>
      <w:r>
        <w:rPr>
          <w:w w:val="125"/>
          <w:sz w:val="24"/>
        </w:rPr>
        <w:t>intézmény</w:t>
      </w:r>
      <w:r>
        <w:rPr>
          <w:spacing w:val="-8"/>
          <w:w w:val="125"/>
          <w:sz w:val="24"/>
        </w:rPr>
        <w:t> </w:t>
      </w:r>
      <w:r>
        <w:rPr>
          <w:w w:val="125"/>
          <w:sz w:val="24"/>
        </w:rPr>
        <w:t>vagy</w:t>
      </w:r>
      <w:r>
        <w:rPr>
          <w:spacing w:val="-8"/>
          <w:w w:val="125"/>
          <w:sz w:val="24"/>
        </w:rPr>
        <w:t> </w:t>
      </w:r>
      <w:r>
        <w:rPr>
          <w:w w:val="125"/>
          <w:sz w:val="24"/>
        </w:rPr>
        <w:t>pénzügyi</w:t>
      </w:r>
      <w:r>
        <w:rPr>
          <w:spacing w:val="-8"/>
          <w:w w:val="125"/>
          <w:sz w:val="24"/>
        </w:rPr>
        <w:t> </w:t>
      </w:r>
      <w:r>
        <w:rPr>
          <w:w w:val="125"/>
          <w:sz w:val="24"/>
        </w:rPr>
        <w:t>vállalkozás</w:t>
      </w:r>
    </w:p>
    <w:p>
      <w:pPr>
        <w:pStyle w:val="ListParagraph"/>
        <w:numPr>
          <w:ilvl w:val="0"/>
          <w:numId w:val="323"/>
        </w:numPr>
        <w:tabs>
          <w:tab w:pos="664" w:val="left" w:leader="none"/>
        </w:tabs>
        <w:spacing w:line="225" w:lineRule="auto" w:before="5" w:after="0"/>
        <w:ind w:left="113" w:right="130" w:firstLine="204"/>
        <w:jc w:val="left"/>
        <w:rPr>
          <w:sz w:val="24"/>
        </w:rPr>
      </w:pPr>
      <w:r>
        <w:rPr>
          <w:w w:val="125"/>
          <w:sz w:val="24"/>
        </w:rPr>
        <w:t>tagját említi, azon az alapítványi formában működő pénzügyi vállalkozás esetén az alapítvány</w:t>
      </w:r>
      <w:r>
        <w:rPr>
          <w:spacing w:val="2"/>
          <w:w w:val="125"/>
          <w:sz w:val="24"/>
        </w:rPr>
        <w:t> </w:t>
      </w:r>
      <w:r>
        <w:rPr>
          <w:w w:val="125"/>
          <w:sz w:val="24"/>
        </w:rPr>
        <w:t>alapítóit,</w:t>
      </w:r>
    </w:p>
    <w:p>
      <w:pPr>
        <w:pStyle w:val="BodyText"/>
        <w:spacing w:before="10"/>
        <w:ind w:left="0" w:firstLine="0"/>
        <w:rPr>
          <w:sz w:val="13"/>
        </w:rPr>
      </w:pPr>
      <w:r>
        <w:rPr/>
        <w:pict>
          <v:line style="position:absolute;mso-position-horizontal-relative:page;mso-position-vertical-relative:paragraph;z-index:752;mso-wrap-distance-left:0;mso-wrap-distance-right:0" from="56.693001pt,10.196649pt" to="538.583001pt,10.196649pt" stroked="true" strokeweight=".5pt" strokecolor="#000000">
            <v:stroke dashstyle="solid"/>
            <w10:wrap type="topAndBottom"/>
          </v:line>
        </w:pict>
      </w:r>
    </w:p>
    <w:p>
      <w:pPr>
        <w:pStyle w:val="ListParagraph"/>
        <w:numPr>
          <w:ilvl w:val="0"/>
          <w:numId w:val="324"/>
        </w:numPr>
        <w:tabs>
          <w:tab w:pos="686" w:val="left" w:leader="none"/>
          <w:tab w:pos="687" w:val="left" w:leader="none"/>
        </w:tabs>
        <w:spacing w:line="232" w:lineRule="auto" w:before="49" w:after="0"/>
        <w:ind w:left="686" w:right="183" w:hanging="344"/>
        <w:jc w:val="left"/>
        <w:rPr>
          <w:i/>
          <w:sz w:val="18"/>
        </w:rPr>
      </w:pPr>
      <w:r>
        <w:rPr>
          <w:i/>
          <w:w w:val="125"/>
          <w:sz w:val="18"/>
        </w:rPr>
        <w:t>Megállapította: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LXXXV.</w:t>
      </w:r>
      <w:r>
        <w:rPr>
          <w:i/>
          <w:spacing w:val="-9"/>
          <w:w w:val="125"/>
          <w:sz w:val="18"/>
        </w:rPr>
        <w:t> </w:t>
      </w:r>
      <w:r>
        <w:rPr>
          <w:i/>
          <w:w w:val="125"/>
          <w:sz w:val="18"/>
        </w:rPr>
        <w:t>törvény</w:t>
      </w:r>
      <w:r>
        <w:rPr>
          <w:i/>
          <w:spacing w:val="-10"/>
          <w:w w:val="125"/>
          <w:sz w:val="18"/>
        </w:rPr>
        <w:t> </w:t>
      </w:r>
      <w:r>
        <w:rPr>
          <w:i/>
          <w:w w:val="125"/>
          <w:sz w:val="18"/>
        </w:rPr>
        <w:t>204.</w:t>
      </w:r>
      <w:r>
        <w:rPr>
          <w:i/>
          <w:spacing w:val="-10"/>
          <w:w w:val="125"/>
          <w:sz w:val="18"/>
        </w:rPr>
        <w:t> </w:t>
      </w:r>
      <w:r>
        <w:rPr>
          <w:i/>
          <w:w w:val="125"/>
          <w:sz w:val="18"/>
        </w:rPr>
        <w:t>§</w:t>
      </w:r>
      <w:r>
        <w:rPr>
          <w:i/>
          <w:spacing w:val="-9"/>
          <w:w w:val="125"/>
          <w:sz w:val="18"/>
        </w:rPr>
        <w:t> </w:t>
      </w:r>
      <w:r>
        <w:rPr>
          <w:i/>
          <w:w w:val="125"/>
          <w:sz w:val="18"/>
        </w:rPr>
        <w:t>(1).</w:t>
      </w:r>
      <w:r>
        <w:rPr>
          <w:i/>
          <w:spacing w:val="-9"/>
          <w:w w:val="125"/>
          <w:sz w:val="18"/>
        </w:rPr>
        <w:t> </w:t>
      </w:r>
      <w:r>
        <w:rPr>
          <w:i/>
          <w:w w:val="125"/>
          <w:sz w:val="18"/>
        </w:rPr>
        <w:t>Módosította:</w:t>
      </w:r>
      <w:r>
        <w:rPr>
          <w:i/>
          <w:spacing w:val="-10"/>
          <w:w w:val="125"/>
          <w:sz w:val="18"/>
        </w:rPr>
        <w:t> </w:t>
      </w:r>
      <w:r>
        <w:rPr>
          <w:i/>
          <w:w w:val="125"/>
          <w:sz w:val="18"/>
        </w:rPr>
        <w:t>2017.</w:t>
      </w:r>
      <w:r>
        <w:rPr>
          <w:i/>
          <w:spacing w:val="-10"/>
          <w:w w:val="125"/>
          <w:sz w:val="18"/>
        </w:rPr>
        <w:t> </w:t>
      </w:r>
      <w:r>
        <w:rPr>
          <w:i/>
          <w:w w:val="125"/>
          <w:sz w:val="18"/>
        </w:rPr>
        <w:t>évi</w:t>
      </w:r>
      <w:r>
        <w:rPr>
          <w:i/>
          <w:spacing w:val="-10"/>
          <w:w w:val="125"/>
          <w:sz w:val="18"/>
        </w:rPr>
        <w:t> </w:t>
      </w:r>
      <w:r>
        <w:rPr>
          <w:i/>
          <w:w w:val="125"/>
          <w:sz w:val="18"/>
        </w:rPr>
        <w:t>CXCVII.</w:t>
      </w:r>
      <w:r>
        <w:rPr>
          <w:i/>
          <w:spacing w:val="-9"/>
          <w:w w:val="125"/>
          <w:sz w:val="18"/>
        </w:rPr>
        <w:t> </w:t>
      </w:r>
      <w:r>
        <w:rPr>
          <w:i/>
          <w:w w:val="125"/>
          <w:sz w:val="18"/>
        </w:rPr>
        <w:t>törvény</w:t>
      </w:r>
      <w:r>
        <w:rPr>
          <w:i/>
          <w:spacing w:val="-10"/>
          <w:w w:val="125"/>
          <w:sz w:val="18"/>
        </w:rPr>
        <w:t> </w:t>
      </w:r>
      <w:r>
        <w:rPr>
          <w:i/>
          <w:w w:val="125"/>
          <w:sz w:val="18"/>
        </w:rPr>
        <w:t>408.</w:t>
      </w:r>
      <w:r>
        <w:rPr>
          <w:i/>
          <w:spacing w:val="-9"/>
          <w:w w:val="125"/>
          <w:sz w:val="18"/>
        </w:rPr>
        <w:t> </w:t>
      </w:r>
      <w:r>
        <w:rPr>
          <w:i/>
          <w:w w:val="125"/>
          <w:sz w:val="18"/>
        </w:rPr>
        <w:t>§ a).</w:t>
      </w:r>
    </w:p>
    <w:p>
      <w:pPr>
        <w:pStyle w:val="ListParagraph"/>
        <w:numPr>
          <w:ilvl w:val="0"/>
          <w:numId w:val="324"/>
        </w:numPr>
        <w:tabs>
          <w:tab w:pos="686" w:val="left" w:leader="none"/>
          <w:tab w:pos="687" w:val="left" w:leader="none"/>
        </w:tabs>
        <w:spacing w:line="232" w:lineRule="auto" w:before="0" w:after="0"/>
        <w:ind w:left="686" w:right="183" w:hanging="344"/>
        <w:jc w:val="left"/>
        <w:rPr>
          <w:i/>
          <w:sz w:val="18"/>
        </w:rPr>
      </w:pPr>
      <w:r>
        <w:rPr>
          <w:i/>
          <w:w w:val="125"/>
          <w:sz w:val="18"/>
        </w:rPr>
        <w:t>Megállapította: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LXXXV.</w:t>
      </w:r>
      <w:r>
        <w:rPr>
          <w:i/>
          <w:spacing w:val="-9"/>
          <w:w w:val="125"/>
          <w:sz w:val="18"/>
        </w:rPr>
        <w:t> </w:t>
      </w:r>
      <w:r>
        <w:rPr>
          <w:i/>
          <w:w w:val="125"/>
          <w:sz w:val="18"/>
        </w:rPr>
        <w:t>törvény</w:t>
      </w:r>
      <w:r>
        <w:rPr>
          <w:i/>
          <w:spacing w:val="-10"/>
          <w:w w:val="125"/>
          <w:sz w:val="18"/>
        </w:rPr>
        <w:t> </w:t>
      </w:r>
      <w:r>
        <w:rPr>
          <w:i/>
          <w:w w:val="125"/>
          <w:sz w:val="18"/>
        </w:rPr>
        <w:t>204.</w:t>
      </w:r>
      <w:r>
        <w:rPr>
          <w:i/>
          <w:spacing w:val="-10"/>
          <w:w w:val="125"/>
          <w:sz w:val="18"/>
        </w:rPr>
        <w:t> </w:t>
      </w:r>
      <w:r>
        <w:rPr>
          <w:i/>
          <w:w w:val="125"/>
          <w:sz w:val="18"/>
        </w:rPr>
        <w:t>§</w:t>
      </w:r>
      <w:r>
        <w:rPr>
          <w:i/>
          <w:spacing w:val="-9"/>
          <w:w w:val="125"/>
          <w:sz w:val="18"/>
        </w:rPr>
        <w:t> </w:t>
      </w:r>
      <w:r>
        <w:rPr>
          <w:i/>
          <w:w w:val="125"/>
          <w:sz w:val="18"/>
        </w:rPr>
        <w:t>(1).</w:t>
      </w:r>
      <w:r>
        <w:rPr>
          <w:i/>
          <w:spacing w:val="-9"/>
          <w:w w:val="125"/>
          <w:sz w:val="18"/>
        </w:rPr>
        <w:t> </w:t>
      </w:r>
      <w:r>
        <w:rPr>
          <w:i/>
          <w:w w:val="125"/>
          <w:sz w:val="18"/>
        </w:rPr>
        <w:t>Módosította:</w:t>
      </w:r>
      <w:r>
        <w:rPr>
          <w:i/>
          <w:spacing w:val="-10"/>
          <w:w w:val="125"/>
          <w:sz w:val="18"/>
        </w:rPr>
        <w:t> </w:t>
      </w:r>
      <w:r>
        <w:rPr>
          <w:i/>
          <w:w w:val="125"/>
          <w:sz w:val="18"/>
        </w:rPr>
        <w:t>2017.</w:t>
      </w:r>
      <w:r>
        <w:rPr>
          <w:i/>
          <w:spacing w:val="-10"/>
          <w:w w:val="125"/>
          <w:sz w:val="18"/>
        </w:rPr>
        <w:t> </w:t>
      </w:r>
      <w:r>
        <w:rPr>
          <w:i/>
          <w:w w:val="125"/>
          <w:sz w:val="18"/>
        </w:rPr>
        <w:t>évi</w:t>
      </w:r>
      <w:r>
        <w:rPr>
          <w:i/>
          <w:spacing w:val="-10"/>
          <w:w w:val="125"/>
          <w:sz w:val="18"/>
        </w:rPr>
        <w:t> </w:t>
      </w:r>
      <w:r>
        <w:rPr>
          <w:i/>
          <w:w w:val="125"/>
          <w:sz w:val="18"/>
        </w:rPr>
        <w:t>CXCVII.</w:t>
      </w:r>
      <w:r>
        <w:rPr>
          <w:i/>
          <w:spacing w:val="-9"/>
          <w:w w:val="125"/>
          <w:sz w:val="18"/>
        </w:rPr>
        <w:t> </w:t>
      </w:r>
      <w:r>
        <w:rPr>
          <w:i/>
          <w:w w:val="125"/>
          <w:sz w:val="18"/>
        </w:rPr>
        <w:t>törvény</w:t>
      </w:r>
      <w:r>
        <w:rPr>
          <w:i/>
          <w:spacing w:val="-10"/>
          <w:w w:val="125"/>
          <w:sz w:val="18"/>
        </w:rPr>
        <w:t> </w:t>
      </w:r>
      <w:r>
        <w:rPr>
          <w:i/>
          <w:w w:val="125"/>
          <w:sz w:val="18"/>
        </w:rPr>
        <w:t>408.</w:t>
      </w:r>
      <w:r>
        <w:rPr>
          <w:i/>
          <w:spacing w:val="-9"/>
          <w:w w:val="125"/>
          <w:sz w:val="18"/>
        </w:rPr>
        <w:t> </w:t>
      </w:r>
      <w:r>
        <w:rPr>
          <w:i/>
          <w:w w:val="125"/>
          <w:sz w:val="18"/>
        </w:rPr>
        <w:t>§ a).</w:t>
      </w:r>
    </w:p>
    <w:p>
      <w:pPr>
        <w:pStyle w:val="ListParagraph"/>
        <w:numPr>
          <w:ilvl w:val="0"/>
          <w:numId w:val="324"/>
        </w:numPr>
        <w:tabs>
          <w:tab w:pos="686" w:val="left" w:leader="none"/>
          <w:tab w:pos="687" w:val="left" w:leader="none"/>
        </w:tabs>
        <w:spacing w:line="197"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4"/>
          <w:w w:val="120"/>
          <w:sz w:val="18"/>
        </w:rPr>
        <w:t> </w:t>
      </w:r>
      <w:r>
        <w:rPr>
          <w:i/>
          <w:w w:val="120"/>
          <w:sz w:val="18"/>
        </w:rPr>
        <w:t>LXXXV.</w:t>
      </w:r>
      <w:r>
        <w:rPr>
          <w:i/>
          <w:spacing w:val="15"/>
          <w:w w:val="120"/>
          <w:sz w:val="18"/>
        </w:rPr>
        <w:t> </w:t>
      </w:r>
      <w:r>
        <w:rPr>
          <w:i/>
          <w:w w:val="120"/>
          <w:sz w:val="18"/>
        </w:rPr>
        <w:t>törvény</w:t>
      </w:r>
      <w:r>
        <w:rPr>
          <w:i/>
          <w:spacing w:val="14"/>
          <w:w w:val="120"/>
          <w:sz w:val="18"/>
        </w:rPr>
        <w:t> </w:t>
      </w:r>
      <w:r>
        <w:rPr>
          <w:i/>
          <w:w w:val="120"/>
          <w:sz w:val="18"/>
        </w:rPr>
        <w:t>204.</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7-től.</w:t>
      </w:r>
    </w:p>
    <w:p>
      <w:pPr>
        <w:pStyle w:val="ListParagraph"/>
        <w:numPr>
          <w:ilvl w:val="0"/>
          <w:numId w:val="324"/>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4"/>
          <w:w w:val="120"/>
          <w:sz w:val="18"/>
        </w:rPr>
        <w:t> </w:t>
      </w:r>
      <w:r>
        <w:rPr>
          <w:i/>
          <w:w w:val="120"/>
          <w:sz w:val="18"/>
        </w:rPr>
        <w:t>LXXXV.</w:t>
      </w:r>
      <w:r>
        <w:rPr>
          <w:i/>
          <w:spacing w:val="15"/>
          <w:w w:val="120"/>
          <w:sz w:val="18"/>
        </w:rPr>
        <w:t> </w:t>
      </w:r>
      <w:r>
        <w:rPr>
          <w:i/>
          <w:w w:val="120"/>
          <w:sz w:val="18"/>
        </w:rPr>
        <w:t>törvény</w:t>
      </w:r>
      <w:r>
        <w:rPr>
          <w:i/>
          <w:spacing w:val="14"/>
          <w:w w:val="120"/>
          <w:sz w:val="18"/>
        </w:rPr>
        <w:t> </w:t>
      </w:r>
      <w:r>
        <w:rPr>
          <w:i/>
          <w:w w:val="120"/>
          <w:sz w:val="18"/>
        </w:rPr>
        <w:t>204.</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7-től.</w:t>
      </w:r>
    </w:p>
    <w:p>
      <w:pPr>
        <w:pStyle w:val="ListParagraph"/>
        <w:numPr>
          <w:ilvl w:val="0"/>
          <w:numId w:val="324"/>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3"/>
          <w:w w:val="120"/>
          <w:sz w:val="18"/>
        </w:rPr>
        <w:t> </w:t>
      </w:r>
      <w:r>
        <w:rPr>
          <w:i/>
          <w:w w:val="120"/>
          <w:sz w:val="18"/>
        </w:rPr>
        <w:t>2015.</w:t>
      </w:r>
      <w:r>
        <w:rPr>
          <w:i/>
          <w:spacing w:val="14"/>
          <w:w w:val="120"/>
          <w:sz w:val="18"/>
        </w:rPr>
        <w:t> </w:t>
      </w:r>
      <w:r>
        <w:rPr>
          <w:i/>
          <w:w w:val="120"/>
          <w:sz w:val="18"/>
        </w:rPr>
        <w:t>évi</w:t>
      </w:r>
      <w:r>
        <w:rPr>
          <w:i/>
          <w:spacing w:val="14"/>
          <w:w w:val="120"/>
          <w:sz w:val="18"/>
        </w:rPr>
        <w:t> </w:t>
      </w:r>
      <w:r>
        <w:rPr>
          <w:i/>
          <w:w w:val="120"/>
          <w:sz w:val="18"/>
        </w:rPr>
        <w:t>LXXXV.</w:t>
      </w:r>
      <w:r>
        <w:rPr>
          <w:i/>
          <w:spacing w:val="15"/>
          <w:w w:val="120"/>
          <w:sz w:val="18"/>
        </w:rPr>
        <w:t> </w:t>
      </w:r>
      <w:r>
        <w:rPr>
          <w:i/>
          <w:w w:val="120"/>
          <w:sz w:val="18"/>
        </w:rPr>
        <w:t>törvény</w:t>
      </w:r>
      <w:r>
        <w:rPr>
          <w:i/>
          <w:spacing w:val="14"/>
          <w:w w:val="120"/>
          <w:sz w:val="18"/>
        </w:rPr>
        <w:t> </w:t>
      </w:r>
      <w:r>
        <w:rPr>
          <w:i/>
          <w:w w:val="120"/>
          <w:sz w:val="18"/>
        </w:rPr>
        <w:t>204.</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23"/>
        </w:numPr>
        <w:tabs>
          <w:tab w:pos="730" w:val="left" w:leader="none"/>
        </w:tabs>
        <w:spacing w:line="225" w:lineRule="auto" w:before="173" w:after="0"/>
        <w:ind w:left="113" w:right="131" w:firstLine="204"/>
        <w:jc w:val="both"/>
        <w:rPr>
          <w:sz w:val="24"/>
        </w:rPr>
      </w:pPr>
      <w:r>
        <w:rPr>
          <w:w w:val="130"/>
          <w:sz w:val="24"/>
        </w:rPr>
        <w:t>igazgatóságát említi, azon az alapítványi formában működő pénzügyi vállalkozás esetén az alapítvány</w:t>
      </w:r>
      <w:r>
        <w:rPr>
          <w:spacing w:val="-22"/>
          <w:w w:val="130"/>
          <w:sz w:val="24"/>
        </w:rPr>
        <w:t> </w:t>
      </w:r>
      <w:r>
        <w:rPr>
          <w:w w:val="130"/>
          <w:sz w:val="24"/>
        </w:rPr>
        <w:t>kuratóriumát</w:t>
      </w:r>
    </w:p>
    <w:p>
      <w:pPr>
        <w:pStyle w:val="BodyText"/>
        <w:spacing w:line="256" w:lineRule="exact"/>
        <w:ind w:firstLine="0"/>
      </w:pPr>
      <w:r>
        <w:rPr>
          <w:w w:val="130"/>
        </w:rPr>
        <w:t>kell érteni.</w:t>
      </w:r>
    </w:p>
    <w:p>
      <w:pPr>
        <w:pStyle w:val="ListParagraph"/>
        <w:numPr>
          <w:ilvl w:val="0"/>
          <w:numId w:val="325"/>
        </w:numPr>
        <w:tabs>
          <w:tab w:pos="819" w:val="left" w:leader="none"/>
        </w:tabs>
        <w:spacing w:line="225" w:lineRule="auto" w:before="5" w:after="0"/>
        <w:ind w:left="113" w:right="116" w:firstLine="204"/>
        <w:jc w:val="both"/>
        <w:rPr>
          <w:sz w:val="24"/>
        </w:rPr>
      </w:pPr>
      <w:r>
        <w:rPr>
          <w:w w:val="125"/>
          <w:sz w:val="24"/>
        </w:rPr>
        <w:t>Ahol e törvény közgyűlést említ, azon alapítványi formában működő pénzügyi vállalkozás esetén az alapítvány alapítóit kell</w:t>
      </w:r>
      <w:r>
        <w:rPr>
          <w:spacing w:val="12"/>
          <w:w w:val="125"/>
          <w:sz w:val="24"/>
        </w:rPr>
        <w:t> </w:t>
      </w:r>
      <w:r>
        <w:rPr>
          <w:w w:val="125"/>
          <w:sz w:val="24"/>
        </w:rPr>
        <w:t>érteni.</w:t>
      </w:r>
    </w:p>
    <w:p>
      <w:pPr>
        <w:pStyle w:val="ListParagraph"/>
        <w:numPr>
          <w:ilvl w:val="0"/>
          <w:numId w:val="325"/>
        </w:numPr>
        <w:tabs>
          <w:tab w:pos="750" w:val="left" w:leader="none"/>
        </w:tabs>
        <w:spacing w:line="225" w:lineRule="auto" w:before="1" w:after="0"/>
        <w:ind w:left="113" w:right="126" w:firstLine="204"/>
        <w:jc w:val="both"/>
        <w:rPr>
          <w:sz w:val="24"/>
        </w:rPr>
      </w:pPr>
      <w:r>
        <w:rPr>
          <w:w w:val="130"/>
          <w:sz w:val="24"/>
        </w:rPr>
        <w:t>Ahol</w:t>
      </w:r>
      <w:r>
        <w:rPr>
          <w:spacing w:val="-15"/>
          <w:w w:val="130"/>
          <w:sz w:val="24"/>
        </w:rPr>
        <w:t> </w:t>
      </w:r>
      <w:r>
        <w:rPr>
          <w:w w:val="130"/>
          <w:sz w:val="24"/>
        </w:rPr>
        <w:t>e</w:t>
      </w:r>
      <w:r>
        <w:rPr>
          <w:spacing w:val="-14"/>
          <w:w w:val="130"/>
          <w:sz w:val="24"/>
        </w:rPr>
        <w:t> </w:t>
      </w:r>
      <w:r>
        <w:rPr>
          <w:w w:val="130"/>
          <w:sz w:val="24"/>
        </w:rPr>
        <w:t>törvény</w:t>
      </w:r>
      <w:r>
        <w:rPr>
          <w:spacing w:val="-14"/>
          <w:w w:val="130"/>
          <w:sz w:val="24"/>
        </w:rPr>
        <w:t> </w:t>
      </w:r>
      <w:r>
        <w:rPr>
          <w:w w:val="130"/>
          <w:sz w:val="24"/>
        </w:rPr>
        <w:t>a</w:t>
      </w:r>
      <w:r>
        <w:rPr>
          <w:spacing w:val="-14"/>
          <w:w w:val="130"/>
          <w:sz w:val="24"/>
        </w:rPr>
        <w:t> </w:t>
      </w:r>
      <w:r>
        <w:rPr>
          <w:w w:val="130"/>
          <w:sz w:val="24"/>
        </w:rPr>
        <w:t>közgyűlés</w:t>
      </w:r>
      <w:r>
        <w:rPr>
          <w:spacing w:val="-14"/>
          <w:w w:val="130"/>
          <w:sz w:val="24"/>
        </w:rPr>
        <w:t> </w:t>
      </w:r>
      <w:r>
        <w:rPr>
          <w:w w:val="130"/>
          <w:sz w:val="24"/>
        </w:rPr>
        <w:t>összehívását,</w:t>
      </w:r>
      <w:r>
        <w:rPr>
          <w:spacing w:val="-14"/>
          <w:w w:val="130"/>
          <w:sz w:val="24"/>
        </w:rPr>
        <w:t> </w:t>
      </w:r>
      <w:r>
        <w:rPr>
          <w:w w:val="130"/>
          <w:sz w:val="24"/>
        </w:rPr>
        <w:t>illetve</w:t>
      </w:r>
      <w:r>
        <w:rPr>
          <w:spacing w:val="-15"/>
          <w:w w:val="130"/>
          <w:sz w:val="24"/>
        </w:rPr>
        <w:t> </w:t>
      </w:r>
      <w:r>
        <w:rPr>
          <w:w w:val="130"/>
          <w:sz w:val="24"/>
        </w:rPr>
        <w:t>a</w:t>
      </w:r>
      <w:r>
        <w:rPr>
          <w:spacing w:val="-14"/>
          <w:w w:val="130"/>
          <w:sz w:val="24"/>
        </w:rPr>
        <w:t> </w:t>
      </w:r>
      <w:r>
        <w:rPr>
          <w:w w:val="130"/>
          <w:sz w:val="24"/>
        </w:rPr>
        <w:t>tagok</w:t>
      </w:r>
      <w:r>
        <w:rPr>
          <w:spacing w:val="-14"/>
          <w:w w:val="130"/>
          <w:sz w:val="24"/>
        </w:rPr>
        <w:t> </w:t>
      </w:r>
      <w:r>
        <w:rPr>
          <w:w w:val="130"/>
          <w:sz w:val="24"/>
        </w:rPr>
        <w:t>intézkedését</w:t>
      </w:r>
      <w:r>
        <w:rPr>
          <w:spacing w:val="-14"/>
          <w:w w:val="130"/>
          <w:sz w:val="24"/>
        </w:rPr>
        <w:t> </w:t>
      </w:r>
      <w:r>
        <w:rPr>
          <w:w w:val="130"/>
          <w:sz w:val="24"/>
        </w:rPr>
        <w:t>írja elő, de az intézkedés megtételére az alapítvány kuratóriuma jogosult, azon az alapítványi formában működő pénzügyi vállalkozás esetén a kuratórium összehívását és intézkedésének megtételét kell</w:t>
      </w:r>
      <w:r>
        <w:rPr>
          <w:spacing w:val="-22"/>
          <w:w w:val="130"/>
          <w:sz w:val="24"/>
        </w:rPr>
        <w:t> </w:t>
      </w:r>
      <w:r>
        <w:rPr>
          <w:w w:val="130"/>
          <w:sz w:val="24"/>
        </w:rPr>
        <w:t>érteni.</w:t>
      </w:r>
    </w:p>
    <w:p>
      <w:pPr>
        <w:pStyle w:val="BodyText"/>
        <w:spacing w:before="229"/>
        <w:ind w:left="3782" w:firstLine="0"/>
      </w:pPr>
      <w:r>
        <w:rPr>
          <w:w w:val="125"/>
        </w:rPr>
        <w:t>61. Jó üzleti hírnév</w:t>
      </w:r>
    </w:p>
    <w:p>
      <w:pPr>
        <w:pStyle w:val="ListParagraph"/>
        <w:numPr>
          <w:ilvl w:val="0"/>
          <w:numId w:val="322"/>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 A jó üzleti hírnevet a kérelmező</w:t>
      </w:r>
      <w:r>
        <w:rPr>
          <w:spacing w:val="47"/>
          <w:w w:val="120"/>
          <w:sz w:val="24"/>
        </w:rPr>
        <w:t> </w:t>
      </w:r>
      <w:r>
        <w:rPr>
          <w:w w:val="120"/>
          <w:sz w:val="24"/>
        </w:rPr>
        <w:t>bizonyítja.</w:t>
      </w:r>
    </w:p>
    <w:p>
      <w:pPr>
        <w:pStyle w:val="ListParagraph"/>
        <w:numPr>
          <w:ilvl w:val="0"/>
          <w:numId w:val="326"/>
        </w:numPr>
        <w:tabs>
          <w:tab w:pos="744" w:val="left" w:leader="none"/>
        </w:tabs>
        <w:spacing w:line="225" w:lineRule="auto" w:before="6" w:after="0"/>
        <w:ind w:left="113" w:right="131" w:firstLine="204"/>
        <w:jc w:val="both"/>
        <w:rPr>
          <w:sz w:val="24"/>
        </w:rPr>
      </w:pPr>
      <w:r>
        <w:rPr>
          <w:w w:val="130"/>
          <w:sz w:val="24"/>
        </w:rPr>
        <w:t>A</w:t>
      </w:r>
      <w:r>
        <w:rPr>
          <w:spacing w:val="-21"/>
          <w:w w:val="130"/>
          <w:sz w:val="24"/>
        </w:rPr>
        <w:t> </w:t>
      </w:r>
      <w:r>
        <w:rPr>
          <w:w w:val="130"/>
          <w:sz w:val="24"/>
        </w:rPr>
        <w:t>jó</w:t>
      </w:r>
      <w:r>
        <w:rPr>
          <w:spacing w:val="-20"/>
          <w:w w:val="130"/>
          <w:sz w:val="24"/>
        </w:rPr>
        <w:t> </w:t>
      </w:r>
      <w:r>
        <w:rPr>
          <w:w w:val="130"/>
          <w:sz w:val="24"/>
        </w:rPr>
        <w:t>üzleti</w:t>
      </w:r>
      <w:r>
        <w:rPr>
          <w:spacing w:val="-20"/>
          <w:w w:val="130"/>
          <w:sz w:val="24"/>
        </w:rPr>
        <w:t> </w:t>
      </w:r>
      <w:r>
        <w:rPr>
          <w:w w:val="130"/>
          <w:sz w:val="24"/>
        </w:rPr>
        <w:t>hírnév</w:t>
      </w:r>
      <w:r>
        <w:rPr>
          <w:spacing w:val="-21"/>
          <w:w w:val="130"/>
          <w:sz w:val="24"/>
        </w:rPr>
        <w:t> </w:t>
      </w:r>
      <w:r>
        <w:rPr>
          <w:w w:val="130"/>
          <w:sz w:val="24"/>
        </w:rPr>
        <w:t>igazolásának</w:t>
      </w:r>
      <w:r>
        <w:rPr>
          <w:spacing w:val="-20"/>
          <w:w w:val="130"/>
          <w:sz w:val="24"/>
        </w:rPr>
        <w:t> </w:t>
      </w:r>
      <w:r>
        <w:rPr>
          <w:w w:val="130"/>
          <w:sz w:val="24"/>
        </w:rPr>
        <w:t>módját</w:t>
      </w:r>
      <w:r>
        <w:rPr>
          <w:spacing w:val="-20"/>
          <w:w w:val="130"/>
          <w:sz w:val="24"/>
        </w:rPr>
        <w:t> </w:t>
      </w:r>
      <w:r>
        <w:rPr>
          <w:w w:val="130"/>
          <w:sz w:val="24"/>
        </w:rPr>
        <w:t>a</w:t>
      </w:r>
      <w:r>
        <w:rPr>
          <w:spacing w:val="-12"/>
          <w:w w:val="130"/>
          <w:sz w:val="24"/>
        </w:rPr>
        <w:t> </w:t>
      </w:r>
      <w:r>
        <w:rPr>
          <w:w w:val="130"/>
          <w:sz w:val="24"/>
        </w:rPr>
        <w:t>kérelmező</w:t>
      </w:r>
      <w:r>
        <w:rPr>
          <w:spacing w:val="-28"/>
          <w:w w:val="130"/>
          <w:sz w:val="24"/>
        </w:rPr>
        <w:t> </w:t>
      </w:r>
      <w:r>
        <w:rPr>
          <w:w w:val="130"/>
          <w:sz w:val="24"/>
        </w:rPr>
        <w:t>megválaszthatja,</w:t>
      </w:r>
      <w:r>
        <w:rPr>
          <w:spacing w:val="-20"/>
          <w:w w:val="130"/>
          <w:sz w:val="24"/>
        </w:rPr>
        <w:t> </w:t>
      </w:r>
      <w:r>
        <w:rPr>
          <w:w w:val="130"/>
          <w:sz w:val="24"/>
        </w:rPr>
        <w:t>de</w:t>
      </w:r>
      <w:r>
        <w:rPr>
          <w:spacing w:val="-21"/>
          <w:w w:val="130"/>
          <w:sz w:val="24"/>
        </w:rPr>
        <w:t> </w:t>
      </w:r>
      <w:r>
        <w:rPr>
          <w:w w:val="130"/>
          <w:sz w:val="24"/>
        </w:rPr>
        <w:t>a Felügyelet egyéb, pontosan meghatározott iratok (okmányok) benyújtását írhatja</w:t>
      </w:r>
      <w:r>
        <w:rPr>
          <w:spacing w:val="-4"/>
          <w:w w:val="130"/>
          <w:sz w:val="24"/>
        </w:rPr>
        <w:t> </w:t>
      </w:r>
      <w:r>
        <w:rPr>
          <w:w w:val="130"/>
          <w:sz w:val="24"/>
        </w:rPr>
        <w:t>elő.</w:t>
      </w:r>
    </w:p>
    <w:p>
      <w:pPr>
        <w:pStyle w:val="ListParagraph"/>
        <w:numPr>
          <w:ilvl w:val="0"/>
          <w:numId w:val="326"/>
        </w:numPr>
        <w:tabs>
          <w:tab w:pos="926" w:val="left" w:leader="none"/>
        </w:tabs>
        <w:spacing w:line="225" w:lineRule="auto" w:before="1" w:after="0"/>
        <w:ind w:left="113" w:right="124" w:firstLine="204"/>
        <w:jc w:val="both"/>
        <w:rPr>
          <w:sz w:val="24"/>
        </w:rPr>
      </w:pPr>
      <w:r>
        <w:rPr>
          <w:w w:val="125"/>
          <w:sz w:val="24"/>
        </w:rPr>
        <w:t>A jó üzleti hírnév bizonyításának sikertelenségét a Felügyelet határozattal állapítja</w:t>
      </w:r>
      <w:r>
        <w:rPr>
          <w:spacing w:val="2"/>
          <w:w w:val="125"/>
          <w:sz w:val="24"/>
        </w:rPr>
        <w:t> </w:t>
      </w:r>
      <w:r>
        <w:rPr>
          <w:w w:val="125"/>
          <w:sz w:val="24"/>
        </w:rPr>
        <w:t>meg.</w:t>
      </w:r>
    </w:p>
    <w:p>
      <w:pPr>
        <w:pStyle w:val="ListParagraph"/>
        <w:numPr>
          <w:ilvl w:val="0"/>
          <w:numId w:val="326"/>
        </w:numPr>
        <w:tabs>
          <w:tab w:pos="746" w:val="left" w:leader="none"/>
        </w:tabs>
        <w:spacing w:line="225" w:lineRule="auto" w:before="1" w:after="0"/>
        <w:ind w:left="113" w:right="129" w:firstLine="204"/>
        <w:jc w:val="both"/>
        <w:rPr>
          <w:sz w:val="24"/>
        </w:rPr>
      </w:pPr>
      <w:r>
        <w:rPr>
          <w:w w:val="130"/>
          <w:sz w:val="24"/>
        </w:rPr>
        <w:t>A</w:t>
      </w:r>
      <w:r>
        <w:rPr>
          <w:spacing w:val="-16"/>
          <w:w w:val="130"/>
          <w:sz w:val="24"/>
        </w:rPr>
        <w:t> </w:t>
      </w:r>
      <w:r>
        <w:rPr>
          <w:w w:val="130"/>
          <w:sz w:val="24"/>
        </w:rPr>
        <w:t>Felügyelet</w:t>
      </w:r>
      <w:r>
        <w:rPr>
          <w:spacing w:val="-15"/>
          <w:w w:val="130"/>
          <w:sz w:val="24"/>
        </w:rPr>
        <w:t> </w:t>
      </w:r>
      <w:r>
        <w:rPr>
          <w:w w:val="130"/>
          <w:sz w:val="24"/>
        </w:rPr>
        <w:t>a</w:t>
      </w:r>
      <w:r>
        <w:rPr>
          <w:spacing w:val="-16"/>
          <w:w w:val="130"/>
          <w:sz w:val="24"/>
        </w:rPr>
        <w:t> </w:t>
      </w:r>
      <w:r>
        <w:rPr>
          <w:w w:val="130"/>
          <w:sz w:val="24"/>
        </w:rPr>
        <w:t>jó</w:t>
      </w:r>
      <w:r>
        <w:rPr>
          <w:spacing w:val="-15"/>
          <w:w w:val="130"/>
          <w:sz w:val="24"/>
        </w:rPr>
        <w:t> </w:t>
      </w:r>
      <w:r>
        <w:rPr>
          <w:w w:val="130"/>
          <w:sz w:val="24"/>
        </w:rPr>
        <w:t>üzleti</w:t>
      </w:r>
      <w:r>
        <w:rPr>
          <w:spacing w:val="-14"/>
          <w:w w:val="130"/>
          <w:sz w:val="24"/>
        </w:rPr>
        <w:t> </w:t>
      </w:r>
      <w:r>
        <w:rPr>
          <w:w w:val="130"/>
          <w:sz w:val="24"/>
        </w:rPr>
        <w:t>hírnév</w:t>
      </w:r>
      <w:r>
        <w:rPr>
          <w:spacing w:val="-15"/>
          <w:w w:val="130"/>
          <w:sz w:val="24"/>
        </w:rPr>
        <w:t> </w:t>
      </w:r>
      <w:r>
        <w:rPr>
          <w:w w:val="130"/>
          <w:sz w:val="24"/>
        </w:rPr>
        <w:t>fennállásának</w:t>
      </w:r>
      <w:r>
        <w:rPr>
          <w:spacing w:val="-16"/>
          <w:w w:val="130"/>
          <w:sz w:val="24"/>
        </w:rPr>
        <w:t> </w:t>
      </w:r>
      <w:r>
        <w:rPr>
          <w:w w:val="130"/>
          <w:sz w:val="24"/>
        </w:rPr>
        <w:t>megállapítása</w:t>
      </w:r>
      <w:r>
        <w:rPr>
          <w:spacing w:val="-15"/>
          <w:w w:val="130"/>
          <w:sz w:val="24"/>
        </w:rPr>
        <w:t> </w:t>
      </w:r>
      <w:r>
        <w:rPr>
          <w:w w:val="130"/>
          <w:sz w:val="24"/>
        </w:rPr>
        <w:t>érdekében</w:t>
      </w:r>
      <w:r>
        <w:rPr>
          <w:spacing w:val="-15"/>
          <w:w w:val="130"/>
          <w:sz w:val="24"/>
        </w:rPr>
        <w:t> </w:t>
      </w:r>
      <w:r>
        <w:rPr>
          <w:w w:val="130"/>
          <w:sz w:val="24"/>
        </w:rPr>
        <w:t>az illetékes külföldi hatóságot közvetlenül is megkeresheti, továbbá e célból megtekintheti</w:t>
      </w:r>
      <w:r>
        <w:rPr>
          <w:spacing w:val="-25"/>
          <w:w w:val="130"/>
          <w:sz w:val="24"/>
        </w:rPr>
        <w:t> </w:t>
      </w:r>
      <w:r>
        <w:rPr>
          <w:w w:val="130"/>
          <w:sz w:val="24"/>
        </w:rPr>
        <w:t>az</w:t>
      </w:r>
      <w:r>
        <w:rPr>
          <w:spacing w:val="-25"/>
          <w:w w:val="130"/>
          <w:sz w:val="24"/>
        </w:rPr>
        <w:t> </w:t>
      </w:r>
      <w:r>
        <w:rPr>
          <w:w w:val="130"/>
          <w:sz w:val="24"/>
        </w:rPr>
        <w:t>EBH</w:t>
      </w:r>
      <w:r>
        <w:rPr>
          <w:spacing w:val="-25"/>
          <w:w w:val="130"/>
          <w:sz w:val="24"/>
        </w:rPr>
        <w:t> </w:t>
      </w:r>
      <w:r>
        <w:rPr>
          <w:w w:val="130"/>
          <w:sz w:val="24"/>
        </w:rPr>
        <w:t>által</w:t>
      </w:r>
      <w:r>
        <w:rPr>
          <w:spacing w:val="-25"/>
          <w:w w:val="130"/>
          <w:sz w:val="24"/>
        </w:rPr>
        <w:t> </w:t>
      </w:r>
      <w:r>
        <w:rPr>
          <w:w w:val="130"/>
          <w:sz w:val="24"/>
        </w:rPr>
        <w:t>EGT-állam</w:t>
      </w:r>
      <w:r>
        <w:rPr>
          <w:spacing w:val="-25"/>
          <w:w w:val="130"/>
          <w:sz w:val="24"/>
        </w:rPr>
        <w:t> </w:t>
      </w:r>
      <w:r>
        <w:rPr>
          <w:w w:val="130"/>
          <w:sz w:val="24"/>
        </w:rPr>
        <w:t>intézkedésekről</w:t>
      </w:r>
      <w:r>
        <w:rPr>
          <w:spacing w:val="-25"/>
          <w:w w:val="130"/>
          <w:sz w:val="24"/>
        </w:rPr>
        <w:t> </w:t>
      </w:r>
      <w:r>
        <w:rPr>
          <w:w w:val="130"/>
          <w:sz w:val="24"/>
        </w:rPr>
        <w:t>vezetett</w:t>
      </w:r>
      <w:r>
        <w:rPr>
          <w:spacing w:val="-24"/>
          <w:w w:val="130"/>
          <w:sz w:val="24"/>
        </w:rPr>
        <w:t> </w:t>
      </w:r>
      <w:r>
        <w:rPr>
          <w:w w:val="130"/>
          <w:sz w:val="24"/>
        </w:rPr>
        <w:t>adatbázisát.</w:t>
      </w:r>
    </w:p>
    <w:p>
      <w:pPr>
        <w:pStyle w:val="BodyText"/>
        <w:spacing w:before="229"/>
        <w:ind w:left="2524" w:firstLine="0"/>
      </w:pPr>
      <w:r>
        <w:rPr>
          <w:w w:val="125"/>
        </w:rPr>
        <w:t>62. Felelősségi és képviseleti szabályok</w:t>
      </w:r>
    </w:p>
    <w:p>
      <w:pPr>
        <w:pStyle w:val="ListParagraph"/>
        <w:numPr>
          <w:ilvl w:val="0"/>
          <w:numId w:val="322"/>
        </w:numPr>
        <w:tabs>
          <w:tab w:pos="1023" w:val="left" w:leader="none"/>
        </w:tabs>
        <w:spacing w:line="225" w:lineRule="auto" w:before="236" w:after="0"/>
        <w:ind w:left="113" w:right="126" w:firstLine="204"/>
        <w:jc w:val="both"/>
        <w:rPr>
          <w:sz w:val="24"/>
        </w:rPr>
      </w:pPr>
      <w:r>
        <w:rPr>
          <w:rFonts w:ascii="Arial" w:hAnsi="Arial"/>
          <w:b/>
          <w:w w:val="125"/>
          <w:sz w:val="24"/>
        </w:rPr>
        <w:t>§ </w:t>
      </w:r>
      <w:r>
        <w:rPr>
          <w:w w:val="125"/>
          <w:sz w:val="24"/>
        </w:rPr>
        <w:t>(1) A pénzügyi intézmény igazgatóságának, felügyelő bizottságának vezetői és tagjai, és a fióktelep formájában működő pénzügyi intézmény vezető állású személyei felelősek azért, hogy a pénzügyi intézmény az engedélyezett tevékenységeket az e törvény, továbbá a prudens működésre vonatkozó jogszabályok, valamint az 575/2013/EU rendelet előírásainak megfelelően végezze.</w:t>
      </w:r>
    </w:p>
    <w:p>
      <w:pPr>
        <w:pStyle w:val="BodyText"/>
        <w:spacing w:line="225" w:lineRule="auto" w:before="4"/>
        <w:ind w:right="126"/>
        <w:jc w:val="both"/>
      </w:pPr>
      <w:r>
        <w:rPr>
          <w:w w:val="125"/>
        </w:rPr>
        <w:t>(2) A vezető állású személy és a pénzügyi intézmény  alkalmazottja mindenkor a beosztásával járó fokozott szakmai követelményeknek megfelelően, elvárható gondossággal és szakértelemmel,  a  pénzügyi intézmény és az ügyfelek érdekeinek figyelembevételével, a jogszabályok szerint jár</w:t>
      </w:r>
      <w:r>
        <w:rPr>
          <w:spacing w:val="2"/>
          <w:w w:val="125"/>
        </w:rPr>
        <w:t> </w:t>
      </w:r>
      <w:r>
        <w:rPr>
          <w:w w:val="125"/>
        </w:rPr>
        <w:t>el.</w:t>
      </w:r>
    </w:p>
    <w:p>
      <w:pPr>
        <w:pStyle w:val="ListParagraph"/>
        <w:numPr>
          <w:ilvl w:val="0"/>
          <w:numId w:val="322"/>
        </w:numPr>
        <w:tabs>
          <w:tab w:pos="1013" w:val="left" w:leader="none"/>
        </w:tabs>
        <w:spacing w:line="225" w:lineRule="auto" w:before="2" w:after="0"/>
        <w:ind w:left="113" w:right="125" w:firstLine="204"/>
        <w:jc w:val="both"/>
        <w:rPr>
          <w:sz w:val="24"/>
        </w:rPr>
      </w:pPr>
      <w:r>
        <w:rPr>
          <w:rFonts w:ascii="Arial" w:hAnsi="Arial"/>
          <w:b/>
          <w:w w:val="125"/>
          <w:sz w:val="24"/>
        </w:rPr>
        <w:t>§ </w:t>
      </w:r>
      <w:r>
        <w:rPr>
          <w:w w:val="125"/>
          <w:sz w:val="24"/>
        </w:rPr>
        <w:t>(1) Cégjegyzésre - ideértve a fizetési számla feletti rendelkezést is -  és a hitelintézet nevében a pénzügyi, kiegészítő pénzügyi szolgáltatási tevékenységgel kapcsolatos</w:t>
      </w:r>
      <w:r>
        <w:rPr>
          <w:spacing w:val="4"/>
          <w:w w:val="125"/>
          <w:sz w:val="24"/>
        </w:rPr>
        <w:t> </w:t>
      </w:r>
      <w:r>
        <w:rPr>
          <w:w w:val="125"/>
          <w:sz w:val="24"/>
        </w:rPr>
        <w:t>kötelezettségvállalásra</w:t>
      </w:r>
    </w:p>
    <w:p>
      <w:pPr>
        <w:pStyle w:val="ListParagraph"/>
        <w:numPr>
          <w:ilvl w:val="0"/>
          <w:numId w:val="327"/>
        </w:numPr>
        <w:tabs>
          <w:tab w:pos="793" w:val="left" w:leader="none"/>
        </w:tabs>
        <w:spacing w:line="225" w:lineRule="auto" w:before="1" w:after="0"/>
        <w:ind w:left="113" w:right="123" w:firstLine="204"/>
        <w:jc w:val="both"/>
        <w:rPr>
          <w:sz w:val="24"/>
        </w:rPr>
      </w:pPr>
      <w:r>
        <w:rPr>
          <w:w w:val="130"/>
          <w:sz w:val="24"/>
        </w:rPr>
        <w:t>részvénytársasági vagy szövetkezeti formában működő hitelintézet esetében két igazgatósági tag, illetve két</w:t>
      </w:r>
      <w:r>
        <w:rPr>
          <w:spacing w:val="-32"/>
          <w:w w:val="130"/>
          <w:sz w:val="24"/>
        </w:rPr>
        <w:t> </w:t>
      </w:r>
      <w:r>
        <w:rPr>
          <w:w w:val="130"/>
          <w:sz w:val="24"/>
        </w:rPr>
        <w:t>ügyvezető,</w:t>
      </w:r>
    </w:p>
    <w:p>
      <w:pPr>
        <w:pStyle w:val="ListParagraph"/>
        <w:numPr>
          <w:ilvl w:val="0"/>
          <w:numId w:val="327"/>
        </w:numPr>
        <w:tabs>
          <w:tab w:pos="653" w:val="left" w:leader="none"/>
        </w:tabs>
        <w:spacing w:line="225" w:lineRule="auto" w:before="1" w:after="0"/>
        <w:ind w:left="113" w:right="1251" w:firstLine="204"/>
        <w:jc w:val="left"/>
        <w:rPr>
          <w:sz w:val="24"/>
        </w:rPr>
      </w:pPr>
      <w:r>
        <w:rPr>
          <w:w w:val="130"/>
          <w:sz w:val="24"/>
        </w:rPr>
        <w:t>külföldi</w:t>
      </w:r>
      <w:r>
        <w:rPr>
          <w:spacing w:val="-40"/>
          <w:w w:val="130"/>
          <w:sz w:val="24"/>
        </w:rPr>
        <w:t> </w:t>
      </w:r>
      <w:r>
        <w:rPr>
          <w:w w:val="130"/>
          <w:sz w:val="24"/>
        </w:rPr>
        <w:t>hitelintézet</w:t>
      </w:r>
      <w:r>
        <w:rPr>
          <w:spacing w:val="-33"/>
          <w:w w:val="130"/>
          <w:sz w:val="24"/>
        </w:rPr>
        <w:t> </w:t>
      </w:r>
      <w:r>
        <w:rPr>
          <w:w w:val="130"/>
          <w:sz w:val="24"/>
        </w:rPr>
        <w:t>fióktelepe</w:t>
      </w:r>
      <w:r>
        <w:rPr>
          <w:spacing w:val="-33"/>
          <w:w w:val="130"/>
          <w:sz w:val="24"/>
        </w:rPr>
        <w:t> </w:t>
      </w:r>
      <w:r>
        <w:rPr>
          <w:w w:val="130"/>
          <w:sz w:val="24"/>
        </w:rPr>
        <w:t>esetében</w:t>
      </w:r>
      <w:r>
        <w:rPr>
          <w:spacing w:val="-33"/>
          <w:w w:val="130"/>
          <w:sz w:val="24"/>
        </w:rPr>
        <w:t> </w:t>
      </w:r>
      <w:r>
        <w:rPr>
          <w:w w:val="130"/>
          <w:sz w:val="24"/>
        </w:rPr>
        <w:t>két</w:t>
      </w:r>
      <w:r>
        <w:rPr>
          <w:spacing w:val="-34"/>
          <w:w w:val="130"/>
          <w:sz w:val="24"/>
        </w:rPr>
        <w:t> </w:t>
      </w:r>
      <w:r>
        <w:rPr>
          <w:w w:val="130"/>
          <w:sz w:val="24"/>
        </w:rPr>
        <w:t>vezető</w:t>
      </w:r>
      <w:r>
        <w:rPr>
          <w:spacing w:val="-33"/>
          <w:w w:val="130"/>
          <w:sz w:val="24"/>
        </w:rPr>
        <w:t> </w:t>
      </w:r>
      <w:r>
        <w:rPr>
          <w:w w:val="130"/>
          <w:sz w:val="24"/>
        </w:rPr>
        <w:t>állású</w:t>
      </w:r>
      <w:r>
        <w:rPr>
          <w:spacing w:val="-33"/>
          <w:w w:val="130"/>
          <w:sz w:val="24"/>
        </w:rPr>
        <w:t> </w:t>
      </w:r>
      <w:r>
        <w:rPr>
          <w:w w:val="130"/>
          <w:sz w:val="24"/>
        </w:rPr>
        <w:t>személy együttesen</w:t>
      </w:r>
      <w:r>
        <w:rPr>
          <w:spacing w:val="-4"/>
          <w:w w:val="130"/>
          <w:sz w:val="24"/>
        </w:rPr>
        <w:t> </w:t>
      </w:r>
      <w:r>
        <w:rPr>
          <w:w w:val="130"/>
          <w:sz w:val="24"/>
        </w:rPr>
        <w:t>jogosult.</w:t>
      </w:r>
    </w:p>
    <w:p>
      <w:pPr>
        <w:pStyle w:val="BodyText"/>
        <w:spacing w:line="225" w:lineRule="auto" w:before="2"/>
        <w:ind w:right="125"/>
        <w:jc w:val="both"/>
      </w:pPr>
      <w:r>
        <w:rPr>
          <w:w w:val="125"/>
        </w:rPr>
        <w:t>(2) Az (1) bekezdés szerinti együttes aláírási jog - a hitelintézet igazgatósága által jóváhagyott belső szabályzatban rögzített eljárási rend szerint - együttes aláírási jogként átruházható. A hitelintézet ügyfelének kérésére  be  kell  mutatni a hitelintézet nevében kötelezettséget vállalók aláírási jogát meghatározó belső</w:t>
      </w:r>
      <w:r>
        <w:rPr>
          <w:spacing w:val="2"/>
          <w:w w:val="125"/>
        </w:rPr>
        <w:t> </w:t>
      </w:r>
      <w:r>
        <w:rPr>
          <w:w w:val="125"/>
        </w:rPr>
        <w:t>szabályzatot.</w:t>
      </w:r>
    </w:p>
    <w:p>
      <w:pPr>
        <w:pStyle w:val="ListParagraph"/>
        <w:numPr>
          <w:ilvl w:val="0"/>
          <w:numId w:val="322"/>
        </w:numPr>
        <w:tabs>
          <w:tab w:pos="1048" w:val="left" w:leader="none"/>
        </w:tabs>
        <w:spacing w:line="225" w:lineRule="auto" w:before="1" w:after="0"/>
        <w:ind w:left="113" w:right="129" w:firstLine="204"/>
        <w:jc w:val="both"/>
        <w:rPr>
          <w:sz w:val="24"/>
        </w:rPr>
      </w:pPr>
      <w:r>
        <w:rPr>
          <w:rFonts w:ascii="Arial" w:hAnsi="Arial"/>
          <w:b/>
          <w:w w:val="120"/>
          <w:sz w:val="24"/>
        </w:rPr>
        <w:t>§ </w:t>
      </w:r>
      <w:r>
        <w:rPr>
          <w:w w:val="120"/>
          <w:sz w:val="24"/>
        </w:rPr>
        <w:t>A vezető állású személy és a pénzügyi intézmény könyvvizsgálója haladéktalanul bejelenti a Felügyeletnek,</w:t>
      </w:r>
      <w:r>
        <w:rPr>
          <w:spacing w:val="33"/>
          <w:w w:val="120"/>
          <w:sz w:val="24"/>
        </w:rPr>
        <w:t> </w:t>
      </w:r>
      <w:r>
        <w:rPr>
          <w:w w:val="120"/>
          <w:sz w:val="24"/>
        </w:rPr>
        <w:t>ha</w:t>
      </w:r>
    </w:p>
    <w:p>
      <w:pPr>
        <w:spacing w:after="0" w:line="225" w:lineRule="auto"/>
        <w:jc w:val="both"/>
        <w:rPr>
          <w:sz w:val="24"/>
        </w:rPr>
        <w:sectPr>
          <w:pgSz w:w="11900" w:h="16820"/>
          <w:pgMar w:header="1104" w:footer="0" w:top="1840" w:bottom="280" w:left="1020" w:right="1000"/>
        </w:sectPr>
      </w:pPr>
    </w:p>
    <w:p>
      <w:pPr>
        <w:pStyle w:val="ListParagraph"/>
        <w:numPr>
          <w:ilvl w:val="0"/>
          <w:numId w:val="328"/>
        </w:numPr>
        <w:tabs>
          <w:tab w:pos="638" w:val="left" w:leader="none"/>
        </w:tabs>
        <w:spacing w:line="225" w:lineRule="auto" w:before="173" w:after="0"/>
        <w:ind w:left="113" w:right="131" w:firstLine="204"/>
        <w:jc w:val="both"/>
        <w:rPr>
          <w:sz w:val="24"/>
        </w:rPr>
      </w:pPr>
      <w:r>
        <w:rPr>
          <w:w w:val="130"/>
          <w:sz w:val="24"/>
        </w:rPr>
        <w:t>fennáll</w:t>
      </w:r>
      <w:r>
        <w:rPr>
          <w:spacing w:val="-18"/>
          <w:w w:val="130"/>
          <w:sz w:val="24"/>
        </w:rPr>
        <w:t> </w:t>
      </w:r>
      <w:r>
        <w:rPr>
          <w:w w:val="130"/>
          <w:sz w:val="24"/>
        </w:rPr>
        <w:t>a</w:t>
      </w:r>
      <w:r>
        <w:rPr>
          <w:spacing w:val="-5"/>
          <w:w w:val="130"/>
          <w:sz w:val="24"/>
        </w:rPr>
        <w:t> </w:t>
      </w:r>
      <w:r>
        <w:rPr>
          <w:w w:val="130"/>
          <w:sz w:val="24"/>
        </w:rPr>
        <w:t>veszélye</w:t>
      </w:r>
      <w:r>
        <w:rPr>
          <w:spacing w:val="-30"/>
          <w:w w:val="130"/>
          <w:sz w:val="24"/>
        </w:rPr>
        <w:t> </w:t>
      </w:r>
      <w:r>
        <w:rPr>
          <w:w w:val="130"/>
          <w:sz w:val="24"/>
        </w:rPr>
        <w:t>annak,</w:t>
      </w:r>
      <w:r>
        <w:rPr>
          <w:spacing w:val="-18"/>
          <w:w w:val="130"/>
          <w:sz w:val="24"/>
        </w:rPr>
        <w:t> </w:t>
      </w:r>
      <w:r>
        <w:rPr>
          <w:w w:val="130"/>
          <w:sz w:val="24"/>
        </w:rPr>
        <w:t>hogy</w:t>
      </w:r>
      <w:r>
        <w:rPr>
          <w:spacing w:val="-18"/>
          <w:w w:val="130"/>
          <w:sz w:val="24"/>
        </w:rPr>
        <w:t> </w:t>
      </w:r>
      <w:r>
        <w:rPr>
          <w:w w:val="130"/>
          <w:sz w:val="24"/>
        </w:rPr>
        <w:t>a</w:t>
      </w:r>
      <w:r>
        <w:rPr>
          <w:spacing w:val="-17"/>
          <w:w w:val="130"/>
          <w:sz w:val="24"/>
        </w:rPr>
        <w:t> </w:t>
      </w:r>
      <w:r>
        <w:rPr>
          <w:w w:val="130"/>
          <w:sz w:val="24"/>
        </w:rPr>
        <w:t>pénzügyi</w:t>
      </w:r>
      <w:r>
        <w:rPr>
          <w:spacing w:val="-5"/>
          <w:w w:val="130"/>
          <w:sz w:val="24"/>
        </w:rPr>
        <w:t> </w:t>
      </w:r>
      <w:r>
        <w:rPr>
          <w:w w:val="130"/>
          <w:sz w:val="24"/>
        </w:rPr>
        <w:t>intézmény</w:t>
      </w:r>
      <w:r>
        <w:rPr>
          <w:spacing w:val="-30"/>
          <w:w w:val="130"/>
          <w:sz w:val="24"/>
        </w:rPr>
        <w:t> </w:t>
      </w:r>
      <w:r>
        <w:rPr>
          <w:w w:val="130"/>
          <w:sz w:val="24"/>
        </w:rPr>
        <w:t>nem</w:t>
      </w:r>
      <w:r>
        <w:rPr>
          <w:spacing w:val="-17"/>
          <w:w w:val="130"/>
          <w:sz w:val="24"/>
        </w:rPr>
        <w:t> </w:t>
      </w:r>
      <w:r>
        <w:rPr>
          <w:w w:val="130"/>
          <w:sz w:val="24"/>
        </w:rPr>
        <w:t>tud</w:t>
      </w:r>
      <w:r>
        <w:rPr>
          <w:spacing w:val="-18"/>
          <w:w w:val="130"/>
          <w:sz w:val="24"/>
        </w:rPr>
        <w:t> </w:t>
      </w:r>
      <w:r>
        <w:rPr>
          <w:w w:val="130"/>
          <w:sz w:val="24"/>
        </w:rPr>
        <w:t>eleget</w:t>
      </w:r>
      <w:r>
        <w:rPr>
          <w:spacing w:val="-18"/>
          <w:w w:val="130"/>
          <w:sz w:val="24"/>
        </w:rPr>
        <w:t> </w:t>
      </w:r>
      <w:r>
        <w:rPr>
          <w:w w:val="130"/>
          <w:sz w:val="24"/>
        </w:rPr>
        <w:t>tenni a pénzügyi, kiegészítő pénzügyi szolgáltatási tevékenységből származó kötelezettségeinek, nem tud megfelelni e törvény és a felhatalmazása alapján kiadott jogszabályok, valamint a tevékenységére vonatkozó egyéb jogszabályok, valamint a devizajogszabályok</w:t>
      </w:r>
      <w:r>
        <w:rPr>
          <w:spacing w:val="-42"/>
          <w:w w:val="130"/>
          <w:sz w:val="24"/>
        </w:rPr>
        <w:t> </w:t>
      </w:r>
      <w:r>
        <w:rPr>
          <w:w w:val="130"/>
          <w:sz w:val="24"/>
        </w:rPr>
        <w:t>előírásainak,</w:t>
      </w:r>
    </w:p>
    <w:p>
      <w:pPr>
        <w:pStyle w:val="ListParagraph"/>
        <w:numPr>
          <w:ilvl w:val="0"/>
          <w:numId w:val="328"/>
        </w:numPr>
        <w:tabs>
          <w:tab w:pos="653" w:val="left" w:leader="none"/>
        </w:tabs>
        <w:spacing w:line="257" w:lineRule="exact" w:before="0" w:after="0"/>
        <w:ind w:left="652" w:right="0" w:hanging="335"/>
        <w:jc w:val="left"/>
        <w:rPr>
          <w:sz w:val="24"/>
        </w:rPr>
      </w:pPr>
      <w:r>
        <w:rPr>
          <w:w w:val="130"/>
          <w:sz w:val="24"/>
        </w:rPr>
        <w:t>a</w:t>
      </w:r>
      <w:r>
        <w:rPr>
          <w:spacing w:val="-21"/>
          <w:w w:val="130"/>
          <w:sz w:val="24"/>
        </w:rPr>
        <w:t> </w:t>
      </w:r>
      <w:r>
        <w:rPr>
          <w:w w:val="130"/>
          <w:sz w:val="24"/>
        </w:rPr>
        <w:t>pénzügyi</w:t>
      </w:r>
      <w:r>
        <w:rPr>
          <w:spacing w:val="-16"/>
          <w:w w:val="130"/>
          <w:sz w:val="24"/>
        </w:rPr>
        <w:t> </w:t>
      </w:r>
      <w:r>
        <w:rPr>
          <w:w w:val="130"/>
          <w:sz w:val="24"/>
        </w:rPr>
        <w:t>intézmény</w:t>
      </w:r>
      <w:r>
        <w:rPr>
          <w:spacing w:val="-14"/>
          <w:w w:val="130"/>
          <w:sz w:val="24"/>
        </w:rPr>
        <w:t> </w:t>
      </w:r>
      <w:r>
        <w:rPr>
          <w:w w:val="130"/>
          <w:sz w:val="24"/>
        </w:rPr>
        <w:t>nem</w:t>
      </w:r>
      <w:r>
        <w:rPr>
          <w:spacing w:val="-14"/>
          <w:w w:val="130"/>
          <w:sz w:val="24"/>
        </w:rPr>
        <w:t> </w:t>
      </w:r>
      <w:r>
        <w:rPr>
          <w:w w:val="130"/>
          <w:sz w:val="24"/>
        </w:rPr>
        <w:t>tud</w:t>
      </w:r>
      <w:r>
        <w:rPr>
          <w:spacing w:val="-14"/>
          <w:w w:val="130"/>
          <w:sz w:val="24"/>
        </w:rPr>
        <w:t> </w:t>
      </w:r>
      <w:r>
        <w:rPr>
          <w:w w:val="130"/>
          <w:sz w:val="24"/>
        </w:rPr>
        <w:t>eleget</w:t>
      </w:r>
      <w:r>
        <w:rPr>
          <w:spacing w:val="-14"/>
          <w:w w:val="130"/>
          <w:sz w:val="24"/>
        </w:rPr>
        <w:t> </w:t>
      </w:r>
      <w:r>
        <w:rPr>
          <w:w w:val="130"/>
          <w:sz w:val="24"/>
        </w:rPr>
        <w:t>tenni</w:t>
      </w:r>
      <w:r>
        <w:rPr>
          <w:spacing w:val="-14"/>
          <w:w w:val="130"/>
          <w:sz w:val="24"/>
        </w:rPr>
        <w:t> </w:t>
      </w:r>
      <w:r>
        <w:rPr>
          <w:w w:val="130"/>
          <w:sz w:val="24"/>
        </w:rPr>
        <w:t>fizetési</w:t>
      </w:r>
      <w:r>
        <w:rPr>
          <w:spacing w:val="-13"/>
          <w:w w:val="130"/>
          <w:sz w:val="24"/>
        </w:rPr>
        <w:t> </w:t>
      </w:r>
      <w:r>
        <w:rPr>
          <w:w w:val="130"/>
          <w:sz w:val="24"/>
        </w:rPr>
        <w:t>kötelezettségeinek,</w:t>
      </w:r>
    </w:p>
    <w:p>
      <w:pPr>
        <w:pStyle w:val="ListParagraph"/>
        <w:numPr>
          <w:ilvl w:val="0"/>
          <w:numId w:val="328"/>
        </w:numPr>
        <w:tabs>
          <w:tab w:pos="806" w:val="left" w:leader="none"/>
        </w:tabs>
        <w:spacing w:line="225" w:lineRule="auto" w:before="5" w:after="0"/>
        <w:ind w:left="113" w:right="128" w:firstLine="204"/>
        <w:jc w:val="both"/>
        <w:rPr>
          <w:sz w:val="24"/>
        </w:rPr>
      </w:pPr>
      <w:r>
        <w:rPr>
          <w:w w:val="125"/>
          <w:sz w:val="24"/>
        </w:rPr>
        <w:t>bekövetkezett a pénzügyi intézmény alapítási vagy tevékenységi engedélye visszavonásának a 32. §-ban meghatározott</w:t>
      </w:r>
      <w:r>
        <w:rPr>
          <w:spacing w:val="9"/>
          <w:w w:val="125"/>
          <w:sz w:val="24"/>
        </w:rPr>
        <w:t> </w:t>
      </w:r>
      <w:r>
        <w:rPr>
          <w:w w:val="125"/>
          <w:sz w:val="24"/>
        </w:rPr>
        <w:t>oka.</w:t>
      </w:r>
    </w:p>
    <w:p>
      <w:pPr>
        <w:pStyle w:val="BodyText"/>
        <w:spacing w:before="228"/>
        <w:ind w:left="3464" w:firstLine="0"/>
      </w:pPr>
      <w:r>
        <w:rPr>
          <w:w w:val="130"/>
        </w:rPr>
        <w:t>63. Összeférhetetlenség</w:t>
      </w:r>
    </w:p>
    <w:p>
      <w:pPr>
        <w:pStyle w:val="ListParagraph"/>
        <w:numPr>
          <w:ilvl w:val="0"/>
          <w:numId w:val="322"/>
        </w:numPr>
        <w:tabs>
          <w:tab w:pos="985" w:val="left" w:leader="none"/>
        </w:tabs>
        <w:spacing w:line="269" w:lineRule="exact" w:before="223" w:after="0"/>
        <w:ind w:left="984" w:right="0" w:hanging="667"/>
        <w:jc w:val="left"/>
        <w:rPr>
          <w:sz w:val="24"/>
        </w:rPr>
      </w:pPr>
      <w:r>
        <w:rPr>
          <w:rFonts w:ascii="Arial" w:hAnsi="Arial"/>
          <w:b/>
          <w:w w:val="125"/>
          <w:sz w:val="24"/>
        </w:rPr>
        <w:t>§ </w:t>
      </w:r>
      <w:r>
        <w:rPr>
          <w:w w:val="125"/>
          <w:sz w:val="24"/>
        </w:rPr>
        <w:t>A vezető állású személy a Felügyeletnek haladéktalanul bejelenti,</w:t>
      </w:r>
      <w:r>
        <w:rPr>
          <w:spacing w:val="10"/>
          <w:w w:val="125"/>
          <w:sz w:val="24"/>
        </w:rPr>
        <w:t> </w:t>
      </w:r>
      <w:r>
        <w:rPr>
          <w:w w:val="125"/>
          <w:sz w:val="24"/>
        </w:rPr>
        <w:t>ha</w:t>
      </w:r>
    </w:p>
    <w:p>
      <w:pPr>
        <w:pStyle w:val="ListParagraph"/>
        <w:numPr>
          <w:ilvl w:val="0"/>
          <w:numId w:val="329"/>
        </w:numPr>
        <w:tabs>
          <w:tab w:pos="646" w:val="left" w:leader="none"/>
        </w:tabs>
        <w:spacing w:line="225" w:lineRule="auto" w:before="5" w:after="0"/>
        <w:ind w:left="113" w:right="116" w:firstLine="204"/>
        <w:jc w:val="both"/>
        <w:rPr>
          <w:sz w:val="24"/>
        </w:rPr>
      </w:pPr>
      <w:r>
        <w:rPr>
          <w:w w:val="125"/>
          <w:sz w:val="24"/>
        </w:rPr>
        <w:t>egy másik pénzügyi intézménynél igazgatósági taggá, felügyelő bizottsági taggá, ügyvezetővé vagy fióktelep formájában működő pénzügyi intézmény vezető tisztségviselőjévé választják, vagy ilyen tisztségét</w:t>
      </w:r>
      <w:r>
        <w:rPr>
          <w:spacing w:val="12"/>
          <w:w w:val="125"/>
          <w:sz w:val="24"/>
        </w:rPr>
        <w:t> </w:t>
      </w:r>
      <w:r>
        <w:rPr>
          <w:w w:val="125"/>
          <w:sz w:val="24"/>
        </w:rPr>
        <w:t>megszünteti,</w:t>
      </w:r>
    </w:p>
    <w:p>
      <w:pPr>
        <w:pStyle w:val="ListParagraph"/>
        <w:numPr>
          <w:ilvl w:val="0"/>
          <w:numId w:val="329"/>
        </w:numPr>
        <w:tabs>
          <w:tab w:pos="711" w:val="left" w:leader="none"/>
        </w:tabs>
        <w:spacing w:line="225" w:lineRule="auto" w:before="2" w:after="0"/>
        <w:ind w:left="113" w:right="132" w:firstLine="204"/>
        <w:jc w:val="both"/>
        <w:rPr>
          <w:sz w:val="24"/>
        </w:rPr>
      </w:pPr>
      <w:r>
        <w:rPr>
          <w:w w:val="125"/>
          <w:sz w:val="24"/>
        </w:rPr>
        <w:t>vállalkozásban befolyásoló részesedést szerez vagy az ilyen befolyását megszünteti,</w:t>
      </w:r>
    </w:p>
    <w:p>
      <w:pPr>
        <w:pStyle w:val="ListParagraph"/>
        <w:numPr>
          <w:ilvl w:val="0"/>
          <w:numId w:val="329"/>
        </w:numPr>
        <w:tabs>
          <w:tab w:pos="623" w:val="left" w:leader="none"/>
        </w:tabs>
        <w:spacing w:line="255" w:lineRule="exact" w:before="0" w:after="0"/>
        <w:ind w:left="622" w:right="0" w:hanging="305"/>
        <w:jc w:val="left"/>
        <w:rPr>
          <w:sz w:val="24"/>
        </w:rPr>
      </w:pPr>
      <w:r>
        <w:rPr>
          <w:w w:val="125"/>
          <w:sz w:val="24"/>
        </w:rPr>
        <w:t>ellene a 137. § (6) bekezdésben meghatározott büntetőeljárás</w:t>
      </w:r>
      <w:r>
        <w:rPr>
          <w:spacing w:val="55"/>
          <w:w w:val="125"/>
          <w:sz w:val="24"/>
        </w:rPr>
        <w:t> </w:t>
      </w:r>
      <w:r>
        <w:rPr>
          <w:w w:val="125"/>
          <w:sz w:val="24"/>
        </w:rPr>
        <w:t>indul.</w:t>
      </w:r>
    </w:p>
    <w:p>
      <w:pPr>
        <w:pStyle w:val="ListParagraph"/>
        <w:numPr>
          <w:ilvl w:val="0"/>
          <w:numId w:val="322"/>
        </w:numPr>
        <w:tabs>
          <w:tab w:pos="1063" w:val="left" w:leader="none"/>
        </w:tabs>
        <w:spacing w:line="225" w:lineRule="auto" w:before="5" w:after="0"/>
        <w:ind w:left="113" w:right="125" w:firstLine="204"/>
        <w:jc w:val="both"/>
        <w:rPr>
          <w:sz w:val="24"/>
        </w:rPr>
      </w:pPr>
      <w:r>
        <w:rPr>
          <w:rFonts w:ascii="Arial" w:hAnsi="Arial"/>
          <w:b/>
          <w:w w:val="125"/>
          <w:sz w:val="24"/>
        </w:rPr>
        <w:t>§ </w:t>
      </w:r>
      <w:r>
        <w:rPr>
          <w:w w:val="125"/>
          <w:sz w:val="24"/>
        </w:rPr>
        <w:t>(1) A vezető állású személy és az üzleti döntésre felhatalmazott alkalmazott nem vehet részt a pénzügyi intézmény által történő kötelezettségvállalásra vonatkozó döntés előkészítésében és meghozatalában,  ha annál az ügyfélnél, amely részére a kockázatvállalás történik vezető állást tölt be vagy befolyásoló részesedéssel</w:t>
      </w:r>
      <w:r>
        <w:rPr>
          <w:spacing w:val="8"/>
          <w:w w:val="125"/>
          <w:sz w:val="24"/>
        </w:rPr>
        <w:t> </w:t>
      </w:r>
      <w:r>
        <w:rPr>
          <w:w w:val="125"/>
          <w:sz w:val="24"/>
        </w:rPr>
        <w:t>rendelkezik.</w:t>
      </w:r>
    </w:p>
    <w:p>
      <w:pPr>
        <w:pStyle w:val="ListParagraph"/>
        <w:numPr>
          <w:ilvl w:val="0"/>
          <w:numId w:val="330"/>
        </w:numPr>
        <w:tabs>
          <w:tab w:pos="763" w:val="left" w:leader="none"/>
        </w:tabs>
        <w:spacing w:line="225" w:lineRule="auto" w:before="3" w:after="0"/>
        <w:ind w:left="113" w:right="128" w:firstLine="204"/>
        <w:jc w:val="both"/>
        <w:rPr>
          <w:sz w:val="24"/>
        </w:rPr>
      </w:pPr>
      <w:r>
        <w:rPr>
          <w:w w:val="125"/>
          <w:sz w:val="24"/>
        </w:rPr>
        <w:t>A vezető állású személy, a pénzügyi intézmény alkalmazottja, megbízott szakértője nem vehet részt olyan döntés előkészítésében és olyan döntésben, amelyhez saját magának, közeli hozzátartozójának vagy a közvetlen és közvetett tulajdonában álló vállalkozásnak üzleti érdeke</w:t>
      </w:r>
      <w:r>
        <w:rPr>
          <w:spacing w:val="6"/>
          <w:w w:val="125"/>
          <w:sz w:val="24"/>
        </w:rPr>
        <w:t> </w:t>
      </w:r>
      <w:r>
        <w:rPr>
          <w:w w:val="125"/>
          <w:sz w:val="24"/>
        </w:rPr>
        <w:t>fűződik.</w:t>
      </w:r>
    </w:p>
    <w:p>
      <w:pPr>
        <w:pStyle w:val="ListParagraph"/>
        <w:numPr>
          <w:ilvl w:val="0"/>
          <w:numId w:val="330"/>
        </w:numPr>
        <w:tabs>
          <w:tab w:pos="834" w:val="left" w:leader="none"/>
        </w:tabs>
        <w:spacing w:line="225" w:lineRule="auto" w:before="2" w:after="0"/>
        <w:ind w:left="113" w:right="130" w:firstLine="204"/>
        <w:jc w:val="both"/>
        <w:rPr>
          <w:sz w:val="24"/>
        </w:rPr>
      </w:pPr>
      <w:r>
        <w:rPr>
          <w:w w:val="125"/>
          <w:sz w:val="24"/>
        </w:rPr>
        <w:t>A vezető állású személy nem vállalhat szerződéses kötelezettséget - ideértve az adásvételi szerződést is - azzal a pénzügyi intézménnyel, amelyben igazgatósági vagy felügyelő bizottsági tag, vagy ügyvezető, kivéve, ha a szerződés megkötéséhez az igazgatóság előzetesen egyhangú szavazással hozzájárult.</w:t>
      </w:r>
    </w:p>
    <w:p>
      <w:pPr>
        <w:pStyle w:val="ListParagraph"/>
        <w:numPr>
          <w:ilvl w:val="0"/>
          <w:numId w:val="330"/>
        </w:numPr>
        <w:tabs>
          <w:tab w:pos="802" w:val="left" w:leader="none"/>
        </w:tabs>
        <w:spacing w:line="225" w:lineRule="auto" w:before="3" w:after="0"/>
        <w:ind w:left="113" w:right="124" w:firstLine="204"/>
        <w:jc w:val="both"/>
        <w:rPr>
          <w:sz w:val="24"/>
        </w:rPr>
      </w:pPr>
      <w:r>
        <w:rPr>
          <w:w w:val="130"/>
          <w:sz w:val="24"/>
        </w:rPr>
        <w:t>A (3) bekezdésben foglalt rendelkezést kell megfelelően alkalmazni a csoporthoz</w:t>
      </w:r>
      <w:r>
        <w:rPr>
          <w:spacing w:val="-17"/>
          <w:w w:val="130"/>
          <w:sz w:val="24"/>
        </w:rPr>
        <w:t> </w:t>
      </w:r>
      <w:r>
        <w:rPr>
          <w:w w:val="130"/>
          <w:sz w:val="24"/>
        </w:rPr>
        <w:t>tartozó</w:t>
      </w:r>
      <w:r>
        <w:rPr>
          <w:spacing w:val="-16"/>
          <w:w w:val="130"/>
          <w:sz w:val="24"/>
        </w:rPr>
        <w:t> </w:t>
      </w:r>
      <w:r>
        <w:rPr>
          <w:w w:val="130"/>
          <w:sz w:val="24"/>
        </w:rPr>
        <w:t>pénzügyi</w:t>
      </w:r>
      <w:r>
        <w:rPr>
          <w:spacing w:val="-17"/>
          <w:w w:val="130"/>
          <w:sz w:val="24"/>
        </w:rPr>
        <w:t> </w:t>
      </w:r>
      <w:r>
        <w:rPr>
          <w:w w:val="130"/>
          <w:sz w:val="24"/>
        </w:rPr>
        <w:t>intézményben</w:t>
      </w:r>
      <w:r>
        <w:rPr>
          <w:spacing w:val="-16"/>
          <w:w w:val="130"/>
          <w:sz w:val="24"/>
        </w:rPr>
        <w:t> </w:t>
      </w:r>
      <w:r>
        <w:rPr>
          <w:w w:val="130"/>
          <w:sz w:val="24"/>
        </w:rPr>
        <w:t>igazgatósági,</w:t>
      </w:r>
      <w:r>
        <w:rPr>
          <w:spacing w:val="-17"/>
          <w:w w:val="130"/>
          <w:sz w:val="24"/>
        </w:rPr>
        <w:t> </w:t>
      </w:r>
      <w:r>
        <w:rPr>
          <w:w w:val="130"/>
          <w:sz w:val="24"/>
        </w:rPr>
        <w:t>felügyelő</w:t>
      </w:r>
      <w:r>
        <w:rPr>
          <w:spacing w:val="-16"/>
          <w:w w:val="130"/>
          <w:sz w:val="24"/>
        </w:rPr>
        <w:t> </w:t>
      </w:r>
      <w:r>
        <w:rPr>
          <w:w w:val="130"/>
          <w:sz w:val="24"/>
        </w:rPr>
        <w:t>bizottsági, ügyvezetői tisztséget vagy állást betöltő vezető állású személyre, ha a csoporthoz tartozó pénzügyi intézménnyel kíván szerződést kötni. Ebben az esetben a szerződéskötéshez a szerződő pénzügyi intézmény és az irányító</w:t>
      </w:r>
      <w:r>
        <w:rPr>
          <w:spacing w:val="78"/>
          <w:w w:val="130"/>
          <w:sz w:val="24"/>
        </w:rPr>
        <w:t> </w:t>
      </w:r>
      <w:r>
        <w:rPr>
          <w:w w:val="130"/>
          <w:sz w:val="24"/>
        </w:rPr>
        <w:t>hitelintézet igazgatóságának előzetes egyetértése szükséges, ha az nem azonos az irányító</w:t>
      </w:r>
      <w:r>
        <w:rPr>
          <w:spacing w:val="-13"/>
          <w:w w:val="130"/>
          <w:sz w:val="24"/>
        </w:rPr>
        <w:t> </w:t>
      </w:r>
      <w:r>
        <w:rPr>
          <w:w w:val="130"/>
          <w:sz w:val="24"/>
        </w:rPr>
        <w:t>hitelintézettel.</w:t>
      </w:r>
    </w:p>
    <w:p>
      <w:pPr>
        <w:pStyle w:val="ListParagraph"/>
        <w:numPr>
          <w:ilvl w:val="0"/>
          <w:numId w:val="330"/>
        </w:numPr>
        <w:tabs>
          <w:tab w:pos="885" w:val="left" w:leader="none"/>
        </w:tabs>
        <w:spacing w:line="225" w:lineRule="auto" w:before="4" w:after="0"/>
        <w:ind w:left="113" w:right="125" w:firstLine="204"/>
        <w:jc w:val="both"/>
        <w:rPr>
          <w:sz w:val="24"/>
        </w:rPr>
      </w:pPr>
      <w:r>
        <w:rPr>
          <w:w w:val="125"/>
          <w:sz w:val="24"/>
        </w:rPr>
        <w:t>Az (1) bekezdés szerinti korlátozást nem kell alkalmazni, ha a kockázatvállalást megalapozó döntés olyan összevont felügyelet alá tartozó vállalkozásra vonatkozik, amely összevont alapú felügyelet kiterjed arra a pénzügyi intézményre is, amelynél a döntésben résztvevő vezető állású  személy vagy az üzleti döntésre felhatalmazott alkalmazott tölt  be  vezető állást.</w:t>
      </w:r>
    </w:p>
    <w:p>
      <w:pPr>
        <w:pStyle w:val="ListParagraph"/>
        <w:numPr>
          <w:ilvl w:val="0"/>
          <w:numId w:val="322"/>
        </w:numPr>
        <w:tabs>
          <w:tab w:pos="1096" w:val="left" w:leader="none"/>
        </w:tabs>
        <w:spacing w:line="225" w:lineRule="auto" w:before="3" w:after="0"/>
        <w:ind w:left="113" w:right="121" w:firstLine="204"/>
        <w:jc w:val="both"/>
        <w:rPr>
          <w:sz w:val="24"/>
        </w:rPr>
      </w:pPr>
      <w:r>
        <w:rPr>
          <w:rFonts w:ascii="Arial" w:hAnsi="Arial"/>
          <w:b/>
          <w:w w:val="125"/>
          <w:sz w:val="24"/>
        </w:rPr>
        <w:t>§ </w:t>
      </w:r>
      <w:r>
        <w:rPr>
          <w:w w:val="125"/>
          <w:sz w:val="24"/>
        </w:rPr>
        <w:t>(1) A mérlegfőösszeg tekintetében legalább 5 százalékos piaci részesedéssel rendelkező hitelintézetnél a következő tisztségeket lehet együttesen betölteni:</w:t>
      </w:r>
    </w:p>
    <w:p>
      <w:pPr>
        <w:pStyle w:val="ListParagraph"/>
        <w:numPr>
          <w:ilvl w:val="0"/>
          <w:numId w:val="331"/>
        </w:numPr>
        <w:tabs>
          <w:tab w:pos="758" w:val="left" w:leader="none"/>
        </w:tabs>
        <w:spacing w:line="225" w:lineRule="auto" w:before="1" w:after="0"/>
        <w:ind w:left="113" w:right="133" w:firstLine="204"/>
        <w:jc w:val="both"/>
        <w:rPr>
          <w:sz w:val="24"/>
        </w:rPr>
      </w:pPr>
      <w:r>
        <w:rPr>
          <w:w w:val="125"/>
          <w:sz w:val="24"/>
        </w:rPr>
        <w:t>egy ügyvezetői tisztség és vezető testületben betöltött, kettő nem ügyvezetői tisztség vagy</w:t>
      </w:r>
    </w:p>
    <w:p>
      <w:pPr>
        <w:pStyle w:val="ListParagraph"/>
        <w:numPr>
          <w:ilvl w:val="0"/>
          <w:numId w:val="331"/>
        </w:numPr>
        <w:tabs>
          <w:tab w:pos="653" w:val="left" w:leader="none"/>
        </w:tabs>
        <w:spacing w:line="256" w:lineRule="exact" w:before="0" w:after="0"/>
        <w:ind w:left="652" w:right="0" w:hanging="335"/>
        <w:jc w:val="left"/>
        <w:rPr>
          <w:sz w:val="24"/>
        </w:rPr>
      </w:pPr>
      <w:r>
        <w:rPr>
          <w:w w:val="130"/>
          <w:sz w:val="24"/>
        </w:rPr>
        <w:t>vezető testületben betöltött, négy nem ügyvezetői</w:t>
      </w:r>
      <w:r>
        <w:rPr>
          <w:spacing w:val="-49"/>
          <w:w w:val="130"/>
          <w:sz w:val="24"/>
        </w:rPr>
        <w:t> </w:t>
      </w:r>
      <w:r>
        <w:rPr>
          <w:w w:val="130"/>
          <w:sz w:val="24"/>
        </w:rPr>
        <w:t>tisztség.</w:t>
      </w:r>
    </w:p>
    <w:p>
      <w:pPr>
        <w:pStyle w:val="ListParagraph"/>
        <w:numPr>
          <w:ilvl w:val="0"/>
          <w:numId w:val="332"/>
        </w:numPr>
        <w:tabs>
          <w:tab w:pos="734" w:val="left" w:leader="none"/>
        </w:tabs>
        <w:spacing w:line="268" w:lineRule="exact" w:before="0" w:after="0"/>
        <w:ind w:left="733" w:right="0" w:hanging="416"/>
        <w:jc w:val="left"/>
        <w:rPr>
          <w:sz w:val="24"/>
        </w:rPr>
      </w:pPr>
      <w:r>
        <w:rPr>
          <w:w w:val="125"/>
          <w:sz w:val="24"/>
        </w:rPr>
        <w:t>Az (1) bekezdés alkalmazásában egy ügyvezetői tisztségnek minősül</w:t>
      </w:r>
    </w:p>
    <w:p>
      <w:pPr>
        <w:spacing w:after="0" w:line="268" w:lineRule="exact"/>
        <w:jc w:val="left"/>
        <w:rPr>
          <w:sz w:val="24"/>
        </w:rPr>
        <w:sectPr>
          <w:pgSz w:w="11900" w:h="16820"/>
          <w:pgMar w:header="1104" w:footer="0" w:top="1840" w:bottom="280" w:left="1020" w:right="1000"/>
        </w:sectPr>
      </w:pPr>
    </w:p>
    <w:p>
      <w:pPr>
        <w:pStyle w:val="ListParagraph"/>
        <w:numPr>
          <w:ilvl w:val="0"/>
          <w:numId w:val="333"/>
        </w:numPr>
        <w:tabs>
          <w:tab w:pos="635" w:val="left" w:leader="none"/>
        </w:tabs>
        <w:spacing w:line="225" w:lineRule="auto" w:before="173" w:after="0"/>
        <w:ind w:left="113" w:right="127" w:firstLine="204"/>
        <w:jc w:val="left"/>
        <w:rPr>
          <w:sz w:val="24"/>
        </w:rPr>
      </w:pPr>
      <w:r>
        <w:rPr>
          <w:w w:val="125"/>
          <w:sz w:val="24"/>
        </w:rPr>
        <w:t>az ugyanazon csoporton belül betöltött ügyvezetői vagy vezető testületben betöltött, nem ügyvezetői</w:t>
      </w:r>
      <w:r>
        <w:rPr>
          <w:spacing w:val="5"/>
          <w:w w:val="125"/>
          <w:sz w:val="24"/>
        </w:rPr>
        <w:t> </w:t>
      </w:r>
      <w:r>
        <w:rPr>
          <w:w w:val="125"/>
          <w:sz w:val="24"/>
        </w:rPr>
        <w:t>tisztség,</w:t>
      </w:r>
    </w:p>
    <w:p>
      <w:pPr>
        <w:pStyle w:val="ListParagraph"/>
        <w:numPr>
          <w:ilvl w:val="0"/>
          <w:numId w:val="333"/>
        </w:numPr>
        <w:tabs>
          <w:tab w:pos="567" w:val="left" w:leader="none"/>
          <w:tab w:pos="912" w:val="left" w:leader="none"/>
          <w:tab w:pos="2481" w:val="left" w:leader="none"/>
          <w:tab w:pos="3282" w:val="left" w:leader="none"/>
          <w:tab w:pos="4822" w:val="left" w:leader="none"/>
          <w:tab w:pos="5331" w:val="left" w:leader="none"/>
          <w:tab w:pos="6336" w:val="left" w:leader="none"/>
          <w:tab w:pos="7942" w:val="left" w:leader="none"/>
          <w:tab w:pos="9221" w:val="left" w:leader="none"/>
        </w:tabs>
        <w:spacing w:line="249" w:lineRule="exact" w:before="0" w:after="0"/>
        <w:ind w:left="566" w:right="0" w:hanging="249"/>
        <w:jc w:val="left"/>
        <w:rPr>
          <w:sz w:val="24"/>
        </w:rPr>
      </w:pPr>
      <w:r>
        <w:rPr>
          <w:i/>
          <w:w w:val="130"/>
          <w:position w:val="3"/>
          <w:sz w:val="18"/>
        </w:rPr>
        <w:t>1</w:t>
        <w:tab/>
      </w:r>
      <w:r>
        <w:rPr>
          <w:w w:val="130"/>
          <w:sz w:val="24"/>
        </w:rPr>
        <w:t>együttesen</w:t>
        <w:tab/>
        <w:t>azon</w:t>
        <w:tab/>
        <w:t>ügyvezetői</w:t>
        <w:tab/>
        <w:t>és</w:t>
        <w:tab/>
        <w:t>vezető</w:t>
        <w:tab/>
        <w:t>testületben</w:t>
        <w:tab/>
        <w:t>betöltött</w:t>
        <w:tab/>
        <w:t>nem</w:t>
      </w:r>
    </w:p>
    <w:p>
      <w:pPr>
        <w:pStyle w:val="BodyText"/>
        <w:spacing w:line="267" w:lineRule="exact"/>
        <w:ind w:firstLine="0"/>
      </w:pPr>
      <w:r>
        <w:rPr>
          <w:w w:val="125"/>
        </w:rPr>
        <w:t>ügyvezetői tisztség, amelyet</w:t>
      </w:r>
    </w:p>
    <w:p>
      <w:pPr>
        <w:pStyle w:val="BodyText"/>
        <w:spacing w:line="260" w:lineRule="exact"/>
        <w:ind w:left="317" w:firstLine="0"/>
      </w:pPr>
      <w:r>
        <w:rPr>
          <w:i/>
          <w:w w:val="125"/>
        </w:rPr>
        <w:t>ba) </w:t>
      </w:r>
      <w:r>
        <w:rPr>
          <w:w w:val="125"/>
        </w:rPr>
        <w:t>intézményvédelmi rendszer hitelintézeti tagjánál töltenek be, vagy</w:t>
      </w:r>
    </w:p>
    <w:p>
      <w:pPr>
        <w:pStyle w:val="BodyText"/>
        <w:spacing w:line="225" w:lineRule="auto" w:before="5"/>
        <w:ind w:right="131"/>
        <w:jc w:val="both"/>
      </w:pPr>
      <w:r>
        <w:rPr>
          <w:i/>
          <w:w w:val="125"/>
        </w:rPr>
        <w:t>bb) </w:t>
      </w:r>
      <w:r>
        <w:rPr>
          <w:w w:val="125"/>
        </w:rPr>
        <w:t>olyan vállalkozásnál töltenek be, amelyben az (1) bekezdésben meghatározott hitelintézet befolyásoló részesedéssel rendelkezik.</w:t>
      </w:r>
    </w:p>
    <w:p>
      <w:pPr>
        <w:pStyle w:val="ListParagraph"/>
        <w:numPr>
          <w:ilvl w:val="0"/>
          <w:numId w:val="332"/>
        </w:numPr>
        <w:tabs>
          <w:tab w:pos="803" w:val="left" w:leader="none"/>
        </w:tabs>
        <w:spacing w:line="225" w:lineRule="auto" w:before="1" w:after="0"/>
        <w:ind w:left="113" w:right="124" w:firstLine="204"/>
        <w:jc w:val="both"/>
        <w:rPr>
          <w:sz w:val="24"/>
        </w:rPr>
      </w:pPr>
      <w:r>
        <w:rPr>
          <w:w w:val="130"/>
          <w:sz w:val="24"/>
        </w:rPr>
        <w:t>Az (1) bekezdésben meghatározott korlátozás nem terjed ki az olyan szervezetben betöltött ügyvezetői tisztségre, amely nem folytat üzleti jellegű tevékenységet.</w:t>
      </w:r>
    </w:p>
    <w:p>
      <w:pPr>
        <w:pStyle w:val="ListParagraph"/>
        <w:numPr>
          <w:ilvl w:val="0"/>
          <w:numId w:val="332"/>
        </w:numPr>
        <w:tabs>
          <w:tab w:pos="659" w:val="left" w:leader="none"/>
          <w:tab w:pos="1017" w:val="left" w:leader="none"/>
          <w:tab w:pos="1435" w:val="left" w:leader="none"/>
          <w:tab w:pos="2963" w:val="left" w:leader="none"/>
          <w:tab w:pos="5041" w:val="left" w:leader="none"/>
          <w:tab w:pos="5573" w:val="left" w:leader="none"/>
          <w:tab w:pos="6141" w:val="left" w:leader="none"/>
          <w:tab w:pos="7964" w:val="left" w:leader="none"/>
        </w:tabs>
        <w:spacing w:line="250" w:lineRule="exact" w:before="0" w:after="0"/>
        <w:ind w:left="658" w:right="0" w:hanging="341"/>
        <w:jc w:val="left"/>
        <w:rPr>
          <w:sz w:val="24"/>
        </w:rPr>
      </w:pPr>
      <w:r>
        <w:rPr>
          <w:i/>
          <w:w w:val="125"/>
          <w:position w:val="3"/>
          <w:sz w:val="18"/>
        </w:rPr>
        <w:t>2</w:t>
        <w:tab/>
      </w:r>
      <w:r>
        <w:rPr>
          <w:w w:val="125"/>
          <w:sz w:val="24"/>
        </w:rPr>
        <w:t>A</w:t>
        <w:tab/>
        <w:t>Felügyelet</w:t>
        <w:tab/>
        <w:t>engedélyezheti</w:t>
        <w:tab/>
        <w:t>az</w:t>
        <w:tab/>
        <w:t>(1)</w:t>
        <w:tab/>
        <w:t>bekezdésben</w:t>
        <w:tab/>
        <w:t>meghatározott</w:t>
      </w:r>
    </w:p>
    <w:p>
      <w:pPr>
        <w:pStyle w:val="BodyText"/>
        <w:tabs>
          <w:tab w:pos="1804" w:val="left" w:leader="none"/>
          <w:tab w:pos="2899" w:val="left" w:leader="none"/>
          <w:tab w:pos="4716" w:val="left" w:leader="none"/>
          <w:tab w:pos="5645" w:val="left" w:leader="none"/>
          <w:tab w:pos="7042" w:val="left" w:leader="none"/>
          <w:tab w:pos="7940" w:val="left" w:leader="none"/>
          <w:tab w:pos="8393" w:val="left" w:leader="none"/>
        </w:tabs>
        <w:spacing w:line="225" w:lineRule="auto" w:before="12"/>
        <w:ind w:right="133" w:firstLine="0"/>
      </w:pPr>
      <w:r>
        <w:rPr>
          <w:w w:val="130"/>
        </w:rPr>
        <w:t>hitelintézet</w:t>
        <w:tab/>
        <w:t>vezető</w:t>
        <w:tab/>
        <w:t>testületének</w:t>
        <w:tab/>
        <w:t>tagja</w:t>
        <w:tab/>
        <w:t>számára,</w:t>
        <w:tab/>
        <w:t>hogy</w:t>
        <w:tab/>
        <w:t>a</w:t>
        <w:tab/>
      </w:r>
      <w:r>
        <w:rPr>
          <w:spacing w:val="-1"/>
          <w:w w:val="125"/>
        </w:rPr>
        <w:t>korlátozást </w:t>
      </w:r>
      <w:r>
        <w:rPr>
          <w:w w:val="130"/>
        </w:rPr>
        <w:t>meghaladóan</w:t>
      </w:r>
      <w:r>
        <w:rPr>
          <w:spacing w:val="-9"/>
          <w:w w:val="130"/>
        </w:rPr>
        <w:t> </w:t>
      </w:r>
      <w:r>
        <w:rPr>
          <w:w w:val="130"/>
        </w:rPr>
        <w:t>további</w:t>
      </w:r>
      <w:r>
        <w:rPr>
          <w:spacing w:val="-9"/>
          <w:w w:val="130"/>
        </w:rPr>
        <w:t> </w:t>
      </w:r>
      <w:r>
        <w:rPr>
          <w:w w:val="130"/>
        </w:rPr>
        <w:t>egy</w:t>
      </w:r>
      <w:r>
        <w:rPr>
          <w:spacing w:val="-9"/>
          <w:w w:val="130"/>
        </w:rPr>
        <w:t> </w:t>
      </w:r>
      <w:r>
        <w:rPr>
          <w:w w:val="130"/>
        </w:rPr>
        <w:t>nem</w:t>
      </w:r>
      <w:r>
        <w:rPr>
          <w:spacing w:val="-8"/>
          <w:w w:val="130"/>
        </w:rPr>
        <w:t> </w:t>
      </w:r>
      <w:r>
        <w:rPr>
          <w:w w:val="130"/>
        </w:rPr>
        <w:t>ügyvezetői</w:t>
      </w:r>
      <w:r>
        <w:rPr>
          <w:spacing w:val="-8"/>
          <w:w w:val="130"/>
        </w:rPr>
        <w:t> </w:t>
      </w:r>
      <w:r>
        <w:rPr>
          <w:w w:val="130"/>
        </w:rPr>
        <w:t>tisztséget</w:t>
      </w:r>
      <w:r>
        <w:rPr>
          <w:spacing w:val="-9"/>
          <w:w w:val="130"/>
        </w:rPr>
        <w:t> </w:t>
      </w:r>
      <w:r>
        <w:rPr>
          <w:w w:val="130"/>
        </w:rPr>
        <w:t>töltsön</w:t>
      </w:r>
      <w:r>
        <w:rPr>
          <w:spacing w:val="-9"/>
          <w:w w:val="130"/>
        </w:rPr>
        <w:t> </w:t>
      </w:r>
      <w:r>
        <w:rPr>
          <w:w w:val="130"/>
        </w:rPr>
        <w:t>be.</w:t>
      </w:r>
    </w:p>
    <w:p>
      <w:pPr>
        <w:pStyle w:val="BodyText"/>
        <w:spacing w:before="228"/>
        <w:ind w:left="1764" w:firstLine="0"/>
      </w:pPr>
      <w:r>
        <w:rPr>
          <w:w w:val="125"/>
        </w:rPr>
        <w:t>64. A belső információval kapcsolatos ügylet tilalma</w:t>
      </w:r>
    </w:p>
    <w:p>
      <w:pPr>
        <w:pStyle w:val="ListParagraph"/>
        <w:numPr>
          <w:ilvl w:val="0"/>
          <w:numId w:val="322"/>
        </w:numPr>
        <w:tabs>
          <w:tab w:pos="1036" w:val="left" w:leader="none"/>
        </w:tabs>
        <w:spacing w:line="225" w:lineRule="auto" w:before="236" w:after="0"/>
        <w:ind w:left="113" w:right="117" w:firstLine="204"/>
        <w:jc w:val="both"/>
        <w:rPr>
          <w:sz w:val="24"/>
        </w:rPr>
      </w:pPr>
      <w:r>
        <w:rPr>
          <w:rFonts w:ascii="Arial" w:hAnsi="Arial"/>
          <w:b/>
          <w:w w:val="125"/>
          <w:sz w:val="24"/>
        </w:rPr>
        <w:t>§ </w:t>
      </w:r>
      <w:r>
        <w:rPr>
          <w:w w:val="125"/>
          <w:sz w:val="24"/>
        </w:rPr>
        <w:t>(1) Belső információ a pénzügyi intézmény vagy ügyfele pénzügyi, gazdasági vagy jogi helyzetével, vagy ezek várható változásával összefüggő, nyilvánosságra még nem került olyan információ, amelynek nyilvánosságra kerülése, a pénzügyi intézmény vagy ügyfele megítélésének jelentős befolyásolására</w:t>
      </w:r>
      <w:r>
        <w:rPr>
          <w:spacing w:val="1"/>
          <w:w w:val="125"/>
          <w:sz w:val="24"/>
        </w:rPr>
        <w:t> </w:t>
      </w:r>
      <w:r>
        <w:rPr>
          <w:w w:val="125"/>
          <w:sz w:val="24"/>
        </w:rPr>
        <w:t>alkalmas.</w:t>
      </w:r>
    </w:p>
    <w:p>
      <w:pPr>
        <w:pStyle w:val="BodyText"/>
        <w:spacing w:line="225" w:lineRule="auto" w:before="3"/>
        <w:ind w:right="130"/>
        <w:jc w:val="both"/>
      </w:pPr>
      <w:r>
        <w:rPr>
          <w:w w:val="125"/>
        </w:rPr>
        <w:t>(2) Ezen alcím alkalmazása szempontjából belső információval rendelkező személynek minősül</w:t>
      </w:r>
    </w:p>
    <w:p>
      <w:pPr>
        <w:pStyle w:val="ListParagraph"/>
        <w:numPr>
          <w:ilvl w:val="0"/>
          <w:numId w:val="334"/>
        </w:numPr>
        <w:tabs>
          <w:tab w:pos="690" w:val="left" w:leader="none"/>
        </w:tabs>
        <w:spacing w:line="225" w:lineRule="auto" w:before="1" w:after="0"/>
        <w:ind w:left="113" w:right="132" w:firstLine="204"/>
        <w:jc w:val="both"/>
        <w:rPr>
          <w:sz w:val="24"/>
        </w:rPr>
      </w:pPr>
      <w:r>
        <w:rPr>
          <w:w w:val="125"/>
          <w:sz w:val="24"/>
        </w:rPr>
        <w:t>a vezető állású személy, valamint az a személy, akit e törvény vagy a pénzügyi intézmény belső szabályozása vezetőnek vagy vezető tisztségviselőnek minősít,</w:t>
      </w:r>
    </w:p>
    <w:p>
      <w:pPr>
        <w:pStyle w:val="ListParagraph"/>
        <w:numPr>
          <w:ilvl w:val="0"/>
          <w:numId w:val="334"/>
        </w:numPr>
        <w:tabs>
          <w:tab w:pos="758" w:val="left" w:leader="none"/>
        </w:tabs>
        <w:spacing w:line="225" w:lineRule="auto" w:before="2" w:after="0"/>
        <w:ind w:left="113" w:right="128" w:firstLine="204"/>
        <w:jc w:val="both"/>
        <w:rPr>
          <w:sz w:val="24"/>
        </w:rPr>
      </w:pPr>
      <w:r>
        <w:rPr>
          <w:w w:val="130"/>
          <w:sz w:val="24"/>
        </w:rPr>
        <w:t>az a hatósági, szakértői tevékenységet ellátó személy, aki a belső információhoz a pénzügyi intézménnyel kapcsolatos tevékenysége során hozzájut,</w:t>
      </w:r>
    </w:p>
    <w:p>
      <w:pPr>
        <w:pStyle w:val="ListParagraph"/>
        <w:numPr>
          <w:ilvl w:val="0"/>
          <w:numId w:val="334"/>
        </w:numPr>
        <w:tabs>
          <w:tab w:pos="623" w:val="left" w:leader="none"/>
        </w:tabs>
        <w:spacing w:line="256" w:lineRule="exact" w:before="0" w:after="0"/>
        <w:ind w:left="622" w:right="0" w:hanging="305"/>
        <w:jc w:val="left"/>
        <w:rPr>
          <w:sz w:val="24"/>
        </w:rPr>
      </w:pPr>
      <w:r>
        <w:rPr>
          <w:w w:val="125"/>
          <w:sz w:val="24"/>
        </w:rPr>
        <w:t>az </w:t>
      </w:r>
      <w:r>
        <w:rPr>
          <w:i/>
          <w:w w:val="125"/>
          <w:sz w:val="24"/>
        </w:rPr>
        <w:t>a)-b) </w:t>
      </w:r>
      <w:r>
        <w:rPr>
          <w:w w:val="125"/>
          <w:sz w:val="24"/>
        </w:rPr>
        <w:t>pontban felsorolt személyek közeli hozzátartozója,</w:t>
      </w:r>
      <w:r>
        <w:rPr>
          <w:spacing w:val="-8"/>
          <w:w w:val="125"/>
          <w:sz w:val="24"/>
        </w:rPr>
        <w:t> </w:t>
      </w:r>
      <w:r>
        <w:rPr>
          <w:w w:val="125"/>
          <w:sz w:val="24"/>
        </w:rPr>
        <w:t>valamint</w:t>
      </w:r>
    </w:p>
    <w:p>
      <w:pPr>
        <w:pStyle w:val="ListParagraph"/>
        <w:numPr>
          <w:ilvl w:val="0"/>
          <w:numId w:val="334"/>
        </w:numPr>
        <w:tabs>
          <w:tab w:pos="665" w:val="left" w:leader="none"/>
        </w:tabs>
        <w:spacing w:line="225" w:lineRule="auto" w:before="5" w:after="0"/>
        <w:ind w:left="113" w:right="133" w:firstLine="204"/>
        <w:jc w:val="both"/>
        <w:rPr>
          <w:sz w:val="24"/>
        </w:rPr>
      </w:pPr>
      <w:r>
        <w:rPr>
          <w:i/>
          <w:w w:val="125"/>
          <w:sz w:val="24"/>
        </w:rPr>
        <w:t>az a </w:t>
      </w:r>
      <w:r>
        <w:rPr>
          <w:w w:val="125"/>
          <w:sz w:val="24"/>
        </w:rPr>
        <w:t>személy, aki belső információhoz jutott, ideértve a külföldi pénzügyi intézmény vezetőjét vagy alkalmazottját is.</w:t>
      </w:r>
    </w:p>
    <w:p>
      <w:pPr>
        <w:pStyle w:val="ListParagraph"/>
        <w:numPr>
          <w:ilvl w:val="0"/>
          <w:numId w:val="322"/>
        </w:numPr>
        <w:tabs>
          <w:tab w:pos="1008" w:val="left" w:leader="none"/>
        </w:tabs>
        <w:spacing w:line="225" w:lineRule="auto" w:before="0" w:after="0"/>
        <w:ind w:left="113" w:right="125" w:firstLine="204"/>
        <w:jc w:val="both"/>
        <w:rPr>
          <w:sz w:val="24"/>
        </w:rPr>
      </w:pPr>
      <w:r>
        <w:rPr>
          <w:rFonts w:ascii="Arial" w:hAnsi="Arial"/>
          <w:b/>
          <w:w w:val="125"/>
          <w:sz w:val="24"/>
        </w:rPr>
        <w:t>§ </w:t>
      </w:r>
      <w:r>
        <w:rPr>
          <w:w w:val="125"/>
          <w:sz w:val="24"/>
        </w:rPr>
        <w:t>(1) A 146. § (2) bekezdésében meghatározott személy munkakörében vagy az annak révén birtokába jutott - a pénzügyi intézmény működésével és ügyfeleivel kapcsolatos - információt nem használhatja fel, és nem adhatja át vagy nem teheti hozzáférhetővé illetéktelen személy</w:t>
      </w:r>
      <w:r>
        <w:rPr>
          <w:spacing w:val="29"/>
          <w:w w:val="125"/>
          <w:sz w:val="24"/>
        </w:rPr>
        <w:t> </w:t>
      </w:r>
      <w:r>
        <w:rPr>
          <w:w w:val="125"/>
          <w:sz w:val="24"/>
        </w:rPr>
        <w:t>számára.</w:t>
      </w:r>
    </w:p>
    <w:p>
      <w:pPr>
        <w:pStyle w:val="BodyText"/>
        <w:spacing w:line="225" w:lineRule="auto" w:before="3"/>
        <w:ind w:right="120"/>
        <w:jc w:val="both"/>
      </w:pPr>
      <w:r>
        <w:rPr>
          <w:w w:val="125"/>
        </w:rPr>
        <w:t>(2) Tilos a belső információ felhasználásával vagy a 146. § (2) bekezdésében meghatározott személlyel a belső információval érintett körben olyan ügyletet kötni, olyan ügyletkötésre megbízást vagy befektetési tanácsot adni, amelynek alapján a 146. § (2) bekezdésében meghatározott személy vagy közeli hozzátartozója, illetve harmadik személy bármilyen vagyoni előnyhöz jut, illetve amely más személynek kárt</w:t>
      </w:r>
      <w:r>
        <w:rPr>
          <w:spacing w:val="-1"/>
          <w:w w:val="125"/>
        </w:rPr>
        <w:t> </w:t>
      </w:r>
      <w:r>
        <w:rPr>
          <w:w w:val="125"/>
        </w:rPr>
        <w:t>okoz.</w:t>
      </w:r>
    </w:p>
    <w:p>
      <w:pPr>
        <w:pStyle w:val="BodyText"/>
        <w:spacing w:before="230"/>
        <w:ind w:left="2719" w:firstLine="0"/>
      </w:pPr>
      <w:r>
        <w:rPr>
          <w:w w:val="125"/>
        </w:rPr>
        <w:t>65. Pénzügyi intézmények irányítása</w:t>
      </w:r>
    </w:p>
    <w:p>
      <w:pPr>
        <w:pStyle w:val="ListParagraph"/>
        <w:numPr>
          <w:ilvl w:val="0"/>
          <w:numId w:val="322"/>
        </w:numPr>
        <w:tabs>
          <w:tab w:pos="1113" w:val="left" w:leader="none"/>
        </w:tabs>
        <w:spacing w:line="225" w:lineRule="auto" w:before="236" w:after="0"/>
        <w:ind w:left="113" w:right="132" w:firstLine="204"/>
        <w:jc w:val="both"/>
        <w:rPr>
          <w:sz w:val="24"/>
        </w:rPr>
      </w:pPr>
      <w:r>
        <w:rPr>
          <w:rFonts w:ascii="Arial" w:hAnsi="Arial"/>
          <w:b/>
          <w:w w:val="125"/>
          <w:sz w:val="24"/>
        </w:rPr>
        <w:t>§ </w:t>
      </w:r>
      <w:r>
        <w:rPr>
          <w:w w:val="125"/>
          <w:sz w:val="24"/>
        </w:rPr>
        <w:t>(1) Pénzügyi intézmény irányítási jogkörrel rendelkező vezető testületének tagja csak természetes személy</w:t>
      </w:r>
      <w:r>
        <w:rPr>
          <w:spacing w:val="19"/>
          <w:w w:val="125"/>
          <w:sz w:val="24"/>
        </w:rPr>
        <w:t> </w:t>
      </w:r>
      <w:r>
        <w:rPr>
          <w:w w:val="125"/>
          <w:sz w:val="24"/>
        </w:rPr>
        <w:t>lehet.</w:t>
      </w:r>
    </w:p>
    <w:p>
      <w:pPr>
        <w:pStyle w:val="ListParagraph"/>
        <w:numPr>
          <w:ilvl w:val="0"/>
          <w:numId w:val="335"/>
        </w:numPr>
        <w:tabs>
          <w:tab w:pos="751" w:val="left" w:leader="none"/>
        </w:tabs>
        <w:spacing w:line="225" w:lineRule="auto" w:before="1" w:after="0"/>
        <w:ind w:left="113" w:right="129" w:firstLine="204"/>
        <w:jc w:val="both"/>
        <w:rPr>
          <w:sz w:val="24"/>
        </w:rPr>
      </w:pPr>
      <w:r>
        <w:rPr>
          <w:w w:val="125"/>
          <w:sz w:val="24"/>
        </w:rPr>
        <w:t>A hitelintézet irányítási jogkörrel rendelkező vezető testületben legalább két olyan tagnak kell lennie, aki a hitelintézettel munkaviszonyban áll (a továbbiakban: belső</w:t>
      </w:r>
      <w:r>
        <w:rPr>
          <w:spacing w:val="1"/>
          <w:w w:val="125"/>
          <w:sz w:val="24"/>
        </w:rPr>
        <w:t> </w:t>
      </w:r>
      <w:r>
        <w:rPr>
          <w:w w:val="125"/>
          <w:sz w:val="24"/>
        </w:rPr>
        <w:t>tag).</w:t>
      </w:r>
    </w:p>
    <w:p>
      <w:pPr>
        <w:pStyle w:val="BodyText"/>
        <w:spacing w:before="5"/>
        <w:ind w:left="0" w:firstLine="0"/>
        <w:rPr>
          <w:sz w:val="17"/>
        </w:rPr>
      </w:pPr>
      <w:r>
        <w:rPr/>
        <w:pict>
          <v:line style="position:absolute;mso-position-horizontal-relative:page;mso-position-vertical-relative:paragraph;z-index:776;mso-wrap-distance-left:0;mso-wrap-distance-right:0" from="56.693001pt,12.226531pt" to="538.583001pt,12.226531pt" stroked="true" strokeweight=".5pt" strokecolor="#000000">
            <v:stroke dashstyle="solid"/>
            <w10:wrap type="topAndBottom"/>
          </v:line>
        </w:pict>
      </w:r>
    </w:p>
    <w:p>
      <w:pPr>
        <w:pStyle w:val="ListParagraph"/>
        <w:numPr>
          <w:ilvl w:val="0"/>
          <w:numId w:val="336"/>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205.</w:t>
      </w:r>
      <w:r>
        <w:rPr>
          <w:i/>
          <w:spacing w:val="-13"/>
          <w:w w:val="125"/>
          <w:sz w:val="18"/>
        </w:rPr>
        <w:t> </w:t>
      </w:r>
      <w:r>
        <w:rPr>
          <w:i/>
          <w:w w:val="125"/>
          <w:sz w:val="18"/>
        </w:rPr>
        <w:t>§</w:t>
      </w:r>
      <w:r>
        <w:rPr>
          <w:i/>
          <w:spacing w:val="-12"/>
          <w:w w:val="125"/>
          <w:sz w:val="18"/>
        </w:rPr>
        <w:t> </w:t>
      </w:r>
      <w:r>
        <w:rPr>
          <w:i/>
          <w:w w:val="125"/>
          <w:sz w:val="18"/>
        </w:rPr>
        <w:t>(1).</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36"/>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205.</w:t>
      </w:r>
      <w:r>
        <w:rPr>
          <w:i/>
          <w:spacing w:val="-13"/>
          <w:w w:val="125"/>
          <w:sz w:val="18"/>
        </w:rPr>
        <w:t> </w:t>
      </w:r>
      <w:r>
        <w:rPr>
          <w:i/>
          <w:w w:val="125"/>
          <w:sz w:val="18"/>
        </w:rPr>
        <w:t>§</w:t>
      </w:r>
      <w:r>
        <w:rPr>
          <w:i/>
          <w:spacing w:val="-12"/>
          <w:w w:val="125"/>
          <w:sz w:val="18"/>
        </w:rPr>
        <w:t> </w:t>
      </w:r>
      <w:r>
        <w:rPr>
          <w:i/>
          <w:w w:val="125"/>
          <w:sz w:val="18"/>
        </w:rPr>
        <w:t>(2).</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35"/>
        </w:numPr>
        <w:tabs>
          <w:tab w:pos="659" w:val="left" w:leader="none"/>
        </w:tabs>
        <w:spacing w:line="261" w:lineRule="exact" w:before="159" w:after="0"/>
        <w:ind w:left="658" w:right="0" w:hanging="341"/>
        <w:jc w:val="left"/>
        <w:rPr>
          <w:sz w:val="24"/>
        </w:rPr>
      </w:pPr>
      <w:r>
        <w:rPr>
          <w:i/>
          <w:w w:val="125"/>
          <w:position w:val="3"/>
          <w:sz w:val="18"/>
        </w:rPr>
        <w:t>1</w:t>
      </w:r>
      <w:r>
        <w:rPr>
          <w:i/>
          <w:spacing w:val="53"/>
          <w:w w:val="125"/>
          <w:position w:val="3"/>
          <w:sz w:val="18"/>
        </w:rPr>
        <w:t> </w:t>
      </w:r>
      <w:r>
        <w:rPr>
          <w:w w:val="125"/>
          <w:sz w:val="24"/>
        </w:rPr>
        <w:t>Az</w:t>
      </w:r>
      <w:r>
        <w:rPr>
          <w:spacing w:val="36"/>
          <w:w w:val="125"/>
          <w:sz w:val="24"/>
        </w:rPr>
        <w:t> </w:t>
      </w:r>
      <w:r>
        <w:rPr>
          <w:w w:val="125"/>
          <w:sz w:val="24"/>
        </w:rPr>
        <w:t>alapítványi</w:t>
      </w:r>
      <w:r>
        <w:rPr>
          <w:spacing w:val="35"/>
          <w:w w:val="125"/>
          <w:sz w:val="24"/>
        </w:rPr>
        <w:t> </w:t>
      </w:r>
      <w:r>
        <w:rPr>
          <w:w w:val="125"/>
          <w:sz w:val="24"/>
        </w:rPr>
        <w:t>formában</w:t>
      </w:r>
      <w:r>
        <w:rPr>
          <w:spacing w:val="35"/>
          <w:w w:val="125"/>
          <w:sz w:val="24"/>
        </w:rPr>
        <w:t> </w:t>
      </w:r>
      <w:r>
        <w:rPr>
          <w:w w:val="125"/>
          <w:sz w:val="24"/>
        </w:rPr>
        <w:t>működő</w:t>
      </w:r>
      <w:r>
        <w:rPr>
          <w:spacing w:val="35"/>
          <w:w w:val="125"/>
          <w:sz w:val="24"/>
        </w:rPr>
        <w:t> </w:t>
      </w:r>
      <w:r>
        <w:rPr>
          <w:w w:val="125"/>
          <w:sz w:val="24"/>
        </w:rPr>
        <w:t>pénzügyi</w:t>
      </w:r>
      <w:r>
        <w:rPr>
          <w:spacing w:val="35"/>
          <w:w w:val="125"/>
          <w:sz w:val="24"/>
        </w:rPr>
        <w:t> </w:t>
      </w:r>
      <w:r>
        <w:rPr>
          <w:w w:val="125"/>
          <w:sz w:val="24"/>
        </w:rPr>
        <w:t>vállalkozás</w:t>
      </w:r>
      <w:r>
        <w:rPr>
          <w:spacing w:val="35"/>
          <w:w w:val="125"/>
          <w:sz w:val="24"/>
        </w:rPr>
        <w:t> </w:t>
      </w:r>
      <w:r>
        <w:rPr>
          <w:w w:val="125"/>
          <w:sz w:val="24"/>
        </w:rPr>
        <w:t>kuratóriumában</w:t>
      </w:r>
    </w:p>
    <w:p>
      <w:pPr>
        <w:pStyle w:val="BodyText"/>
        <w:spacing w:line="267" w:lineRule="exact"/>
        <w:ind w:firstLine="0"/>
      </w:pPr>
      <w:r>
        <w:rPr>
          <w:w w:val="125"/>
        </w:rPr>
        <w:t>van legalább egy, az alapítvánnyal munkaviszonyban álló tag.</w:t>
      </w:r>
    </w:p>
    <w:p>
      <w:pPr>
        <w:pStyle w:val="ListParagraph"/>
        <w:numPr>
          <w:ilvl w:val="0"/>
          <w:numId w:val="322"/>
        </w:numPr>
        <w:tabs>
          <w:tab w:pos="1011" w:val="left" w:leader="none"/>
        </w:tabs>
        <w:spacing w:line="225" w:lineRule="auto" w:before="5" w:after="0"/>
        <w:ind w:left="113" w:right="116" w:firstLine="204"/>
        <w:jc w:val="both"/>
        <w:rPr>
          <w:sz w:val="24"/>
        </w:rPr>
      </w:pPr>
      <w:r>
        <w:rPr>
          <w:rFonts w:ascii="Arial" w:hAnsi="Arial"/>
          <w:b/>
          <w:w w:val="125"/>
          <w:sz w:val="24"/>
        </w:rPr>
        <w:t>§ </w:t>
      </w:r>
      <w:r>
        <w:rPr>
          <w:w w:val="125"/>
          <w:sz w:val="24"/>
        </w:rPr>
        <w:t>(1) A hitelintézet irányítási jogkörrel rendelkező vezető testületében legalább két olyan tag van, aki a devizajogszabályok alapján devizabelföldinek minősül - ideértve a szabad mozgás és tartózkodás jogával  rendelkező  személyt is - , és legalább egy éve állandó belföldi lakóhellyel</w:t>
      </w:r>
      <w:r>
        <w:rPr>
          <w:spacing w:val="-10"/>
          <w:w w:val="125"/>
          <w:sz w:val="24"/>
        </w:rPr>
        <w:t> </w:t>
      </w:r>
      <w:r>
        <w:rPr>
          <w:w w:val="125"/>
          <w:sz w:val="24"/>
        </w:rPr>
        <w:t>rendelkezik.</w:t>
      </w:r>
    </w:p>
    <w:p>
      <w:pPr>
        <w:pStyle w:val="ListParagraph"/>
        <w:numPr>
          <w:ilvl w:val="0"/>
          <w:numId w:val="337"/>
        </w:numPr>
        <w:tabs>
          <w:tab w:pos="737" w:val="left" w:leader="none"/>
        </w:tabs>
        <w:spacing w:line="225" w:lineRule="auto" w:before="2" w:after="0"/>
        <w:ind w:left="113" w:right="127" w:firstLine="204"/>
        <w:jc w:val="both"/>
        <w:rPr>
          <w:sz w:val="24"/>
        </w:rPr>
      </w:pPr>
      <w:r>
        <w:rPr>
          <w:w w:val="130"/>
          <w:sz w:val="24"/>
        </w:rPr>
        <w:t>A</w:t>
      </w:r>
      <w:r>
        <w:rPr>
          <w:spacing w:val="-26"/>
          <w:w w:val="130"/>
          <w:sz w:val="24"/>
        </w:rPr>
        <w:t> </w:t>
      </w:r>
      <w:r>
        <w:rPr>
          <w:w w:val="130"/>
          <w:sz w:val="24"/>
        </w:rPr>
        <w:t>hitelintézet</w:t>
      </w:r>
      <w:r>
        <w:rPr>
          <w:spacing w:val="-26"/>
          <w:w w:val="130"/>
          <w:sz w:val="24"/>
        </w:rPr>
        <w:t> </w:t>
      </w:r>
      <w:r>
        <w:rPr>
          <w:w w:val="130"/>
          <w:sz w:val="24"/>
        </w:rPr>
        <w:t>irányítási</w:t>
      </w:r>
      <w:r>
        <w:rPr>
          <w:spacing w:val="-26"/>
          <w:w w:val="130"/>
          <w:sz w:val="24"/>
        </w:rPr>
        <w:t> </w:t>
      </w:r>
      <w:r>
        <w:rPr>
          <w:w w:val="130"/>
          <w:sz w:val="24"/>
        </w:rPr>
        <w:t>jogkörrel</w:t>
      </w:r>
      <w:r>
        <w:rPr>
          <w:spacing w:val="-26"/>
          <w:w w:val="130"/>
          <w:sz w:val="24"/>
        </w:rPr>
        <w:t> </w:t>
      </w:r>
      <w:r>
        <w:rPr>
          <w:w w:val="130"/>
          <w:sz w:val="24"/>
        </w:rPr>
        <w:t>rendelkező</w:t>
      </w:r>
      <w:r>
        <w:rPr>
          <w:spacing w:val="-26"/>
          <w:w w:val="130"/>
          <w:sz w:val="24"/>
        </w:rPr>
        <w:t> </w:t>
      </w:r>
      <w:r>
        <w:rPr>
          <w:w w:val="130"/>
          <w:sz w:val="24"/>
        </w:rPr>
        <w:t>vezető</w:t>
      </w:r>
      <w:r>
        <w:rPr>
          <w:spacing w:val="-25"/>
          <w:w w:val="130"/>
          <w:sz w:val="24"/>
        </w:rPr>
        <w:t> </w:t>
      </w:r>
      <w:r>
        <w:rPr>
          <w:w w:val="130"/>
          <w:sz w:val="24"/>
        </w:rPr>
        <w:t>testület</w:t>
      </w:r>
      <w:r>
        <w:rPr>
          <w:spacing w:val="-26"/>
          <w:w w:val="130"/>
          <w:sz w:val="24"/>
        </w:rPr>
        <w:t> </w:t>
      </w:r>
      <w:r>
        <w:rPr>
          <w:w w:val="130"/>
          <w:sz w:val="24"/>
        </w:rPr>
        <w:t>belső</w:t>
      </w:r>
      <w:r>
        <w:rPr>
          <w:spacing w:val="-26"/>
          <w:w w:val="130"/>
          <w:sz w:val="24"/>
        </w:rPr>
        <w:t> </w:t>
      </w:r>
      <w:r>
        <w:rPr>
          <w:w w:val="130"/>
          <w:sz w:val="24"/>
        </w:rPr>
        <w:t>tagjává a hitelintézet ügyvezetői választhatóak. Nem lehet tag, aki a hitelintézetnél vagy</w:t>
      </w:r>
      <w:r>
        <w:rPr>
          <w:spacing w:val="-24"/>
          <w:w w:val="130"/>
          <w:sz w:val="24"/>
        </w:rPr>
        <w:t> </w:t>
      </w:r>
      <w:r>
        <w:rPr>
          <w:w w:val="130"/>
          <w:sz w:val="24"/>
        </w:rPr>
        <w:t>a</w:t>
      </w:r>
      <w:r>
        <w:rPr>
          <w:spacing w:val="-24"/>
          <w:w w:val="130"/>
          <w:sz w:val="24"/>
        </w:rPr>
        <w:t> </w:t>
      </w:r>
      <w:r>
        <w:rPr>
          <w:w w:val="130"/>
          <w:sz w:val="24"/>
        </w:rPr>
        <w:t>hitelintézettel</w:t>
      </w:r>
      <w:r>
        <w:rPr>
          <w:spacing w:val="-23"/>
          <w:w w:val="130"/>
          <w:sz w:val="24"/>
        </w:rPr>
        <w:t> </w:t>
      </w:r>
      <w:r>
        <w:rPr>
          <w:w w:val="130"/>
          <w:sz w:val="24"/>
        </w:rPr>
        <w:t>szoros</w:t>
      </w:r>
      <w:r>
        <w:rPr>
          <w:spacing w:val="-21"/>
          <w:w w:val="130"/>
          <w:sz w:val="24"/>
        </w:rPr>
        <w:t> </w:t>
      </w:r>
      <w:r>
        <w:rPr>
          <w:w w:val="130"/>
          <w:sz w:val="24"/>
        </w:rPr>
        <w:t>kapcsolatban</w:t>
      </w:r>
      <w:r>
        <w:rPr>
          <w:spacing w:val="-27"/>
          <w:w w:val="130"/>
          <w:sz w:val="24"/>
        </w:rPr>
        <w:t> </w:t>
      </w:r>
      <w:r>
        <w:rPr>
          <w:w w:val="130"/>
          <w:sz w:val="24"/>
        </w:rPr>
        <w:t>álló</w:t>
      </w:r>
      <w:r>
        <w:rPr>
          <w:spacing w:val="-23"/>
          <w:w w:val="130"/>
          <w:sz w:val="24"/>
        </w:rPr>
        <w:t> </w:t>
      </w:r>
      <w:r>
        <w:rPr>
          <w:w w:val="130"/>
          <w:sz w:val="24"/>
        </w:rPr>
        <w:t>pénzügyi</w:t>
      </w:r>
      <w:r>
        <w:rPr>
          <w:spacing w:val="-24"/>
          <w:w w:val="130"/>
          <w:sz w:val="24"/>
        </w:rPr>
        <w:t> </w:t>
      </w:r>
      <w:r>
        <w:rPr>
          <w:w w:val="130"/>
          <w:sz w:val="24"/>
        </w:rPr>
        <w:t>intézménynél</w:t>
      </w:r>
      <w:r>
        <w:rPr>
          <w:spacing w:val="-24"/>
          <w:w w:val="130"/>
          <w:sz w:val="24"/>
        </w:rPr>
        <w:t> </w:t>
      </w:r>
      <w:r>
        <w:rPr>
          <w:w w:val="130"/>
          <w:sz w:val="24"/>
        </w:rPr>
        <w:t>az</w:t>
      </w:r>
      <w:r>
        <w:rPr>
          <w:spacing w:val="-23"/>
          <w:w w:val="130"/>
          <w:sz w:val="24"/>
        </w:rPr>
        <w:t> </w:t>
      </w:r>
      <w:r>
        <w:rPr>
          <w:w w:val="130"/>
          <w:sz w:val="24"/>
        </w:rPr>
        <w:t>előző három évben könyvvizsgáló</w:t>
      </w:r>
      <w:r>
        <w:rPr>
          <w:spacing w:val="-17"/>
          <w:w w:val="130"/>
          <w:sz w:val="24"/>
        </w:rPr>
        <w:t> </w:t>
      </w:r>
      <w:r>
        <w:rPr>
          <w:w w:val="130"/>
          <w:sz w:val="24"/>
        </w:rPr>
        <w:t>volt.</w:t>
      </w:r>
    </w:p>
    <w:p>
      <w:pPr>
        <w:pStyle w:val="ListParagraph"/>
        <w:numPr>
          <w:ilvl w:val="0"/>
          <w:numId w:val="337"/>
        </w:numPr>
        <w:tabs>
          <w:tab w:pos="847" w:val="left" w:leader="none"/>
        </w:tabs>
        <w:spacing w:line="225" w:lineRule="auto" w:before="2" w:after="0"/>
        <w:ind w:left="113" w:right="125" w:firstLine="204"/>
        <w:jc w:val="both"/>
        <w:rPr>
          <w:sz w:val="24"/>
        </w:rPr>
      </w:pPr>
      <w:r>
        <w:rPr>
          <w:w w:val="125"/>
          <w:sz w:val="24"/>
        </w:rPr>
        <w:t>A hitelintézet irányítási jogkörrel rendelkező vezető testületének a hitelintézettel munkaviszonyban álló tagja munkaviszonyának megszűnésével egyidejűleg - ha törvény másként nem rendelkezik - a tagsága</w:t>
      </w:r>
      <w:r>
        <w:rPr>
          <w:spacing w:val="41"/>
          <w:w w:val="125"/>
          <w:sz w:val="24"/>
        </w:rPr>
        <w:t> </w:t>
      </w:r>
      <w:r>
        <w:rPr>
          <w:w w:val="125"/>
          <w:sz w:val="24"/>
        </w:rPr>
        <w:t>megszűnik.</w:t>
      </w:r>
    </w:p>
    <w:p>
      <w:pPr>
        <w:pStyle w:val="ListParagraph"/>
        <w:numPr>
          <w:ilvl w:val="0"/>
          <w:numId w:val="322"/>
        </w:numPr>
        <w:tabs>
          <w:tab w:pos="1030" w:val="left" w:leader="none"/>
        </w:tabs>
        <w:spacing w:line="225" w:lineRule="auto" w:before="1" w:after="0"/>
        <w:ind w:left="113" w:right="132" w:firstLine="204"/>
        <w:jc w:val="both"/>
        <w:rPr>
          <w:sz w:val="24"/>
        </w:rPr>
      </w:pPr>
      <w:r>
        <w:rPr>
          <w:rFonts w:ascii="Arial" w:hAnsi="Arial"/>
          <w:b/>
          <w:w w:val="125"/>
          <w:sz w:val="24"/>
        </w:rPr>
        <w:t>§ </w:t>
      </w:r>
      <w:r>
        <w:rPr>
          <w:w w:val="125"/>
          <w:sz w:val="24"/>
        </w:rPr>
        <w:t>Pénzügyi intézménynél az igazgatóság gyakorolja az ügyvezetőkkel kapcsolatban a munkáltatói</w:t>
      </w:r>
      <w:r>
        <w:rPr>
          <w:spacing w:val="3"/>
          <w:w w:val="125"/>
          <w:sz w:val="24"/>
        </w:rPr>
        <w:t> </w:t>
      </w:r>
      <w:r>
        <w:rPr>
          <w:w w:val="125"/>
          <w:sz w:val="24"/>
        </w:rPr>
        <w:t>jogokat.</w:t>
      </w:r>
    </w:p>
    <w:p>
      <w:pPr>
        <w:pStyle w:val="ListParagraph"/>
        <w:numPr>
          <w:ilvl w:val="0"/>
          <w:numId w:val="322"/>
        </w:numPr>
        <w:tabs>
          <w:tab w:pos="994" w:val="left" w:leader="none"/>
        </w:tabs>
        <w:spacing w:line="225" w:lineRule="auto" w:before="0" w:after="0"/>
        <w:ind w:left="113" w:right="130" w:firstLine="204"/>
        <w:jc w:val="both"/>
        <w:rPr>
          <w:sz w:val="24"/>
        </w:rPr>
      </w:pPr>
      <w:r>
        <w:rPr>
          <w:rFonts w:ascii="Arial" w:hAnsi="Arial"/>
          <w:b/>
          <w:w w:val="120"/>
          <w:sz w:val="24"/>
        </w:rPr>
        <w:t>§ </w:t>
      </w:r>
      <w:r>
        <w:rPr>
          <w:w w:val="120"/>
          <w:sz w:val="24"/>
        </w:rPr>
        <w:t>(1) A pénzügyi intézmény vezető testületének üléseiről jegyzőkönyvet kell vezetni. A jegyzőkönyv</w:t>
      </w:r>
      <w:r>
        <w:rPr>
          <w:spacing w:val="20"/>
          <w:w w:val="120"/>
          <w:sz w:val="24"/>
        </w:rPr>
        <w:t> </w:t>
      </w:r>
      <w:r>
        <w:rPr>
          <w:w w:val="120"/>
          <w:sz w:val="24"/>
        </w:rPr>
        <w:t>tartalmazza</w:t>
      </w:r>
    </w:p>
    <w:p>
      <w:pPr>
        <w:pStyle w:val="ListParagraph"/>
        <w:numPr>
          <w:ilvl w:val="0"/>
          <w:numId w:val="338"/>
        </w:numPr>
        <w:tabs>
          <w:tab w:pos="631" w:val="left" w:leader="none"/>
        </w:tabs>
        <w:spacing w:line="256" w:lineRule="exact" w:before="0" w:after="0"/>
        <w:ind w:left="630" w:right="0" w:hanging="313"/>
        <w:jc w:val="left"/>
        <w:rPr>
          <w:sz w:val="24"/>
        </w:rPr>
      </w:pPr>
      <w:r>
        <w:rPr>
          <w:w w:val="130"/>
          <w:sz w:val="24"/>
        </w:rPr>
        <w:t>az ülés helyét és</w:t>
      </w:r>
      <w:r>
        <w:rPr>
          <w:spacing w:val="-13"/>
          <w:w w:val="130"/>
          <w:sz w:val="24"/>
        </w:rPr>
        <w:t> </w:t>
      </w:r>
      <w:r>
        <w:rPr>
          <w:w w:val="130"/>
          <w:sz w:val="24"/>
        </w:rPr>
        <w:t>idejét,</w:t>
      </w:r>
    </w:p>
    <w:p>
      <w:pPr>
        <w:pStyle w:val="ListParagraph"/>
        <w:numPr>
          <w:ilvl w:val="0"/>
          <w:numId w:val="338"/>
        </w:numPr>
        <w:tabs>
          <w:tab w:pos="653" w:val="left" w:leader="none"/>
        </w:tabs>
        <w:spacing w:line="260" w:lineRule="exact" w:before="0" w:after="0"/>
        <w:ind w:left="652" w:right="0" w:hanging="335"/>
        <w:jc w:val="left"/>
        <w:rPr>
          <w:sz w:val="24"/>
        </w:rPr>
      </w:pPr>
      <w:r>
        <w:rPr>
          <w:w w:val="130"/>
          <w:sz w:val="24"/>
        </w:rPr>
        <w:t>a jelen lévő tagok</w:t>
      </w:r>
      <w:r>
        <w:rPr>
          <w:spacing w:val="-25"/>
          <w:w w:val="130"/>
          <w:sz w:val="24"/>
        </w:rPr>
        <w:t> </w:t>
      </w:r>
      <w:r>
        <w:rPr>
          <w:w w:val="130"/>
          <w:sz w:val="24"/>
        </w:rPr>
        <w:t>nevét,</w:t>
      </w:r>
    </w:p>
    <w:p>
      <w:pPr>
        <w:pStyle w:val="ListParagraph"/>
        <w:numPr>
          <w:ilvl w:val="0"/>
          <w:numId w:val="338"/>
        </w:numPr>
        <w:tabs>
          <w:tab w:pos="623" w:val="left" w:leader="none"/>
        </w:tabs>
        <w:spacing w:line="260" w:lineRule="exact" w:before="0" w:after="0"/>
        <w:ind w:left="622" w:right="0" w:hanging="305"/>
        <w:jc w:val="left"/>
        <w:rPr>
          <w:sz w:val="24"/>
        </w:rPr>
      </w:pPr>
      <w:r>
        <w:rPr>
          <w:w w:val="125"/>
          <w:sz w:val="24"/>
        </w:rPr>
        <w:t>az elhangzott indítványokat,</w:t>
      </w:r>
    </w:p>
    <w:p>
      <w:pPr>
        <w:pStyle w:val="ListParagraph"/>
        <w:numPr>
          <w:ilvl w:val="0"/>
          <w:numId w:val="338"/>
        </w:numPr>
        <w:tabs>
          <w:tab w:pos="653" w:val="left" w:leader="none"/>
        </w:tabs>
        <w:spacing w:line="260" w:lineRule="exact" w:before="0" w:after="0"/>
        <w:ind w:left="652" w:right="0" w:hanging="335"/>
        <w:jc w:val="left"/>
        <w:rPr>
          <w:sz w:val="24"/>
        </w:rPr>
      </w:pPr>
      <w:r>
        <w:rPr>
          <w:w w:val="130"/>
          <w:sz w:val="24"/>
        </w:rPr>
        <w:t>a</w:t>
      </w:r>
      <w:r>
        <w:rPr>
          <w:spacing w:val="-16"/>
          <w:w w:val="130"/>
          <w:sz w:val="24"/>
        </w:rPr>
        <w:t> </w:t>
      </w:r>
      <w:r>
        <w:rPr>
          <w:w w:val="130"/>
          <w:sz w:val="24"/>
        </w:rPr>
        <w:t>meghozott</w:t>
      </w:r>
      <w:r>
        <w:rPr>
          <w:spacing w:val="2"/>
          <w:w w:val="130"/>
          <w:sz w:val="24"/>
        </w:rPr>
        <w:t> </w:t>
      </w:r>
      <w:r>
        <w:rPr>
          <w:w w:val="130"/>
          <w:sz w:val="24"/>
        </w:rPr>
        <w:t>döntéseket,</w:t>
      </w:r>
      <w:r>
        <w:rPr>
          <w:spacing w:val="-23"/>
          <w:w w:val="130"/>
          <w:sz w:val="24"/>
        </w:rPr>
        <w:t> </w:t>
      </w:r>
      <w:r>
        <w:rPr>
          <w:w w:val="130"/>
          <w:sz w:val="24"/>
        </w:rPr>
        <w:t>illetve</w:t>
      </w:r>
      <w:r>
        <w:rPr>
          <w:spacing w:val="-9"/>
          <w:w w:val="130"/>
          <w:sz w:val="24"/>
        </w:rPr>
        <w:t> </w:t>
      </w:r>
      <w:r>
        <w:rPr>
          <w:w w:val="130"/>
          <w:sz w:val="24"/>
        </w:rPr>
        <w:t>e</w:t>
      </w:r>
      <w:r>
        <w:rPr>
          <w:spacing w:val="-9"/>
          <w:w w:val="130"/>
          <w:sz w:val="24"/>
        </w:rPr>
        <w:t> </w:t>
      </w:r>
      <w:r>
        <w:rPr>
          <w:w w:val="130"/>
          <w:sz w:val="24"/>
        </w:rPr>
        <w:t>döntések</w:t>
      </w:r>
      <w:r>
        <w:rPr>
          <w:spacing w:val="-8"/>
          <w:w w:val="130"/>
          <w:sz w:val="24"/>
        </w:rPr>
        <w:t> </w:t>
      </w:r>
      <w:r>
        <w:rPr>
          <w:w w:val="130"/>
          <w:sz w:val="24"/>
        </w:rPr>
        <w:t>elleni</w:t>
      </w:r>
      <w:r>
        <w:rPr>
          <w:spacing w:val="-10"/>
          <w:w w:val="130"/>
          <w:sz w:val="24"/>
        </w:rPr>
        <w:t> </w:t>
      </w:r>
      <w:r>
        <w:rPr>
          <w:w w:val="130"/>
          <w:sz w:val="24"/>
        </w:rPr>
        <w:t>tiltakozásokat.</w:t>
      </w:r>
    </w:p>
    <w:p>
      <w:pPr>
        <w:pStyle w:val="ListParagraph"/>
        <w:numPr>
          <w:ilvl w:val="0"/>
          <w:numId w:val="339"/>
        </w:numPr>
        <w:tabs>
          <w:tab w:pos="799" w:val="left" w:leader="none"/>
        </w:tabs>
        <w:spacing w:line="225" w:lineRule="auto" w:before="6" w:after="0"/>
        <w:ind w:left="113" w:right="135" w:firstLine="204"/>
        <w:jc w:val="both"/>
        <w:rPr>
          <w:sz w:val="24"/>
        </w:rPr>
      </w:pPr>
      <w:r>
        <w:rPr>
          <w:w w:val="125"/>
          <w:sz w:val="24"/>
        </w:rPr>
        <w:t>A vezető testület tagja kérheti véleményének szó szerinti felvételét a jegyzőkönyvbe.</w:t>
      </w:r>
    </w:p>
    <w:p>
      <w:pPr>
        <w:pStyle w:val="ListParagraph"/>
        <w:numPr>
          <w:ilvl w:val="0"/>
          <w:numId w:val="339"/>
        </w:numPr>
        <w:tabs>
          <w:tab w:pos="758" w:val="left" w:leader="none"/>
        </w:tabs>
        <w:spacing w:line="225" w:lineRule="auto" w:before="1" w:after="0"/>
        <w:ind w:left="113" w:right="128" w:firstLine="204"/>
        <w:jc w:val="both"/>
        <w:rPr>
          <w:sz w:val="24"/>
        </w:rPr>
      </w:pPr>
      <w:r>
        <w:rPr>
          <w:w w:val="125"/>
          <w:sz w:val="24"/>
        </w:rPr>
        <w:t>A jegyzőkönyvet az ülés elnöke és két jelen lévő további vezető testületi tag írja alá. A jegyzőkönyvet valamennyi vezető testületi tagnak, valamint az igazgatósági ülés jegyzőkönyvét a felügyelő bizottság elnökének az ülést követő tizenöt napon belül meg kell küldeni függetlenül attól, hogy az ülésen részt</w:t>
      </w:r>
      <w:r>
        <w:rPr>
          <w:spacing w:val="1"/>
          <w:w w:val="125"/>
          <w:sz w:val="24"/>
        </w:rPr>
        <w:t> </w:t>
      </w:r>
      <w:r>
        <w:rPr>
          <w:w w:val="125"/>
          <w:sz w:val="24"/>
        </w:rPr>
        <w:t>vett-e.</w:t>
      </w:r>
    </w:p>
    <w:p>
      <w:pPr>
        <w:pStyle w:val="ListParagraph"/>
        <w:numPr>
          <w:ilvl w:val="0"/>
          <w:numId w:val="339"/>
        </w:numPr>
        <w:tabs>
          <w:tab w:pos="763" w:val="left" w:leader="none"/>
        </w:tabs>
        <w:spacing w:line="225" w:lineRule="auto" w:before="3" w:after="0"/>
        <w:ind w:left="113" w:right="126" w:firstLine="204"/>
        <w:jc w:val="both"/>
        <w:rPr>
          <w:sz w:val="24"/>
        </w:rPr>
      </w:pPr>
      <w:r>
        <w:rPr>
          <w:w w:val="125"/>
          <w:sz w:val="24"/>
        </w:rPr>
        <w:t>Távbeszélőn, telefaxon, telexen és más hasonló módon a vezető testület csak akkor hozhat érvényes határozatot az alapszabályban meghatározott időtartamon belül, ha a vezető testületi tagok alapszabályban meghatározott hányadának szavazatát teljes bizonyító erejű magánokiratba foglalja, és megküldi a pénzügyi intézmény</w:t>
      </w:r>
      <w:r>
        <w:rPr>
          <w:spacing w:val="16"/>
          <w:w w:val="125"/>
          <w:sz w:val="24"/>
        </w:rPr>
        <w:t> </w:t>
      </w:r>
      <w:r>
        <w:rPr>
          <w:w w:val="125"/>
          <w:sz w:val="24"/>
        </w:rPr>
        <w:t>székhelyére.</w:t>
      </w:r>
    </w:p>
    <w:p>
      <w:pPr>
        <w:pStyle w:val="ListParagraph"/>
        <w:numPr>
          <w:ilvl w:val="0"/>
          <w:numId w:val="322"/>
        </w:numPr>
        <w:tabs>
          <w:tab w:pos="1068" w:val="left" w:leader="none"/>
        </w:tabs>
        <w:spacing w:line="225" w:lineRule="auto" w:before="1" w:after="0"/>
        <w:ind w:left="113" w:right="128" w:firstLine="204"/>
        <w:jc w:val="both"/>
        <w:rPr>
          <w:sz w:val="24"/>
        </w:rPr>
      </w:pPr>
      <w:r>
        <w:rPr>
          <w:rFonts w:ascii="Arial" w:hAnsi="Arial"/>
          <w:b/>
          <w:w w:val="125"/>
          <w:sz w:val="24"/>
        </w:rPr>
        <w:t>§ </w:t>
      </w:r>
      <w:r>
        <w:rPr>
          <w:w w:val="125"/>
          <w:sz w:val="24"/>
        </w:rPr>
        <w:t>(1) A felügyeleti jogkörrel rendelkező vezető testület tagja csak természetes személy</w:t>
      </w:r>
      <w:r>
        <w:rPr>
          <w:spacing w:val="2"/>
          <w:w w:val="125"/>
          <w:sz w:val="24"/>
        </w:rPr>
        <w:t> </w:t>
      </w:r>
      <w:r>
        <w:rPr>
          <w:w w:val="125"/>
          <w:sz w:val="24"/>
        </w:rPr>
        <w:t>lehet.</w:t>
      </w:r>
    </w:p>
    <w:p>
      <w:pPr>
        <w:pStyle w:val="ListParagraph"/>
        <w:numPr>
          <w:ilvl w:val="0"/>
          <w:numId w:val="340"/>
        </w:numPr>
        <w:tabs>
          <w:tab w:pos="855" w:val="left" w:leader="none"/>
        </w:tabs>
        <w:spacing w:line="225" w:lineRule="auto" w:before="2" w:after="0"/>
        <w:ind w:left="113" w:right="124" w:firstLine="204"/>
        <w:jc w:val="both"/>
        <w:rPr>
          <w:sz w:val="24"/>
        </w:rPr>
      </w:pPr>
      <w:r>
        <w:rPr>
          <w:w w:val="125"/>
          <w:sz w:val="24"/>
        </w:rPr>
        <w:t>A felügyeleti jogkörrel rendelkező vezető testület legalább három, legfeljebb kilenc tagból álló testület, amelynek tagjai a dolgozói képviseletet ellátó személyek kivételével a pénzügyi intézménnyel nem állhatnak munkaviszonyban.</w:t>
      </w:r>
    </w:p>
    <w:p>
      <w:pPr>
        <w:pStyle w:val="ListParagraph"/>
        <w:numPr>
          <w:ilvl w:val="0"/>
          <w:numId w:val="340"/>
        </w:numPr>
        <w:tabs>
          <w:tab w:pos="734" w:val="left" w:leader="none"/>
        </w:tabs>
        <w:spacing w:line="257" w:lineRule="exact" w:before="0" w:after="0"/>
        <w:ind w:left="733" w:right="0" w:hanging="416"/>
        <w:jc w:val="left"/>
        <w:rPr>
          <w:sz w:val="24"/>
        </w:rPr>
      </w:pPr>
      <w:r>
        <w:rPr>
          <w:w w:val="125"/>
          <w:sz w:val="24"/>
        </w:rPr>
        <w:t>A felügyeleti jogkörrel rendelkező vezető testület feladata</w:t>
      </w:r>
      <w:r>
        <w:rPr>
          <w:spacing w:val="25"/>
          <w:w w:val="125"/>
          <w:sz w:val="24"/>
        </w:rPr>
        <w:t> </w:t>
      </w:r>
      <w:r>
        <w:rPr>
          <w:w w:val="125"/>
          <w:sz w:val="24"/>
        </w:rPr>
        <w:t>különösen:</w:t>
      </w:r>
    </w:p>
    <w:p>
      <w:pPr>
        <w:pStyle w:val="ListParagraph"/>
        <w:numPr>
          <w:ilvl w:val="0"/>
          <w:numId w:val="341"/>
        </w:numPr>
        <w:tabs>
          <w:tab w:pos="649" w:val="left" w:leader="none"/>
        </w:tabs>
        <w:spacing w:line="225" w:lineRule="auto" w:before="5" w:after="0"/>
        <w:ind w:left="113" w:right="127" w:firstLine="204"/>
        <w:jc w:val="both"/>
        <w:rPr>
          <w:sz w:val="24"/>
        </w:rPr>
      </w:pPr>
      <w:r>
        <w:rPr>
          <w:w w:val="130"/>
          <w:sz w:val="24"/>
        </w:rPr>
        <w:t>gondoskodás</w:t>
      </w:r>
      <w:r>
        <w:rPr>
          <w:spacing w:val="-13"/>
          <w:w w:val="130"/>
          <w:sz w:val="24"/>
        </w:rPr>
        <w:t> </w:t>
      </w:r>
      <w:r>
        <w:rPr>
          <w:w w:val="130"/>
          <w:sz w:val="24"/>
        </w:rPr>
        <w:t>arról,</w:t>
      </w:r>
      <w:r>
        <w:rPr>
          <w:spacing w:val="-13"/>
          <w:w w:val="130"/>
          <w:sz w:val="24"/>
        </w:rPr>
        <w:t> </w:t>
      </w:r>
      <w:r>
        <w:rPr>
          <w:w w:val="130"/>
          <w:sz w:val="24"/>
        </w:rPr>
        <w:t>hogy</w:t>
      </w:r>
      <w:r>
        <w:rPr>
          <w:spacing w:val="-13"/>
          <w:w w:val="130"/>
          <w:sz w:val="24"/>
        </w:rPr>
        <w:t> </w:t>
      </w:r>
      <w:r>
        <w:rPr>
          <w:w w:val="130"/>
          <w:sz w:val="24"/>
        </w:rPr>
        <w:t>a</w:t>
      </w:r>
      <w:r>
        <w:rPr>
          <w:spacing w:val="-13"/>
          <w:w w:val="130"/>
          <w:sz w:val="24"/>
        </w:rPr>
        <w:t> </w:t>
      </w:r>
      <w:r>
        <w:rPr>
          <w:w w:val="130"/>
          <w:sz w:val="24"/>
        </w:rPr>
        <w:t>pénzügyi</w:t>
      </w:r>
      <w:r>
        <w:rPr>
          <w:spacing w:val="-13"/>
          <w:w w:val="130"/>
          <w:sz w:val="24"/>
        </w:rPr>
        <w:t> </w:t>
      </w:r>
      <w:r>
        <w:rPr>
          <w:w w:val="130"/>
          <w:sz w:val="24"/>
        </w:rPr>
        <w:t>intézmény</w:t>
      </w:r>
      <w:r>
        <w:rPr>
          <w:spacing w:val="-13"/>
          <w:w w:val="130"/>
          <w:sz w:val="24"/>
        </w:rPr>
        <w:t> </w:t>
      </w:r>
      <w:r>
        <w:rPr>
          <w:w w:val="130"/>
          <w:sz w:val="24"/>
        </w:rPr>
        <w:t>rendelkezzen</w:t>
      </w:r>
      <w:r>
        <w:rPr>
          <w:spacing w:val="-13"/>
          <w:w w:val="130"/>
          <w:sz w:val="24"/>
        </w:rPr>
        <w:t> </w:t>
      </w:r>
      <w:r>
        <w:rPr>
          <w:w w:val="130"/>
          <w:sz w:val="24"/>
        </w:rPr>
        <w:t>átfogó</w:t>
      </w:r>
      <w:r>
        <w:rPr>
          <w:spacing w:val="-13"/>
          <w:w w:val="130"/>
          <w:sz w:val="24"/>
        </w:rPr>
        <w:t> </w:t>
      </w:r>
      <w:r>
        <w:rPr>
          <w:w w:val="130"/>
          <w:sz w:val="24"/>
        </w:rPr>
        <w:t>és</w:t>
      </w:r>
      <w:r>
        <w:rPr>
          <w:spacing w:val="-13"/>
          <w:w w:val="130"/>
          <w:sz w:val="24"/>
        </w:rPr>
        <w:t> </w:t>
      </w:r>
      <w:r>
        <w:rPr>
          <w:w w:val="130"/>
          <w:sz w:val="24"/>
        </w:rPr>
        <w:t>az eredményes működésre alkalmas ellenőrzési</w:t>
      </w:r>
      <w:r>
        <w:rPr>
          <w:spacing w:val="-24"/>
          <w:w w:val="130"/>
          <w:sz w:val="24"/>
        </w:rPr>
        <w:t> </w:t>
      </w:r>
      <w:r>
        <w:rPr>
          <w:w w:val="130"/>
          <w:sz w:val="24"/>
        </w:rPr>
        <w:t>rendszerrel,</w:t>
      </w:r>
    </w:p>
    <w:p>
      <w:pPr>
        <w:pStyle w:val="ListParagraph"/>
        <w:numPr>
          <w:ilvl w:val="0"/>
          <w:numId w:val="341"/>
        </w:numPr>
        <w:tabs>
          <w:tab w:pos="785" w:val="left" w:leader="none"/>
        </w:tabs>
        <w:spacing w:line="225" w:lineRule="auto" w:before="1" w:after="0"/>
        <w:ind w:left="113" w:right="129" w:firstLine="204"/>
        <w:jc w:val="both"/>
        <w:rPr>
          <w:sz w:val="24"/>
        </w:rPr>
      </w:pPr>
      <w:r>
        <w:rPr>
          <w:w w:val="130"/>
          <w:sz w:val="24"/>
        </w:rPr>
        <w:t>javaslattétel a közgyűlés számára a megválasztandó könyvvizsgáló személyére és</w:t>
      </w:r>
      <w:r>
        <w:rPr>
          <w:spacing w:val="10"/>
          <w:w w:val="130"/>
          <w:sz w:val="24"/>
        </w:rPr>
        <w:t> </w:t>
      </w:r>
      <w:r>
        <w:rPr>
          <w:w w:val="130"/>
          <w:sz w:val="24"/>
        </w:rPr>
        <w:t>díjazására,</w:t>
      </w:r>
    </w:p>
    <w:p>
      <w:pPr>
        <w:pStyle w:val="ListParagraph"/>
        <w:numPr>
          <w:ilvl w:val="0"/>
          <w:numId w:val="341"/>
        </w:numPr>
        <w:tabs>
          <w:tab w:pos="804" w:val="left" w:leader="none"/>
        </w:tabs>
        <w:spacing w:line="225" w:lineRule="auto" w:before="1" w:after="0"/>
        <w:ind w:left="113" w:right="119" w:firstLine="204"/>
        <w:jc w:val="both"/>
        <w:rPr>
          <w:sz w:val="24"/>
        </w:rPr>
      </w:pPr>
      <w:r>
        <w:rPr>
          <w:w w:val="130"/>
          <w:sz w:val="24"/>
        </w:rPr>
        <w:t>a pénzügyi intézmény éves és közbenső pénzügyi jelentéseinek ellenőrzése,</w:t>
      </w:r>
    </w:p>
    <w:p>
      <w:pPr>
        <w:pStyle w:val="ListParagraph"/>
        <w:numPr>
          <w:ilvl w:val="0"/>
          <w:numId w:val="341"/>
        </w:numPr>
        <w:tabs>
          <w:tab w:pos="677" w:val="left" w:leader="none"/>
        </w:tabs>
        <w:spacing w:line="225" w:lineRule="auto" w:before="2" w:after="0"/>
        <w:ind w:left="113" w:right="133" w:firstLine="204"/>
        <w:jc w:val="both"/>
        <w:rPr>
          <w:sz w:val="24"/>
        </w:rPr>
      </w:pPr>
      <w:r>
        <w:rPr>
          <w:w w:val="130"/>
          <w:sz w:val="24"/>
        </w:rPr>
        <w:t>a belső ellenőrzési szervezet irányítása, amelynek keretében a felügyelő bizottság</w:t>
      </w:r>
    </w:p>
    <w:p>
      <w:pPr>
        <w:pStyle w:val="BodyText"/>
        <w:spacing w:line="264" w:lineRule="exact"/>
        <w:ind w:left="317" w:firstLine="0"/>
      </w:pPr>
      <w:r>
        <w:rPr>
          <w:i/>
          <w:w w:val="125"/>
        </w:rPr>
        <w:t>da) </w:t>
      </w:r>
      <w:r>
        <w:rPr>
          <w:w w:val="125"/>
        </w:rPr>
        <w:t>elfogadja a belső ellenőrzési szervezeti egység éves ellenőrzési</w:t>
      </w:r>
      <w:r>
        <w:rPr>
          <w:spacing w:val="52"/>
          <w:w w:val="125"/>
        </w:rPr>
        <w:t> </w:t>
      </w:r>
      <w:r>
        <w:rPr>
          <w:w w:val="125"/>
        </w:rPr>
        <w:t>tervét,</w:t>
      </w:r>
    </w:p>
    <w:p>
      <w:pPr>
        <w:pStyle w:val="BodyText"/>
        <w:ind w:left="0" w:firstLine="0"/>
        <w:rPr>
          <w:sz w:val="20"/>
        </w:rPr>
      </w:pPr>
    </w:p>
    <w:p>
      <w:pPr>
        <w:pStyle w:val="BodyText"/>
        <w:ind w:left="0" w:firstLine="0"/>
        <w:rPr>
          <w:sz w:val="20"/>
        </w:rPr>
      </w:pPr>
    </w:p>
    <w:p>
      <w:pPr>
        <w:pStyle w:val="BodyText"/>
        <w:ind w:left="0" w:firstLine="0"/>
        <w:rPr>
          <w:sz w:val="10"/>
        </w:rPr>
      </w:pPr>
      <w:r>
        <w:rPr/>
        <w:pict>
          <v:line style="position:absolute;mso-position-horizontal-relative:page;mso-position-vertical-relative:paragraph;z-index:800;mso-wrap-distance-left:0;mso-wrap-distance-right:0" from="56.693001pt,7.977348pt" to="538.583001pt,7.97734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206.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BodyText"/>
        <w:spacing w:line="225" w:lineRule="auto" w:before="173"/>
        <w:ind w:right="130"/>
        <w:jc w:val="both"/>
      </w:pPr>
      <w:r>
        <w:rPr>
          <w:i/>
          <w:w w:val="130"/>
        </w:rPr>
        <w:t>db) </w:t>
      </w:r>
      <w:r>
        <w:rPr>
          <w:w w:val="130"/>
        </w:rPr>
        <w:t>legalább félévente megtárgyalja a belső ellenőrzés által készített jelentéseket, és ellenőrzi a szükséges intézkedések végrehajtását,</w:t>
      </w:r>
    </w:p>
    <w:p>
      <w:pPr>
        <w:pStyle w:val="BodyText"/>
        <w:spacing w:line="225" w:lineRule="auto" w:before="1"/>
        <w:ind w:right="128"/>
        <w:jc w:val="both"/>
      </w:pPr>
      <w:r>
        <w:rPr>
          <w:i/>
          <w:w w:val="130"/>
        </w:rPr>
        <w:t>dc) </w:t>
      </w:r>
      <w:r>
        <w:rPr>
          <w:w w:val="130"/>
        </w:rPr>
        <w:t>szükség esetén külső szakértő felkérésével segíti a belső ellenőrzés munkáját,</w:t>
      </w:r>
    </w:p>
    <w:p>
      <w:pPr>
        <w:pStyle w:val="BodyText"/>
        <w:spacing w:line="225" w:lineRule="auto" w:before="1"/>
        <w:ind w:right="130"/>
        <w:jc w:val="both"/>
      </w:pPr>
      <w:r>
        <w:rPr>
          <w:i/>
          <w:w w:val="130"/>
        </w:rPr>
        <w:t>dd) </w:t>
      </w:r>
      <w:r>
        <w:rPr>
          <w:w w:val="130"/>
        </w:rPr>
        <w:t>javaslatot tesz a belső ellenőrzési szervezeti egység létszámának változtatására,</w:t>
      </w:r>
    </w:p>
    <w:p>
      <w:pPr>
        <w:pStyle w:val="ListParagraph"/>
        <w:numPr>
          <w:ilvl w:val="0"/>
          <w:numId w:val="341"/>
        </w:numPr>
        <w:tabs>
          <w:tab w:pos="769" w:val="left" w:leader="none"/>
        </w:tabs>
        <w:spacing w:line="225" w:lineRule="auto" w:before="1" w:after="0"/>
        <w:ind w:left="113" w:right="134" w:firstLine="204"/>
        <w:jc w:val="both"/>
        <w:rPr>
          <w:sz w:val="24"/>
        </w:rPr>
      </w:pPr>
      <w:r>
        <w:rPr>
          <w:w w:val="130"/>
          <w:sz w:val="24"/>
        </w:rPr>
        <w:t>a belső ellenőrzés által végzett vizsgálatok megállapításai alapján ajánlások és javaslatok</w:t>
      </w:r>
      <w:r>
        <w:rPr>
          <w:spacing w:val="-15"/>
          <w:w w:val="130"/>
          <w:sz w:val="24"/>
        </w:rPr>
        <w:t> </w:t>
      </w:r>
      <w:r>
        <w:rPr>
          <w:w w:val="130"/>
          <w:sz w:val="24"/>
        </w:rPr>
        <w:t>kidolgozása.</w:t>
      </w:r>
    </w:p>
    <w:p>
      <w:pPr>
        <w:pStyle w:val="ListParagraph"/>
        <w:numPr>
          <w:ilvl w:val="0"/>
          <w:numId w:val="340"/>
        </w:numPr>
        <w:tabs>
          <w:tab w:pos="832" w:val="left" w:leader="none"/>
        </w:tabs>
        <w:spacing w:line="225" w:lineRule="auto" w:before="1" w:after="0"/>
        <w:ind w:left="113" w:right="125" w:firstLine="204"/>
        <w:jc w:val="both"/>
        <w:rPr>
          <w:sz w:val="24"/>
        </w:rPr>
      </w:pPr>
      <w:r>
        <w:rPr>
          <w:w w:val="125"/>
          <w:sz w:val="24"/>
        </w:rPr>
        <w:t>A felügyeleti jogkörrel rendelkező vezető testület számára feladatai ellátása során a hitelintézet hozzáférést biztosít a hitelintézet kockázataira vonatkozó információkhoz, a kockázati ellenőrzés funkcióhoz és a külső szakértők</w:t>
      </w:r>
      <w:r>
        <w:rPr>
          <w:spacing w:val="1"/>
          <w:w w:val="125"/>
          <w:sz w:val="24"/>
        </w:rPr>
        <w:t> </w:t>
      </w:r>
      <w:r>
        <w:rPr>
          <w:w w:val="125"/>
          <w:sz w:val="24"/>
        </w:rPr>
        <w:t>véleményéhez.</w:t>
      </w:r>
    </w:p>
    <w:p>
      <w:pPr>
        <w:pStyle w:val="ListParagraph"/>
        <w:numPr>
          <w:ilvl w:val="0"/>
          <w:numId w:val="340"/>
        </w:numPr>
        <w:tabs>
          <w:tab w:pos="789" w:val="left" w:leader="none"/>
        </w:tabs>
        <w:spacing w:line="225" w:lineRule="auto" w:before="3" w:after="0"/>
        <w:ind w:left="113" w:right="131" w:firstLine="204"/>
        <w:jc w:val="both"/>
        <w:rPr>
          <w:sz w:val="24"/>
        </w:rPr>
      </w:pPr>
      <w:r>
        <w:rPr>
          <w:w w:val="125"/>
          <w:sz w:val="24"/>
        </w:rPr>
        <w:t>A belső ellenőrzési szervezet vezetője munkaviszonyának létesítésével, munkáltató részéről történő megszüntetésével kapcsolatos döntések  a  felügyelő bizottság előzetes egyetértésével hozhatóak</w:t>
      </w:r>
      <w:r>
        <w:rPr>
          <w:spacing w:val="14"/>
          <w:w w:val="125"/>
          <w:sz w:val="24"/>
        </w:rPr>
        <w:t> </w:t>
      </w:r>
      <w:r>
        <w:rPr>
          <w:w w:val="125"/>
          <w:sz w:val="24"/>
        </w:rPr>
        <w:t>meg.</w:t>
      </w:r>
    </w:p>
    <w:p>
      <w:pPr>
        <w:pStyle w:val="ListParagraph"/>
        <w:numPr>
          <w:ilvl w:val="0"/>
          <w:numId w:val="340"/>
        </w:numPr>
        <w:tabs>
          <w:tab w:pos="807" w:val="left" w:leader="none"/>
        </w:tabs>
        <w:spacing w:line="225" w:lineRule="auto" w:before="1" w:after="0"/>
        <w:ind w:left="113" w:right="110" w:firstLine="204"/>
        <w:jc w:val="both"/>
        <w:rPr>
          <w:sz w:val="24"/>
        </w:rPr>
      </w:pPr>
      <w:r>
        <w:rPr>
          <w:w w:val="130"/>
          <w:sz w:val="24"/>
        </w:rPr>
        <w:t>A felügyeleti jogkörrel rendelkező vezető testület elnöke a bizottsági ülést követő tíz napon belül a Felügyeletnek megküldi azokat a jegyzőkönyveket, előterjesztéseket és jelentéseket, amelyek a felügyelő bizottság</w:t>
      </w:r>
      <w:r>
        <w:rPr>
          <w:spacing w:val="-21"/>
          <w:w w:val="130"/>
          <w:sz w:val="24"/>
        </w:rPr>
        <w:t> </w:t>
      </w:r>
      <w:r>
        <w:rPr>
          <w:w w:val="130"/>
          <w:sz w:val="24"/>
        </w:rPr>
        <w:t>által</w:t>
      </w:r>
      <w:r>
        <w:rPr>
          <w:spacing w:val="-21"/>
          <w:w w:val="130"/>
          <w:sz w:val="24"/>
        </w:rPr>
        <w:t> </w:t>
      </w:r>
      <w:r>
        <w:rPr>
          <w:w w:val="130"/>
          <w:sz w:val="24"/>
        </w:rPr>
        <w:t>tárgyalt</w:t>
      </w:r>
      <w:r>
        <w:rPr>
          <w:spacing w:val="-21"/>
          <w:w w:val="130"/>
          <w:sz w:val="24"/>
        </w:rPr>
        <w:t> </w:t>
      </w:r>
      <w:r>
        <w:rPr>
          <w:w w:val="130"/>
          <w:sz w:val="24"/>
        </w:rPr>
        <w:t>olyan</w:t>
      </w:r>
      <w:r>
        <w:rPr>
          <w:spacing w:val="-21"/>
          <w:w w:val="130"/>
          <w:sz w:val="24"/>
        </w:rPr>
        <w:t> </w:t>
      </w:r>
      <w:r>
        <w:rPr>
          <w:w w:val="130"/>
          <w:sz w:val="24"/>
        </w:rPr>
        <w:t>napirendi</w:t>
      </w:r>
      <w:r>
        <w:rPr>
          <w:spacing w:val="-21"/>
          <w:w w:val="130"/>
          <w:sz w:val="24"/>
        </w:rPr>
        <w:t> </w:t>
      </w:r>
      <w:r>
        <w:rPr>
          <w:w w:val="130"/>
          <w:sz w:val="24"/>
        </w:rPr>
        <w:t>pontra</w:t>
      </w:r>
      <w:r>
        <w:rPr>
          <w:spacing w:val="-21"/>
          <w:w w:val="130"/>
          <w:sz w:val="24"/>
        </w:rPr>
        <w:t> </w:t>
      </w:r>
      <w:r>
        <w:rPr>
          <w:w w:val="130"/>
          <w:sz w:val="24"/>
        </w:rPr>
        <w:t>vonatkoznak,</w:t>
      </w:r>
      <w:r>
        <w:rPr>
          <w:spacing w:val="-10"/>
          <w:w w:val="130"/>
          <w:sz w:val="24"/>
        </w:rPr>
        <w:t> </w:t>
      </w:r>
      <w:r>
        <w:rPr>
          <w:w w:val="130"/>
          <w:sz w:val="24"/>
        </w:rPr>
        <w:t>amelynek</w:t>
      </w:r>
      <w:r>
        <w:rPr>
          <w:spacing w:val="-33"/>
          <w:w w:val="130"/>
          <w:sz w:val="24"/>
        </w:rPr>
        <w:t> </w:t>
      </w:r>
      <w:r>
        <w:rPr>
          <w:w w:val="130"/>
          <w:sz w:val="24"/>
        </w:rPr>
        <w:t>tárgya</w:t>
      </w:r>
      <w:r>
        <w:rPr>
          <w:spacing w:val="-21"/>
          <w:w w:val="130"/>
          <w:sz w:val="24"/>
        </w:rPr>
        <w:t> </w:t>
      </w:r>
      <w:r>
        <w:rPr>
          <w:w w:val="130"/>
          <w:sz w:val="24"/>
        </w:rPr>
        <w:t>a pénzügyi intézmény belső szabályzatainak súlyos megsértése vagy az irányításban, vezetésben észlelt súlyos</w:t>
      </w:r>
      <w:r>
        <w:rPr>
          <w:spacing w:val="-25"/>
          <w:w w:val="130"/>
          <w:sz w:val="24"/>
        </w:rPr>
        <w:t> </w:t>
      </w:r>
      <w:r>
        <w:rPr>
          <w:w w:val="130"/>
          <w:sz w:val="24"/>
        </w:rPr>
        <w:t>szabálytalanság.</w:t>
      </w:r>
    </w:p>
    <w:p>
      <w:pPr>
        <w:pStyle w:val="ListParagraph"/>
        <w:numPr>
          <w:ilvl w:val="0"/>
          <w:numId w:val="322"/>
        </w:numPr>
        <w:tabs>
          <w:tab w:pos="1019" w:val="left" w:leader="none"/>
        </w:tabs>
        <w:spacing w:line="252" w:lineRule="exact" w:before="0" w:after="0"/>
        <w:ind w:left="1018" w:right="0" w:hanging="701"/>
        <w:jc w:val="left"/>
        <w:rPr>
          <w:sz w:val="24"/>
        </w:rPr>
      </w:pPr>
      <w:r>
        <w:rPr>
          <w:rFonts w:ascii="Arial" w:hAnsi="Arial"/>
          <w:b/>
          <w:w w:val="125"/>
          <w:sz w:val="24"/>
        </w:rPr>
        <w:t>§</w:t>
      </w:r>
      <w:r>
        <w:rPr>
          <w:i/>
          <w:w w:val="125"/>
          <w:position w:val="3"/>
          <w:sz w:val="18"/>
        </w:rPr>
        <w:t>1</w:t>
      </w:r>
      <w:r>
        <w:rPr>
          <w:i/>
          <w:spacing w:val="48"/>
          <w:w w:val="125"/>
          <w:position w:val="3"/>
          <w:sz w:val="18"/>
        </w:rPr>
        <w:t> </w:t>
      </w:r>
      <w:r>
        <w:rPr>
          <w:w w:val="125"/>
          <w:sz w:val="24"/>
        </w:rPr>
        <w:t>Az</w:t>
      </w:r>
      <w:r>
        <w:rPr>
          <w:spacing w:val="23"/>
          <w:w w:val="125"/>
          <w:sz w:val="24"/>
        </w:rPr>
        <w:t> </w:t>
      </w:r>
      <w:r>
        <w:rPr>
          <w:w w:val="125"/>
          <w:sz w:val="24"/>
        </w:rPr>
        <w:t>alapítványi</w:t>
      </w:r>
      <w:r>
        <w:rPr>
          <w:spacing w:val="23"/>
          <w:w w:val="125"/>
          <w:sz w:val="24"/>
        </w:rPr>
        <w:t> </w:t>
      </w:r>
      <w:r>
        <w:rPr>
          <w:w w:val="125"/>
          <w:sz w:val="24"/>
        </w:rPr>
        <w:t>formában</w:t>
      </w:r>
      <w:r>
        <w:rPr>
          <w:spacing w:val="22"/>
          <w:w w:val="125"/>
          <w:sz w:val="24"/>
        </w:rPr>
        <w:t> </w:t>
      </w:r>
      <w:r>
        <w:rPr>
          <w:w w:val="125"/>
          <w:sz w:val="24"/>
        </w:rPr>
        <w:t>működő</w:t>
      </w:r>
      <w:r>
        <w:rPr>
          <w:spacing w:val="23"/>
          <w:w w:val="125"/>
          <w:sz w:val="24"/>
        </w:rPr>
        <w:t> </w:t>
      </w:r>
      <w:r>
        <w:rPr>
          <w:w w:val="125"/>
          <w:sz w:val="24"/>
        </w:rPr>
        <w:t>pénzügyi</w:t>
      </w:r>
      <w:r>
        <w:rPr>
          <w:spacing w:val="23"/>
          <w:w w:val="125"/>
          <w:sz w:val="24"/>
        </w:rPr>
        <w:t> </w:t>
      </w:r>
      <w:r>
        <w:rPr>
          <w:w w:val="125"/>
          <w:sz w:val="24"/>
        </w:rPr>
        <w:t>vállalkozás</w:t>
      </w:r>
      <w:r>
        <w:rPr>
          <w:spacing w:val="22"/>
          <w:w w:val="125"/>
          <w:sz w:val="24"/>
        </w:rPr>
        <w:t> </w:t>
      </w:r>
      <w:r>
        <w:rPr>
          <w:w w:val="125"/>
          <w:sz w:val="24"/>
        </w:rPr>
        <w:t>kuratóriuma</w:t>
      </w:r>
    </w:p>
    <w:p>
      <w:pPr>
        <w:pStyle w:val="BodyText"/>
        <w:spacing w:line="225" w:lineRule="auto" w:before="12"/>
        <w:ind w:right="129" w:firstLine="0"/>
        <w:jc w:val="both"/>
      </w:pPr>
      <w:r>
        <w:rPr>
          <w:w w:val="125"/>
        </w:rPr>
        <w:t>működésének ellenőrzésére legalább háromtagú felügyelő bizottságot kell létrehozni. A felügyelő bizottság működésére a pénzügyi intézmény felügyelő bizottságára vonatkozó rendelkezéseket kell megfelelően alkalmazni.</w:t>
      </w:r>
    </w:p>
    <w:p>
      <w:pPr>
        <w:pStyle w:val="BodyText"/>
        <w:spacing w:before="228"/>
        <w:ind w:left="603" w:firstLine="0"/>
      </w:pPr>
      <w:r>
        <w:rPr>
          <w:w w:val="125"/>
        </w:rPr>
        <w:t>65/A.</w:t>
      </w:r>
      <w:r>
        <w:rPr>
          <w:i/>
          <w:w w:val="125"/>
          <w:position w:val="3"/>
          <w:sz w:val="18"/>
        </w:rPr>
        <w:t>2 </w:t>
      </w:r>
      <w:r>
        <w:rPr>
          <w:w w:val="125"/>
        </w:rPr>
        <w:t>Jogszabályoknak történő megfelelésért felelős szervezeti egység</w:t>
      </w:r>
    </w:p>
    <w:p>
      <w:pPr>
        <w:pStyle w:val="BodyText"/>
        <w:ind w:left="0" w:firstLine="0"/>
        <w:rPr>
          <w:sz w:val="20"/>
        </w:rPr>
      </w:pPr>
    </w:p>
    <w:p>
      <w:pPr>
        <w:pStyle w:val="BodyText"/>
        <w:spacing w:line="262" w:lineRule="exact" w:before="233"/>
        <w:ind w:left="317" w:firstLine="0"/>
      </w:pPr>
      <w:r>
        <w:rPr>
          <w:rFonts w:ascii="Arial" w:hAnsi="Arial"/>
          <w:b/>
          <w:w w:val="125"/>
        </w:rPr>
        <w:t>153/A. §</w:t>
      </w:r>
      <w:r>
        <w:rPr>
          <w:i/>
          <w:w w:val="125"/>
          <w:position w:val="3"/>
          <w:sz w:val="18"/>
        </w:rPr>
        <w:t>3 </w:t>
      </w:r>
      <w:r>
        <w:rPr>
          <w:w w:val="125"/>
        </w:rPr>
        <w:t>(1) A hitelintézet a pénzügyi és befektetési szolgáltatási, illetve</w:t>
      </w:r>
    </w:p>
    <w:p>
      <w:pPr>
        <w:pStyle w:val="BodyText"/>
        <w:spacing w:line="225" w:lineRule="auto" w:before="12"/>
        <w:ind w:right="128" w:firstLine="0"/>
        <w:jc w:val="both"/>
      </w:pPr>
      <w:r>
        <w:rPr>
          <w:w w:val="125"/>
        </w:rPr>
        <w:t>kiegészítő szolgáltatási tevékenységével kapcsolatos feladatokat ellátó szervezeti egységétől független szervezeti egységet (a továbbiakban: jogszabályoknak történő megfelelésért felelős szervezeti egység) alakít ki és működtet, amelynek feladata különösen az irányítási jogkörrel rendelkező vezető testület által a feladat- és hatáskörébe utalt</w:t>
      </w:r>
      <w:r>
        <w:rPr>
          <w:spacing w:val="61"/>
          <w:w w:val="125"/>
        </w:rPr>
        <w:t> </w:t>
      </w:r>
      <w:r>
        <w:rPr>
          <w:w w:val="125"/>
        </w:rPr>
        <w:t>területeken:</w:t>
      </w:r>
    </w:p>
    <w:p>
      <w:pPr>
        <w:pStyle w:val="ListParagraph"/>
        <w:numPr>
          <w:ilvl w:val="0"/>
          <w:numId w:val="342"/>
        </w:numPr>
        <w:tabs>
          <w:tab w:pos="817" w:val="left" w:leader="none"/>
        </w:tabs>
        <w:spacing w:line="225" w:lineRule="auto" w:before="3" w:after="0"/>
        <w:ind w:left="113" w:right="124" w:firstLine="204"/>
        <w:jc w:val="both"/>
        <w:rPr>
          <w:sz w:val="24"/>
        </w:rPr>
      </w:pPr>
      <w:r>
        <w:rPr>
          <w:w w:val="130"/>
          <w:sz w:val="24"/>
        </w:rPr>
        <w:t>annak biztosítása, hogy a hitelintézet mindenkor megfeleljen a tevékenységére és működésére vonatkozó jogszabályokban foglaltaknak és a szabályzatok</w:t>
      </w:r>
      <w:r>
        <w:rPr>
          <w:spacing w:val="-13"/>
          <w:w w:val="130"/>
          <w:sz w:val="24"/>
        </w:rPr>
        <w:t> </w:t>
      </w:r>
      <w:r>
        <w:rPr>
          <w:w w:val="130"/>
          <w:sz w:val="24"/>
        </w:rPr>
        <w:t>összhangban</w:t>
      </w:r>
      <w:r>
        <w:rPr>
          <w:spacing w:val="-13"/>
          <w:w w:val="130"/>
          <w:sz w:val="24"/>
        </w:rPr>
        <w:t> </w:t>
      </w:r>
      <w:r>
        <w:rPr>
          <w:w w:val="130"/>
          <w:sz w:val="24"/>
        </w:rPr>
        <w:t>legyenek</w:t>
      </w:r>
      <w:r>
        <w:rPr>
          <w:spacing w:val="-14"/>
          <w:w w:val="130"/>
          <w:sz w:val="24"/>
        </w:rPr>
        <w:t> </w:t>
      </w:r>
      <w:r>
        <w:rPr>
          <w:w w:val="130"/>
          <w:sz w:val="24"/>
        </w:rPr>
        <w:t>a</w:t>
      </w:r>
      <w:r>
        <w:rPr>
          <w:spacing w:val="-13"/>
          <w:w w:val="130"/>
          <w:sz w:val="24"/>
        </w:rPr>
        <w:t> </w:t>
      </w:r>
      <w:r>
        <w:rPr>
          <w:w w:val="130"/>
          <w:sz w:val="24"/>
        </w:rPr>
        <w:t>jogszabályi</w:t>
      </w:r>
      <w:r>
        <w:rPr>
          <w:spacing w:val="-13"/>
          <w:w w:val="130"/>
          <w:sz w:val="24"/>
        </w:rPr>
        <w:t> </w:t>
      </w:r>
      <w:r>
        <w:rPr>
          <w:w w:val="130"/>
          <w:sz w:val="24"/>
        </w:rPr>
        <w:t>rendelkezésekkel;</w:t>
      </w:r>
    </w:p>
    <w:p>
      <w:pPr>
        <w:pStyle w:val="ListParagraph"/>
        <w:numPr>
          <w:ilvl w:val="0"/>
          <w:numId w:val="342"/>
        </w:numPr>
        <w:tabs>
          <w:tab w:pos="705" w:val="left" w:leader="none"/>
        </w:tabs>
        <w:spacing w:line="225" w:lineRule="auto" w:before="2" w:after="0"/>
        <w:ind w:left="113" w:right="128" w:firstLine="204"/>
        <w:jc w:val="both"/>
        <w:rPr>
          <w:sz w:val="24"/>
        </w:rPr>
      </w:pPr>
      <w:r>
        <w:rPr>
          <w:w w:val="130"/>
          <w:sz w:val="24"/>
        </w:rPr>
        <w:t>azon intézkedések és eljárások megfelelő érvényesülésének folyamatos nyomon</w:t>
      </w:r>
      <w:r>
        <w:rPr>
          <w:spacing w:val="-8"/>
          <w:w w:val="130"/>
          <w:sz w:val="24"/>
        </w:rPr>
        <w:t> </w:t>
      </w:r>
      <w:r>
        <w:rPr>
          <w:w w:val="130"/>
          <w:sz w:val="24"/>
        </w:rPr>
        <w:t>követése</w:t>
      </w:r>
      <w:r>
        <w:rPr>
          <w:spacing w:val="-25"/>
          <w:w w:val="130"/>
          <w:sz w:val="24"/>
        </w:rPr>
        <w:t> </w:t>
      </w:r>
      <w:r>
        <w:rPr>
          <w:w w:val="130"/>
          <w:sz w:val="24"/>
        </w:rPr>
        <w:t>és</w:t>
      </w:r>
      <w:r>
        <w:rPr>
          <w:spacing w:val="-17"/>
          <w:w w:val="130"/>
          <w:sz w:val="24"/>
        </w:rPr>
        <w:t> </w:t>
      </w:r>
      <w:r>
        <w:rPr>
          <w:w w:val="130"/>
          <w:sz w:val="24"/>
        </w:rPr>
        <w:t>rendszeres</w:t>
      </w:r>
      <w:r>
        <w:rPr>
          <w:spacing w:val="-16"/>
          <w:w w:val="130"/>
          <w:sz w:val="24"/>
        </w:rPr>
        <w:t> </w:t>
      </w:r>
      <w:r>
        <w:rPr>
          <w:w w:val="130"/>
          <w:sz w:val="24"/>
        </w:rPr>
        <w:t>ellenőrzése,</w:t>
      </w:r>
      <w:r>
        <w:rPr>
          <w:spacing w:val="-16"/>
          <w:w w:val="130"/>
          <w:sz w:val="24"/>
        </w:rPr>
        <w:t> </w:t>
      </w:r>
      <w:r>
        <w:rPr>
          <w:w w:val="130"/>
          <w:sz w:val="24"/>
        </w:rPr>
        <w:t>amelyek</w:t>
      </w:r>
      <w:r>
        <w:rPr>
          <w:spacing w:val="-17"/>
          <w:w w:val="130"/>
          <w:sz w:val="24"/>
        </w:rPr>
        <w:t> </w:t>
      </w:r>
      <w:r>
        <w:rPr>
          <w:w w:val="130"/>
          <w:sz w:val="24"/>
        </w:rPr>
        <w:t>célja,</w:t>
      </w:r>
      <w:r>
        <w:rPr>
          <w:spacing w:val="-16"/>
          <w:w w:val="130"/>
          <w:sz w:val="24"/>
        </w:rPr>
        <w:t> </w:t>
      </w:r>
      <w:r>
        <w:rPr>
          <w:w w:val="130"/>
          <w:sz w:val="24"/>
        </w:rPr>
        <w:t>hogy</w:t>
      </w:r>
      <w:r>
        <w:rPr>
          <w:spacing w:val="-16"/>
          <w:w w:val="130"/>
          <w:sz w:val="24"/>
        </w:rPr>
        <w:t> </w:t>
      </w:r>
      <w:r>
        <w:rPr>
          <w:w w:val="130"/>
          <w:sz w:val="24"/>
        </w:rPr>
        <w:t>a</w:t>
      </w:r>
      <w:r>
        <w:rPr>
          <w:spacing w:val="-17"/>
          <w:w w:val="130"/>
          <w:sz w:val="24"/>
        </w:rPr>
        <w:t> </w:t>
      </w:r>
      <w:r>
        <w:rPr>
          <w:w w:val="130"/>
          <w:sz w:val="24"/>
        </w:rPr>
        <w:t>hitelintézet e törvényben és az e törvény felhatalmazása alapján kiadott jogszabályban foglaltaknak történő megfelelésben tapasztalható esetleges hiányosságait feltárják;</w:t>
      </w:r>
    </w:p>
    <w:p>
      <w:pPr>
        <w:pStyle w:val="ListParagraph"/>
        <w:numPr>
          <w:ilvl w:val="0"/>
          <w:numId w:val="342"/>
        </w:numPr>
        <w:tabs>
          <w:tab w:pos="729" w:val="left" w:leader="none"/>
        </w:tabs>
        <w:spacing w:line="225" w:lineRule="auto" w:before="3" w:after="0"/>
        <w:ind w:left="113" w:right="128" w:firstLine="204"/>
        <w:jc w:val="both"/>
        <w:rPr>
          <w:sz w:val="24"/>
        </w:rPr>
      </w:pPr>
      <w:r>
        <w:rPr>
          <w:w w:val="125"/>
          <w:sz w:val="24"/>
        </w:rPr>
        <w:t>a megfelelésbeli hiányosságok feltárása érdekében tett intézkedések folyamatos nyomon követése és rendszeres</w:t>
      </w:r>
      <w:r>
        <w:rPr>
          <w:spacing w:val="10"/>
          <w:w w:val="125"/>
          <w:sz w:val="24"/>
        </w:rPr>
        <w:t> </w:t>
      </w:r>
      <w:r>
        <w:rPr>
          <w:w w:val="125"/>
          <w:sz w:val="24"/>
        </w:rPr>
        <w:t>ellenőrzése;</w:t>
      </w:r>
    </w:p>
    <w:p>
      <w:pPr>
        <w:pStyle w:val="ListParagraph"/>
        <w:numPr>
          <w:ilvl w:val="0"/>
          <w:numId w:val="342"/>
        </w:numPr>
        <w:tabs>
          <w:tab w:pos="745" w:val="left" w:leader="none"/>
        </w:tabs>
        <w:spacing w:line="225" w:lineRule="auto" w:before="1" w:after="0"/>
        <w:ind w:left="113" w:right="128" w:firstLine="204"/>
        <w:jc w:val="both"/>
        <w:rPr>
          <w:sz w:val="24"/>
        </w:rPr>
      </w:pPr>
      <w:r>
        <w:rPr>
          <w:w w:val="130"/>
          <w:sz w:val="24"/>
        </w:rPr>
        <w:t>a hitelintézet irányítási jogkörrel rendelkező vezető testületének, és alkalmazottainak segítése annak érdekében, hogy a hitelintézet teljesítse a</w:t>
      </w:r>
      <w:r>
        <w:rPr>
          <w:spacing w:val="78"/>
          <w:w w:val="130"/>
          <w:sz w:val="24"/>
        </w:rPr>
        <w:t> </w:t>
      </w:r>
      <w:r>
        <w:rPr>
          <w:w w:val="130"/>
          <w:sz w:val="24"/>
        </w:rPr>
        <w:t>tevékenységére és működésére vonatkozó jogszabályokban foglalt kötelezettségeit.</w:t>
      </w:r>
    </w:p>
    <w:p>
      <w:pPr>
        <w:pStyle w:val="BodyText"/>
        <w:spacing w:before="10"/>
        <w:ind w:left="0" w:firstLine="0"/>
        <w:rPr>
          <w:sz w:val="20"/>
        </w:rPr>
      </w:pPr>
      <w:r>
        <w:rPr/>
        <w:pict>
          <v:line style="position:absolute;mso-position-horizontal-relative:page;mso-position-vertical-relative:paragraph;z-index:824;mso-wrap-distance-left:0;mso-wrap-distance-right:0" from="56.693001pt,14.240878pt" to="538.583001pt,14.240878pt" stroked="true" strokeweight=".5pt" strokecolor="#000000">
            <v:stroke dashstyle="solid"/>
            <w10:wrap type="topAndBottom"/>
          </v:line>
        </w:pict>
      </w:r>
    </w:p>
    <w:p>
      <w:pPr>
        <w:pStyle w:val="ListParagraph"/>
        <w:numPr>
          <w:ilvl w:val="0"/>
          <w:numId w:val="343"/>
        </w:numPr>
        <w:tabs>
          <w:tab w:pos="686" w:val="left" w:leader="none"/>
          <w:tab w:pos="687" w:val="left" w:leader="none"/>
        </w:tabs>
        <w:spacing w:line="203" w:lineRule="exact" w:before="44" w:after="0"/>
        <w:ind w:left="686" w:right="0" w:hanging="344"/>
        <w:jc w:val="left"/>
        <w:rPr>
          <w:i/>
          <w:sz w:val="18"/>
        </w:rPr>
      </w:pPr>
      <w:r>
        <w:rPr>
          <w:i/>
          <w:w w:val="125"/>
          <w:sz w:val="18"/>
        </w:rPr>
        <w:t>Módosította: ugyane törvény 306. § (8)</w:t>
      </w:r>
      <w:r>
        <w:rPr>
          <w:i/>
          <w:spacing w:val="-1"/>
          <w:w w:val="125"/>
          <w:sz w:val="18"/>
        </w:rPr>
        <w:t> </w:t>
      </w:r>
      <w:r>
        <w:rPr>
          <w:i/>
          <w:w w:val="125"/>
          <w:sz w:val="18"/>
        </w:rPr>
        <w:t>g).</w:t>
      </w:r>
    </w:p>
    <w:p>
      <w:pPr>
        <w:pStyle w:val="ListParagraph"/>
        <w:numPr>
          <w:ilvl w:val="0"/>
          <w:numId w:val="34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2017.</w:t>
      </w:r>
      <w:r>
        <w:rPr>
          <w:i/>
          <w:spacing w:val="-8"/>
          <w:w w:val="125"/>
          <w:sz w:val="18"/>
        </w:rPr>
        <w:t> </w:t>
      </w:r>
      <w:r>
        <w:rPr>
          <w:i/>
          <w:w w:val="125"/>
          <w:sz w:val="18"/>
        </w:rPr>
        <w:t>évi</w:t>
      </w:r>
      <w:r>
        <w:rPr>
          <w:i/>
          <w:spacing w:val="-7"/>
          <w:w w:val="125"/>
          <w:sz w:val="18"/>
        </w:rPr>
        <w:t> </w:t>
      </w:r>
      <w:r>
        <w:rPr>
          <w:i/>
          <w:w w:val="125"/>
          <w:sz w:val="18"/>
        </w:rPr>
        <w:t>LXIX.</w:t>
      </w:r>
      <w:r>
        <w:rPr>
          <w:i/>
          <w:spacing w:val="-7"/>
          <w:w w:val="125"/>
          <w:sz w:val="18"/>
        </w:rPr>
        <w:t> </w:t>
      </w:r>
      <w:r>
        <w:rPr>
          <w:i/>
          <w:w w:val="125"/>
          <w:sz w:val="18"/>
        </w:rPr>
        <w:t>törvény</w:t>
      </w:r>
      <w:r>
        <w:rPr>
          <w:i/>
          <w:spacing w:val="-7"/>
          <w:w w:val="125"/>
          <w:sz w:val="18"/>
        </w:rPr>
        <w:t> </w:t>
      </w:r>
      <w:r>
        <w:rPr>
          <w:i/>
          <w:w w:val="125"/>
          <w:sz w:val="18"/>
        </w:rPr>
        <w:t>169.</w:t>
      </w:r>
      <w:r>
        <w:rPr>
          <w:i/>
          <w:spacing w:val="-8"/>
          <w:w w:val="125"/>
          <w:sz w:val="18"/>
        </w:rPr>
        <w:t> </w:t>
      </w:r>
      <w:r>
        <w:rPr>
          <w:i/>
          <w:w w:val="125"/>
          <w:sz w:val="18"/>
        </w:rPr>
        <w:t>§.</w:t>
      </w:r>
      <w:r>
        <w:rPr>
          <w:i/>
          <w:spacing w:val="-7"/>
          <w:w w:val="125"/>
          <w:sz w:val="18"/>
        </w:rPr>
        <w:t> </w:t>
      </w:r>
      <w:r>
        <w:rPr>
          <w:i/>
          <w:w w:val="125"/>
          <w:sz w:val="18"/>
        </w:rPr>
        <w:t>Hatályos:</w:t>
      </w:r>
      <w:r>
        <w:rPr>
          <w:i/>
          <w:spacing w:val="-6"/>
          <w:w w:val="125"/>
          <w:sz w:val="18"/>
        </w:rPr>
        <w:t> </w:t>
      </w:r>
      <w:r>
        <w:rPr>
          <w:i/>
          <w:w w:val="125"/>
          <w:sz w:val="18"/>
        </w:rPr>
        <w:t>2018.</w:t>
      </w:r>
      <w:r>
        <w:rPr>
          <w:i/>
          <w:spacing w:val="-8"/>
          <w:w w:val="125"/>
          <w:sz w:val="18"/>
        </w:rPr>
        <w:t> </w:t>
      </w:r>
      <w:r>
        <w:rPr>
          <w:i/>
          <w:w w:val="125"/>
          <w:sz w:val="18"/>
        </w:rPr>
        <w:t>I.</w:t>
      </w:r>
      <w:r>
        <w:rPr>
          <w:i/>
          <w:spacing w:val="-6"/>
          <w:w w:val="125"/>
          <w:sz w:val="18"/>
        </w:rPr>
        <w:t> </w:t>
      </w:r>
      <w:r>
        <w:rPr>
          <w:i/>
          <w:w w:val="125"/>
          <w:sz w:val="18"/>
        </w:rPr>
        <w:t>1-től.</w:t>
      </w:r>
    </w:p>
    <w:p>
      <w:pPr>
        <w:pStyle w:val="ListParagraph"/>
        <w:numPr>
          <w:ilvl w:val="0"/>
          <w:numId w:val="343"/>
        </w:numPr>
        <w:tabs>
          <w:tab w:pos="686" w:val="left" w:leader="none"/>
          <w:tab w:pos="687" w:val="left" w:leader="none"/>
        </w:tabs>
        <w:spacing w:line="203" w:lineRule="exact" w:before="0" w:after="0"/>
        <w:ind w:left="686" w:right="0" w:hanging="344"/>
        <w:jc w:val="left"/>
        <w:rPr>
          <w:i/>
          <w:sz w:val="18"/>
        </w:rPr>
      </w:pPr>
      <w:r>
        <w:rPr>
          <w:i/>
          <w:w w:val="125"/>
          <w:sz w:val="18"/>
        </w:rPr>
        <w:t>Beiktatta:</w:t>
      </w:r>
      <w:r>
        <w:rPr>
          <w:i/>
          <w:spacing w:val="-8"/>
          <w:w w:val="125"/>
          <w:sz w:val="18"/>
        </w:rPr>
        <w:t> </w:t>
      </w:r>
      <w:r>
        <w:rPr>
          <w:i/>
          <w:w w:val="125"/>
          <w:sz w:val="18"/>
        </w:rPr>
        <w:t>2017.</w:t>
      </w:r>
      <w:r>
        <w:rPr>
          <w:i/>
          <w:spacing w:val="-8"/>
          <w:w w:val="125"/>
          <w:sz w:val="18"/>
        </w:rPr>
        <w:t> </w:t>
      </w:r>
      <w:r>
        <w:rPr>
          <w:i/>
          <w:w w:val="125"/>
          <w:sz w:val="18"/>
        </w:rPr>
        <w:t>évi</w:t>
      </w:r>
      <w:r>
        <w:rPr>
          <w:i/>
          <w:spacing w:val="-7"/>
          <w:w w:val="125"/>
          <w:sz w:val="18"/>
        </w:rPr>
        <w:t> </w:t>
      </w:r>
      <w:r>
        <w:rPr>
          <w:i/>
          <w:w w:val="125"/>
          <w:sz w:val="18"/>
        </w:rPr>
        <w:t>LXIX.</w:t>
      </w:r>
      <w:r>
        <w:rPr>
          <w:i/>
          <w:spacing w:val="-7"/>
          <w:w w:val="125"/>
          <w:sz w:val="18"/>
        </w:rPr>
        <w:t> </w:t>
      </w:r>
      <w:r>
        <w:rPr>
          <w:i/>
          <w:w w:val="125"/>
          <w:sz w:val="18"/>
        </w:rPr>
        <w:t>törvény</w:t>
      </w:r>
      <w:r>
        <w:rPr>
          <w:i/>
          <w:spacing w:val="-7"/>
          <w:w w:val="125"/>
          <w:sz w:val="18"/>
        </w:rPr>
        <w:t> </w:t>
      </w:r>
      <w:r>
        <w:rPr>
          <w:i/>
          <w:w w:val="125"/>
          <w:sz w:val="18"/>
        </w:rPr>
        <w:t>169.</w:t>
      </w:r>
      <w:r>
        <w:rPr>
          <w:i/>
          <w:spacing w:val="-8"/>
          <w:w w:val="125"/>
          <w:sz w:val="18"/>
        </w:rPr>
        <w:t> </w:t>
      </w:r>
      <w:r>
        <w:rPr>
          <w:i/>
          <w:w w:val="125"/>
          <w:sz w:val="18"/>
        </w:rPr>
        <w:t>§.</w:t>
      </w:r>
      <w:r>
        <w:rPr>
          <w:i/>
          <w:spacing w:val="-7"/>
          <w:w w:val="125"/>
          <w:sz w:val="18"/>
        </w:rPr>
        <w:t> </w:t>
      </w:r>
      <w:r>
        <w:rPr>
          <w:i/>
          <w:w w:val="125"/>
          <w:sz w:val="18"/>
        </w:rPr>
        <w:t>Hatályos:</w:t>
      </w:r>
      <w:r>
        <w:rPr>
          <w:i/>
          <w:spacing w:val="-6"/>
          <w:w w:val="125"/>
          <w:sz w:val="18"/>
        </w:rPr>
        <w:t> </w:t>
      </w:r>
      <w:r>
        <w:rPr>
          <w:i/>
          <w:w w:val="125"/>
          <w:sz w:val="18"/>
        </w:rPr>
        <w:t>2018.</w:t>
      </w:r>
      <w:r>
        <w:rPr>
          <w:i/>
          <w:spacing w:val="-8"/>
          <w:w w:val="125"/>
          <w:sz w:val="18"/>
        </w:rPr>
        <w:t> </w:t>
      </w:r>
      <w:r>
        <w:rPr>
          <w:i/>
          <w:w w:val="125"/>
          <w:sz w:val="18"/>
        </w:rPr>
        <w:t>I.</w:t>
      </w:r>
      <w:r>
        <w:rPr>
          <w:i/>
          <w:spacing w:val="-6"/>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44"/>
        </w:numPr>
        <w:tabs>
          <w:tab w:pos="780" w:val="left" w:leader="none"/>
        </w:tabs>
        <w:spacing w:line="225" w:lineRule="auto" w:before="173" w:after="0"/>
        <w:ind w:left="113" w:right="117" w:firstLine="204"/>
        <w:jc w:val="both"/>
        <w:rPr>
          <w:sz w:val="24"/>
        </w:rPr>
      </w:pPr>
      <w:r>
        <w:rPr>
          <w:w w:val="125"/>
          <w:sz w:val="24"/>
        </w:rPr>
        <w:t>Amennyiben a jogszabályoknak történő megfelelésért felelős szervezeti egység kialakítása a hitelintézet számára a  tevékenységének  természete, mérete és összetettsége figyelembevételével aránytalan terhet jelentene, és a hitelintézet hitelt érdemlően igazolni tudja, hogy mindez nem befolyásolja hátrányosan a megfelelési feladatok ellátását, a hitelintézetnek  elegendő egy,   a jogszabályoknak történő megfelelésért felelős személyt kineveznie. Ebben az esetben a  jogszabályoknak történő megfelelésért felelős személy tekintetében   a jogszabályoknak történő megfelelésért felelős szervezeti egységre előírt rendelkezéseket kell</w:t>
      </w:r>
      <w:r>
        <w:rPr>
          <w:spacing w:val="1"/>
          <w:w w:val="125"/>
          <w:sz w:val="24"/>
        </w:rPr>
        <w:t> </w:t>
      </w:r>
      <w:r>
        <w:rPr>
          <w:w w:val="125"/>
          <w:sz w:val="24"/>
        </w:rPr>
        <w:t>alkalmazni.</w:t>
      </w:r>
    </w:p>
    <w:p>
      <w:pPr>
        <w:pStyle w:val="ListParagraph"/>
        <w:numPr>
          <w:ilvl w:val="0"/>
          <w:numId w:val="344"/>
        </w:numPr>
        <w:tabs>
          <w:tab w:pos="756" w:val="left" w:leader="none"/>
        </w:tabs>
        <w:spacing w:line="225" w:lineRule="auto" w:before="5" w:after="0"/>
        <w:ind w:left="113" w:right="127" w:firstLine="204"/>
        <w:jc w:val="both"/>
        <w:rPr>
          <w:sz w:val="24"/>
        </w:rPr>
      </w:pPr>
      <w:r>
        <w:rPr>
          <w:w w:val="125"/>
          <w:sz w:val="24"/>
        </w:rPr>
        <w:t>A jogszabályoknak történő megfelelésért felelős szervezeti egység az (1) bekezdésben foglaltak teljesítéséről évente  legalább  egyszer  jelentést  készít az irányítási és a felügyeleti jogkörrel rendelkező vezető testület</w:t>
      </w:r>
      <w:r>
        <w:rPr>
          <w:spacing w:val="5"/>
          <w:w w:val="125"/>
          <w:sz w:val="24"/>
        </w:rPr>
        <w:t> </w:t>
      </w:r>
      <w:r>
        <w:rPr>
          <w:w w:val="125"/>
          <w:sz w:val="24"/>
        </w:rPr>
        <w:t>részére.</w:t>
      </w:r>
    </w:p>
    <w:p>
      <w:pPr>
        <w:pStyle w:val="ListParagraph"/>
        <w:numPr>
          <w:ilvl w:val="0"/>
          <w:numId w:val="344"/>
        </w:numPr>
        <w:tabs>
          <w:tab w:pos="760" w:val="left" w:leader="none"/>
        </w:tabs>
        <w:spacing w:line="225" w:lineRule="auto" w:before="2" w:after="0"/>
        <w:ind w:left="113" w:right="124" w:firstLine="204"/>
        <w:jc w:val="both"/>
        <w:rPr>
          <w:sz w:val="24"/>
        </w:rPr>
      </w:pPr>
      <w:r>
        <w:rPr>
          <w:w w:val="130"/>
          <w:sz w:val="24"/>
        </w:rPr>
        <w:t>A</w:t>
      </w:r>
      <w:r>
        <w:rPr>
          <w:spacing w:val="-12"/>
          <w:w w:val="130"/>
          <w:sz w:val="24"/>
        </w:rPr>
        <w:t> </w:t>
      </w:r>
      <w:r>
        <w:rPr>
          <w:w w:val="130"/>
          <w:sz w:val="24"/>
        </w:rPr>
        <w:t>hitelintézet</w:t>
      </w:r>
      <w:r>
        <w:rPr>
          <w:spacing w:val="-11"/>
          <w:w w:val="130"/>
          <w:sz w:val="24"/>
        </w:rPr>
        <w:t> </w:t>
      </w:r>
      <w:r>
        <w:rPr>
          <w:w w:val="130"/>
          <w:sz w:val="24"/>
        </w:rPr>
        <w:t>a</w:t>
      </w:r>
      <w:r>
        <w:rPr>
          <w:spacing w:val="-2"/>
          <w:w w:val="130"/>
          <w:sz w:val="24"/>
        </w:rPr>
        <w:t> </w:t>
      </w:r>
      <w:r>
        <w:rPr>
          <w:w w:val="130"/>
          <w:sz w:val="24"/>
        </w:rPr>
        <w:t>jogszabályoknak</w:t>
      </w:r>
      <w:r>
        <w:rPr>
          <w:spacing w:val="-20"/>
          <w:w w:val="130"/>
          <w:sz w:val="24"/>
        </w:rPr>
        <w:t> </w:t>
      </w:r>
      <w:r>
        <w:rPr>
          <w:w w:val="130"/>
          <w:sz w:val="24"/>
        </w:rPr>
        <w:t>történő</w:t>
      </w:r>
      <w:r>
        <w:rPr>
          <w:spacing w:val="-11"/>
          <w:w w:val="130"/>
          <w:sz w:val="24"/>
        </w:rPr>
        <w:t> </w:t>
      </w:r>
      <w:r>
        <w:rPr>
          <w:w w:val="130"/>
          <w:sz w:val="24"/>
        </w:rPr>
        <w:t>megfelelésért</w:t>
      </w:r>
      <w:r>
        <w:rPr>
          <w:spacing w:val="-12"/>
          <w:w w:val="130"/>
          <w:sz w:val="24"/>
        </w:rPr>
        <w:t> </w:t>
      </w:r>
      <w:r>
        <w:rPr>
          <w:w w:val="130"/>
          <w:sz w:val="24"/>
        </w:rPr>
        <w:t>felelős</w:t>
      </w:r>
      <w:r>
        <w:rPr>
          <w:spacing w:val="-11"/>
          <w:w w:val="130"/>
          <w:sz w:val="24"/>
        </w:rPr>
        <w:t> </w:t>
      </w:r>
      <w:r>
        <w:rPr>
          <w:w w:val="130"/>
          <w:sz w:val="24"/>
        </w:rPr>
        <w:t>szervezeti egység működtetésére mindenkor rendelkezik a hitelintézet mérete, tevékenységének</w:t>
      </w:r>
      <w:r>
        <w:rPr>
          <w:spacing w:val="-23"/>
          <w:w w:val="130"/>
          <w:sz w:val="24"/>
        </w:rPr>
        <w:t> </w:t>
      </w:r>
      <w:r>
        <w:rPr>
          <w:w w:val="130"/>
          <w:sz w:val="24"/>
        </w:rPr>
        <w:t>jellege,</w:t>
      </w:r>
      <w:r>
        <w:rPr>
          <w:spacing w:val="-21"/>
          <w:w w:val="130"/>
          <w:sz w:val="24"/>
        </w:rPr>
        <w:t> </w:t>
      </w:r>
      <w:r>
        <w:rPr>
          <w:w w:val="130"/>
          <w:sz w:val="24"/>
        </w:rPr>
        <w:t>nagyságrendje</w:t>
      </w:r>
      <w:r>
        <w:rPr>
          <w:spacing w:val="-21"/>
          <w:w w:val="130"/>
          <w:sz w:val="24"/>
        </w:rPr>
        <w:t> </w:t>
      </w:r>
      <w:r>
        <w:rPr>
          <w:w w:val="130"/>
          <w:sz w:val="24"/>
        </w:rPr>
        <w:t>és</w:t>
      </w:r>
      <w:r>
        <w:rPr>
          <w:spacing w:val="-22"/>
          <w:w w:val="130"/>
          <w:sz w:val="24"/>
        </w:rPr>
        <w:t> </w:t>
      </w:r>
      <w:r>
        <w:rPr>
          <w:w w:val="130"/>
          <w:sz w:val="24"/>
        </w:rPr>
        <w:t>összetettsége</w:t>
      </w:r>
      <w:r>
        <w:rPr>
          <w:spacing w:val="-22"/>
          <w:w w:val="130"/>
          <w:sz w:val="24"/>
        </w:rPr>
        <w:t> </w:t>
      </w:r>
      <w:r>
        <w:rPr>
          <w:w w:val="130"/>
          <w:sz w:val="24"/>
        </w:rPr>
        <w:t>arányában</w:t>
      </w:r>
      <w:r>
        <w:rPr>
          <w:spacing w:val="-21"/>
          <w:w w:val="130"/>
          <w:sz w:val="24"/>
        </w:rPr>
        <w:t> </w:t>
      </w:r>
      <w:r>
        <w:rPr>
          <w:w w:val="130"/>
          <w:sz w:val="24"/>
        </w:rPr>
        <w:t>megfelelő számú, képzettségű és szakmailag alkalmas munkatárssal, megfelelő anyagi erőforrással, és a feladatok ellátásához szükséges hatáskörrel és információkhoz való</w:t>
      </w:r>
      <w:r>
        <w:rPr>
          <w:spacing w:val="-2"/>
          <w:w w:val="130"/>
          <w:sz w:val="24"/>
        </w:rPr>
        <w:t> </w:t>
      </w:r>
      <w:r>
        <w:rPr>
          <w:w w:val="130"/>
          <w:sz w:val="24"/>
        </w:rPr>
        <w:t>hozzáféréssel.</w:t>
      </w:r>
    </w:p>
    <w:p>
      <w:pPr>
        <w:pStyle w:val="ListParagraph"/>
        <w:numPr>
          <w:ilvl w:val="0"/>
          <w:numId w:val="344"/>
        </w:numPr>
        <w:tabs>
          <w:tab w:pos="760" w:val="left" w:leader="none"/>
        </w:tabs>
        <w:spacing w:line="225" w:lineRule="auto" w:before="3" w:after="0"/>
        <w:ind w:left="113" w:right="124" w:firstLine="204"/>
        <w:jc w:val="both"/>
        <w:rPr>
          <w:sz w:val="24"/>
        </w:rPr>
      </w:pPr>
      <w:r>
        <w:rPr>
          <w:w w:val="125"/>
          <w:sz w:val="24"/>
        </w:rPr>
        <w:t>A hitelintézet a jogszabályoknak történő megfelelésért felelős szervezeti egység vezetőjének személyét bejelenti a</w:t>
      </w:r>
      <w:r>
        <w:rPr>
          <w:spacing w:val="9"/>
          <w:w w:val="125"/>
          <w:sz w:val="24"/>
        </w:rPr>
        <w:t> </w:t>
      </w:r>
      <w:r>
        <w:rPr>
          <w:w w:val="125"/>
          <w:sz w:val="24"/>
        </w:rPr>
        <w:t>Felügyeletnek.</w:t>
      </w:r>
    </w:p>
    <w:p>
      <w:pPr>
        <w:pStyle w:val="BodyText"/>
        <w:spacing w:before="228"/>
        <w:ind w:left="1915" w:firstLine="0"/>
      </w:pPr>
      <w:r>
        <w:rPr>
          <w:w w:val="125"/>
        </w:rPr>
        <w:t>66. Belső ellenőrzés és belső ellenőrzési rendszer</w:t>
      </w:r>
    </w:p>
    <w:p>
      <w:pPr>
        <w:pStyle w:val="ListParagraph"/>
        <w:numPr>
          <w:ilvl w:val="0"/>
          <w:numId w:val="322"/>
        </w:numPr>
        <w:tabs>
          <w:tab w:pos="1066" w:val="left" w:leader="none"/>
        </w:tabs>
        <w:spacing w:line="225" w:lineRule="auto" w:before="236" w:after="0"/>
        <w:ind w:left="113" w:right="124" w:firstLine="204"/>
        <w:jc w:val="both"/>
        <w:rPr>
          <w:sz w:val="24"/>
        </w:rPr>
      </w:pPr>
      <w:r>
        <w:rPr>
          <w:rFonts w:ascii="Arial" w:hAnsi="Arial"/>
          <w:b/>
          <w:w w:val="125"/>
          <w:sz w:val="24"/>
        </w:rPr>
        <w:t>§ </w:t>
      </w:r>
      <w:r>
        <w:rPr>
          <w:w w:val="125"/>
          <w:sz w:val="24"/>
        </w:rPr>
        <w:t>(1) A bank és a szakosított hitelintézet független, közvetlenül a felügyeleti jogkörrel rendelkező vezető testület irányítása alatt álló belső ellenőrzési szervezeti egységet működtet. A belső ellenőrzési rendszer működtetését a belső ellenőrzési szervezeti egység végzi, a belső ellenőrzési szervezeti egység feladatait a belső ellenőr látja</w:t>
      </w:r>
      <w:r>
        <w:rPr>
          <w:spacing w:val="16"/>
          <w:w w:val="125"/>
          <w:sz w:val="24"/>
        </w:rPr>
        <w:t> </w:t>
      </w:r>
      <w:r>
        <w:rPr>
          <w:w w:val="125"/>
          <w:sz w:val="24"/>
        </w:rPr>
        <w:t>el.</w:t>
      </w:r>
    </w:p>
    <w:p>
      <w:pPr>
        <w:pStyle w:val="ListParagraph"/>
        <w:numPr>
          <w:ilvl w:val="0"/>
          <w:numId w:val="345"/>
        </w:numPr>
        <w:tabs>
          <w:tab w:pos="734" w:val="left" w:leader="none"/>
        </w:tabs>
        <w:spacing w:line="257" w:lineRule="exact" w:before="0" w:after="0"/>
        <w:ind w:left="733" w:right="0" w:hanging="416"/>
        <w:jc w:val="left"/>
        <w:rPr>
          <w:sz w:val="24"/>
        </w:rPr>
      </w:pPr>
      <w:r>
        <w:rPr>
          <w:w w:val="125"/>
          <w:sz w:val="24"/>
        </w:rPr>
        <w:t>A belső ellenőrzési rendszer működtetésének célja,</w:t>
      </w:r>
      <w:r>
        <w:rPr>
          <w:spacing w:val="12"/>
          <w:w w:val="125"/>
          <w:sz w:val="24"/>
        </w:rPr>
        <w:t> </w:t>
      </w:r>
      <w:r>
        <w:rPr>
          <w:w w:val="125"/>
          <w:sz w:val="24"/>
        </w:rPr>
        <w:t>hogy</w:t>
      </w:r>
    </w:p>
    <w:p>
      <w:pPr>
        <w:pStyle w:val="ListParagraph"/>
        <w:numPr>
          <w:ilvl w:val="0"/>
          <w:numId w:val="346"/>
        </w:numPr>
        <w:tabs>
          <w:tab w:pos="631" w:val="left" w:leader="none"/>
        </w:tabs>
        <w:spacing w:line="260" w:lineRule="exact" w:before="0" w:after="0"/>
        <w:ind w:left="630" w:right="0" w:hanging="313"/>
        <w:jc w:val="left"/>
        <w:rPr>
          <w:sz w:val="24"/>
        </w:rPr>
      </w:pPr>
      <w:r>
        <w:rPr>
          <w:w w:val="125"/>
          <w:sz w:val="24"/>
        </w:rPr>
        <w:t>a hitelintézet jogszabályoknak megfelelő működését</w:t>
      </w:r>
      <w:r>
        <w:rPr>
          <w:spacing w:val="20"/>
          <w:w w:val="125"/>
          <w:sz w:val="24"/>
        </w:rPr>
        <w:t> </w:t>
      </w:r>
      <w:r>
        <w:rPr>
          <w:w w:val="125"/>
          <w:sz w:val="24"/>
        </w:rPr>
        <w:t>elősegítse,</w:t>
      </w:r>
    </w:p>
    <w:p>
      <w:pPr>
        <w:pStyle w:val="ListParagraph"/>
        <w:numPr>
          <w:ilvl w:val="0"/>
          <w:numId w:val="346"/>
        </w:numPr>
        <w:tabs>
          <w:tab w:pos="844" w:val="left" w:leader="none"/>
        </w:tabs>
        <w:spacing w:line="225" w:lineRule="auto" w:before="6" w:after="0"/>
        <w:ind w:left="113" w:right="120" w:firstLine="204"/>
        <w:jc w:val="both"/>
        <w:rPr>
          <w:sz w:val="24"/>
        </w:rPr>
      </w:pPr>
      <w:r>
        <w:rPr>
          <w:w w:val="130"/>
          <w:sz w:val="24"/>
        </w:rPr>
        <w:t>a hitelintézet belső szabályzataiban foglalt előírások betartását ellenőrizze,</w:t>
      </w:r>
    </w:p>
    <w:p>
      <w:pPr>
        <w:pStyle w:val="ListParagraph"/>
        <w:numPr>
          <w:ilvl w:val="0"/>
          <w:numId w:val="346"/>
        </w:numPr>
        <w:tabs>
          <w:tab w:pos="644" w:val="left" w:leader="none"/>
        </w:tabs>
        <w:spacing w:line="225" w:lineRule="auto" w:before="1" w:after="0"/>
        <w:ind w:left="113" w:right="126" w:firstLine="204"/>
        <w:jc w:val="both"/>
        <w:rPr>
          <w:sz w:val="24"/>
        </w:rPr>
      </w:pPr>
      <w:r>
        <w:rPr>
          <w:w w:val="125"/>
          <w:sz w:val="24"/>
        </w:rPr>
        <w:t>a jogszabályoktól és a belső szabályzatokban foglaltaktól való eltéréseket feltárja, továbbá javaslatot tudjon megfogalmazni a feltárt hiányosságok kijavítására,</w:t>
      </w:r>
    </w:p>
    <w:p>
      <w:pPr>
        <w:pStyle w:val="ListParagraph"/>
        <w:numPr>
          <w:ilvl w:val="0"/>
          <w:numId w:val="346"/>
        </w:numPr>
        <w:tabs>
          <w:tab w:pos="873" w:val="left" w:leader="none"/>
        </w:tabs>
        <w:spacing w:line="225" w:lineRule="auto" w:before="2" w:after="0"/>
        <w:ind w:left="113" w:right="116" w:firstLine="204"/>
        <w:jc w:val="both"/>
        <w:rPr>
          <w:sz w:val="24"/>
        </w:rPr>
      </w:pPr>
      <w:r>
        <w:rPr>
          <w:w w:val="130"/>
          <w:sz w:val="24"/>
        </w:rPr>
        <w:t>a döntéshozatalhoz szükséges pénzügyi és egyéb információk biztosíthatóak</w:t>
      </w:r>
      <w:r>
        <w:rPr>
          <w:spacing w:val="-3"/>
          <w:w w:val="130"/>
          <w:sz w:val="24"/>
        </w:rPr>
        <w:t> </w:t>
      </w:r>
      <w:r>
        <w:rPr>
          <w:w w:val="130"/>
          <w:sz w:val="24"/>
        </w:rPr>
        <w:t>legyenek,</w:t>
      </w:r>
    </w:p>
    <w:p>
      <w:pPr>
        <w:pStyle w:val="ListParagraph"/>
        <w:numPr>
          <w:ilvl w:val="0"/>
          <w:numId w:val="346"/>
        </w:numPr>
        <w:tabs>
          <w:tab w:pos="638" w:val="left" w:leader="none"/>
        </w:tabs>
        <w:spacing w:line="225" w:lineRule="auto" w:before="1" w:after="0"/>
        <w:ind w:left="113" w:right="133" w:firstLine="204"/>
        <w:jc w:val="both"/>
        <w:rPr>
          <w:sz w:val="24"/>
        </w:rPr>
      </w:pPr>
      <w:r>
        <w:rPr>
          <w:w w:val="125"/>
          <w:sz w:val="24"/>
        </w:rPr>
        <w:t>a hitelintézet, valamint ügyfeleinek és a tulajdonosoknak az érdekei védve legyenek,</w:t>
      </w:r>
      <w:r>
        <w:rPr>
          <w:spacing w:val="-1"/>
          <w:w w:val="125"/>
          <w:sz w:val="24"/>
        </w:rPr>
        <w:t> </w:t>
      </w:r>
      <w:r>
        <w:rPr>
          <w:w w:val="125"/>
          <w:sz w:val="24"/>
        </w:rPr>
        <w:t>valamint</w:t>
      </w:r>
    </w:p>
    <w:p>
      <w:pPr>
        <w:pStyle w:val="ListParagraph"/>
        <w:numPr>
          <w:ilvl w:val="0"/>
          <w:numId w:val="346"/>
        </w:numPr>
        <w:tabs>
          <w:tab w:pos="744" w:val="left" w:leader="none"/>
        </w:tabs>
        <w:spacing w:line="225" w:lineRule="auto" w:before="1" w:after="0"/>
        <w:ind w:left="113" w:right="112" w:firstLine="204"/>
        <w:jc w:val="both"/>
        <w:rPr>
          <w:sz w:val="24"/>
        </w:rPr>
      </w:pPr>
      <w:r>
        <w:rPr>
          <w:w w:val="130"/>
          <w:sz w:val="24"/>
        </w:rPr>
        <w:t>a hitelintézetre vonatkozó belső szabályzatokban foglalt előírások betartását, és azok tartalmi elégségességét</w:t>
      </w:r>
      <w:r>
        <w:rPr>
          <w:spacing w:val="-19"/>
          <w:w w:val="130"/>
          <w:sz w:val="24"/>
        </w:rPr>
        <w:t> </w:t>
      </w:r>
      <w:r>
        <w:rPr>
          <w:w w:val="130"/>
          <w:sz w:val="24"/>
        </w:rPr>
        <w:t>ellenőrizze.</w:t>
      </w:r>
    </w:p>
    <w:p>
      <w:pPr>
        <w:pStyle w:val="ListParagraph"/>
        <w:numPr>
          <w:ilvl w:val="0"/>
          <w:numId w:val="345"/>
        </w:numPr>
        <w:tabs>
          <w:tab w:pos="813" w:val="left" w:leader="none"/>
        </w:tabs>
        <w:spacing w:line="225" w:lineRule="auto" w:before="1" w:after="0"/>
        <w:ind w:left="113" w:right="131" w:firstLine="204"/>
        <w:jc w:val="both"/>
        <w:rPr>
          <w:sz w:val="24"/>
        </w:rPr>
      </w:pPr>
      <w:r>
        <w:rPr>
          <w:w w:val="130"/>
          <w:sz w:val="24"/>
        </w:rPr>
        <w:t>A belső ellenőrzési rendszer eleme a belső ellenőrzés (a folyamatba</w:t>
      </w:r>
      <w:r>
        <w:rPr>
          <w:spacing w:val="78"/>
          <w:w w:val="130"/>
          <w:sz w:val="24"/>
        </w:rPr>
        <w:t> </w:t>
      </w:r>
      <w:r>
        <w:rPr>
          <w:w w:val="130"/>
          <w:sz w:val="24"/>
        </w:rPr>
        <w:t>épített ellenőrzés, a vezetői ellenőrzés és a belső ellenőrzési szervezet), és a vezetői információs</w:t>
      </w:r>
      <w:r>
        <w:rPr>
          <w:spacing w:val="-9"/>
          <w:w w:val="130"/>
          <w:sz w:val="24"/>
        </w:rPr>
        <w:t> </w:t>
      </w:r>
      <w:r>
        <w:rPr>
          <w:w w:val="130"/>
          <w:sz w:val="24"/>
        </w:rPr>
        <w:t>rendszer.</w:t>
      </w:r>
    </w:p>
    <w:p>
      <w:pPr>
        <w:pStyle w:val="ListParagraph"/>
        <w:numPr>
          <w:ilvl w:val="0"/>
          <w:numId w:val="345"/>
        </w:numPr>
        <w:tabs>
          <w:tab w:pos="904" w:val="left" w:leader="none"/>
        </w:tabs>
        <w:spacing w:line="225" w:lineRule="auto" w:before="2" w:after="0"/>
        <w:ind w:left="113" w:right="125" w:firstLine="204"/>
        <w:jc w:val="both"/>
        <w:rPr>
          <w:sz w:val="24"/>
        </w:rPr>
      </w:pPr>
      <w:r>
        <w:rPr>
          <w:w w:val="125"/>
          <w:sz w:val="24"/>
        </w:rPr>
        <w:t>A belső ellenőrzési rendszert a hitelintézet az általa folytatott szolgáltatási tevékenységek sajátosságaival, kiterjedtségével, összetettségével és kockázataival összhangban alakítja ki. A belső ellenőrzési rendszer a hitelintézet adatbázisaira épül, átfogó elemzésekkel és kockázatelemzésekkel alátámasztott. A belső ellenőrzési rendszer kiterjed  a  hitelintézet  működésének egészére, egyes szervezeti egységeinek elkülönült és illeszkedő működésére, valamint a kiszervezett tevékenységre</w:t>
      </w:r>
      <w:r>
        <w:rPr>
          <w:spacing w:val="11"/>
          <w:w w:val="125"/>
          <w:sz w:val="24"/>
        </w:rPr>
        <w:t> </w:t>
      </w:r>
      <w:r>
        <w:rPr>
          <w:w w:val="125"/>
          <w:sz w:val="24"/>
        </w:rPr>
        <w:t>is.</w:t>
      </w:r>
    </w:p>
    <w:p>
      <w:pPr>
        <w:spacing w:after="0" w:line="225" w:lineRule="auto"/>
        <w:jc w:val="both"/>
        <w:rPr>
          <w:sz w:val="24"/>
        </w:rPr>
        <w:sectPr>
          <w:pgSz w:w="11900" w:h="16820"/>
          <w:pgMar w:header="1104" w:footer="0" w:top="1840" w:bottom="280" w:left="1020" w:right="1000"/>
        </w:sectPr>
      </w:pPr>
    </w:p>
    <w:p>
      <w:pPr>
        <w:pStyle w:val="ListParagraph"/>
        <w:numPr>
          <w:ilvl w:val="0"/>
          <w:numId w:val="345"/>
        </w:numPr>
        <w:tabs>
          <w:tab w:pos="659" w:val="left" w:leader="none"/>
        </w:tabs>
        <w:spacing w:line="261" w:lineRule="exact" w:before="159" w:after="0"/>
        <w:ind w:left="658" w:right="0" w:hanging="341"/>
        <w:jc w:val="left"/>
        <w:rPr>
          <w:sz w:val="24"/>
        </w:rPr>
      </w:pPr>
      <w:r>
        <w:rPr>
          <w:i/>
          <w:w w:val="120"/>
          <w:position w:val="3"/>
          <w:sz w:val="18"/>
        </w:rPr>
        <w:t>1 </w:t>
      </w:r>
      <w:r>
        <w:rPr>
          <w:w w:val="120"/>
          <w:sz w:val="24"/>
        </w:rPr>
        <w:t>A pénzügyi vállalkozás legalább egy belső ellenőrt foglalkoztat.</w:t>
      </w:r>
      <w:r>
        <w:rPr>
          <w:spacing w:val="23"/>
          <w:w w:val="120"/>
          <w:sz w:val="24"/>
        </w:rPr>
        <w:t> </w:t>
      </w:r>
      <w:r>
        <w:rPr>
          <w:w w:val="120"/>
          <w:sz w:val="24"/>
        </w:rPr>
        <w:t>A</w:t>
      </w:r>
    </w:p>
    <w:p>
      <w:pPr>
        <w:pStyle w:val="BodyText"/>
        <w:spacing w:line="225" w:lineRule="auto" w:before="12"/>
        <w:ind w:right="123" w:firstLine="0"/>
        <w:jc w:val="both"/>
      </w:pPr>
      <w:r>
        <w:rPr>
          <w:w w:val="125"/>
        </w:rPr>
        <w:t>pénzügyi vállalkozások írásban megállapodhatnak arról, hogy a belső ellenőr kölcsönös foglalkoztatása ellen nem emelnek kifogást. Ugyanazon személy legfeljebb három pénzügyi vállalkozásnál foglalkoztatható belső ellenőrként.</w:t>
      </w:r>
    </w:p>
    <w:p>
      <w:pPr>
        <w:pStyle w:val="ListParagraph"/>
        <w:numPr>
          <w:ilvl w:val="0"/>
          <w:numId w:val="345"/>
        </w:numPr>
        <w:tabs>
          <w:tab w:pos="769" w:val="left" w:leader="none"/>
        </w:tabs>
        <w:spacing w:line="225" w:lineRule="auto" w:before="2" w:after="0"/>
        <w:ind w:left="113" w:right="126" w:firstLine="204"/>
        <w:jc w:val="both"/>
        <w:rPr>
          <w:sz w:val="24"/>
        </w:rPr>
      </w:pPr>
      <w:r>
        <w:rPr>
          <w:w w:val="130"/>
          <w:sz w:val="24"/>
        </w:rPr>
        <w:t>A belső ellenőrzés szervezetét, hatáskörét, feladatait, a belső ellenőrrel szemben támasztott szakmai követelményt és eljárási szabályokat a pénzügyi vállalkozás belső szabályzatban</w:t>
      </w:r>
      <w:r>
        <w:rPr>
          <w:spacing w:val="-15"/>
          <w:w w:val="130"/>
          <w:sz w:val="24"/>
        </w:rPr>
        <w:t> </w:t>
      </w:r>
      <w:r>
        <w:rPr>
          <w:w w:val="130"/>
          <w:sz w:val="24"/>
        </w:rPr>
        <w:t>rögzíti.</w:t>
      </w:r>
    </w:p>
    <w:p>
      <w:pPr>
        <w:pStyle w:val="ListParagraph"/>
        <w:numPr>
          <w:ilvl w:val="0"/>
          <w:numId w:val="345"/>
        </w:numPr>
        <w:tabs>
          <w:tab w:pos="832" w:val="left" w:leader="none"/>
        </w:tabs>
        <w:spacing w:line="225" w:lineRule="auto" w:before="2" w:after="0"/>
        <w:ind w:left="113" w:right="131" w:firstLine="204"/>
        <w:jc w:val="both"/>
        <w:rPr>
          <w:sz w:val="24"/>
        </w:rPr>
      </w:pPr>
      <w:r>
        <w:rPr>
          <w:w w:val="125"/>
          <w:sz w:val="24"/>
        </w:rPr>
        <w:t>A pénzügyi intézménynél működő belső ellenőrzési szervezet (belső ellenőr) feladata</w:t>
      </w:r>
    </w:p>
    <w:p>
      <w:pPr>
        <w:pStyle w:val="ListParagraph"/>
        <w:numPr>
          <w:ilvl w:val="0"/>
          <w:numId w:val="347"/>
        </w:numPr>
        <w:tabs>
          <w:tab w:pos="631" w:val="left" w:leader="none"/>
        </w:tabs>
        <w:spacing w:line="256" w:lineRule="exact" w:before="0" w:after="0"/>
        <w:ind w:left="630" w:right="0" w:hanging="313"/>
        <w:jc w:val="left"/>
        <w:rPr>
          <w:sz w:val="24"/>
        </w:rPr>
      </w:pPr>
      <w:r>
        <w:rPr>
          <w:w w:val="125"/>
          <w:sz w:val="24"/>
        </w:rPr>
        <w:t>a pénzügyi intézmény</w:t>
      </w:r>
    </w:p>
    <w:p>
      <w:pPr>
        <w:pStyle w:val="BodyText"/>
        <w:spacing w:line="260" w:lineRule="exact"/>
        <w:ind w:left="317" w:firstLine="0"/>
      </w:pPr>
      <w:r>
        <w:rPr>
          <w:i/>
          <w:w w:val="125"/>
        </w:rPr>
        <w:t>aa) </w:t>
      </w:r>
      <w:r>
        <w:rPr>
          <w:w w:val="125"/>
        </w:rPr>
        <w:t>belső szabályzatnak megfelelő működésének,</w:t>
      </w:r>
    </w:p>
    <w:p>
      <w:pPr>
        <w:pStyle w:val="BodyText"/>
        <w:spacing w:line="225" w:lineRule="auto" w:before="5"/>
        <w:ind w:right="128"/>
        <w:jc w:val="both"/>
      </w:pPr>
      <w:r>
        <w:rPr>
          <w:i/>
          <w:w w:val="130"/>
        </w:rPr>
        <w:t>ab) </w:t>
      </w:r>
      <w:r>
        <w:rPr>
          <w:w w:val="130"/>
        </w:rPr>
        <w:t>pénzügyi szolgáltatási, illetve kiegészítő pénzügyi szolgáltatási tevékenységének a törvényesség, a biztonság, az áttekinthetőség szempontjából történő vizsgálata, és</w:t>
      </w:r>
    </w:p>
    <w:p>
      <w:pPr>
        <w:pStyle w:val="ListParagraph"/>
        <w:numPr>
          <w:ilvl w:val="0"/>
          <w:numId w:val="347"/>
        </w:numPr>
        <w:tabs>
          <w:tab w:pos="653" w:val="left" w:leader="none"/>
        </w:tabs>
        <w:spacing w:line="256" w:lineRule="exact" w:before="0" w:after="0"/>
        <w:ind w:left="652" w:right="0" w:hanging="335"/>
        <w:jc w:val="left"/>
        <w:rPr>
          <w:sz w:val="24"/>
        </w:rPr>
      </w:pPr>
      <w:r>
        <w:rPr>
          <w:w w:val="130"/>
          <w:sz w:val="24"/>
        </w:rPr>
        <w:t>mindaz, amit jogszabály a feladatkörébe</w:t>
      </w:r>
      <w:r>
        <w:rPr>
          <w:spacing w:val="-38"/>
          <w:w w:val="130"/>
          <w:sz w:val="24"/>
        </w:rPr>
        <w:t> </w:t>
      </w:r>
      <w:r>
        <w:rPr>
          <w:w w:val="130"/>
          <w:sz w:val="24"/>
        </w:rPr>
        <w:t>utal.</w:t>
      </w:r>
    </w:p>
    <w:p>
      <w:pPr>
        <w:pStyle w:val="ListParagraph"/>
        <w:numPr>
          <w:ilvl w:val="0"/>
          <w:numId w:val="345"/>
        </w:numPr>
        <w:tabs>
          <w:tab w:pos="793" w:val="left" w:leader="none"/>
        </w:tabs>
        <w:spacing w:line="225" w:lineRule="auto" w:before="6" w:after="0"/>
        <w:ind w:left="113" w:right="129" w:firstLine="204"/>
        <w:jc w:val="both"/>
        <w:rPr>
          <w:sz w:val="24"/>
        </w:rPr>
      </w:pPr>
      <w:r>
        <w:rPr>
          <w:w w:val="130"/>
          <w:sz w:val="24"/>
        </w:rPr>
        <w:t>A belső ellenőrzési szervezeti egység számára az éves tervhez képest további ellenőrzési feladatokat csak a felügyelő bizottság, a belső ellenőrzési szervezeti</w:t>
      </w:r>
      <w:r>
        <w:rPr>
          <w:spacing w:val="-23"/>
          <w:w w:val="130"/>
          <w:sz w:val="24"/>
        </w:rPr>
        <w:t> </w:t>
      </w:r>
      <w:r>
        <w:rPr>
          <w:w w:val="130"/>
          <w:sz w:val="24"/>
        </w:rPr>
        <w:t>egység</w:t>
      </w:r>
      <w:r>
        <w:rPr>
          <w:spacing w:val="-22"/>
          <w:w w:val="130"/>
          <w:sz w:val="24"/>
        </w:rPr>
        <w:t> </w:t>
      </w:r>
      <w:r>
        <w:rPr>
          <w:w w:val="130"/>
          <w:sz w:val="24"/>
        </w:rPr>
        <w:t>vezetője,</w:t>
      </w:r>
      <w:r>
        <w:rPr>
          <w:spacing w:val="-23"/>
          <w:w w:val="130"/>
          <w:sz w:val="24"/>
        </w:rPr>
        <w:t> </w:t>
      </w:r>
      <w:r>
        <w:rPr>
          <w:w w:val="130"/>
          <w:sz w:val="24"/>
        </w:rPr>
        <w:t>valamint</w:t>
      </w:r>
      <w:r>
        <w:rPr>
          <w:spacing w:val="-23"/>
          <w:w w:val="130"/>
          <w:sz w:val="24"/>
        </w:rPr>
        <w:t> </w:t>
      </w:r>
      <w:r>
        <w:rPr>
          <w:w w:val="130"/>
          <w:sz w:val="24"/>
        </w:rPr>
        <w:t>a</w:t>
      </w:r>
      <w:r>
        <w:rPr>
          <w:spacing w:val="-22"/>
          <w:w w:val="130"/>
          <w:sz w:val="24"/>
        </w:rPr>
        <w:t> </w:t>
      </w:r>
      <w:r>
        <w:rPr>
          <w:w w:val="130"/>
          <w:sz w:val="24"/>
        </w:rPr>
        <w:t>felügyelő</w:t>
      </w:r>
      <w:r>
        <w:rPr>
          <w:spacing w:val="-22"/>
          <w:w w:val="130"/>
          <w:sz w:val="24"/>
        </w:rPr>
        <w:t> </w:t>
      </w:r>
      <w:r>
        <w:rPr>
          <w:w w:val="130"/>
          <w:sz w:val="24"/>
        </w:rPr>
        <w:t>bizottság</w:t>
      </w:r>
      <w:r>
        <w:rPr>
          <w:spacing w:val="-22"/>
          <w:w w:val="130"/>
          <w:sz w:val="24"/>
        </w:rPr>
        <w:t> </w:t>
      </w:r>
      <w:r>
        <w:rPr>
          <w:w w:val="130"/>
          <w:sz w:val="24"/>
        </w:rPr>
        <w:t>egyetértésével</w:t>
      </w:r>
      <w:r>
        <w:rPr>
          <w:spacing w:val="-22"/>
          <w:w w:val="130"/>
          <w:sz w:val="24"/>
        </w:rPr>
        <w:t> </w:t>
      </w:r>
      <w:r>
        <w:rPr>
          <w:w w:val="130"/>
          <w:sz w:val="24"/>
        </w:rPr>
        <w:t>vagy utólagos tájékoztatásával az ügyvezető határozhat</w:t>
      </w:r>
      <w:r>
        <w:rPr>
          <w:spacing w:val="-29"/>
          <w:w w:val="130"/>
          <w:sz w:val="24"/>
        </w:rPr>
        <w:t> </w:t>
      </w:r>
      <w:r>
        <w:rPr>
          <w:w w:val="130"/>
          <w:sz w:val="24"/>
        </w:rPr>
        <w:t>meg.</w:t>
      </w:r>
    </w:p>
    <w:p>
      <w:pPr>
        <w:pStyle w:val="ListParagraph"/>
        <w:numPr>
          <w:ilvl w:val="0"/>
          <w:numId w:val="345"/>
        </w:numPr>
        <w:tabs>
          <w:tab w:pos="828" w:val="left" w:leader="none"/>
        </w:tabs>
        <w:spacing w:line="225" w:lineRule="auto" w:before="2" w:after="0"/>
        <w:ind w:left="113" w:right="129" w:firstLine="204"/>
        <w:jc w:val="both"/>
        <w:rPr>
          <w:sz w:val="24"/>
        </w:rPr>
      </w:pPr>
      <w:r>
        <w:rPr>
          <w:w w:val="125"/>
          <w:sz w:val="24"/>
        </w:rPr>
        <w:t>A belső ellenőr feletti munkáltatói jogokat közvetlenül az ügyvezető gyakorolja.</w:t>
      </w:r>
    </w:p>
    <w:p>
      <w:pPr>
        <w:pStyle w:val="ListParagraph"/>
        <w:numPr>
          <w:ilvl w:val="0"/>
          <w:numId w:val="345"/>
        </w:numPr>
        <w:tabs>
          <w:tab w:pos="887" w:val="left" w:leader="none"/>
        </w:tabs>
        <w:spacing w:line="256" w:lineRule="exact" w:before="0" w:after="0"/>
        <w:ind w:left="886" w:right="0" w:hanging="569"/>
        <w:jc w:val="left"/>
        <w:rPr>
          <w:sz w:val="24"/>
        </w:rPr>
      </w:pPr>
      <w:r>
        <w:rPr>
          <w:w w:val="125"/>
          <w:sz w:val="24"/>
        </w:rPr>
        <w:t>A belső ellenőrzési szervezeti egység vezetője vagy a belső</w:t>
      </w:r>
      <w:r>
        <w:rPr>
          <w:spacing w:val="5"/>
          <w:w w:val="125"/>
          <w:sz w:val="24"/>
        </w:rPr>
        <w:t> </w:t>
      </w:r>
      <w:r>
        <w:rPr>
          <w:w w:val="125"/>
          <w:sz w:val="24"/>
        </w:rPr>
        <w:t>ellenőr</w:t>
      </w:r>
    </w:p>
    <w:p>
      <w:pPr>
        <w:pStyle w:val="ListParagraph"/>
        <w:numPr>
          <w:ilvl w:val="0"/>
          <w:numId w:val="348"/>
        </w:numPr>
        <w:tabs>
          <w:tab w:pos="631" w:val="left" w:leader="none"/>
        </w:tabs>
        <w:spacing w:line="260" w:lineRule="exact" w:before="0" w:after="0"/>
        <w:ind w:left="630" w:right="0" w:hanging="313"/>
        <w:jc w:val="left"/>
        <w:rPr>
          <w:sz w:val="24"/>
        </w:rPr>
      </w:pPr>
      <w:r>
        <w:rPr>
          <w:w w:val="130"/>
          <w:sz w:val="24"/>
        </w:rPr>
        <w:t>a jelentését</w:t>
      </w:r>
      <w:r>
        <w:rPr>
          <w:spacing w:val="-7"/>
          <w:w w:val="130"/>
          <w:sz w:val="24"/>
        </w:rPr>
        <w:t> </w:t>
      </w:r>
      <w:r>
        <w:rPr>
          <w:w w:val="130"/>
          <w:sz w:val="24"/>
        </w:rPr>
        <w:t>megküldi</w:t>
      </w:r>
    </w:p>
    <w:p>
      <w:pPr>
        <w:pStyle w:val="BodyText"/>
        <w:spacing w:line="260" w:lineRule="exact"/>
        <w:ind w:left="317" w:firstLine="0"/>
      </w:pPr>
      <w:r>
        <w:rPr>
          <w:i/>
          <w:w w:val="130"/>
        </w:rPr>
        <w:t>aa) </w:t>
      </w:r>
      <w:r>
        <w:rPr>
          <w:w w:val="130"/>
        </w:rPr>
        <w:t>a felügyelő bizottságnak és az igazgatóságnak,</w:t>
      </w:r>
    </w:p>
    <w:p>
      <w:pPr>
        <w:pStyle w:val="BodyText"/>
        <w:spacing w:line="225" w:lineRule="auto" w:before="6"/>
        <w:ind w:right="128"/>
        <w:jc w:val="both"/>
      </w:pPr>
      <w:r>
        <w:rPr>
          <w:i/>
          <w:w w:val="130"/>
        </w:rPr>
        <w:t>ab) </w:t>
      </w:r>
      <w:r>
        <w:rPr>
          <w:w w:val="130"/>
        </w:rPr>
        <w:t>fióktelep esetén az alapító felügyelő bizottságának és igazgatóságának vagy ezek megfelelő szervének; továbbá</w:t>
      </w:r>
    </w:p>
    <w:p>
      <w:pPr>
        <w:pStyle w:val="ListParagraph"/>
        <w:numPr>
          <w:ilvl w:val="0"/>
          <w:numId w:val="348"/>
        </w:numPr>
        <w:tabs>
          <w:tab w:pos="829" w:val="left" w:leader="none"/>
        </w:tabs>
        <w:spacing w:line="225" w:lineRule="auto" w:before="1" w:after="0"/>
        <w:ind w:left="113" w:right="126" w:firstLine="204"/>
        <w:jc w:val="both"/>
        <w:rPr>
          <w:sz w:val="24"/>
        </w:rPr>
      </w:pPr>
      <w:r>
        <w:rPr>
          <w:w w:val="130"/>
          <w:sz w:val="24"/>
        </w:rPr>
        <w:t>gondoskodik arról, hogy szükség esetén jelentése a Felügyelet rendelkezésére</w:t>
      </w:r>
      <w:r>
        <w:rPr>
          <w:spacing w:val="-3"/>
          <w:w w:val="130"/>
          <w:sz w:val="24"/>
        </w:rPr>
        <w:t> </w:t>
      </w:r>
      <w:r>
        <w:rPr>
          <w:w w:val="130"/>
          <w:sz w:val="24"/>
        </w:rPr>
        <w:t>álljon.</w:t>
      </w:r>
    </w:p>
    <w:p>
      <w:pPr>
        <w:pStyle w:val="ListParagraph"/>
        <w:numPr>
          <w:ilvl w:val="0"/>
          <w:numId w:val="345"/>
        </w:numPr>
        <w:tabs>
          <w:tab w:pos="926" w:val="left" w:leader="none"/>
        </w:tabs>
        <w:spacing w:line="225" w:lineRule="auto" w:before="1" w:after="0"/>
        <w:ind w:left="113" w:right="131" w:firstLine="204"/>
        <w:jc w:val="both"/>
        <w:rPr>
          <w:sz w:val="24"/>
        </w:rPr>
      </w:pPr>
      <w:r>
        <w:rPr>
          <w:w w:val="125"/>
          <w:sz w:val="24"/>
        </w:rPr>
        <w:t>A belső ellenőrzési szervezeti egység vezetésével, vagy ha a pénzügyi intézmény csak egy belső ellenőrt alkalmaz, akkor a belső  ellenőrzési  feladatok ellátásával csak olyan személy bízható meg,</w:t>
      </w:r>
      <w:r>
        <w:rPr>
          <w:spacing w:val="8"/>
          <w:w w:val="125"/>
          <w:sz w:val="24"/>
        </w:rPr>
        <w:t> </w:t>
      </w:r>
      <w:r>
        <w:rPr>
          <w:w w:val="125"/>
          <w:sz w:val="24"/>
        </w:rPr>
        <w:t>aki</w:t>
      </w:r>
    </w:p>
    <w:p>
      <w:pPr>
        <w:pStyle w:val="ListParagraph"/>
        <w:numPr>
          <w:ilvl w:val="0"/>
          <w:numId w:val="349"/>
        </w:numPr>
        <w:tabs>
          <w:tab w:pos="723" w:val="left" w:leader="none"/>
        </w:tabs>
        <w:spacing w:line="225" w:lineRule="auto" w:before="2" w:after="0"/>
        <w:ind w:left="113" w:right="126" w:firstLine="204"/>
        <w:jc w:val="both"/>
        <w:rPr>
          <w:sz w:val="24"/>
        </w:rPr>
      </w:pPr>
      <w:r>
        <w:rPr>
          <w:w w:val="130"/>
          <w:sz w:val="24"/>
        </w:rPr>
        <w:t>a 155. § (3) bekezdésben meghatározott szakirányú felsőfokú iskolai végzettséggel vagy mérlegképes könyvelői szakképesítéssel és legalább hároméves szakmai gyakorlattal rendelkezik</w:t>
      </w:r>
      <w:r>
        <w:rPr>
          <w:spacing w:val="-20"/>
          <w:w w:val="130"/>
          <w:sz w:val="24"/>
        </w:rPr>
        <w:t> </w:t>
      </w:r>
      <w:r>
        <w:rPr>
          <w:w w:val="130"/>
          <w:sz w:val="24"/>
        </w:rPr>
        <w:t>és</w:t>
      </w:r>
    </w:p>
    <w:p>
      <w:pPr>
        <w:pStyle w:val="ListParagraph"/>
        <w:numPr>
          <w:ilvl w:val="0"/>
          <w:numId w:val="349"/>
        </w:numPr>
        <w:tabs>
          <w:tab w:pos="653" w:val="left" w:leader="none"/>
        </w:tabs>
        <w:spacing w:line="256" w:lineRule="exact" w:before="0" w:after="0"/>
        <w:ind w:left="652" w:right="0" w:hanging="335"/>
        <w:jc w:val="left"/>
        <w:rPr>
          <w:sz w:val="24"/>
        </w:rPr>
      </w:pPr>
      <w:r>
        <w:rPr>
          <w:w w:val="130"/>
          <w:sz w:val="24"/>
        </w:rPr>
        <w:t>büntetlen</w:t>
      </w:r>
      <w:r>
        <w:rPr>
          <w:spacing w:val="-14"/>
          <w:w w:val="130"/>
          <w:sz w:val="24"/>
        </w:rPr>
        <w:t> </w:t>
      </w:r>
      <w:r>
        <w:rPr>
          <w:w w:val="130"/>
          <w:sz w:val="24"/>
        </w:rPr>
        <w:t>előéletű.</w:t>
      </w:r>
    </w:p>
    <w:p>
      <w:pPr>
        <w:pStyle w:val="ListParagraph"/>
        <w:numPr>
          <w:ilvl w:val="0"/>
          <w:numId w:val="345"/>
        </w:numPr>
        <w:tabs>
          <w:tab w:pos="991" w:val="left" w:leader="none"/>
        </w:tabs>
        <w:spacing w:line="225" w:lineRule="auto" w:before="5" w:after="0"/>
        <w:ind w:left="113" w:right="121" w:firstLine="204"/>
        <w:jc w:val="both"/>
        <w:rPr>
          <w:sz w:val="24"/>
        </w:rPr>
      </w:pPr>
      <w:r>
        <w:rPr>
          <w:w w:val="125"/>
          <w:sz w:val="24"/>
        </w:rPr>
        <w:t>A belső ellenőrzési szervezeti egység feladatait, a belső ellenőrrel szemben támasztott szakmai követelményeket, a rendelkezésére bocsátandó informatikai és egyéb technikai feltételeket, valamint az ellenőrzés lefolytatásának eljárási szabályait az irányítási jogkörrel rendelkező vezető testület belső ellenőrzési szabályzatban rögzíti azzal, hogy legalább évente felülvizsgálja annak tartalmát. A belső ellenőrzési szabályzatra nem terjed ki</w:t>
      </w:r>
      <w:r>
        <w:rPr>
          <w:spacing w:val="1"/>
          <w:w w:val="125"/>
          <w:sz w:val="24"/>
        </w:rPr>
        <w:t> </w:t>
      </w:r>
      <w:r>
        <w:rPr>
          <w:w w:val="125"/>
          <w:sz w:val="24"/>
        </w:rPr>
        <w:t>a</w:t>
      </w:r>
    </w:p>
    <w:p>
      <w:pPr>
        <w:pStyle w:val="ListParagraph"/>
        <w:numPr>
          <w:ilvl w:val="0"/>
          <w:numId w:val="234"/>
        </w:numPr>
        <w:tabs>
          <w:tab w:pos="530" w:val="left" w:leader="none"/>
        </w:tabs>
        <w:spacing w:line="266" w:lineRule="exact" w:before="0" w:after="0"/>
        <w:ind w:left="529" w:right="0" w:hanging="416"/>
        <w:jc w:val="left"/>
        <w:rPr>
          <w:sz w:val="24"/>
        </w:rPr>
      </w:pPr>
      <w:r>
        <w:rPr>
          <w:w w:val="125"/>
          <w:sz w:val="24"/>
        </w:rPr>
        <w:t>bekezdés </w:t>
      </w:r>
      <w:r>
        <w:rPr>
          <w:i/>
          <w:w w:val="125"/>
          <w:sz w:val="24"/>
        </w:rPr>
        <w:t>f) </w:t>
      </w:r>
      <w:r>
        <w:rPr>
          <w:w w:val="125"/>
          <w:sz w:val="24"/>
        </w:rPr>
        <w:t>pontja szerinti</w:t>
      </w:r>
      <w:r>
        <w:rPr>
          <w:spacing w:val="8"/>
          <w:w w:val="125"/>
          <w:sz w:val="24"/>
        </w:rPr>
        <w:t> </w:t>
      </w:r>
      <w:r>
        <w:rPr>
          <w:w w:val="125"/>
          <w:sz w:val="24"/>
        </w:rPr>
        <w:t>ellenőrzés.</w:t>
      </w:r>
    </w:p>
    <w:p>
      <w:pPr>
        <w:pStyle w:val="BodyText"/>
        <w:spacing w:before="224"/>
        <w:ind w:left="4005" w:firstLine="0"/>
      </w:pPr>
      <w:r>
        <w:rPr>
          <w:w w:val="125"/>
        </w:rPr>
        <w:t>67. Ügyvezetés</w:t>
      </w:r>
    </w:p>
    <w:p>
      <w:pPr>
        <w:pStyle w:val="ListParagraph"/>
        <w:numPr>
          <w:ilvl w:val="0"/>
          <w:numId w:val="322"/>
        </w:numPr>
        <w:tabs>
          <w:tab w:pos="1012" w:val="left" w:leader="none"/>
        </w:tabs>
        <w:spacing w:line="225" w:lineRule="auto" w:before="236" w:after="0"/>
        <w:ind w:left="113" w:right="107" w:firstLine="204"/>
        <w:jc w:val="both"/>
        <w:rPr>
          <w:sz w:val="24"/>
        </w:rPr>
      </w:pPr>
      <w:r>
        <w:rPr>
          <w:rFonts w:ascii="Arial" w:hAnsi="Arial"/>
          <w:b/>
          <w:w w:val="125"/>
          <w:sz w:val="24"/>
        </w:rPr>
        <w:t>§ </w:t>
      </w:r>
      <w:r>
        <w:rPr>
          <w:w w:val="125"/>
          <w:sz w:val="24"/>
        </w:rPr>
        <w:t>(1) Hitelintézetnél ügyvezetőnek, vagy fióktelep formájában működő hitelintézetnél vezető állású személynek az nevezhető ki és  az  választható meg,</w:t>
      </w:r>
    </w:p>
    <w:p>
      <w:pPr>
        <w:pStyle w:val="ListParagraph"/>
        <w:numPr>
          <w:ilvl w:val="0"/>
          <w:numId w:val="350"/>
        </w:numPr>
        <w:tabs>
          <w:tab w:pos="753" w:val="left" w:leader="none"/>
        </w:tabs>
        <w:spacing w:line="225" w:lineRule="auto" w:before="2" w:after="0"/>
        <w:ind w:left="113" w:right="130" w:firstLine="204"/>
        <w:jc w:val="both"/>
        <w:rPr>
          <w:sz w:val="24"/>
        </w:rPr>
      </w:pPr>
      <w:r>
        <w:rPr>
          <w:w w:val="125"/>
          <w:sz w:val="24"/>
        </w:rPr>
        <w:t>aki megfelel a vezető állású személyekre vonatkozó, a 137. §-ban meghatározott általános</w:t>
      </w:r>
      <w:r>
        <w:rPr>
          <w:spacing w:val="2"/>
          <w:w w:val="125"/>
          <w:sz w:val="24"/>
        </w:rPr>
        <w:t> </w:t>
      </w:r>
      <w:r>
        <w:rPr>
          <w:w w:val="125"/>
          <w:sz w:val="24"/>
        </w:rPr>
        <w:t>követelményeknek;</w:t>
      </w:r>
    </w:p>
    <w:p>
      <w:pPr>
        <w:pStyle w:val="BodyText"/>
        <w:ind w:left="0" w:firstLine="0"/>
        <w:rPr>
          <w:sz w:val="20"/>
        </w:rPr>
      </w:pPr>
    </w:p>
    <w:p>
      <w:pPr>
        <w:pStyle w:val="BodyText"/>
        <w:spacing w:before="3"/>
        <w:ind w:left="0" w:firstLine="0"/>
        <w:rPr>
          <w:sz w:val="11"/>
        </w:rPr>
      </w:pPr>
      <w:r>
        <w:rPr/>
        <w:pict>
          <v:line style="position:absolute;mso-position-horizontal-relative:page;mso-position-vertical-relative:paragraph;z-index:848;mso-wrap-distance-left:0;mso-wrap-distance-right:0" from="56.693001pt,8.693645pt" to="538.583001pt,8.69364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207.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350"/>
        </w:numPr>
        <w:tabs>
          <w:tab w:pos="567" w:val="left" w:leader="none"/>
        </w:tabs>
        <w:spacing w:line="268" w:lineRule="exact" w:before="159" w:after="0"/>
        <w:ind w:left="566" w:right="0" w:hanging="249"/>
        <w:jc w:val="left"/>
        <w:rPr>
          <w:sz w:val="18"/>
        </w:rPr>
      </w:pPr>
      <w:r>
        <w:rPr>
          <w:i/>
          <w:w w:val="127"/>
          <w:position w:val="3"/>
          <w:sz w:val="18"/>
        </w:rPr>
        <w:t>1</w:t>
      </w:r>
      <w:r>
        <w:rPr>
          <w:sz w:val="18"/>
        </w:rPr>
      </w:r>
    </w:p>
    <w:p>
      <w:pPr>
        <w:pStyle w:val="ListParagraph"/>
        <w:numPr>
          <w:ilvl w:val="0"/>
          <w:numId w:val="350"/>
        </w:numPr>
        <w:tabs>
          <w:tab w:pos="623" w:val="left" w:leader="none"/>
        </w:tabs>
        <w:spacing w:line="260" w:lineRule="exact" w:before="0" w:after="0"/>
        <w:ind w:left="622" w:right="0" w:hanging="305"/>
        <w:jc w:val="left"/>
        <w:rPr>
          <w:sz w:val="24"/>
        </w:rPr>
      </w:pPr>
      <w:r>
        <w:rPr>
          <w:w w:val="125"/>
          <w:sz w:val="24"/>
        </w:rPr>
        <w:t>aki rendelkezik</w:t>
      </w:r>
    </w:p>
    <w:p>
      <w:pPr>
        <w:pStyle w:val="BodyText"/>
        <w:spacing w:line="225" w:lineRule="auto" w:before="6"/>
        <w:ind w:right="133"/>
        <w:jc w:val="both"/>
      </w:pPr>
      <w:r>
        <w:rPr>
          <w:i/>
          <w:w w:val="130"/>
        </w:rPr>
        <w:t>ca) </w:t>
      </w:r>
      <w:r>
        <w:rPr>
          <w:w w:val="130"/>
        </w:rPr>
        <w:t>szakirányú felsőfokú iskolai végzettséggel és legalább négyéves, hitelintézetnél szerzett vezetői gyakorlattal,</w:t>
      </w:r>
    </w:p>
    <w:p>
      <w:pPr>
        <w:pStyle w:val="BodyText"/>
        <w:spacing w:line="225" w:lineRule="auto" w:before="1"/>
        <w:ind w:right="131"/>
        <w:jc w:val="both"/>
      </w:pPr>
      <w:r>
        <w:rPr>
          <w:i/>
          <w:w w:val="125"/>
        </w:rPr>
        <w:t>cb) </w:t>
      </w:r>
      <w:r>
        <w:rPr>
          <w:w w:val="125"/>
        </w:rPr>
        <w:t>szakirányú felsőfokú iskolai végzettséggel és legalább ötéves, a Felügyeletnél, az OBA-nál vagy önkéntes betétbiztosítási, intézményvédelmi alapnál, a Pénzügyi Szervezetek Állami Felügyeleténél vagy annak jogelődjénél, továbbá ezeknek megfelelő külföldi intézménynél szerzett vezetői gyakorlattal,</w:t>
      </w:r>
    </w:p>
    <w:p>
      <w:pPr>
        <w:pStyle w:val="BodyText"/>
        <w:spacing w:line="225" w:lineRule="auto" w:before="3"/>
        <w:ind w:right="133"/>
        <w:jc w:val="both"/>
      </w:pPr>
      <w:r>
        <w:rPr>
          <w:i/>
          <w:w w:val="130"/>
        </w:rPr>
        <w:t>cc) </w:t>
      </w:r>
      <w:r>
        <w:rPr>
          <w:w w:val="130"/>
        </w:rPr>
        <w:t>szakirányú felsőfokú végzettséggel és vállalkozásnál vagy a közigazgatásban szerzett legalább hatéves szakirányú vezetői gyakorlattal, vagy</w:t>
      </w:r>
    </w:p>
    <w:p>
      <w:pPr>
        <w:pStyle w:val="BodyText"/>
        <w:spacing w:line="225" w:lineRule="auto" w:before="1"/>
        <w:ind w:right="130"/>
        <w:jc w:val="both"/>
      </w:pPr>
      <w:r>
        <w:rPr>
          <w:i/>
          <w:w w:val="130"/>
        </w:rPr>
        <w:t>cd) </w:t>
      </w:r>
      <w:r>
        <w:rPr>
          <w:w w:val="130"/>
        </w:rPr>
        <w:t>nem szakirányú felsőfokú iskolai végzettséggel, de azonos típusú vagy hasonló méretű pénzügyi intézménynél, befektetési társaságnál szerzett legalább hatéves szakirányú vezetői gyakorlattal.</w:t>
      </w:r>
    </w:p>
    <w:p>
      <w:pPr>
        <w:pStyle w:val="BodyText"/>
        <w:spacing w:line="225" w:lineRule="auto" w:before="2"/>
        <w:ind w:right="132"/>
        <w:jc w:val="both"/>
      </w:pPr>
      <w:r>
        <w:rPr>
          <w:w w:val="125"/>
        </w:rPr>
        <w:t>(2) Az (1) bekezdés </w:t>
      </w:r>
      <w:r>
        <w:rPr>
          <w:i/>
          <w:w w:val="125"/>
        </w:rPr>
        <w:t>b) </w:t>
      </w:r>
      <w:r>
        <w:rPr>
          <w:w w:val="125"/>
        </w:rPr>
        <w:t>pontja szerinti kérelem tartalmazza a kinevezni tervezett vagy megválasztani kívánt személy szakmai önéletrajzát, valamint az</w:t>
      </w:r>
    </w:p>
    <w:p>
      <w:pPr>
        <w:pStyle w:val="ListParagraph"/>
        <w:numPr>
          <w:ilvl w:val="0"/>
          <w:numId w:val="351"/>
        </w:numPr>
        <w:tabs>
          <w:tab w:pos="590" w:val="left" w:leader="none"/>
        </w:tabs>
        <w:spacing w:line="225" w:lineRule="auto" w:before="1" w:after="0"/>
        <w:ind w:left="113" w:right="130" w:firstLine="0"/>
        <w:jc w:val="both"/>
        <w:rPr>
          <w:sz w:val="24"/>
        </w:rPr>
      </w:pPr>
      <w:r>
        <w:rPr>
          <w:w w:val="125"/>
          <w:sz w:val="24"/>
        </w:rPr>
        <w:t>bekezdésben meghatározott feltételek teljesítésére vonatkozó okiratokat vagy azok hiteles másolatát, valamint az érintett személynek a 137. § (6) bekezdésében meghatározott büntetőeljárásra vonatkozó</w:t>
      </w:r>
      <w:r>
        <w:rPr>
          <w:spacing w:val="44"/>
          <w:w w:val="125"/>
          <w:sz w:val="24"/>
        </w:rPr>
        <w:t> </w:t>
      </w:r>
      <w:r>
        <w:rPr>
          <w:w w:val="125"/>
          <w:sz w:val="24"/>
        </w:rPr>
        <w:t>nyilatkozatát.</w:t>
      </w:r>
    </w:p>
    <w:p>
      <w:pPr>
        <w:pStyle w:val="ListParagraph"/>
        <w:numPr>
          <w:ilvl w:val="1"/>
          <w:numId w:val="351"/>
        </w:numPr>
        <w:tabs>
          <w:tab w:pos="824" w:val="left" w:leader="none"/>
        </w:tabs>
        <w:spacing w:line="225" w:lineRule="auto" w:before="2" w:after="0"/>
        <w:ind w:left="113" w:right="125" w:firstLine="204"/>
        <w:jc w:val="both"/>
        <w:rPr>
          <w:sz w:val="24"/>
        </w:rPr>
      </w:pPr>
      <w:r>
        <w:rPr>
          <w:w w:val="125"/>
          <w:sz w:val="24"/>
        </w:rPr>
        <w:t>Az (1) bekezdés </w:t>
      </w:r>
      <w:r>
        <w:rPr>
          <w:i/>
          <w:w w:val="125"/>
          <w:sz w:val="24"/>
        </w:rPr>
        <w:t>c) </w:t>
      </w:r>
      <w:r>
        <w:rPr>
          <w:w w:val="125"/>
          <w:sz w:val="24"/>
        </w:rPr>
        <w:t>pont </w:t>
      </w:r>
      <w:r>
        <w:rPr>
          <w:i/>
          <w:w w:val="125"/>
          <w:sz w:val="24"/>
        </w:rPr>
        <w:t>ca)-cc) </w:t>
      </w:r>
      <w:r>
        <w:rPr>
          <w:w w:val="125"/>
          <w:sz w:val="24"/>
        </w:rPr>
        <w:t>alpontja alkalmazásában szakirányú felsőfokú iskolai végzettségűnek minősül, aki</w:t>
      </w:r>
    </w:p>
    <w:p>
      <w:pPr>
        <w:pStyle w:val="ListParagraph"/>
        <w:numPr>
          <w:ilvl w:val="0"/>
          <w:numId w:val="352"/>
        </w:numPr>
        <w:tabs>
          <w:tab w:pos="704" w:val="left" w:leader="none"/>
        </w:tabs>
        <w:spacing w:line="225" w:lineRule="auto" w:before="1" w:after="0"/>
        <w:ind w:left="113" w:right="128" w:firstLine="204"/>
        <w:jc w:val="both"/>
        <w:rPr>
          <w:sz w:val="24"/>
        </w:rPr>
      </w:pPr>
      <w:r>
        <w:rPr>
          <w:w w:val="125"/>
          <w:sz w:val="24"/>
        </w:rPr>
        <w:t>a felsőoktatásról szóló törvény szerint a közgazdasági felsőoktatásban egyetemi vagy főiskolai szintű szakképzettséget, vagy a felsőoktatásról szóló törvény szerint a gazdaságtudományok képzési területen alapképzésben vagy mesterképzésben közgazdász</w:t>
      </w:r>
      <w:r>
        <w:rPr>
          <w:spacing w:val="4"/>
          <w:w w:val="125"/>
          <w:sz w:val="24"/>
        </w:rPr>
        <w:t> </w:t>
      </w:r>
      <w:r>
        <w:rPr>
          <w:w w:val="125"/>
          <w:sz w:val="24"/>
        </w:rPr>
        <w:t>szakképzettséget,</w:t>
      </w:r>
    </w:p>
    <w:p>
      <w:pPr>
        <w:pStyle w:val="ListParagraph"/>
        <w:numPr>
          <w:ilvl w:val="0"/>
          <w:numId w:val="352"/>
        </w:numPr>
        <w:tabs>
          <w:tab w:pos="653" w:val="left" w:leader="none"/>
        </w:tabs>
        <w:spacing w:line="257" w:lineRule="exact" w:before="0" w:after="0"/>
        <w:ind w:left="652" w:right="0" w:hanging="335"/>
        <w:jc w:val="left"/>
        <w:rPr>
          <w:sz w:val="24"/>
        </w:rPr>
      </w:pPr>
      <w:r>
        <w:rPr>
          <w:w w:val="125"/>
          <w:sz w:val="24"/>
        </w:rPr>
        <w:t>jogász</w:t>
      </w:r>
      <w:r>
        <w:rPr>
          <w:spacing w:val="-10"/>
          <w:w w:val="125"/>
          <w:sz w:val="24"/>
        </w:rPr>
        <w:t> </w:t>
      </w:r>
      <w:r>
        <w:rPr>
          <w:w w:val="125"/>
          <w:sz w:val="24"/>
        </w:rPr>
        <w:t>szakképzettséget,</w:t>
      </w:r>
    </w:p>
    <w:p>
      <w:pPr>
        <w:pStyle w:val="ListParagraph"/>
        <w:numPr>
          <w:ilvl w:val="0"/>
          <w:numId w:val="352"/>
        </w:numPr>
        <w:tabs>
          <w:tab w:pos="623" w:val="left" w:leader="none"/>
        </w:tabs>
        <w:spacing w:line="260" w:lineRule="exact" w:before="0" w:after="0"/>
        <w:ind w:left="622" w:right="0" w:hanging="305"/>
        <w:jc w:val="left"/>
        <w:rPr>
          <w:sz w:val="24"/>
        </w:rPr>
      </w:pPr>
      <w:r>
        <w:rPr>
          <w:w w:val="125"/>
          <w:sz w:val="24"/>
        </w:rPr>
        <w:t>könyvvizsgálói képesítést,</w:t>
      </w:r>
      <w:r>
        <w:rPr>
          <w:spacing w:val="1"/>
          <w:w w:val="125"/>
          <w:sz w:val="24"/>
        </w:rPr>
        <w:t> </w:t>
      </w:r>
      <w:r>
        <w:rPr>
          <w:w w:val="125"/>
          <w:sz w:val="24"/>
        </w:rPr>
        <w:t>vagy</w:t>
      </w:r>
    </w:p>
    <w:p>
      <w:pPr>
        <w:pStyle w:val="ListParagraph"/>
        <w:numPr>
          <w:ilvl w:val="0"/>
          <w:numId w:val="352"/>
        </w:numPr>
        <w:tabs>
          <w:tab w:pos="653" w:val="left" w:leader="none"/>
        </w:tabs>
        <w:spacing w:line="225" w:lineRule="auto" w:before="6" w:after="0"/>
        <w:ind w:left="113" w:right="2655" w:firstLine="204"/>
        <w:jc w:val="left"/>
        <w:rPr>
          <w:sz w:val="24"/>
        </w:rPr>
      </w:pPr>
      <w:r>
        <w:rPr>
          <w:w w:val="130"/>
          <w:sz w:val="24"/>
        </w:rPr>
        <w:t>felsőfokú</w:t>
      </w:r>
      <w:r>
        <w:rPr>
          <w:spacing w:val="-54"/>
          <w:w w:val="130"/>
          <w:sz w:val="24"/>
        </w:rPr>
        <w:t> </w:t>
      </w:r>
      <w:r>
        <w:rPr>
          <w:w w:val="130"/>
          <w:sz w:val="24"/>
        </w:rPr>
        <w:t>vagy</w:t>
      </w:r>
      <w:r>
        <w:rPr>
          <w:spacing w:val="-49"/>
          <w:w w:val="130"/>
          <w:sz w:val="24"/>
        </w:rPr>
        <w:t> </w:t>
      </w:r>
      <w:r>
        <w:rPr>
          <w:w w:val="130"/>
          <w:sz w:val="24"/>
        </w:rPr>
        <w:t>posztgraduális</w:t>
      </w:r>
      <w:r>
        <w:rPr>
          <w:spacing w:val="-49"/>
          <w:w w:val="130"/>
          <w:sz w:val="24"/>
        </w:rPr>
        <w:t> </w:t>
      </w:r>
      <w:r>
        <w:rPr>
          <w:w w:val="130"/>
          <w:sz w:val="24"/>
        </w:rPr>
        <w:t>bankszakmai</w:t>
      </w:r>
      <w:r>
        <w:rPr>
          <w:spacing w:val="-49"/>
          <w:w w:val="130"/>
          <w:sz w:val="24"/>
        </w:rPr>
        <w:t> </w:t>
      </w:r>
      <w:r>
        <w:rPr>
          <w:w w:val="130"/>
          <w:sz w:val="24"/>
        </w:rPr>
        <w:t>képesítést szerzett.</w:t>
      </w:r>
    </w:p>
    <w:p>
      <w:pPr>
        <w:pStyle w:val="ListParagraph"/>
        <w:numPr>
          <w:ilvl w:val="1"/>
          <w:numId w:val="351"/>
        </w:numPr>
        <w:tabs>
          <w:tab w:pos="795" w:val="left" w:leader="none"/>
        </w:tabs>
        <w:spacing w:line="225" w:lineRule="auto" w:before="1" w:after="0"/>
        <w:ind w:left="113" w:right="132" w:firstLine="204"/>
        <w:jc w:val="both"/>
        <w:rPr>
          <w:sz w:val="24"/>
        </w:rPr>
      </w:pPr>
      <w:r>
        <w:rPr>
          <w:w w:val="125"/>
          <w:sz w:val="24"/>
        </w:rPr>
        <w:t>Pénzügyi vállalkozás ügyvezetőjének az nevezhető ki vagy választható meg,</w:t>
      </w:r>
    </w:p>
    <w:p>
      <w:pPr>
        <w:pStyle w:val="ListParagraph"/>
        <w:numPr>
          <w:ilvl w:val="0"/>
          <w:numId w:val="353"/>
        </w:numPr>
        <w:tabs>
          <w:tab w:pos="753" w:val="left" w:leader="none"/>
        </w:tabs>
        <w:spacing w:line="225" w:lineRule="auto" w:before="1" w:after="0"/>
        <w:ind w:left="113" w:right="130" w:firstLine="204"/>
        <w:jc w:val="both"/>
        <w:rPr>
          <w:sz w:val="24"/>
        </w:rPr>
      </w:pPr>
      <w:r>
        <w:rPr>
          <w:w w:val="125"/>
          <w:sz w:val="24"/>
        </w:rPr>
        <w:t>aki megfelel a vezető állású személyekre vonatkozó, a 137. §-ban meghatározott általános</w:t>
      </w:r>
      <w:r>
        <w:rPr>
          <w:spacing w:val="2"/>
          <w:w w:val="125"/>
          <w:sz w:val="24"/>
        </w:rPr>
        <w:t> </w:t>
      </w:r>
      <w:r>
        <w:rPr>
          <w:w w:val="125"/>
          <w:sz w:val="24"/>
        </w:rPr>
        <w:t>követelményeknek;</w:t>
      </w:r>
    </w:p>
    <w:p>
      <w:pPr>
        <w:pStyle w:val="ListParagraph"/>
        <w:numPr>
          <w:ilvl w:val="0"/>
          <w:numId w:val="353"/>
        </w:numPr>
        <w:tabs>
          <w:tab w:pos="567" w:val="left" w:leader="none"/>
        </w:tabs>
        <w:spacing w:line="256" w:lineRule="exact" w:before="0" w:after="0"/>
        <w:ind w:left="566" w:right="0" w:hanging="249"/>
        <w:jc w:val="left"/>
        <w:rPr>
          <w:sz w:val="18"/>
        </w:rPr>
      </w:pPr>
      <w:r>
        <w:rPr>
          <w:i/>
          <w:w w:val="127"/>
          <w:position w:val="3"/>
          <w:sz w:val="18"/>
        </w:rPr>
        <w:t>2</w:t>
      </w:r>
      <w:r>
        <w:rPr>
          <w:sz w:val="18"/>
        </w:rPr>
      </w:r>
    </w:p>
    <w:p>
      <w:pPr>
        <w:pStyle w:val="ListParagraph"/>
        <w:numPr>
          <w:ilvl w:val="0"/>
          <w:numId w:val="353"/>
        </w:numPr>
        <w:tabs>
          <w:tab w:pos="623" w:val="left" w:leader="none"/>
        </w:tabs>
        <w:spacing w:line="260" w:lineRule="exact" w:before="0" w:after="0"/>
        <w:ind w:left="622" w:right="0" w:hanging="305"/>
        <w:jc w:val="left"/>
        <w:rPr>
          <w:sz w:val="24"/>
        </w:rPr>
      </w:pPr>
      <w:r>
        <w:rPr>
          <w:w w:val="125"/>
          <w:sz w:val="24"/>
        </w:rPr>
        <w:t>aki rendelkezik</w:t>
      </w:r>
    </w:p>
    <w:p>
      <w:pPr>
        <w:pStyle w:val="BodyText"/>
        <w:spacing w:line="260" w:lineRule="exact"/>
        <w:ind w:left="317" w:firstLine="0"/>
      </w:pPr>
      <w:r>
        <w:rPr>
          <w:i/>
          <w:w w:val="125"/>
        </w:rPr>
        <w:t>ca) </w:t>
      </w:r>
      <w:r>
        <w:rPr>
          <w:w w:val="125"/>
        </w:rPr>
        <w:t>felsőfokú iskolai végzettséggel,</w:t>
      </w:r>
    </w:p>
    <w:p>
      <w:pPr>
        <w:pStyle w:val="BodyText"/>
        <w:spacing w:line="225" w:lineRule="auto" w:before="6"/>
        <w:ind w:right="131"/>
        <w:jc w:val="both"/>
      </w:pPr>
      <w:r>
        <w:rPr>
          <w:i/>
          <w:w w:val="125"/>
        </w:rPr>
        <w:t>cb) </w:t>
      </w:r>
      <w:r>
        <w:rPr>
          <w:w w:val="125"/>
        </w:rPr>
        <w:t>pénzügyi intézménynél, az MNB-nél, a Pénzügyi Szervezetek Állami Felügyeleténél vagy annak jogelődjénél vagy a közigazgatásban szerzett legalább hároméves szakmai gyakorlattal vagy</w:t>
      </w:r>
    </w:p>
    <w:p>
      <w:pPr>
        <w:pStyle w:val="BodyText"/>
        <w:spacing w:line="225" w:lineRule="auto" w:before="1"/>
        <w:ind w:right="130"/>
        <w:jc w:val="both"/>
      </w:pPr>
      <w:r>
        <w:rPr>
          <w:i/>
          <w:w w:val="130"/>
        </w:rPr>
        <w:t>cc) </w:t>
      </w:r>
      <w:r>
        <w:rPr>
          <w:w w:val="130"/>
        </w:rPr>
        <w:t>más gazdasági területen szerzett legalább hároméves vezetői gyakorlattal.</w:t>
      </w:r>
    </w:p>
    <w:p>
      <w:pPr>
        <w:pStyle w:val="ListParagraph"/>
        <w:numPr>
          <w:ilvl w:val="1"/>
          <w:numId w:val="351"/>
        </w:numPr>
        <w:tabs>
          <w:tab w:pos="771" w:val="left" w:leader="none"/>
        </w:tabs>
        <w:spacing w:line="225" w:lineRule="auto" w:before="1" w:after="0"/>
        <w:ind w:left="113" w:right="129" w:firstLine="204"/>
        <w:jc w:val="both"/>
        <w:rPr>
          <w:sz w:val="24"/>
        </w:rPr>
      </w:pPr>
      <w:r>
        <w:rPr>
          <w:w w:val="125"/>
          <w:sz w:val="24"/>
        </w:rPr>
        <w:t>A (4) bekezdés </w:t>
      </w:r>
      <w:r>
        <w:rPr>
          <w:i/>
          <w:w w:val="125"/>
          <w:sz w:val="24"/>
        </w:rPr>
        <w:t>b) </w:t>
      </w:r>
      <w:r>
        <w:rPr>
          <w:w w:val="125"/>
          <w:sz w:val="24"/>
        </w:rPr>
        <w:t>pontja szerinti kérelem tartalmazza a kinevezni vagy megválasztani tervezett személy szakmai önéletrajzát, valamint a (4) bekezdésben meghatározott feltételek teljesítésére vonatkozó okiratokat vagy azok hiteles másolatát, valamint az érintett személynek a 137. § (6) bekezdésben meghatározott büntetőeljárásra vonatkozó</w:t>
      </w:r>
      <w:r>
        <w:rPr>
          <w:spacing w:val="38"/>
          <w:w w:val="125"/>
          <w:sz w:val="24"/>
        </w:rPr>
        <w:t> </w:t>
      </w:r>
      <w:r>
        <w:rPr>
          <w:w w:val="125"/>
          <w:sz w:val="24"/>
        </w:rPr>
        <w:t>nyilatkozatát.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18"/>
        </w:rPr>
      </w:pPr>
      <w:r>
        <w:rPr/>
        <w:pict>
          <v:line style="position:absolute;mso-position-horizontal-relative:page;mso-position-vertical-relative:paragraph;z-index:872;mso-wrap-distance-left:0;mso-wrap-distance-right:0" from="56.693001pt,12.792523pt" to="538.583001pt,12.792523pt" stroked="true" strokeweight=".5pt" strokecolor="#000000">
            <v:stroke dashstyle="solid"/>
            <w10:wrap type="topAndBottom"/>
          </v:line>
        </w:pict>
      </w:r>
    </w:p>
    <w:p>
      <w:pPr>
        <w:pStyle w:val="ListParagraph"/>
        <w:numPr>
          <w:ilvl w:val="0"/>
          <w:numId w:val="354"/>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6"/>
          <w:w w:val="120"/>
          <w:sz w:val="18"/>
        </w:rPr>
        <w:t> </w:t>
      </w:r>
      <w:r>
        <w:rPr>
          <w:i/>
          <w:w w:val="120"/>
          <w:sz w:val="18"/>
        </w:rPr>
        <w:t>helyezte:</w:t>
      </w:r>
      <w:r>
        <w:rPr>
          <w:i/>
          <w:spacing w:val="17"/>
          <w:w w:val="120"/>
          <w:sz w:val="18"/>
        </w:rPr>
        <w:t> </w:t>
      </w:r>
      <w:r>
        <w:rPr>
          <w:i/>
          <w:w w:val="120"/>
          <w:sz w:val="18"/>
        </w:rPr>
        <w:t>2017.</w:t>
      </w:r>
      <w:r>
        <w:rPr>
          <w:i/>
          <w:spacing w:val="15"/>
          <w:w w:val="120"/>
          <w:sz w:val="18"/>
        </w:rPr>
        <w:t> </w:t>
      </w:r>
      <w:r>
        <w:rPr>
          <w:i/>
          <w:w w:val="120"/>
          <w:sz w:val="18"/>
        </w:rPr>
        <w:t>évi</w:t>
      </w:r>
      <w:r>
        <w:rPr>
          <w:i/>
          <w:spacing w:val="16"/>
          <w:w w:val="120"/>
          <w:sz w:val="18"/>
        </w:rPr>
        <w:t> </w:t>
      </w:r>
      <w:r>
        <w:rPr>
          <w:i/>
          <w:w w:val="120"/>
          <w:sz w:val="18"/>
        </w:rPr>
        <w:t>CXCI.</w:t>
      </w:r>
      <w:r>
        <w:rPr>
          <w:i/>
          <w:spacing w:val="16"/>
          <w:w w:val="120"/>
          <w:sz w:val="18"/>
        </w:rPr>
        <w:t> </w:t>
      </w:r>
      <w:r>
        <w:rPr>
          <w:i/>
          <w:w w:val="120"/>
          <w:sz w:val="18"/>
        </w:rPr>
        <w:t>törvény</w:t>
      </w:r>
      <w:r>
        <w:rPr>
          <w:i/>
          <w:spacing w:val="16"/>
          <w:w w:val="120"/>
          <w:sz w:val="18"/>
        </w:rPr>
        <w:t> </w:t>
      </w:r>
      <w:r>
        <w:rPr>
          <w:i/>
          <w:w w:val="120"/>
          <w:sz w:val="18"/>
        </w:rPr>
        <w:t>8.</w:t>
      </w:r>
      <w:r>
        <w:rPr>
          <w:i/>
          <w:spacing w:val="15"/>
          <w:w w:val="120"/>
          <w:sz w:val="18"/>
        </w:rPr>
        <w:t> </w:t>
      </w:r>
      <w:r>
        <w:rPr>
          <w:i/>
          <w:w w:val="120"/>
          <w:sz w:val="18"/>
        </w:rPr>
        <w:t>§</w:t>
      </w:r>
      <w:r>
        <w:rPr>
          <w:i/>
          <w:spacing w:val="17"/>
          <w:w w:val="120"/>
          <w:sz w:val="18"/>
        </w:rPr>
        <w:t> </w:t>
      </w:r>
      <w:r>
        <w:rPr>
          <w:i/>
          <w:w w:val="120"/>
          <w:sz w:val="18"/>
        </w:rPr>
        <w:t>b).</w:t>
      </w:r>
      <w:r>
        <w:rPr>
          <w:i/>
          <w:spacing w:val="17"/>
          <w:w w:val="120"/>
          <w:sz w:val="18"/>
        </w:rPr>
        <w:t> </w:t>
      </w:r>
      <w:r>
        <w:rPr>
          <w:i/>
          <w:w w:val="120"/>
          <w:sz w:val="18"/>
        </w:rPr>
        <w:t>Hatálytalan:</w:t>
      </w:r>
      <w:r>
        <w:rPr>
          <w:i/>
          <w:spacing w:val="17"/>
          <w:w w:val="120"/>
          <w:sz w:val="18"/>
        </w:rPr>
        <w:t> </w:t>
      </w:r>
      <w:r>
        <w:rPr>
          <w:i/>
          <w:w w:val="120"/>
          <w:sz w:val="18"/>
        </w:rPr>
        <w:t>2018.</w:t>
      </w:r>
      <w:r>
        <w:rPr>
          <w:i/>
          <w:spacing w:val="15"/>
          <w:w w:val="120"/>
          <w:sz w:val="18"/>
        </w:rPr>
        <w:t> </w:t>
      </w:r>
      <w:r>
        <w:rPr>
          <w:i/>
          <w:w w:val="120"/>
          <w:sz w:val="18"/>
        </w:rPr>
        <w:t>I.</w:t>
      </w:r>
      <w:r>
        <w:rPr>
          <w:i/>
          <w:spacing w:val="17"/>
          <w:w w:val="120"/>
          <w:sz w:val="18"/>
        </w:rPr>
        <w:t> </w:t>
      </w:r>
      <w:r>
        <w:rPr>
          <w:i/>
          <w:w w:val="120"/>
          <w:sz w:val="18"/>
        </w:rPr>
        <w:t>1-től.</w:t>
      </w:r>
    </w:p>
    <w:p>
      <w:pPr>
        <w:pStyle w:val="ListParagraph"/>
        <w:numPr>
          <w:ilvl w:val="0"/>
          <w:numId w:val="354"/>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16"/>
          <w:w w:val="120"/>
          <w:sz w:val="18"/>
        </w:rPr>
        <w:t> </w:t>
      </w:r>
      <w:r>
        <w:rPr>
          <w:i/>
          <w:w w:val="120"/>
          <w:sz w:val="18"/>
        </w:rPr>
        <w:t>kívül</w:t>
      </w:r>
      <w:r>
        <w:rPr>
          <w:i/>
          <w:spacing w:val="15"/>
          <w:w w:val="120"/>
          <w:sz w:val="18"/>
        </w:rPr>
        <w:t> </w:t>
      </w:r>
      <w:r>
        <w:rPr>
          <w:i/>
          <w:w w:val="120"/>
          <w:sz w:val="18"/>
        </w:rPr>
        <w:t>helyezte:</w:t>
      </w:r>
      <w:r>
        <w:rPr>
          <w:i/>
          <w:spacing w:val="17"/>
          <w:w w:val="120"/>
          <w:sz w:val="18"/>
        </w:rPr>
        <w:t> </w:t>
      </w:r>
      <w:r>
        <w:rPr>
          <w:i/>
          <w:w w:val="120"/>
          <w:sz w:val="18"/>
        </w:rPr>
        <w:t>2017.</w:t>
      </w:r>
      <w:r>
        <w:rPr>
          <w:i/>
          <w:spacing w:val="15"/>
          <w:w w:val="120"/>
          <w:sz w:val="18"/>
        </w:rPr>
        <w:t> </w:t>
      </w:r>
      <w:r>
        <w:rPr>
          <w:i/>
          <w:w w:val="120"/>
          <w:sz w:val="18"/>
        </w:rPr>
        <w:t>évi</w:t>
      </w:r>
      <w:r>
        <w:rPr>
          <w:i/>
          <w:spacing w:val="16"/>
          <w:w w:val="120"/>
          <w:sz w:val="18"/>
        </w:rPr>
        <w:t> </w:t>
      </w:r>
      <w:r>
        <w:rPr>
          <w:i/>
          <w:w w:val="120"/>
          <w:sz w:val="18"/>
        </w:rPr>
        <w:t>CXCI.</w:t>
      </w:r>
      <w:r>
        <w:rPr>
          <w:i/>
          <w:spacing w:val="16"/>
          <w:w w:val="120"/>
          <w:sz w:val="18"/>
        </w:rPr>
        <w:t> </w:t>
      </w:r>
      <w:r>
        <w:rPr>
          <w:i/>
          <w:w w:val="120"/>
          <w:sz w:val="18"/>
        </w:rPr>
        <w:t>törvény</w:t>
      </w:r>
      <w:r>
        <w:rPr>
          <w:i/>
          <w:spacing w:val="16"/>
          <w:w w:val="120"/>
          <w:sz w:val="18"/>
        </w:rPr>
        <w:t> </w:t>
      </w:r>
      <w:r>
        <w:rPr>
          <w:i/>
          <w:w w:val="120"/>
          <w:sz w:val="18"/>
        </w:rPr>
        <w:t>8.</w:t>
      </w:r>
      <w:r>
        <w:rPr>
          <w:i/>
          <w:spacing w:val="15"/>
          <w:w w:val="120"/>
          <w:sz w:val="18"/>
        </w:rPr>
        <w:t> </w:t>
      </w:r>
      <w:r>
        <w:rPr>
          <w:i/>
          <w:w w:val="120"/>
          <w:sz w:val="18"/>
        </w:rPr>
        <w:t>§</w:t>
      </w:r>
      <w:r>
        <w:rPr>
          <w:i/>
          <w:spacing w:val="17"/>
          <w:w w:val="120"/>
          <w:sz w:val="18"/>
        </w:rPr>
        <w:t> </w:t>
      </w:r>
      <w:r>
        <w:rPr>
          <w:i/>
          <w:w w:val="120"/>
          <w:sz w:val="18"/>
        </w:rPr>
        <w:t>c).</w:t>
      </w:r>
      <w:r>
        <w:rPr>
          <w:i/>
          <w:spacing w:val="16"/>
          <w:w w:val="120"/>
          <w:sz w:val="18"/>
        </w:rPr>
        <w:t> </w:t>
      </w:r>
      <w:r>
        <w:rPr>
          <w:i/>
          <w:w w:val="120"/>
          <w:sz w:val="18"/>
        </w:rPr>
        <w:t>Hatálytalan:</w:t>
      </w:r>
      <w:r>
        <w:rPr>
          <w:i/>
          <w:spacing w:val="17"/>
          <w:w w:val="120"/>
          <w:sz w:val="18"/>
        </w:rPr>
        <w:t> </w:t>
      </w:r>
      <w:r>
        <w:rPr>
          <w:i/>
          <w:w w:val="120"/>
          <w:sz w:val="18"/>
        </w:rPr>
        <w:t>2018.</w:t>
      </w:r>
      <w:r>
        <w:rPr>
          <w:i/>
          <w:spacing w:val="15"/>
          <w:w w:val="120"/>
          <w:sz w:val="18"/>
        </w:rPr>
        <w:t> </w:t>
      </w:r>
      <w:r>
        <w:rPr>
          <w:i/>
          <w:w w:val="120"/>
          <w:sz w:val="18"/>
        </w:rPr>
        <w:t>I.</w:t>
      </w:r>
      <w:r>
        <w:rPr>
          <w:i/>
          <w:spacing w:val="17"/>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22"/>
        </w:numPr>
        <w:tabs>
          <w:tab w:pos="1182" w:val="left" w:leader="none"/>
        </w:tabs>
        <w:spacing w:line="225" w:lineRule="auto" w:before="172" w:after="0"/>
        <w:ind w:left="113" w:right="111" w:firstLine="204"/>
        <w:jc w:val="both"/>
        <w:rPr>
          <w:sz w:val="24"/>
        </w:rPr>
      </w:pPr>
      <w:r>
        <w:rPr>
          <w:rFonts w:ascii="Arial" w:hAnsi="Arial"/>
          <w:b/>
          <w:w w:val="125"/>
          <w:sz w:val="24"/>
        </w:rPr>
        <w:t>§ </w:t>
      </w:r>
      <w:r>
        <w:rPr>
          <w:w w:val="125"/>
          <w:sz w:val="24"/>
        </w:rPr>
        <w:t>(1) Részvénytársasági vagy szövetkezeti formában működő hitelintézet ügyvezetését legalább két ügyvezetőnek, harmadik országbeli hitelintézet fióktelepének ügyvezetését legalább két vezető állású személynek, pénzügyi vállalkozás ügyvezetését legalább egy ügyvezetőnek munkaviszony keretében kell</w:t>
      </w:r>
      <w:r>
        <w:rPr>
          <w:spacing w:val="2"/>
          <w:w w:val="125"/>
          <w:sz w:val="24"/>
        </w:rPr>
        <w:t> </w:t>
      </w:r>
      <w:r>
        <w:rPr>
          <w:w w:val="125"/>
          <w:sz w:val="24"/>
        </w:rPr>
        <w:t>ellátnia.</w:t>
      </w:r>
    </w:p>
    <w:p>
      <w:pPr>
        <w:pStyle w:val="BodyText"/>
        <w:spacing w:line="225" w:lineRule="auto" w:before="2"/>
        <w:ind w:right="125"/>
        <w:jc w:val="both"/>
      </w:pPr>
      <w:r>
        <w:rPr>
          <w:w w:val="125"/>
        </w:rPr>
        <w:t>(2) Harmadik országbeli hitelintézet fióktelepe esetén a vezető állású személyek között legalább egy olyan magyar állampolgárságú devizabelföldi személynek kell lennie, aki legalább egy éve állandó belföldi lakóhellyel rendelkezik.</w:t>
      </w:r>
    </w:p>
    <w:p>
      <w:pPr>
        <w:pStyle w:val="BodyText"/>
        <w:spacing w:before="4"/>
        <w:ind w:left="0" w:firstLine="0"/>
        <w:rPr>
          <w:sz w:val="11"/>
        </w:rPr>
      </w:pPr>
    </w:p>
    <w:p>
      <w:pPr>
        <w:spacing w:after="0"/>
        <w:rPr>
          <w:sz w:val="11"/>
        </w:rPr>
        <w:sectPr>
          <w:pgSz w:w="11900" w:h="16820"/>
          <w:pgMar w:header="1104" w:footer="0" w:top="1840" w:bottom="280" w:left="1020" w:right="1000"/>
        </w:sectPr>
      </w:pPr>
    </w:p>
    <w:p>
      <w:pPr>
        <w:pStyle w:val="BodyText"/>
        <w:ind w:left="0" w:firstLine="0"/>
        <w:rPr>
          <w:sz w:val="28"/>
        </w:rPr>
      </w:pPr>
    </w:p>
    <w:p>
      <w:pPr>
        <w:pStyle w:val="BodyText"/>
        <w:ind w:left="0" w:firstLine="0"/>
      </w:pPr>
    </w:p>
    <w:p>
      <w:pPr>
        <w:pStyle w:val="Heading1"/>
        <w:rPr>
          <w:rFonts w:ascii="Times New Roman" w:hAnsi="Times New Roman"/>
          <w:b w:val="0"/>
          <w:i/>
          <w:sz w:val="18"/>
        </w:rPr>
      </w:pPr>
      <w:r>
        <w:rPr>
          <w:w w:val="120"/>
        </w:rPr>
        <w:t>157. §</w:t>
      </w:r>
      <w:r>
        <w:rPr>
          <w:rFonts w:ascii="Times New Roman" w:hAnsi="Times New Roman"/>
          <w:b w:val="0"/>
          <w:i/>
          <w:w w:val="120"/>
          <w:position w:val="3"/>
          <w:sz w:val="18"/>
        </w:rPr>
        <w:t>2</w:t>
      </w:r>
    </w:p>
    <w:p>
      <w:pPr>
        <w:pStyle w:val="BodyText"/>
        <w:spacing w:before="99"/>
        <w:ind w:left="2394" w:firstLine="0"/>
      </w:pPr>
      <w:r>
        <w:rPr/>
        <w:br w:type="column"/>
      </w:r>
      <w:r>
        <w:rPr>
          <w:w w:val="125"/>
        </w:rPr>
        <w:t>68.</w:t>
      </w:r>
      <w:r>
        <w:rPr>
          <w:i/>
          <w:w w:val="125"/>
          <w:position w:val="3"/>
          <w:sz w:val="18"/>
        </w:rPr>
        <w:t>1 </w:t>
      </w:r>
      <w:r>
        <w:rPr>
          <w:w w:val="125"/>
        </w:rPr>
        <w:t>Auditbizottság</w:t>
      </w:r>
    </w:p>
    <w:p>
      <w:pPr>
        <w:pStyle w:val="ListParagraph"/>
        <w:numPr>
          <w:ilvl w:val="0"/>
          <w:numId w:val="355"/>
        </w:numPr>
        <w:tabs>
          <w:tab w:pos="667" w:val="left" w:leader="none"/>
        </w:tabs>
        <w:spacing w:line="261" w:lineRule="exact" w:before="224" w:after="0"/>
        <w:ind w:left="666" w:right="0" w:hanging="520"/>
        <w:jc w:val="left"/>
        <w:rPr>
          <w:sz w:val="24"/>
        </w:rPr>
      </w:pPr>
      <w:r>
        <w:rPr>
          <w:w w:val="125"/>
          <w:sz w:val="24"/>
        </w:rPr>
        <w:t>A</w:t>
      </w:r>
      <w:r>
        <w:rPr>
          <w:spacing w:val="37"/>
          <w:w w:val="125"/>
          <w:sz w:val="24"/>
        </w:rPr>
        <w:t> </w:t>
      </w:r>
      <w:r>
        <w:rPr>
          <w:w w:val="125"/>
          <w:sz w:val="24"/>
        </w:rPr>
        <w:t>közérdeklődésre</w:t>
      </w:r>
      <w:r>
        <w:rPr>
          <w:spacing w:val="36"/>
          <w:w w:val="125"/>
          <w:sz w:val="24"/>
        </w:rPr>
        <w:t> </w:t>
      </w:r>
      <w:r>
        <w:rPr>
          <w:w w:val="125"/>
          <w:sz w:val="24"/>
        </w:rPr>
        <w:t>számot</w:t>
      </w:r>
      <w:r>
        <w:rPr>
          <w:spacing w:val="38"/>
          <w:w w:val="125"/>
          <w:sz w:val="24"/>
        </w:rPr>
        <w:t> </w:t>
      </w:r>
      <w:r>
        <w:rPr>
          <w:w w:val="125"/>
          <w:sz w:val="24"/>
        </w:rPr>
        <w:t>tartó</w:t>
      </w:r>
      <w:r>
        <w:rPr>
          <w:spacing w:val="37"/>
          <w:w w:val="125"/>
          <w:sz w:val="24"/>
        </w:rPr>
        <w:t> </w:t>
      </w:r>
      <w:r>
        <w:rPr>
          <w:w w:val="125"/>
          <w:sz w:val="24"/>
        </w:rPr>
        <w:t>hitelintézetnél</w:t>
      </w:r>
      <w:r>
        <w:rPr>
          <w:spacing w:val="56"/>
          <w:w w:val="125"/>
          <w:sz w:val="24"/>
        </w:rPr>
        <w:t> </w:t>
      </w:r>
      <w:r>
        <w:rPr>
          <w:w w:val="125"/>
          <w:sz w:val="24"/>
        </w:rPr>
        <w:t>a</w:t>
      </w:r>
      <w:r>
        <w:rPr>
          <w:spacing w:val="18"/>
          <w:w w:val="125"/>
          <w:sz w:val="24"/>
        </w:rPr>
        <w:t> </w:t>
      </w:r>
      <w:r>
        <w:rPr>
          <w:w w:val="125"/>
          <w:sz w:val="24"/>
        </w:rPr>
        <w:t>Ptk.</w:t>
      </w:r>
      <w:r>
        <w:rPr>
          <w:spacing w:val="38"/>
          <w:w w:val="125"/>
          <w:sz w:val="24"/>
        </w:rPr>
        <w:t> </w:t>
      </w:r>
      <w:r>
        <w:rPr>
          <w:w w:val="125"/>
          <w:sz w:val="24"/>
        </w:rPr>
        <w:t>jogi</w:t>
      </w:r>
    </w:p>
    <w:p>
      <w:pPr>
        <w:spacing w:after="0" w:line="261" w:lineRule="exact"/>
        <w:jc w:val="left"/>
        <w:rPr>
          <w:sz w:val="24"/>
        </w:rPr>
        <w:sectPr>
          <w:type w:val="continuous"/>
          <w:pgSz w:w="11900" w:h="16820"/>
          <w:pgMar w:top="1840" w:bottom="280" w:left="1020" w:right="1000"/>
          <w:cols w:num="2" w:equalWidth="0">
            <w:col w:w="1329" w:space="40"/>
            <w:col w:w="8511"/>
          </w:cols>
        </w:sectPr>
      </w:pPr>
    </w:p>
    <w:p>
      <w:pPr>
        <w:pStyle w:val="BodyText"/>
        <w:spacing w:line="225" w:lineRule="auto" w:before="12"/>
        <w:ind w:right="125" w:firstLine="0"/>
        <w:jc w:val="both"/>
      </w:pPr>
      <w:r>
        <w:rPr>
          <w:w w:val="130"/>
        </w:rPr>
        <w:t>személyekre vonatkozó rendelkezései szerinti auditbizottságot kell</w:t>
      </w:r>
      <w:r>
        <w:rPr>
          <w:spacing w:val="-51"/>
          <w:w w:val="130"/>
        </w:rPr>
        <w:t> </w:t>
      </w:r>
      <w:r>
        <w:rPr>
          <w:w w:val="130"/>
        </w:rPr>
        <w:t>létrehozni és működtetni azzal, hogy ahol a Ptk. jogi személyekre vonatkozó rendelkezése részvénytársaságot és közgyűlést említ, ott hitelintézetet és annak legfőbb szervét kell érteni.</w:t>
      </w:r>
    </w:p>
    <w:p>
      <w:pPr>
        <w:pStyle w:val="ListParagraph"/>
        <w:numPr>
          <w:ilvl w:val="0"/>
          <w:numId w:val="355"/>
        </w:numPr>
        <w:tabs>
          <w:tab w:pos="837" w:val="left" w:leader="none"/>
        </w:tabs>
        <w:spacing w:line="225" w:lineRule="auto" w:before="2" w:after="0"/>
        <w:ind w:left="113" w:right="127" w:firstLine="204"/>
        <w:jc w:val="both"/>
        <w:rPr>
          <w:sz w:val="24"/>
        </w:rPr>
      </w:pPr>
      <w:r>
        <w:rPr>
          <w:w w:val="130"/>
          <w:sz w:val="24"/>
        </w:rPr>
        <w:t>Az auditbizottság elnökét a saját tagjai közül választja vagy azt a felügyeleti</w:t>
      </w:r>
      <w:r>
        <w:rPr>
          <w:spacing w:val="-30"/>
          <w:w w:val="130"/>
          <w:sz w:val="24"/>
        </w:rPr>
        <w:t> </w:t>
      </w:r>
      <w:r>
        <w:rPr>
          <w:w w:val="130"/>
          <w:sz w:val="24"/>
        </w:rPr>
        <w:t>jogkörrel</w:t>
      </w:r>
      <w:r>
        <w:rPr>
          <w:spacing w:val="-29"/>
          <w:w w:val="130"/>
          <w:sz w:val="24"/>
        </w:rPr>
        <w:t> </w:t>
      </w:r>
      <w:r>
        <w:rPr>
          <w:w w:val="130"/>
          <w:sz w:val="24"/>
        </w:rPr>
        <w:t>rendelkező</w:t>
      </w:r>
      <w:r>
        <w:rPr>
          <w:spacing w:val="-30"/>
          <w:w w:val="130"/>
          <w:sz w:val="24"/>
        </w:rPr>
        <w:t> </w:t>
      </w:r>
      <w:r>
        <w:rPr>
          <w:w w:val="130"/>
          <w:sz w:val="24"/>
        </w:rPr>
        <w:t>vezető</w:t>
      </w:r>
      <w:r>
        <w:rPr>
          <w:spacing w:val="-30"/>
          <w:w w:val="130"/>
          <w:sz w:val="24"/>
        </w:rPr>
        <w:t> </w:t>
      </w:r>
      <w:r>
        <w:rPr>
          <w:w w:val="130"/>
          <w:sz w:val="24"/>
        </w:rPr>
        <w:t>testület</w:t>
      </w:r>
      <w:r>
        <w:rPr>
          <w:spacing w:val="-20"/>
          <w:w w:val="130"/>
          <w:sz w:val="24"/>
        </w:rPr>
        <w:t> </w:t>
      </w:r>
      <w:r>
        <w:rPr>
          <w:w w:val="130"/>
          <w:sz w:val="24"/>
        </w:rPr>
        <w:t>jelöli</w:t>
      </w:r>
      <w:r>
        <w:rPr>
          <w:spacing w:val="-40"/>
          <w:w w:val="130"/>
          <w:sz w:val="24"/>
        </w:rPr>
        <w:t> </w:t>
      </w:r>
      <w:r>
        <w:rPr>
          <w:w w:val="130"/>
          <w:sz w:val="24"/>
        </w:rPr>
        <w:t>ki</w:t>
      </w:r>
      <w:r>
        <w:rPr>
          <w:spacing w:val="-30"/>
          <w:w w:val="130"/>
          <w:sz w:val="24"/>
        </w:rPr>
        <w:t> </w:t>
      </w:r>
      <w:r>
        <w:rPr>
          <w:w w:val="130"/>
          <w:sz w:val="24"/>
        </w:rPr>
        <w:t>az</w:t>
      </w:r>
      <w:r>
        <w:rPr>
          <w:spacing w:val="-30"/>
          <w:w w:val="130"/>
          <w:sz w:val="24"/>
        </w:rPr>
        <w:t> </w:t>
      </w:r>
      <w:r>
        <w:rPr>
          <w:w w:val="130"/>
          <w:sz w:val="24"/>
        </w:rPr>
        <w:t>auditbizottság</w:t>
      </w:r>
      <w:r>
        <w:rPr>
          <w:spacing w:val="-30"/>
          <w:w w:val="130"/>
          <w:sz w:val="24"/>
        </w:rPr>
        <w:t> </w:t>
      </w:r>
      <w:r>
        <w:rPr>
          <w:w w:val="130"/>
          <w:sz w:val="24"/>
        </w:rPr>
        <w:t>tagjai közül.</w:t>
      </w:r>
    </w:p>
    <w:p>
      <w:pPr>
        <w:pStyle w:val="ListParagraph"/>
        <w:numPr>
          <w:ilvl w:val="0"/>
          <w:numId w:val="355"/>
        </w:numPr>
        <w:tabs>
          <w:tab w:pos="824" w:val="left" w:leader="none"/>
        </w:tabs>
        <w:spacing w:line="225" w:lineRule="auto" w:before="2" w:after="0"/>
        <w:ind w:left="113" w:right="126" w:firstLine="204"/>
        <w:jc w:val="both"/>
        <w:rPr>
          <w:sz w:val="24"/>
        </w:rPr>
      </w:pPr>
      <w:r>
        <w:rPr>
          <w:w w:val="125"/>
          <w:sz w:val="24"/>
        </w:rPr>
        <w:t>Az auditbizottság - a Ptk. 3:291. § (1) bekezdésében meghatározott feladatokon túl -</w:t>
      </w:r>
    </w:p>
    <w:p>
      <w:pPr>
        <w:pStyle w:val="ListParagraph"/>
        <w:numPr>
          <w:ilvl w:val="0"/>
          <w:numId w:val="356"/>
        </w:numPr>
        <w:tabs>
          <w:tab w:pos="731" w:val="left" w:leader="none"/>
        </w:tabs>
        <w:spacing w:line="225" w:lineRule="auto" w:before="1" w:after="0"/>
        <w:ind w:left="113" w:right="131" w:firstLine="204"/>
        <w:jc w:val="both"/>
        <w:rPr>
          <w:sz w:val="24"/>
        </w:rPr>
      </w:pPr>
      <w:r>
        <w:rPr>
          <w:w w:val="130"/>
          <w:sz w:val="24"/>
        </w:rPr>
        <w:t>figyelemmel kíséri a közérdeklődésre számot tartó hitelintézet belső ellenőrzési, kockázatkezelési rendszereinek hatékonyságát, valamint a pénzügyi</w:t>
      </w:r>
      <w:r>
        <w:rPr>
          <w:spacing w:val="-29"/>
          <w:w w:val="130"/>
          <w:sz w:val="24"/>
        </w:rPr>
        <w:t> </w:t>
      </w:r>
      <w:r>
        <w:rPr>
          <w:w w:val="130"/>
          <w:sz w:val="24"/>
        </w:rPr>
        <w:t>beszámolás</w:t>
      </w:r>
      <w:r>
        <w:rPr>
          <w:spacing w:val="-28"/>
          <w:w w:val="130"/>
          <w:sz w:val="24"/>
        </w:rPr>
        <w:t> </w:t>
      </w:r>
      <w:r>
        <w:rPr>
          <w:w w:val="130"/>
          <w:sz w:val="24"/>
        </w:rPr>
        <w:t>folyamatát</w:t>
      </w:r>
      <w:r>
        <w:rPr>
          <w:spacing w:val="-28"/>
          <w:w w:val="130"/>
          <w:sz w:val="24"/>
        </w:rPr>
        <w:t> </w:t>
      </w:r>
      <w:r>
        <w:rPr>
          <w:w w:val="130"/>
          <w:sz w:val="24"/>
        </w:rPr>
        <w:t>és</w:t>
      </w:r>
      <w:r>
        <w:rPr>
          <w:spacing w:val="-28"/>
          <w:w w:val="130"/>
          <w:sz w:val="24"/>
        </w:rPr>
        <w:t> </w:t>
      </w:r>
      <w:r>
        <w:rPr>
          <w:w w:val="130"/>
          <w:sz w:val="24"/>
        </w:rPr>
        <w:t>szükség</w:t>
      </w:r>
      <w:r>
        <w:rPr>
          <w:spacing w:val="-23"/>
          <w:w w:val="130"/>
          <w:sz w:val="24"/>
        </w:rPr>
        <w:t> </w:t>
      </w:r>
      <w:r>
        <w:rPr>
          <w:w w:val="130"/>
          <w:sz w:val="24"/>
        </w:rPr>
        <w:t>esetén</w:t>
      </w:r>
      <w:r>
        <w:rPr>
          <w:spacing w:val="-35"/>
          <w:w w:val="130"/>
          <w:sz w:val="24"/>
        </w:rPr>
        <w:t> </w:t>
      </w:r>
      <w:r>
        <w:rPr>
          <w:w w:val="130"/>
          <w:sz w:val="24"/>
        </w:rPr>
        <w:t>ajánlásokat</w:t>
      </w:r>
      <w:r>
        <w:rPr>
          <w:spacing w:val="-29"/>
          <w:w w:val="130"/>
          <w:sz w:val="24"/>
        </w:rPr>
        <w:t> </w:t>
      </w:r>
      <w:r>
        <w:rPr>
          <w:w w:val="130"/>
          <w:sz w:val="24"/>
        </w:rPr>
        <w:t>fogalmaz</w:t>
      </w:r>
      <w:r>
        <w:rPr>
          <w:spacing w:val="-28"/>
          <w:w w:val="130"/>
          <w:sz w:val="24"/>
        </w:rPr>
        <w:t> </w:t>
      </w:r>
      <w:r>
        <w:rPr>
          <w:w w:val="130"/>
          <w:sz w:val="24"/>
        </w:rPr>
        <w:t>meg;</w:t>
      </w:r>
    </w:p>
    <w:p>
      <w:pPr>
        <w:pStyle w:val="ListParagraph"/>
        <w:numPr>
          <w:ilvl w:val="0"/>
          <w:numId w:val="356"/>
        </w:numPr>
        <w:tabs>
          <w:tab w:pos="708" w:val="left" w:leader="none"/>
        </w:tabs>
        <w:spacing w:line="225" w:lineRule="auto" w:before="2" w:after="0"/>
        <w:ind w:left="113" w:right="120" w:firstLine="204"/>
        <w:jc w:val="both"/>
        <w:rPr>
          <w:sz w:val="24"/>
        </w:rPr>
      </w:pPr>
      <w:r>
        <w:rPr>
          <w:w w:val="125"/>
          <w:sz w:val="24"/>
        </w:rPr>
        <w:t>figyelemmel kíséri az éves és összevont (konszolidált) éves beszámoló jogszabályi kötelezettségen alapuló könyvvizsgálatát, figyelembe véve a Magyar Könyvvizsgálói Kamaráról, a könyvvizsgálói tevékenységről, valamint a könyvvizsgálói közfelügyeletről szóló 2007. évi LXXV. törvény (a továbbiakban: Kkt.) szerinti könyvvizsgálói közfelügyeleti feladatokat ellátó hatóság által lefolytatott, a Kkt. szerinti minőségellenőrzési eljárás során tett megállapításokat és</w:t>
      </w:r>
      <w:r>
        <w:rPr>
          <w:spacing w:val="3"/>
          <w:w w:val="125"/>
          <w:sz w:val="24"/>
        </w:rPr>
        <w:t> </w:t>
      </w:r>
      <w:r>
        <w:rPr>
          <w:w w:val="125"/>
          <w:sz w:val="24"/>
        </w:rPr>
        <w:t>következtetéseket;</w:t>
      </w:r>
    </w:p>
    <w:p>
      <w:pPr>
        <w:pStyle w:val="ListParagraph"/>
        <w:numPr>
          <w:ilvl w:val="0"/>
          <w:numId w:val="356"/>
        </w:numPr>
        <w:tabs>
          <w:tab w:pos="710" w:val="left" w:leader="none"/>
        </w:tabs>
        <w:spacing w:line="225" w:lineRule="auto" w:before="4" w:after="0"/>
        <w:ind w:left="113" w:right="123" w:firstLine="204"/>
        <w:jc w:val="both"/>
        <w:rPr>
          <w:sz w:val="24"/>
        </w:rPr>
      </w:pPr>
      <w:r>
        <w:rPr>
          <w:w w:val="125"/>
          <w:sz w:val="24"/>
        </w:rPr>
        <w:t>felülvizsgálja és figyelemmel kíséri a jogszabály szerint engedélyezett könyvvizsgáló vagy a könyvvizsgáló cég függetlenségét különös tekintettel a közérdeklődésre számot tartó gazdálkodó egységek jogszabályban előírt könyvvizsgálatára vonatkozó egyedi követelményekről és a 2005/909/EK bizottsági határozat hatályon kívül helyezéséről szóló, 2014. április 16-i 537/2014/EU európai parlamenti és tanácsi rendelet 5. cikkében foglaltak teljesülését.</w:t>
      </w:r>
    </w:p>
    <w:p>
      <w:pPr>
        <w:pStyle w:val="ListParagraph"/>
        <w:numPr>
          <w:ilvl w:val="0"/>
          <w:numId w:val="355"/>
        </w:numPr>
        <w:tabs>
          <w:tab w:pos="768" w:val="left" w:leader="none"/>
        </w:tabs>
        <w:spacing w:line="225" w:lineRule="auto" w:before="4" w:after="0"/>
        <w:ind w:left="113" w:right="129" w:firstLine="204"/>
        <w:jc w:val="both"/>
        <w:rPr>
          <w:sz w:val="24"/>
        </w:rPr>
      </w:pPr>
      <w:r>
        <w:rPr>
          <w:w w:val="125"/>
          <w:sz w:val="24"/>
        </w:rPr>
        <w:t>A mérlegfőösszeg tekintetében 5 százaléknál kisebb piaci részesedéssel rendelkező hitelintézet közös kockázatvállalási-kockázatkezelési és audit bizottságot állíthat</w:t>
      </w:r>
      <w:r>
        <w:rPr>
          <w:spacing w:val="1"/>
          <w:w w:val="125"/>
          <w:sz w:val="24"/>
        </w:rPr>
        <w:t> </w:t>
      </w:r>
      <w:r>
        <w:rPr>
          <w:w w:val="125"/>
          <w:sz w:val="24"/>
        </w:rPr>
        <w:t>fel.</w:t>
      </w:r>
    </w:p>
    <w:p>
      <w:pPr>
        <w:pStyle w:val="ListParagraph"/>
        <w:numPr>
          <w:ilvl w:val="0"/>
          <w:numId w:val="355"/>
        </w:numPr>
        <w:tabs>
          <w:tab w:pos="818" w:val="left" w:leader="none"/>
        </w:tabs>
        <w:spacing w:line="225" w:lineRule="auto" w:before="2" w:after="0"/>
        <w:ind w:left="113" w:right="122" w:firstLine="204"/>
        <w:jc w:val="both"/>
        <w:rPr>
          <w:sz w:val="24"/>
        </w:rPr>
      </w:pPr>
      <w:r>
        <w:rPr>
          <w:w w:val="130"/>
          <w:sz w:val="24"/>
        </w:rPr>
        <w:t>Az (1) bekezdésben foglaltakat a közérdeklődésre számot tartó nem</w:t>
      </w:r>
      <w:r>
        <w:rPr>
          <w:spacing w:val="78"/>
          <w:w w:val="130"/>
          <w:sz w:val="24"/>
        </w:rPr>
        <w:t> </w:t>
      </w:r>
      <w:r>
        <w:rPr>
          <w:w w:val="130"/>
          <w:sz w:val="24"/>
        </w:rPr>
        <w:t>nyilvános részvénytársasági formában működő hitelintézetnek nem kell alkalmaznia, ha összevont alapú felügyelet alatt áll, és a magyarországi székhelyű anyavállalatának auditbizottsága a hitelintézet vonatkozásában is ellátja a (3) bekezdésben meghatározott</w:t>
      </w:r>
      <w:r>
        <w:rPr>
          <w:spacing w:val="-23"/>
          <w:w w:val="130"/>
          <w:sz w:val="24"/>
        </w:rPr>
        <w:t> </w:t>
      </w:r>
      <w:r>
        <w:rPr>
          <w:w w:val="130"/>
          <w:sz w:val="24"/>
        </w:rPr>
        <w:t>feladatokat.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1"/>
        </w:rPr>
      </w:pPr>
      <w:r>
        <w:rPr/>
        <w:pict>
          <v:line style="position:absolute;mso-position-horizontal-relative:page;mso-position-vertical-relative:paragraph;z-index:896;mso-wrap-distance-left:0;mso-wrap-distance-right:0" from="56.693001pt,14.766432pt" to="538.583001pt,14.766432pt" stroked="true" strokeweight=".5pt" strokecolor="#000000">
            <v:stroke dashstyle="solid"/>
            <w10:wrap type="topAndBottom"/>
          </v:line>
        </w:pict>
      </w:r>
    </w:p>
    <w:p>
      <w:pPr>
        <w:pStyle w:val="ListParagraph"/>
        <w:numPr>
          <w:ilvl w:val="0"/>
          <w:numId w:val="357"/>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208. §. Hatályos: 2015. VII.</w:t>
      </w:r>
      <w:r>
        <w:rPr>
          <w:i/>
          <w:spacing w:val="-23"/>
          <w:w w:val="125"/>
          <w:sz w:val="18"/>
        </w:rPr>
        <w:t> </w:t>
      </w:r>
      <w:r>
        <w:rPr>
          <w:i/>
          <w:w w:val="125"/>
          <w:sz w:val="18"/>
        </w:rPr>
        <w:t>7-től.</w:t>
      </w:r>
    </w:p>
    <w:p>
      <w:pPr>
        <w:pStyle w:val="ListParagraph"/>
        <w:numPr>
          <w:ilvl w:val="0"/>
          <w:numId w:val="357"/>
        </w:numPr>
        <w:tabs>
          <w:tab w:pos="686" w:val="left" w:leader="none"/>
          <w:tab w:pos="687" w:val="left" w:leader="none"/>
        </w:tabs>
        <w:spacing w:line="203" w:lineRule="exact" w:before="0" w:after="0"/>
        <w:ind w:left="686" w:right="0" w:hanging="344"/>
        <w:jc w:val="left"/>
        <w:rPr>
          <w:i/>
          <w:sz w:val="18"/>
        </w:rPr>
      </w:pPr>
      <w:r>
        <w:rPr>
          <w:i/>
          <w:w w:val="125"/>
          <w:sz w:val="18"/>
        </w:rPr>
        <w:t>Megállapította: 2016. évi XLIV. törvény 64. §. Hatályos: 2016. VI.</w:t>
      </w:r>
      <w:r>
        <w:rPr>
          <w:i/>
          <w:spacing w:val="-18"/>
          <w:w w:val="125"/>
          <w:sz w:val="18"/>
        </w:rPr>
        <w:t> </w:t>
      </w:r>
      <w:r>
        <w:rPr>
          <w:i/>
          <w:w w:val="125"/>
          <w:sz w:val="18"/>
        </w:rPr>
        <w:t>4-től.</w:t>
      </w:r>
    </w:p>
    <w:p>
      <w:pPr>
        <w:spacing w:after="0" w:line="203" w:lineRule="exact"/>
        <w:jc w:val="left"/>
        <w:rPr>
          <w:sz w:val="18"/>
        </w:rPr>
        <w:sectPr>
          <w:type w:val="continuous"/>
          <w:pgSz w:w="11900" w:h="16820"/>
          <w:pgMar w:top="1840" w:bottom="280" w:left="1020" w:right="1000"/>
        </w:sectPr>
      </w:pPr>
    </w:p>
    <w:p>
      <w:pPr>
        <w:pStyle w:val="ListParagraph"/>
        <w:numPr>
          <w:ilvl w:val="0"/>
          <w:numId w:val="355"/>
        </w:numPr>
        <w:tabs>
          <w:tab w:pos="771" w:val="left" w:leader="none"/>
        </w:tabs>
        <w:spacing w:line="225" w:lineRule="auto" w:before="173" w:after="0"/>
        <w:ind w:left="113" w:right="122" w:firstLine="204"/>
        <w:jc w:val="both"/>
        <w:rPr>
          <w:sz w:val="24"/>
        </w:rPr>
      </w:pPr>
      <w:r>
        <w:rPr>
          <w:w w:val="130"/>
          <w:sz w:val="24"/>
        </w:rPr>
        <w:t>Az (1)-(2) bekezdésben foglaltakat a közérdeklődésre számot tartó nem nyilvános részvénytársasági formában működő hitelintézetnek nem kell alkalmaznia,</w:t>
      </w:r>
      <w:r>
        <w:rPr>
          <w:spacing w:val="-16"/>
          <w:w w:val="130"/>
          <w:sz w:val="24"/>
        </w:rPr>
        <w:t> </w:t>
      </w:r>
      <w:r>
        <w:rPr>
          <w:w w:val="130"/>
          <w:sz w:val="24"/>
        </w:rPr>
        <w:t>ha</w:t>
      </w:r>
      <w:r>
        <w:rPr>
          <w:spacing w:val="-16"/>
          <w:w w:val="130"/>
          <w:sz w:val="24"/>
        </w:rPr>
        <w:t> </w:t>
      </w:r>
      <w:r>
        <w:rPr>
          <w:w w:val="130"/>
          <w:sz w:val="24"/>
        </w:rPr>
        <w:t>a</w:t>
      </w:r>
      <w:r>
        <w:rPr>
          <w:spacing w:val="-16"/>
          <w:w w:val="130"/>
          <w:sz w:val="24"/>
        </w:rPr>
        <w:t> </w:t>
      </w:r>
      <w:r>
        <w:rPr>
          <w:w w:val="130"/>
          <w:sz w:val="24"/>
        </w:rPr>
        <w:t>hitelintézet</w:t>
      </w:r>
      <w:r>
        <w:rPr>
          <w:spacing w:val="-16"/>
          <w:w w:val="130"/>
          <w:sz w:val="24"/>
        </w:rPr>
        <w:t> </w:t>
      </w:r>
      <w:r>
        <w:rPr>
          <w:w w:val="130"/>
          <w:sz w:val="24"/>
        </w:rPr>
        <w:t>felügyeleti</w:t>
      </w:r>
      <w:r>
        <w:rPr>
          <w:spacing w:val="-16"/>
          <w:w w:val="130"/>
          <w:sz w:val="24"/>
        </w:rPr>
        <w:t> </w:t>
      </w:r>
      <w:r>
        <w:rPr>
          <w:w w:val="130"/>
          <w:sz w:val="24"/>
        </w:rPr>
        <w:t>jogkörrel</w:t>
      </w:r>
      <w:r>
        <w:rPr>
          <w:spacing w:val="-4"/>
          <w:w w:val="130"/>
          <w:sz w:val="24"/>
        </w:rPr>
        <w:t> </w:t>
      </w:r>
      <w:r>
        <w:rPr>
          <w:w w:val="130"/>
          <w:sz w:val="24"/>
        </w:rPr>
        <w:t>rendelkező</w:t>
      </w:r>
      <w:r>
        <w:rPr>
          <w:spacing w:val="-29"/>
          <w:w w:val="130"/>
          <w:sz w:val="24"/>
        </w:rPr>
        <w:t> </w:t>
      </w:r>
      <w:r>
        <w:rPr>
          <w:w w:val="130"/>
          <w:sz w:val="24"/>
        </w:rPr>
        <w:t>vezető</w:t>
      </w:r>
      <w:r>
        <w:rPr>
          <w:spacing w:val="-17"/>
          <w:w w:val="130"/>
          <w:sz w:val="24"/>
        </w:rPr>
        <w:t> </w:t>
      </w:r>
      <w:r>
        <w:rPr>
          <w:w w:val="130"/>
          <w:sz w:val="24"/>
        </w:rPr>
        <w:t>testülete ellátja a (3) bekezdésben meghatározott</w:t>
      </w:r>
      <w:r>
        <w:rPr>
          <w:spacing w:val="-23"/>
          <w:w w:val="130"/>
          <w:sz w:val="24"/>
        </w:rPr>
        <w:t> </w:t>
      </w:r>
      <w:r>
        <w:rPr>
          <w:w w:val="130"/>
          <w:sz w:val="24"/>
        </w:rPr>
        <w:t>feladatokat.</w:t>
      </w:r>
    </w:p>
    <w:p>
      <w:pPr>
        <w:pStyle w:val="ListParagraph"/>
        <w:numPr>
          <w:ilvl w:val="0"/>
          <w:numId w:val="355"/>
        </w:numPr>
        <w:tabs>
          <w:tab w:pos="742" w:val="left" w:leader="none"/>
        </w:tabs>
        <w:spacing w:line="225" w:lineRule="auto" w:before="2" w:after="0"/>
        <w:ind w:left="113" w:right="121" w:firstLine="204"/>
        <w:jc w:val="both"/>
        <w:rPr>
          <w:sz w:val="24"/>
        </w:rPr>
      </w:pPr>
      <w:r>
        <w:rPr>
          <w:w w:val="125"/>
          <w:sz w:val="24"/>
        </w:rPr>
        <w:t>A (6) bekezdésben meghatározott esetben a hitelintézet a saját honlapján nyilvánosságra hozza a testület összetételét, valamint azt, hogy az auditbizottság feladatait a hitelintézet felügyeleti jogkörrel rendelkező vezető testülete látja</w:t>
      </w:r>
      <w:r>
        <w:rPr>
          <w:spacing w:val="1"/>
          <w:w w:val="125"/>
          <w:sz w:val="24"/>
        </w:rPr>
        <w:t> </w:t>
      </w:r>
      <w:r>
        <w:rPr>
          <w:w w:val="125"/>
          <w:sz w:val="24"/>
        </w:rPr>
        <w:t>el.</w:t>
      </w:r>
    </w:p>
    <w:p>
      <w:pPr>
        <w:pStyle w:val="BodyText"/>
        <w:spacing w:before="3"/>
        <w:ind w:left="0" w:firstLine="0"/>
        <w:rPr>
          <w:sz w:val="11"/>
        </w:rPr>
      </w:pPr>
    </w:p>
    <w:p>
      <w:pPr>
        <w:pStyle w:val="BodyText"/>
        <w:spacing w:before="99"/>
        <w:ind w:left="3772" w:firstLine="0"/>
      </w:pPr>
      <w:r>
        <w:rPr>
          <w:w w:val="125"/>
        </w:rPr>
        <w:t>69. Belső szervezet</w:t>
      </w:r>
    </w:p>
    <w:p>
      <w:pPr>
        <w:pStyle w:val="ListParagraph"/>
        <w:numPr>
          <w:ilvl w:val="0"/>
          <w:numId w:val="358"/>
        </w:numPr>
        <w:tabs>
          <w:tab w:pos="1113" w:val="left" w:leader="none"/>
        </w:tabs>
        <w:spacing w:line="225" w:lineRule="auto" w:before="237" w:after="0"/>
        <w:ind w:left="113" w:right="125" w:firstLine="204"/>
        <w:jc w:val="both"/>
        <w:rPr>
          <w:sz w:val="24"/>
        </w:rPr>
      </w:pPr>
      <w:r>
        <w:rPr>
          <w:rFonts w:ascii="Arial" w:hAnsi="Arial"/>
          <w:b/>
          <w:w w:val="125"/>
          <w:sz w:val="24"/>
        </w:rPr>
        <w:t>§ </w:t>
      </w:r>
      <w:r>
        <w:rPr>
          <w:w w:val="125"/>
          <w:sz w:val="24"/>
        </w:rPr>
        <w:t>(1) Ha a hitelintézet befektetési szolgáltatási vagy kiegészítő befektetési szolgáltatási tevékenységet is végez, akkor olyan belső szervezeti, működési és eljárási rendet alakít ki, amelyen belül elkülönülnek a pénzügyi, kiegészítő pénzügyi szolgáltatással és a befektetési szolgáltatással foglalkozó szervezeti</w:t>
      </w:r>
      <w:r>
        <w:rPr>
          <w:spacing w:val="1"/>
          <w:w w:val="125"/>
          <w:sz w:val="24"/>
        </w:rPr>
        <w:t> </w:t>
      </w:r>
      <w:r>
        <w:rPr>
          <w:w w:val="125"/>
          <w:sz w:val="24"/>
        </w:rPr>
        <w:t>egységek.</w:t>
      </w:r>
    </w:p>
    <w:p>
      <w:pPr>
        <w:pStyle w:val="ListParagraph"/>
        <w:numPr>
          <w:ilvl w:val="0"/>
          <w:numId w:val="359"/>
        </w:numPr>
        <w:tabs>
          <w:tab w:pos="764" w:val="left" w:leader="none"/>
        </w:tabs>
        <w:spacing w:line="225" w:lineRule="auto" w:before="3" w:after="0"/>
        <w:ind w:left="113" w:right="124" w:firstLine="204"/>
        <w:jc w:val="both"/>
        <w:rPr>
          <w:sz w:val="24"/>
        </w:rPr>
      </w:pPr>
      <w:r>
        <w:rPr>
          <w:w w:val="130"/>
          <w:sz w:val="24"/>
        </w:rPr>
        <w:t>Az elkülönülés célja, hogy a hitelintézet ne tudja befolyásolni ügyfele,</w:t>
      </w:r>
      <w:r>
        <w:rPr>
          <w:spacing w:val="-56"/>
          <w:w w:val="130"/>
          <w:sz w:val="24"/>
        </w:rPr>
        <w:t> </w:t>
      </w:r>
      <w:r>
        <w:rPr>
          <w:w w:val="130"/>
          <w:sz w:val="24"/>
        </w:rPr>
        <w:t>a hitelintézeti üzletágak, valamint a hitelintézetek és egyéb piaci szereplők közötti</w:t>
      </w:r>
      <w:r>
        <w:rPr>
          <w:spacing w:val="-4"/>
          <w:w w:val="130"/>
          <w:sz w:val="24"/>
        </w:rPr>
        <w:t> </w:t>
      </w:r>
      <w:r>
        <w:rPr>
          <w:w w:val="130"/>
          <w:sz w:val="24"/>
        </w:rPr>
        <w:t>ügyleteket.</w:t>
      </w:r>
    </w:p>
    <w:p>
      <w:pPr>
        <w:pStyle w:val="ListParagraph"/>
        <w:numPr>
          <w:ilvl w:val="0"/>
          <w:numId w:val="359"/>
        </w:numPr>
        <w:tabs>
          <w:tab w:pos="851" w:val="left" w:leader="none"/>
        </w:tabs>
        <w:spacing w:line="225" w:lineRule="auto" w:before="1" w:after="0"/>
        <w:ind w:left="113" w:right="127" w:firstLine="204"/>
        <w:jc w:val="both"/>
        <w:rPr>
          <w:sz w:val="24"/>
        </w:rPr>
      </w:pPr>
      <w:r>
        <w:rPr>
          <w:w w:val="130"/>
          <w:sz w:val="24"/>
        </w:rPr>
        <w:t>A hitelintézeten belül elkülönült szervezeti egységek banktitkot és értékpapírtitkot csak belső szabályzatban meghatározott módon adhatnak át egymásnak. A szabályzatnak biztosítania kell, hogy banktitokhoz és értékpapírtitokhoz csak az jusson hozzá, akinek arra feladata elvégzéséhez szüksége</w:t>
      </w:r>
      <w:r>
        <w:rPr>
          <w:spacing w:val="-3"/>
          <w:w w:val="130"/>
          <w:sz w:val="24"/>
        </w:rPr>
        <w:t> </w:t>
      </w:r>
      <w:r>
        <w:rPr>
          <w:w w:val="130"/>
          <w:sz w:val="24"/>
        </w:rPr>
        <w:t>van.</w:t>
      </w:r>
    </w:p>
    <w:p>
      <w:pPr>
        <w:pStyle w:val="ListParagraph"/>
        <w:numPr>
          <w:ilvl w:val="0"/>
          <w:numId w:val="359"/>
        </w:numPr>
        <w:tabs>
          <w:tab w:pos="734" w:val="left" w:leader="none"/>
        </w:tabs>
        <w:spacing w:line="265" w:lineRule="exact" w:before="0" w:after="0"/>
        <w:ind w:left="733" w:right="0" w:hanging="416"/>
        <w:jc w:val="left"/>
        <w:rPr>
          <w:sz w:val="24"/>
        </w:rPr>
      </w:pPr>
      <w:r>
        <w:rPr>
          <w:w w:val="125"/>
          <w:sz w:val="24"/>
        </w:rPr>
        <w:t>A belső szabályzatot a hitelintézet megküldi a</w:t>
      </w:r>
      <w:r>
        <w:rPr>
          <w:spacing w:val="25"/>
          <w:w w:val="125"/>
          <w:sz w:val="24"/>
        </w:rPr>
        <w:t> </w:t>
      </w:r>
      <w:r>
        <w:rPr>
          <w:w w:val="125"/>
          <w:sz w:val="24"/>
        </w:rPr>
        <w:t>Felügyeletnek.</w:t>
      </w:r>
    </w:p>
    <w:p>
      <w:pPr>
        <w:pStyle w:val="Heading2"/>
        <w:numPr>
          <w:ilvl w:val="0"/>
          <w:numId w:val="321"/>
        </w:numPr>
        <w:tabs>
          <w:tab w:pos="4796" w:val="left" w:leader="none"/>
        </w:tabs>
        <w:spacing w:line="650" w:lineRule="auto" w:before="228" w:after="0"/>
        <w:ind w:left="4183" w:right="4121" w:hanging="76"/>
        <w:jc w:val="left"/>
      </w:pPr>
      <w:r>
        <w:rPr>
          <w:spacing w:val="-1"/>
          <w:w w:val="110"/>
        </w:rPr>
        <w:t>Fejezet </w:t>
      </w:r>
      <w:r>
        <w:rPr>
          <w:w w:val="105"/>
        </w:rPr>
        <w:t>Titoktartás</w:t>
      </w:r>
    </w:p>
    <w:p>
      <w:pPr>
        <w:pStyle w:val="BodyText"/>
        <w:spacing w:line="274" w:lineRule="exact"/>
        <w:ind w:left="4026" w:firstLine="0"/>
      </w:pPr>
      <w:r>
        <w:rPr>
          <w:w w:val="125"/>
        </w:rPr>
        <w:t>70. Üzleti titok</w:t>
      </w:r>
    </w:p>
    <w:p>
      <w:pPr>
        <w:pStyle w:val="ListParagraph"/>
        <w:numPr>
          <w:ilvl w:val="0"/>
          <w:numId w:val="358"/>
        </w:numPr>
        <w:tabs>
          <w:tab w:pos="988" w:val="left" w:leader="none"/>
        </w:tabs>
        <w:spacing w:line="225" w:lineRule="auto" w:before="237" w:after="0"/>
        <w:ind w:left="113" w:right="127" w:firstLine="204"/>
        <w:jc w:val="both"/>
        <w:rPr>
          <w:sz w:val="24"/>
        </w:rPr>
      </w:pPr>
      <w:r>
        <w:rPr>
          <w:rFonts w:ascii="Arial" w:hAnsi="Arial"/>
          <w:b/>
          <w:w w:val="120"/>
          <w:sz w:val="24"/>
        </w:rPr>
        <w:t>§ </w:t>
      </w:r>
      <w:r>
        <w:rPr>
          <w:w w:val="120"/>
          <w:sz w:val="24"/>
        </w:rPr>
        <w:t>(1)</w:t>
      </w:r>
      <w:r>
        <w:rPr>
          <w:i/>
          <w:w w:val="120"/>
          <w:position w:val="3"/>
          <w:sz w:val="18"/>
        </w:rPr>
        <w:t>1 </w:t>
      </w:r>
      <w:r>
        <w:rPr>
          <w:w w:val="120"/>
          <w:sz w:val="24"/>
        </w:rPr>
        <w:t>E törvény alkalmazásában üzleti titok fogalma alatt az üzleti titok védelméről szóló 2018. évi LIV. törvény 1. § (1) bekezdésében meghatározott fogalmat kell</w:t>
      </w:r>
      <w:r>
        <w:rPr>
          <w:spacing w:val="9"/>
          <w:w w:val="120"/>
          <w:sz w:val="24"/>
        </w:rPr>
        <w:t> </w:t>
      </w:r>
      <w:r>
        <w:rPr>
          <w:w w:val="120"/>
          <w:sz w:val="24"/>
        </w:rPr>
        <w:t>érteni.</w:t>
      </w:r>
    </w:p>
    <w:p>
      <w:pPr>
        <w:pStyle w:val="ListParagraph"/>
        <w:numPr>
          <w:ilvl w:val="0"/>
          <w:numId w:val="360"/>
        </w:numPr>
        <w:tabs>
          <w:tab w:pos="783" w:val="left" w:leader="none"/>
        </w:tabs>
        <w:spacing w:line="225" w:lineRule="auto" w:before="2" w:after="0"/>
        <w:ind w:left="113" w:right="130" w:firstLine="204"/>
        <w:jc w:val="both"/>
        <w:rPr>
          <w:sz w:val="24"/>
        </w:rPr>
      </w:pPr>
      <w:r>
        <w:rPr>
          <w:w w:val="125"/>
          <w:sz w:val="24"/>
        </w:rPr>
        <w:t>A pénzügyi intézmény és a pénzügyi, kiegészítő pénzügyi szolgáltatást nyújtó - pénzügyi intézménynek nem minősülő - vállalkozás (ideértve a közvetítőt is) tulajdonosa, a pénzügyi intézményben befolyásoló részesedést szerezni kívánó személy, a vezető állású személy, valamint a pénzügyi intézmény és a pénzügyi, kiegészítő pénzügyi szolgáltatást nyújtó - pénzügyi intézménynek nem minősülő - vállalkozás alkalmazottja köteles a pénzügyi intézmény működésével kapcsolatban tudomására jutott üzleti titkot - időbeli korlátozás nélkül -</w:t>
      </w:r>
      <w:r>
        <w:rPr>
          <w:spacing w:val="2"/>
          <w:w w:val="125"/>
          <w:sz w:val="24"/>
        </w:rPr>
        <w:t> </w:t>
      </w:r>
      <w:r>
        <w:rPr>
          <w:w w:val="125"/>
          <w:sz w:val="24"/>
        </w:rPr>
        <w:t>megtartani.</w:t>
      </w:r>
    </w:p>
    <w:p>
      <w:pPr>
        <w:pStyle w:val="ListParagraph"/>
        <w:numPr>
          <w:ilvl w:val="0"/>
          <w:numId w:val="360"/>
        </w:numPr>
        <w:tabs>
          <w:tab w:pos="846" w:val="left" w:leader="none"/>
        </w:tabs>
        <w:spacing w:line="225" w:lineRule="auto" w:before="4" w:after="0"/>
        <w:ind w:left="113" w:right="134" w:firstLine="204"/>
        <w:jc w:val="both"/>
        <w:rPr>
          <w:sz w:val="24"/>
        </w:rPr>
      </w:pPr>
      <w:r>
        <w:rPr>
          <w:w w:val="130"/>
          <w:sz w:val="24"/>
        </w:rPr>
        <w:t>A (2) bekezdésben előírt titoktartási kötelezettség nem áll fenn a feladatkörében</w:t>
      </w:r>
      <w:r>
        <w:rPr>
          <w:spacing w:val="-3"/>
          <w:w w:val="130"/>
          <w:sz w:val="24"/>
        </w:rPr>
        <w:t> </w:t>
      </w:r>
      <w:r>
        <w:rPr>
          <w:w w:val="130"/>
          <w:sz w:val="24"/>
        </w:rPr>
        <w:t>eljáró</w:t>
      </w:r>
    </w:p>
    <w:p>
      <w:pPr>
        <w:pStyle w:val="ListParagraph"/>
        <w:numPr>
          <w:ilvl w:val="0"/>
          <w:numId w:val="361"/>
        </w:numPr>
        <w:tabs>
          <w:tab w:pos="631" w:val="left" w:leader="none"/>
        </w:tabs>
        <w:spacing w:line="264" w:lineRule="exact" w:before="0" w:after="0"/>
        <w:ind w:left="630" w:right="0" w:hanging="313"/>
        <w:jc w:val="left"/>
        <w:rPr>
          <w:sz w:val="24"/>
        </w:rPr>
      </w:pPr>
      <w:r>
        <w:rPr>
          <w:w w:val="115"/>
          <w:sz w:val="24"/>
        </w:rPr>
        <w:t>MNB-vel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26"/>
        </w:rPr>
      </w:pPr>
      <w:r>
        <w:rPr/>
        <w:pict>
          <v:line style="position:absolute;mso-position-horizontal-relative:page;mso-position-vertical-relative:paragraph;z-index:920;mso-wrap-distance-left:0;mso-wrap-distance-right:0" from="56.693001pt,17.511013pt" to="538.583001pt,17.51101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2018. évi LIV. törvény 37.</w:t>
      </w:r>
      <w:r>
        <w:rPr>
          <w:i/>
          <w:spacing w:val="-3"/>
          <w:w w:val="125"/>
          <w:sz w:val="18"/>
        </w:rPr>
        <w:t> </w:t>
      </w:r>
      <w:r>
        <w:rPr>
          <w:i/>
          <w:w w:val="125"/>
          <w:sz w:val="18"/>
        </w:rPr>
        <w:t>§.</w:t>
      </w:r>
    </w:p>
    <w:p>
      <w:pPr>
        <w:spacing w:after="0"/>
        <w:jc w:val="left"/>
        <w:rPr>
          <w:sz w:val="18"/>
        </w:rPr>
        <w:sectPr>
          <w:pgSz w:w="11900" w:h="16820"/>
          <w:pgMar w:header="1104" w:footer="0" w:top="1840" w:bottom="280" w:left="1020" w:right="1000"/>
        </w:sectPr>
      </w:pPr>
    </w:p>
    <w:p>
      <w:pPr>
        <w:pStyle w:val="ListParagraph"/>
        <w:numPr>
          <w:ilvl w:val="0"/>
          <w:numId w:val="361"/>
        </w:numPr>
        <w:tabs>
          <w:tab w:pos="567" w:val="left" w:leader="none"/>
          <w:tab w:pos="886" w:val="left" w:leader="none"/>
          <w:tab w:pos="2149" w:val="left" w:leader="none"/>
          <w:tab w:pos="3067" w:val="left" w:leader="none"/>
          <w:tab w:pos="3541" w:val="left" w:leader="none"/>
          <w:tab w:pos="5949" w:val="left" w:leader="none"/>
          <w:tab w:pos="7121" w:val="left" w:leader="none"/>
          <w:tab w:pos="7471" w:val="left" w:leader="none"/>
          <w:tab w:pos="8508" w:val="left" w:leader="none"/>
          <w:tab w:pos="9603" w:val="left" w:leader="none"/>
        </w:tabs>
        <w:spacing w:line="261" w:lineRule="exact" w:before="159" w:after="0"/>
        <w:ind w:left="566" w:right="0" w:hanging="249"/>
        <w:jc w:val="left"/>
        <w:rPr>
          <w:sz w:val="24"/>
        </w:rPr>
      </w:pPr>
      <w:r>
        <w:rPr>
          <w:i/>
          <w:w w:val="125"/>
          <w:position w:val="3"/>
          <w:sz w:val="18"/>
        </w:rPr>
        <w:t>1</w:t>
        <w:tab/>
      </w:r>
      <w:r>
        <w:rPr>
          <w:w w:val="120"/>
          <w:sz w:val="24"/>
        </w:rPr>
        <w:t>OBA-val,</w:t>
        <w:tab/>
      </w:r>
      <w:r>
        <w:rPr>
          <w:w w:val="125"/>
          <w:sz w:val="24"/>
        </w:rPr>
        <w:t>betét-</w:t>
        <w:tab/>
        <w:t>és</w:t>
        <w:tab/>
        <w:t>intézményvédelmi</w:t>
        <w:tab/>
        <w:t>alappal,</w:t>
        <w:tab/>
        <w:t>a</w:t>
        <w:tab/>
        <w:t>Szhitv.</w:t>
        <w:tab/>
        <w:t>alapján</w:t>
        <w:tab/>
        <w:t>a</w:t>
      </w:r>
    </w:p>
    <w:p>
      <w:pPr>
        <w:pStyle w:val="BodyText"/>
        <w:spacing w:line="225" w:lineRule="auto" w:before="12"/>
        <w:ind w:right="253" w:firstLine="0"/>
      </w:pPr>
      <w:r>
        <w:rPr>
          <w:w w:val="125"/>
        </w:rPr>
        <w:t>szövetkezeti hitelintézeti integráció feladatkörében eljáró  központi  bankjával és az ugyanezen törvényben leírt kötelező intézményvédelmi</w:t>
      </w:r>
      <w:r>
        <w:rPr>
          <w:spacing w:val="36"/>
          <w:w w:val="125"/>
        </w:rPr>
        <w:t> </w:t>
      </w:r>
      <w:r>
        <w:rPr>
          <w:w w:val="125"/>
        </w:rPr>
        <w:t>szervezettel,</w:t>
      </w:r>
    </w:p>
    <w:p>
      <w:pPr>
        <w:pStyle w:val="ListParagraph"/>
        <w:numPr>
          <w:ilvl w:val="0"/>
          <w:numId w:val="361"/>
        </w:numPr>
        <w:tabs>
          <w:tab w:pos="623" w:val="left" w:leader="none"/>
        </w:tabs>
        <w:spacing w:line="256" w:lineRule="exact" w:before="0" w:after="0"/>
        <w:ind w:left="622" w:right="0" w:hanging="305"/>
        <w:jc w:val="left"/>
        <w:rPr>
          <w:sz w:val="24"/>
        </w:rPr>
      </w:pPr>
      <w:r>
        <w:rPr>
          <w:w w:val="130"/>
          <w:sz w:val="24"/>
        </w:rPr>
        <w:t>nemzetbiztonsági</w:t>
      </w:r>
      <w:r>
        <w:rPr>
          <w:spacing w:val="-4"/>
          <w:w w:val="130"/>
          <w:sz w:val="24"/>
        </w:rPr>
        <w:t> </w:t>
      </w:r>
      <w:r>
        <w:rPr>
          <w:w w:val="130"/>
          <w:sz w:val="24"/>
        </w:rPr>
        <w:t>szolgálattal,</w:t>
      </w:r>
    </w:p>
    <w:p>
      <w:pPr>
        <w:pStyle w:val="ListParagraph"/>
        <w:numPr>
          <w:ilvl w:val="0"/>
          <w:numId w:val="361"/>
        </w:numPr>
        <w:tabs>
          <w:tab w:pos="653" w:val="left" w:leader="none"/>
        </w:tabs>
        <w:spacing w:line="260" w:lineRule="exact" w:before="0" w:after="0"/>
        <w:ind w:left="652" w:right="0" w:hanging="335"/>
        <w:jc w:val="left"/>
        <w:rPr>
          <w:sz w:val="24"/>
        </w:rPr>
      </w:pPr>
      <w:r>
        <w:rPr>
          <w:w w:val="120"/>
          <w:sz w:val="24"/>
        </w:rPr>
        <w:t>Állami</w:t>
      </w:r>
      <w:r>
        <w:rPr>
          <w:spacing w:val="-7"/>
          <w:w w:val="120"/>
          <w:sz w:val="24"/>
        </w:rPr>
        <w:t> </w:t>
      </w:r>
      <w:r>
        <w:rPr>
          <w:w w:val="120"/>
          <w:sz w:val="24"/>
        </w:rPr>
        <w:t>Számvevőszékkel,</w:t>
      </w:r>
    </w:p>
    <w:p>
      <w:pPr>
        <w:pStyle w:val="ListParagraph"/>
        <w:numPr>
          <w:ilvl w:val="0"/>
          <w:numId w:val="361"/>
        </w:numPr>
        <w:tabs>
          <w:tab w:pos="629" w:val="left" w:leader="none"/>
        </w:tabs>
        <w:spacing w:line="260" w:lineRule="exact" w:before="0" w:after="0"/>
        <w:ind w:left="628" w:right="0" w:hanging="311"/>
        <w:jc w:val="left"/>
        <w:rPr>
          <w:sz w:val="24"/>
        </w:rPr>
      </w:pPr>
      <w:r>
        <w:rPr>
          <w:w w:val="125"/>
          <w:sz w:val="24"/>
        </w:rPr>
        <w:t>Gazdasági</w:t>
      </w:r>
      <w:r>
        <w:rPr>
          <w:spacing w:val="-1"/>
          <w:w w:val="125"/>
          <w:sz w:val="24"/>
        </w:rPr>
        <w:t> </w:t>
      </w:r>
      <w:r>
        <w:rPr>
          <w:w w:val="125"/>
          <w:sz w:val="24"/>
        </w:rPr>
        <w:t>Versenyhivatallal,</w:t>
      </w:r>
    </w:p>
    <w:p>
      <w:pPr>
        <w:pStyle w:val="ListParagraph"/>
        <w:numPr>
          <w:ilvl w:val="0"/>
          <w:numId w:val="361"/>
        </w:numPr>
        <w:tabs>
          <w:tab w:pos="577" w:val="left" w:leader="none"/>
        </w:tabs>
        <w:spacing w:line="260" w:lineRule="exact" w:before="0" w:after="0"/>
        <w:ind w:left="576" w:right="0" w:hanging="259"/>
        <w:jc w:val="left"/>
        <w:rPr>
          <w:sz w:val="24"/>
        </w:rPr>
      </w:pPr>
      <w:r>
        <w:rPr>
          <w:w w:val="125"/>
          <w:sz w:val="24"/>
        </w:rPr>
        <w:t>kormányzati ellenőrzési</w:t>
      </w:r>
      <w:r>
        <w:rPr>
          <w:spacing w:val="-1"/>
          <w:w w:val="125"/>
          <w:sz w:val="24"/>
        </w:rPr>
        <w:t> </w:t>
      </w:r>
      <w:r>
        <w:rPr>
          <w:w w:val="125"/>
          <w:sz w:val="24"/>
        </w:rPr>
        <w:t>szervvel,</w:t>
      </w:r>
    </w:p>
    <w:p>
      <w:pPr>
        <w:pStyle w:val="ListParagraph"/>
        <w:numPr>
          <w:ilvl w:val="0"/>
          <w:numId w:val="361"/>
        </w:numPr>
        <w:tabs>
          <w:tab w:pos="653" w:val="left" w:leader="none"/>
        </w:tabs>
        <w:spacing w:line="260" w:lineRule="exact" w:before="0" w:after="0"/>
        <w:ind w:left="652" w:right="0" w:hanging="335"/>
        <w:jc w:val="left"/>
        <w:rPr>
          <w:sz w:val="24"/>
        </w:rPr>
      </w:pPr>
      <w:r>
        <w:rPr>
          <w:w w:val="125"/>
          <w:sz w:val="24"/>
        </w:rPr>
        <w:t>vagyonellenőrrel,</w:t>
      </w:r>
    </w:p>
    <w:p>
      <w:pPr>
        <w:pStyle w:val="ListParagraph"/>
        <w:numPr>
          <w:ilvl w:val="0"/>
          <w:numId w:val="361"/>
        </w:numPr>
        <w:tabs>
          <w:tab w:pos="729" w:val="left" w:leader="none"/>
        </w:tabs>
        <w:spacing w:line="225" w:lineRule="auto" w:before="6" w:after="0"/>
        <w:ind w:left="113" w:right="128" w:firstLine="204"/>
        <w:jc w:val="both"/>
        <w:rPr>
          <w:sz w:val="24"/>
        </w:rPr>
      </w:pPr>
      <w:r>
        <w:rPr>
          <w:w w:val="130"/>
          <w:sz w:val="24"/>
        </w:rPr>
        <w:t>a rendőrségről szóló törvényben meghatározott terrorizmust elhárító, valamint a belső bűnmegelőzési és bűnfelderítési feladatokat ellátó szervvel szemben.</w:t>
      </w:r>
    </w:p>
    <w:p>
      <w:pPr>
        <w:pStyle w:val="ListParagraph"/>
        <w:numPr>
          <w:ilvl w:val="0"/>
          <w:numId w:val="360"/>
        </w:numPr>
        <w:tabs>
          <w:tab w:pos="824" w:val="left" w:leader="none"/>
        </w:tabs>
        <w:spacing w:line="225" w:lineRule="auto" w:before="2" w:after="0"/>
        <w:ind w:left="113" w:right="120" w:firstLine="204"/>
        <w:jc w:val="left"/>
        <w:rPr>
          <w:sz w:val="24"/>
        </w:rPr>
      </w:pPr>
      <w:r>
        <w:rPr>
          <w:w w:val="130"/>
          <w:sz w:val="24"/>
        </w:rPr>
        <w:t>A (2) bekezdésben előírt titoktartási kötelezettség az eljárás alapját képező</w:t>
      </w:r>
      <w:r>
        <w:rPr>
          <w:spacing w:val="-10"/>
          <w:w w:val="130"/>
          <w:sz w:val="24"/>
        </w:rPr>
        <w:t> </w:t>
      </w:r>
      <w:r>
        <w:rPr>
          <w:w w:val="130"/>
          <w:sz w:val="24"/>
        </w:rPr>
        <w:t>ügyre</w:t>
      </w:r>
      <w:r>
        <w:rPr>
          <w:spacing w:val="-8"/>
          <w:w w:val="130"/>
          <w:sz w:val="24"/>
        </w:rPr>
        <w:t> </w:t>
      </w:r>
      <w:r>
        <w:rPr>
          <w:w w:val="130"/>
          <w:sz w:val="24"/>
        </w:rPr>
        <w:t>vonatkozóan</w:t>
      </w:r>
      <w:r>
        <w:rPr>
          <w:spacing w:val="-9"/>
          <w:w w:val="130"/>
          <w:sz w:val="24"/>
        </w:rPr>
        <w:t> </w:t>
      </w:r>
      <w:r>
        <w:rPr>
          <w:w w:val="130"/>
          <w:sz w:val="24"/>
        </w:rPr>
        <w:t>nem</w:t>
      </w:r>
      <w:r>
        <w:rPr>
          <w:spacing w:val="-8"/>
          <w:w w:val="130"/>
          <w:sz w:val="24"/>
        </w:rPr>
        <w:t> </w:t>
      </w:r>
      <w:r>
        <w:rPr>
          <w:w w:val="130"/>
          <w:sz w:val="24"/>
        </w:rPr>
        <w:t>áll</w:t>
      </w:r>
      <w:r>
        <w:rPr>
          <w:spacing w:val="-10"/>
          <w:w w:val="130"/>
          <w:sz w:val="24"/>
        </w:rPr>
        <w:t> </w:t>
      </w:r>
      <w:r>
        <w:rPr>
          <w:w w:val="130"/>
          <w:sz w:val="24"/>
        </w:rPr>
        <w:t>fenn</w:t>
      </w:r>
      <w:r>
        <w:rPr>
          <w:spacing w:val="-8"/>
          <w:w w:val="130"/>
          <w:sz w:val="24"/>
        </w:rPr>
        <w:t> </w:t>
      </w:r>
      <w:r>
        <w:rPr>
          <w:w w:val="130"/>
          <w:sz w:val="24"/>
        </w:rPr>
        <w:t>a</w:t>
      </w:r>
      <w:r>
        <w:rPr>
          <w:spacing w:val="-9"/>
          <w:w w:val="130"/>
          <w:sz w:val="24"/>
        </w:rPr>
        <w:t> </w:t>
      </w:r>
      <w:r>
        <w:rPr>
          <w:w w:val="130"/>
          <w:sz w:val="24"/>
        </w:rPr>
        <w:t>feladatkörében</w:t>
      </w:r>
      <w:r>
        <w:rPr>
          <w:spacing w:val="-8"/>
          <w:w w:val="130"/>
          <w:sz w:val="24"/>
        </w:rPr>
        <w:t> </w:t>
      </w:r>
      <w:r>
        <w:rPr>
          <w:w w:val="130"/>
          <w:sz w:val="24"/>
        </w:rPr>
        <w:t>eljáró</w:t>
      </w:r>
    </w:p>
    <w:p>
      <w:pPr>
        <w:pStyle w:val="ListParagraph"/>
        <w:numPr>
          <w:ilvl w:val="0"/>
          <w:numId w:val="362"/>
        </w:numPr>
        <w:tabs>
          <w:tab w:pos="556" w:val="left" w:leader="none"/>
        </w:tabs>
        <w:spacing w:line="256" w:lineRule="exact" w:before="0" w:after="0"/>
        <w:ind w:left="555" w:right="0" w:hanging="238"/>
        <w:jc w:val="left"/>
        <w:rPr>
          <w:sz w:val="24"/>
        </w:rPr>
      </w:pPr>
      <w:r>
        <w:rPr>
          <w:i/>
          <w:w w:val="125"/>
          <w:position w:val="3"/>
          <w:sz w:val="18"/>
        </w:rPr>
        <w:t>2 </w:t>
      </w:r>
      <w:r>
        <w:rPr>
          <w:w w:val="125"/>
          <w:sz w:val="24"/>
        </w:rPr>
        <w:t>nyomozó hatósággal, ügyészséggel</w:t>
      </w:r>
      <w:r>
        <w:rPr>
          <w:spacing w:val="-32"/>
          <w:w w:val="125"/>
          <w:sz w:val="24"/>
        </w:rPr>
        <w:t> </w:t>
      </w:r>
      <w:r>
        <w:rPr>
          <w:w w:val="125"/>
          <w:sz w:val="24"/>
        </w:rPr>
        <w:t>szemben,</w:t>
      </w:r>
    </w:p>
    <w:p>
      <w:pPr>
        <w:pStyle w:val="ListParagraph"/>
        <w:numPr>
          <w:ilvl w:val="0"/>
          <w:numId w:val="362"/>
        </w:numPr>
        <w:tabs>
          <w:tab w:pos="690" w:val="left" w:leader="none"/>
        </w:tabs>
        <w:spacing w:line="225" w:lineRule="auto" w:before="5" w:after="0"/>
        <w:ind w:left="113" w:right="130" w:firstLine="204"/>
        <w:jc w:val="both"/>
        <w:rPr>
          <w:sz w:val="24"/>
        </w:rPr>
      </w:pPr>
      <w:r>
        <w:rPr>
          <w:w w:val="130"/>
          <w:sz w:val="24"/>
        </w:rPr>
        <w:t>a büntető-, valamint hagyatékkal kapcsolatos polgári ügyben, továbbá a csőd-, illetve felszámolási eljárás, valamint önkormányzati adósságrendezési eljárás keretében a bírósággal</w:t>
      </w:r>
      <w:r>
        <w:rPr>
          <w:spacing w:val="-14"/>
          <w:w w:val="130"/>
          <w:sz w:val="24"/>
        </w:rPr>
        <w:t> </w:t>
      </w:r>
      <w:r>
        <w:rPr>
          <w:w w:val="130"/>
          <w:sz w:val="24"/>
        </w:rPr>
        <w:t>szemben,</w:t>
      </w:r>
    </w:p>
    <w:p>
      <w:pPr>
        <w:pStyle w:val="ListParagraph"/>
        <w:numPr>
          <w:ilvl w:val="0"/>
          <w:numId w:val="362"/>
        </w:numPr>
        <w:tabs>
          <w:tab w:pos="547" w:val="left" w:leader="none"/>
          <w:tab w:pos="915" w:val="left" w:leader="none"/>
          <w:tab w:pos="1314" w:val="left" w:leader="none"/>
          <w:tab w:pos="2938" w:val="left" w:leader="none"/>
          <w:tab w:pos="4976" w:val="left" w:leader="none"/>
          <w:tab w:pos="6397" w:val="left" w:leader="none"/>
          <w:tab w:pos="7614" w:val="left" w:leader="none"/>
          <w:tab w:pos="8668" w:val="left" w:leader="none"/>
          <w:tab w:pos="9066" w:val="left" w:leader="none"/>
        </w:tabs>
        <w:spacing w:line="250" w:lineRule="exact" w:before="0" w:after="0"/>
        <w:ind w:left="546" w:right="0" w:hanging="229"/>
        <w:jc w:val="left"/>
        <w:rPr>
          <w:sz w:val="24"/>
        </w:rPr>
      </w:pPr>
      <w:r>
        <w:rPr>
          <w:i/>
          <w:w w:val="130"/>
          <w:position w:val="3"/>
          <w:sz w:val="18"/>
        </w:rPr>
        <w:t>3</w:t>
        <w:tab/>
      </w:r>
      <w:r>
        <w:rPr>
          <w:w w:val="130"/>
          <w:sz w:val="24"/>
        </w:rPr>
        <w:t>a</w:t>
        <w:tab/>
        <w:t>törvényben</w:t>
        <w:tab/>
        <w:t>meghatározott</w:t>
        <w:tab/>
        <w:t>feltételek</w:t>
        <w:tab/>
        <w:t>megléte</w:t>
        <w:tab/>
        <w:t>esetén</w:t>
        <w:tab/>
        <w:t>a</w:t>
        <w:tab/>
        <w:t>titkos</w:t>
      </w:r>
    </w:p>
    <w:p>
      <w:pPr>
        <w:pStyle w:val="BodyText"/>
        <w:spacing w:line="225" w:lineRule="auto" w:before="12"/>
        <w:ind w:left="317" w:right="2946" w:hanging="205"/>
        <w:rPr>
          <w:i/>
          <w:sz w:val="18"/>
        </w:rPr>
      </w:pPr>
      <w:r>
        <w:rPr>
          <w:w w:val="125"/>
        </w:rPr>
        <w:t>információgyűjtésre felhatalmazott szervvel szemben. (5)</w:t>
      </w:r>
      <w:r>
        <w:rPr>
          <w:i/>
          <w:w w:val="125"/>
          <w:position w:val="3"/>
          <w:sz w:val="18"/>
        </w:rPr>
        <w:t>4</w:t>
      </w:r>
    </w:p>
    <w:p>
      <w:pPr>
        <w:pStyle w:val="ListParagraph"/>
        <w:numPr>
          <w:ilvl w:val="0"/>
          <w:numId w:val="363"/>
        </w:numPr>
        <w:tabs>
          <w:tab w:pos="804" w:val="left" w:leader="none"/>
        </w:tabs>
        <w:spacing w:line="225" w:lineRule="auto" w:before="1" w:after="0"/>
        <w:ind w:left="113" w:right="123" w:firstLine="204"/>
        <w:jc w:val="left"/>
        <w:rPr>
          <w:sz w:val="24"/>
        </w:rPr>
      </w:pPr>
      <w:r>
        <w:rPr>
          <w:w w:val="130"/>
          <w:sz w:val="24"/>
        </w:rPr>
        <w:t>Nem jelenti az üzleti titok sérelmét az MNB által a hitelintézetekről</w:t>
      </w:r>
      <w:r>
        <w:rPr>
          <w:spacing w:val="78"/>
          <w:w w:val="130"/>
          <w:sz w:val="24"/>
        </w:rPr>
        <w:t> </w:t>
      </w:r>
      <w:r>
        <w:rPr>
          <w:w w:val="130"/>
          <w:sz w:val="24"/>
        </w:rPr>
        <w:t>egyedi azonosításra alkalmas adatok</w:t>
      </w:r>
      <w:r>
        <w:rPr>
          <w:spacing w:val="-21"/>
          <w:w w:val="130"/>
          <w:sz w:val="24"/>
        </w:rPr>
        <w:t> </w:t>
      </w:r>
      <w:r>
        <w:rPr>
          <w:w w:val="130"/>
          <w:sz w:val="24"/>
        </w:rPr>
        <w:t>szolgáltatása</w:t>
      </w:r>
    </w:p>
    <w:p>
      <w:pPr>
        <w:pStyle w:val="ListParagraph"/>
        <w:numPr>
          <w:ilvl w:val="0"/>
          <w:numId w:val="364"/>
        </w:numPr>
        <w:tabs>
          <w:tab w:pos="675" w:val="left" w:leader="none"/>
        </w:tabs>
        <w:spacing w:line="225" w:lineRule="auto" w:before="1" w:after="0"/>
        <w:ind w:left="113" w:right="131" w:firstLine="204"/>
        <w:jc w:val="left"/>
        <w:rPr>
          <w:sz w:val="24"/>
        </w:rPr>
      </w:pPr>
      <w:r>
        <w:rPr>
          <w:w w:val="130"/>
          <w:sz w:val="24"/>
        </w:rPr>
        <w:t>a nemzetgazdasági folyamatok elemzése, illetve a központi költségvetés tervezése céljából,</w:t>
      </w:r>
      <w:r>
        <w:rPr>
          <w:spacing w:val="-8"/>
          <w:w w:val="130"/>
          <w:sz w:val="24"/>
        </w:rPr>
        <w:t> </w:t>
      </w:r>
      <w:r>
        <w:rPr>
          <w:w w:val="130"/>
          <w:sz w:val="24"/>
        </w:rPr>
        <w:t>vagy</w:t>
      </w:r>
    </w:p>
    <w:p>
      <w:pPr>
        <w:pStyle w:val="ListParagraph"/>
        <w:numPr>
          <w:ilvl w:val="0"/>
          <w:numId w:val="364"/>
        </w:numPr>
        <w:tabs>
          <w:tab w:pos="714" w:val="left" w:leader="none"/>
        </w:tabs>
        <w:spacing w:line="225" w:lineRule="auto" w:before="1" w:after="0"/>
        <w:ind w:left="113" w:right="127" w:firstLine="204"/>
        <w:jc w:val="left"/>
        <w:rPr>
          <w:sz w:val="24"/>
        </w:rPr>
      </w:pPr>
      <w:r>
        <w:rPr>
          <w:w w:val="125"/>
          <w:sz w:val="24"/>
        </w:rPr>
        <w:t>ha olyan helyzet áll elő, amely potenciálisan veszélyezteti a pénzügyi közvetítőrendszer</w:t>
      </w:r>
      <w:r>
        <w:rPr>
          <w:spacing w:val="1"/>
          <w:w w:val="125"/>
          <w:sz w:val="24"/>
        </w:rPr>
        <w:t> </w:t>
      </w:r>
      <w:r>
        <w:rPr>
          <w:w w:val="125"/>
          <w:sz w:val="24"/>
        </w:rPr>
        <w:t>stabilitását</w:t>
      </w:r>
    </w:p>
    <w:p>
      <w:pPr>
        <w:pStyle w:val="BodyText"/>
        <w:spacing w:line="225" w:lineRule="auto" w:before="2"/>
        <w:ind w:firstLine="0"/>
      </w:pPr>
      <w:r>
        <w:rPr>
          <w:w w:val="130"/>
        </w:rPr>
        <w:t>az államháztartásért felelős miniszter és a pénz-, tőke- és biztosítási piac szabályozásáért felelős miniszter részére.</w:t>
      </w:r>
    </w:p>
    <w:p>
      <w:pPr>
        <w:pStyle w:val="ListParagraph"/>
        <w:numPr>
          <w:ilvl w:val="0"/>
          <w:numId w:val="363"/>
        </w:numPr>
        <w:tabs>
          <w:tab w:pos="659" w:val="left" w:leader="none"/>
        </w:tabs>
        <w:spacing w:line="249" w:lineRule="exact" w:before="0" w:after="0"/>
        <w:ind w:left="658" w:right="0" w:hanging="341"/>
        <w:jc w:val="left"/>
        <w:rPr>
          <w:sz w:val="24"/>
        </w:rPr>
      </w:pPr>
      <w:r>
        <w:rPr>
          <w:i/>
          <w:w w:val="125"/>
          <w:position w:val="3"/>
          <w:sz w:val="18"/>
        </w:rPr>
        <w:t>5  </w:t>
      </w:r>
      <w:r>
        <w:rPr>
          <w:w w:val="125"/>
          <w:sz w:val="24"/>
        </w:rPr>
        <w:t>Nem  jelenti  az  üzleti  titok  sérelmét  a  Felügyelet  MNB  tv.  57.  §</w:t>
      </w:r>
      <w:r>
        <w:rPr>
          <w:spacing w:val="5"/>
          <w:w w:val="125"/>
          <w:sz w:val="24"/>
        </w:rPr>
        <w:t> </w:t>
      </w:r>
      <w:r>
        <w:rPr>
          <w:w w:val="125"/>
          <w:sz w:val="24"/>
        </w:rPr>
        <w:t>(1)</w:t>
      </w:r>
    </w:p>
    <w:p>
      <w:pPr>
        <w:pStyle w:val="BodyText"/>
        <w:spacing w:line="260" w:lineRule="exact"/>
        <w:ind w:firstLine="0"/>
      </w:pPr>
      <w:r>
        <w:rPr>
          <w:w w:val="125"/>
        </w:rPr>
        <w:t>bekezdés </w:t>
      </w:r>
      <w:r>
        <w:rPr>
          <w:i/>
          <w:w w:val="125"/>
        </w:rPr>
        <w:t>c)  </w:t>
      </w:r>
      <w:r>
        <w:rPr>
          <w:w w:val="125"/>
        </w:rPr>
        <w:t>pontjában, illetve 140. § (2) bekezdésében foglalt</w:t>
      </w:r>
      <w:r>
        <w:rPr>
          <w:spacing w:val="29"/>
          <w:w w:val="125"/>
        </w:rPr>
        <w:t> </w:t>
      </w:r>
      <w:r>
        <w:rPr>
          <w:w w:val="125"/>
        </w:rPr>
        <w:t>adattovábbítása.</w:t>
      </w:r>
    </w:p>
    <w:p>
      <w:pPr>
        <w:pStyle w:val="ListParagraph"/>
        <w:numPr>
          <w:ilvl w:val="0"/>
          <w:numId w:val="363"/>
        </w:numPr>
        <w:tabs>
          <w:tab w:pos="659" w:val="left" w:leader="none"/>
        </w:tabs>
        <w:spacing w:line="260" w:lineRule="exact" w:before="0" w:after="0"/>
        <w:ind w:left="658" w:right="0" w:hanging="341"/>
        <w:jc w:val="left"/>
        <w:rPr>
          <w:sz w:val="24"/>
        </w:rPr>
      </w:pPr>
      <w:r>
        <w:rPr>
          <w:i/>
          <w:w w:val="125"/>
          <w:position w:val="3"/>
          <w:sz w:val="18"/>
        </w:rPr>
        <w:t>6  </w:t>
      </w:r>
      <w:r>
        <w:rPr>
          <w:i/>
          <w:spacing w:val="25"/>
          <w:w w:val="125"/>
          <w:position w:val="3"/>
          <w:sz w:val="18"/>
        </w:rPr>
        <w:t> </w:t>
      </w:r>
      <w:r>
        <w:rPr>
          <w:w w:val="125"/>
          <w:sz w:val="24"/>
        </w:rPr>
        <w:t>Nem </w:t>
      </w:r>
      <w:r>
        <w:rPr>
          <w:spacing w:val="44"/>
          <w:w w:val="125"/>
          <w:sz w:val="24"/>
        </w:rPr>
        <w:t> </w:t>
      </w:r>
      <w:r>
        <w:rPr>
          <w:w w:val="125"/>
          <w:sz w:val="24"/>
        </w:rPr>
        <w:t>jelenti </w:t>
      </w:r>
      <w:r>
        <w:rPr>
          <w:spacing w:val="44"/>
          <w:w w:val="125"/>
          <w:sz w:val="24"/>
        </w:rPr>
        <w:t> </w:t>
      </w:r>
      <w:r>
        <w:rPr>
          <w:w w:val="125"/>
          <w:sz w:val="24"/>
        </w:rPr>
        <w:t>az </w:t>
      </w:r>
      <w:r>
        <w:rPr>
          <w:spacing w:val="45"/>
          <w:w w:val="125"/>
          <w:sz w:val="24"/>
        </w:rPr>
        <w:t> </w:t>
      </w:r>
      <w:r>
        <w:rPr>
          <w:w w:val="125"/>
          <w:sz w:val="24"/>
        </w:rPr>
        <w:t>üzleti </w:t>
      </w:r>
      <w:r>
        <w:rPr>
          <w:spacing w:val="44"/>
          <w:w w:val="125"/>
          <w:sz w:val="24"/>
        </w:rPr>
        <w:t> </w:t>
      </w:r>
      <w:r>
        <w:rPr>
          <w:w w:val="125"/>
          <w:sz w:val="24"/>
        </w:rPr>
        <w:t>titok </w:t>
      </w:r>
      <w:r>
        <w:rPr>
          <w:spacing w:val="44"/>
          <w:w w:val="125"/>
          <w:sz w:val="24"/>
        </w:rPr>
        <w:t> </w:t>
      </w:r>
      <w:r>
        <w:rPr>
          <w:w w:val="125"/>
          <w:sz w:val="24"/>
        </w:rPr>
        <w:t>sérelmét, </w:t>
      </w:r>
      <w:r>
        <w:rPr>
          <w:spacing w:val="44"/>
          <w:w w:val="125"/>
          <w:sz w:val="24"/>
        </w:rPr>
        <w:t> </w:t>
      </w:r>
      <w:r>
        <w:rPr>
          <w:w w:val="125"/>
          <w:sz w:val="24"/>
        </w:rPr>
        <w:t>ha </w:t>
      </w:r>
      <w:r>
        <w:rPr>
          <w:spacing w:val="45"/>
          <w:w w:val="125"/>
          <w:sz w:val="24"/>
        </w:rPr>
        <w:t> </w:t>
      </w:r>
      <w:r>
        <w:rPr>
          <w:w w:val="125"/>
          <w:sz w:val="24"/>
        </w:rPr>
        <w:t>a </w:t>
      </w:r>
      <w:r>
        <w:rPr>
          <w:spacing w:val="44"/>
          <w:w w:val="125"/>
          <w:sz w:val="24"/>
        </w:rPr>
        <w:t> </w:t>
      </w:r>
      <w:r>
        <w:rPr>
          <w:w w:val="125"/>
          <w:sz w:val="24"/>
        </w:rPr>
        <w:t>pénzügyi </w:t>
      </w:r>
      <w:r>
        <w:rPr>
          <w:spacing w:val="44"/>
          <w:w w:val="125"/>
          <w:sz w:val="24"/>
        </w:rPr>
        <w:t> </w:t>
      </w:r>
      <w:r>
        <w:rPr>
          <w:w w:val="125"/>
          <w:sz w:val="24"/>
        </w:rPr>
        <w:t>intézmény </w:t>
      </w:r>
      <w:r>
        <w:rPr>
          <w:spacing w:val="44"/>
          <w:w w:val="125"/>
          <w:sz w:val="24"/>
        </w:rPr>
        <w:t> </w:t>
      </w:r>
      <w:r>
        <w:rPr>
          <w:w w:val="125"/>
          <w:sz w:val="24"/>
        </w:rPr>
        <w:t>a</w:t>
      </w:r>
    </w:p>
    <w:p>
      <w:pPr>
        <w:pStyle w:val="BodyText"/>
        <w:spacing w:line="225" w:lineRule="auto" w:before="12"/>
        <w:ind w:right="129" w:firstLine="0"/>
        <w:jc w:val="both"/>
      </w:pPr>
      <w:r>
        <w:rPr>
          <w:w w:val="125"/>
        </w:rPr>
        <w:t>Magyarország Kormánya és az Amerikai Egyesült Államok Kormánya között a nemzetközi adóügyi megfelelés előmozdításáról és a FATCA szabályozás végrehajtásáról szóló Megállapodás kihirdetéséről, valamint az ezzel összefüggő egyes törvények módosításáról szóló 2014. évi XIX. törvényből (a továbbiakban: FATCA-törvény) fakadó kötelezettségek teljesítése  érdekében az adó- és egyéb közterhekkel kapcsolatos nemzetközi közigazgatási együttműködés egyes szabályairól szóló 2013. évi XXXVII. törvény (a továbbiakban: Aktv.) 43/B-43/C. §-a szerinti adatszolgáltatási kötelezettséget teljesíti az adóhatóság</w:t>
      </w:r>
      <w:r>
        <w:rPr>
          <w:spacing w:val="1"/>
          <w:w w:val="125"/>
        </w:rPr>
        <w:t> </w:t>
      </w:r>
      <w:r>
        <w:rPr>
          <w:w w:val="125"/>
        </w:rPr>
        <w:t>felé.</w:t>
      </w:r>
    </w:p>
    <w:p>
      <w:pPr>
        <w:pStyle w:val="BodyText"/>
        <w:spacing w:line="225" w:lineRule="auto" w:before="5"/>
        <w:ind w:right="44"/>
      </w:pPr>
      <w:r>
        <w:rPr>
          <w:w w:val="130"/>
        </w:rPr>
        <w:t>(8a)</w:t>
      </w:r>
      <w:r>
        <w:rPr>
          <w:i/>
          <w:w w:val="130"/>
          <w:position w:val="3"/>
          <w:sz w:val="18"/>
        </w:rPr>
        <w:t>7 </w:t>
      </w:r>
      <w:r>
        <w:rPr>
          <w:w w:val="130"/>
        </w:rPr>
        <w:t>Nem jelenti az üzleti titok sérelmét, ha a pénzügyi intézmény az</w:t>
      </w:r>
      <w:r>
        <w:rPr>
          <w:spacing w:val="-55"/>
          <w:w w:val="130"/>
        </w:rPr>
        <w:t> </w:t>
      </w:r>
      <w:r>
        <w:rPr>
          <w:w w:val="130"/>
        </w:rPr>
        <w:t>Aktv. 43/H. §-a szerinti adatszolgáltatási kötelezettséget teljesíti az adóhatóság felé.</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pPr>
      <w:r>
        <w:rPr/>
        <w:pict>
          <v:line style="position:absolute;mso-position-horizontal-relative:page;mso-position-vertical-relative:paragraph;z-index:944;mso-wrap-distance-left:0;mso-wrap-distance-right:0" from="56.693001pt,16.189695pt" to="538.583001pt,16.189695pt" stroked="true" strokeweight=".5pt" strokecolor="#000000">
            <v:stroke dashstyle="solid"/>
            <w10:wrap type="topAndBottom"/>
          </v:line>
        </w:pict>
      </w:r>
    </w:p>
    <w:p>
      <w:pPr>
        <w:pStyle w:val="ListParagraph"/>
        <w:numPr>
          <w:ilvl w:val="0"/>
          <w:numId w:val="365"/>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209. §. Hatályos: 2015. VII.</w:t>
      </w:r>
      <w:r>
        <w:rPr>
          <w:i/>
          <w:spacing w:val="-23"/>
          <w:w w:val="125"/>
          <w:sz w:val="18"/>
        </w:rPr>
        <w:t> </w:t>
      </w:r>
      <w:r>
        <w:rPr>
          <w:i/>
          <w:w w:val="125"/>
          <w:sz w:val="18"/>
        </w:rPr>
        <w:t>7-től.</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2"/>
          <w:w w:val="125"/>
          <w:sz w:val="18"/>
        </w:rPr>
        <w:t> </w:t>
      </w:r>
      <w:r>
        <w:rPr>
          <w:i/>
          <w:w w:val="125"/>
          <w:sz w:val="18"/>
        </w:rPr>
        <w:t>2017.</w:t>
      </w:r>
      <w:r>
        <w:rPr>
          <w:i/>
          <w:spacing w:val="-12"/>
          <w:w w:val="125"/>
          <w:sz w:val="18"/>
        </w:rPr>
        <w:t> </w:t>
      </w:r>
      <w:r>
        <w:rPr>
          <w:i/>
          <w:w w:val="125"/>
          <w:sz w:val="18"/>
        </w:rPr>
        <w:t>évi</w:t>
      </w:r>
      <w:r>
        <w:rPr>
          <w:i/>
          <w:spacing w:val="-11"/>
          <w:w w:val="125"/>
          <w:sz w:val="18"/>
        </w:rPr>
        <w:t> </w:t>
      </w:r>
      <w:r>
        <w:rPr>
          <w:i/>
          <w:w w:val="125"/>
          <w:sz w:val="18"/>
        </w:rPr>
        <w:t>CXCVII.</w:t>
      </w:r>
      <w:r>
        <w:rPr>
          <w:i/>
          <w:spacing w:val="-11"/>
          <w:w w:val="125"/>
          <w:sz w:val="18"/>
        </w:rPr>
        <w:t> </w:t>
      </w:r>
      <w:r>
        <w:rPr>
          <w:i/>
          <w:w w:val="125"/>
          <w:sz w:val="18"/>
        </w:rPr>
        <w:t>törvény</w:t>
      </w:r>
      <w:r>
        <w:rPr>
          <w:i/>
          <w:spacing w:val="-12"/>
          <w:w w:val="125"/>
          <w:sz w:val="18"/>
        </w:rPr>
        <w:t> </w:t>
      </w:r>
      <w:r>
        <w:rPr>
          <w:i/>
          <w:w w:val="125"/>
          <w:sz w:val="18"/>
        </w:rPr>
        <w:t>409.</w:t>
      </w:r>
      <w:r>
        <w:rPr>
          <w:i/>
          <w:spacing w:val="-11"/>
          <w:w w:val="125"/>
          <w:sz w:val="18"/>
        </w:rPr>
        <w:t> </w:t>
      </w:r>
      <w:r>
        <w:rPr>
          <w:i/>
          <w:w w:val="125"/>
          <w:sz w:val="18"/>
        </w:rPr>
        <w:t>§</w:t>
      </w:r>
      <w:r>
        <w:rPr>
          <w:i/>
          <w:spacing w:val="-11"/>
          <w:w w:val="125"/>
          <w:sz w:val="18"/>
        </w:rPr>
        <w:t> </w:t>
      </w:r>
      <w:r>
        <w:rPr>
          <w:i/>
          <w:w w:val="125"/>
          <w:sz w:val="18"/>
        </w:rPr>
        <w:t>a).</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Módosította:</w:t>
      </w:r>
      <w:r>
        <w:rPr>
          <w:i/>
          <w:spacing w:val="-11"/>
          <w:w w:val="125"/>
          <w:sz w:val="18"/>
        </w:rPr>
        <w:t> </w:t>
      </w:r>
      <w:r>
        <w:rPr>
          <w:i/>
          <w:w w:val="125"/>
          <w:sz w:val="18"/>
        </w:rPr>
        <w:t>2017.</w:t>
      </w:r>
      <w:r>
        <w:rPr>
          <w:i/>
          <w:spacing w:val="-10"/>
          <w:w w:val="125"/>
          <w:sz w:val="18"/>
        </w:rPr>
        <w:t> </w:t>
      </w:r>
      <w:r>
        <w:rPr>
          <w:i/>
          <w:w w:val="125"/>
          <w:sz w:val="18"/>
        </w:rPr>
        <w:t>évi</w:t>
      </w:r>
      <w:r>
        <w:rPr>
          <w:i/>
          <w:spacing w:val="-11"/>
          <w:w w:val="125"/>
          <w:sz w:val="18"/>
        </w:rPr>
        <w:t> </w:t>
      </w:r>
      <w:r>
        <w:rPr>
          <w:i/>
          <w:w w:val="125"/>
          <w:sz w:val="18"/>
        </w:rPr>
        <w:t>CXCVII.</w:t>
      </w:r>
      <w:r>
        <w:rPr>
          <w:i/>
          <w:spacing w:val="-10"/>
          <w:w w:val="125"/>
          <w:sz w:val="18"/>
        </w:rPr>
        <w:t> </w:t>
      </w:r>
      <w:r>
        <w:rPr>
          <w:i/>
          <w:w w:val="125"/>
          <w:sz w:val="18"/>
        </w:rPr>
        <w:t>törvény</w:t>
      </w:r>
      <w:r>
        <w:rPr>
          <w:i/>
          <w:spacing w:val="-10"/>
          <w:w w:val="125"/>
          <w:sz w:val="18"/>
        </w:rPr>
        <w:t> </w:t>
      </w:r>
      <w:r>
        <w:rPr>
          <w:i/>
          <w:w w:val="125"/>
          <w:sz w:val="18"/>
        </w:rPr>
        <w:t>409.</w:t>
      </w:r>
      <w:r>
        <w:rPr>
          <w:i/>
          <w:spacing w:val="-11"/>
          <w:w w:val="125"/>
          <w:sz w:val="18"/>
        </w:rPr>
        <w:t> </w:t>
      </w:r>
      <w:r>
        <w:rPr>
          <w:i/>
          <w:w w:val="125"/>
          <w:sz w:val="18"/>
        </w:rPr>
        <w:t>§</w:t>
      </w:r>
      <w:r>
        <w:rPr>
          <w:i/>
          <w:spacing w:val="-9"/>
          <w:w w:val="125"/>
          <w:sz w:val="18"/>
        </w:rPr>
        <w:t> </w:t>
      </w:r>
      <w:r>
        <w:rPr>
          <w:i/>
          <w:w w:val="125"/>
          <w:sz w:val="18"/>
        </w:rPr>
        <w:t>b).</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8"/>
          <w:w w:val="120"/>
          <w:sz w:val="18"/>
        </w:rPr>
        <w:t> </w:t>
      </w:r>
      <w:r>
        <w:rPr>
          <w:i/>
          <w:w w:val="120"/>
          <w:sz w:val="18"/>
        </w:rPr>
        <w:t>2017.</w:t>
      </w:r>
      <w:r>
        <w:rPr>
          <w:i/>
          <w:spacing w:val="8"/>
          <w:w w:val="120"/>
          <w:sz w:val="18"/>
        </w:rPr>
        <w:t> </w:t>
      </w:r>
      <w:r>
        <w:rPr>
          <w:i/>
          <w:w w:val="120"/>
          <w:sz w:val="18"/>
        </w:rPr>
        <w:t>évi</w:t>
      </w:r>
      <w:r>
        <w:rPr>
          <w:i/>
          <w:spacing w:val="7"/>
          <w:w w:val="120"/>
          <w:sz w:val="18"/>
        </w:rPr>
        <w:t> </w:t>
      </w:r>
      <w:r>
        <w:rPr>
          <w:i/>
          <w:w w:val="120"/>
          <w:sz w:val="18"/>
        </w:rPr>
        <w:t>CXCVII.</w:t>
      </w:r>
      <w:r>
        <w:rPr>
          <w:i/>
          <w:spacing w:val="9"/>
          <w:w w:val="120"/>
          <w:sz w:val="18"/>
        </w:rPr>
        <w:t> </w:t>
      </w:r>
      <w:r>
        <w:rPr>
          <w:i/>
          <w:w w:val="120"/>
          <w:sz w:val="18"/>
        </w:rPr>
        <w:t>törvény</w:t>
      </w:r>
      <w:r>
        <w:rPr>
          <w:i/>
          <w:spacing w:val="7"/>
          <w:w w:val="120"/>
          <w:sz w:val="18"/>
        </w:rPr>
        <w:t> </w:t>
      </w:r>
      <w:r>
        <w:rPr>
          <w:i/>
          <w:w w:val="120"/>
          <w:sz w:val="18"/>
        </w:rPr>
        <w:t>409.</w:t>
      </w:r>
      <w:r>
        <w:rPr>
          <w:i/>
          <w:spacing w:val="7"/>
          <w:w w:val="120"/>
          <w:sz w:val="18"/>
        </w:rPr>
        <w:t> </w:t>
      </w:r>
      <w:r>
        <w:rPr>
          <w:i/>
          <w:w w:val="120"/>
          <w:sz w:val="18"/>
        </w:rPr>
        <w:t>§</w:t>
      </w:r>
      <w:r>
        <w:rPr>
          <w:i/>
          <w:spacing w:val="9"/>
          <w:w w:val="120"/>
          <w:sz w:val="18"/>
        </w:rPr>
        <w:t> </w:t>
      </w:r>
      <w:r>
        <w:rPr>
          <w:i/>
          <w:w w:val="120"/>
          <w:sz w:val="18"/>
        </w:rPr>
        <w:t>c).</w:t>
      </w:r>
      <w:r>
        <w:rPr>
          <w:i/>
          <w:spacing w:val="9"/>
          <w:w w:val="120"/>
          <w:sz w:val="18"/>
        </w:rPr>
        <w:t> </w:t>
      </w:r>
      <w:r>
        <w:rPr>
          <w:i/>
          <w:w w:val="120"/>
          <w:sz w:val="18"/>
        </w:rPr>
        <w:t>Hatálytalan:</w:t>
      </w:r>
      <w:r>
        <w:rPr>
          <w:i/>
          <w:spacing w:val="8"/>
          <w:w w:val="120"/>
          <w:sz w:val="18"/>
        </w:rPr>
        <w:t> </w:t>
      </w:r>
      <w:r>
        <w:rPr>
          <w:i/>
          <w:w w:val="120"/>
          <w:sz w:val="18"/>
        </w:rPr>
        <w:t>2018.</w:t>
      </w:r>
      <w:r>
        <w:rPr>
          <w:i/>
          <w:spacing w:val="8"/>
          <w:w w:val="120"/>
          <w:sz w:val="18"/>
        </w:rPr>
        <w:t> </w:t>
      </w:r>
      <w:r>
        <w:rPr>
          <w:i/>
          <w:w w:val="120"/>
          <w:sz w:val="18"/>
        </w:rPr>
        <w:t>VII.</w:t>
      </w:r>
      <w:r>
        <w:rPr>
          <w:i/>
          <w:spacing w:val="8"/>
          <w:w w:val="120"/>
          <w:sz w:val="18"/>
        </w:rPr>
        <w:t> </w:t>
      </w:r>
      <w:r>
        <w:rPr>
          <w:i/>
          <w:w w:val="120"/>
          <w:sz w:val="18"/>
        </w:rPr>
        <w:t>1-től.</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132. §. Hatályos: 2016. I.</w:t>
      </w:r>
      <w:r>
        <w:rPr>
          <w:i/>
          <w:spacing w:val="-19"/>
          <w:w w:val="125"/>
          <w:sz w:val="18"/>
        </w:rPr>
        <w:t> </w:t>
      </w:r>
      <w:r>
        <w:rPr>
          <w:i/>
          <w:w w:val="125"/>
          <w:sz w:val="18"/>
        </w:rPr>
        <w:t>1-től.</w:t>
      </w:r>
    </w:p>
    <w:p>
      <w:pPr>
        <w:pStyle w:val="ListParagraph"/>
        <w:numPr>
          <w:ilvl w:val="0"/>
          <w:numId w:val="365"/>
        </w:numPr>
        <w:tabs>
          <w:tab w:pos="686" w:val="left" w:leader="none"/>
          <w:tab w:pos="687" w:val="left" w:leader="none"/>
        </w:tabs>
        <w:spacing w:line="200" w:lineRule="exact" w:before="0" w:after="0"/>
        <w:ind w:left="686" w:right="0" w:hanging="344"/>
        <w:jc w:val="left"/>
        <w:rPr>
          <w:i/>
          <w:sz w:val="18"/>
        </w:rPr>
      </w:pPr>
      <w:r>
        <w:rPr>
          <w:i/>
          <w:w w:val="125"/>
          <w:sz w:val="18"/>
        </w:rPr>
        <w:t>Beiktatta: 2014. évi XIX. törvény 20. §. Hatályos: 2014. VII.</w:t>
      </w:r>
      <w:r>
        <w:rPr>
          <w:i/>
          <w:spacing w:val="-12"/>
          <w:w w:val="125"/>
          <w:sz w:val="18"/>
        </w:rPr>
        <w:t> </w:t>
      </w:r>
      <w:r>
        <w:rPr>
          <w:i/>
          <w:w w:val="125"/>
          <w:sz w:val="18"/>
        </w:rPr>
        <w:t>16-tól.</w:t>
      </w:r>
    </w:p>
    <w:p>
      <w:pPr>
        <w:pStyle w:val="ListParagraph"/>
        <w:numPr>
          <w:ilvl w:val="0"/>
          <w:numId w:val="365"/>
        </w:numPr>
        <w:tabs>
          <w:tab w:pos="686" w:val="left" w:leader="none"/>
          <w:tab w:pos="687" w:val="left" w:leader="none"/>
        </w:tabs>
        <w:spacing w:line="203" w:lineRule="exact" w:before="0" w:after="0"/>
        <w:ind w:left="686" w:right="0" w:hanging="344"/>
        <w:jc w:val="left"/>
        <w:rPr>
          <w:i/>
          <w:sz w:val="18"/>
        </w:rPr>
      </w:pPr>
      <w:r>
        <w:rPr>
          <w:i/>
          <w:w w:val="125"/>
          <w:sz w:val="18"/>
        </w:rPr>
        <w:t>Beiktatta: 2015. évi CXCII. törvény 16. §. Hatályos: 2016. 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63"/>
        </w:numPr>
        <w:tabs>
          <w:tab w:pos="659" w:val="left" w:leader="none"/>
        </w:tabs>
        <w:spacing w:line="261" w:lineRule="exact" w:before="159" w:after="0"/>
        <w:ind w:left="658" w:right="0" w:hanging="341"/>
        <w:jc w:val="left"/>
        <w:rPr>
          <w:sz w:val="24"/>
        </w:rPr>
      </w:pPr>
      <w:r>
        <w:rPr>
          <w:i/>
          <w:w w:val="130"/>
          <w:position w:val="3"/>
          <w:sz w:val="18"/>
        </w:rPr>
        <w:t>1</w:t>
      </w:r>
      <w:r>
        <w:rPr>
          <w:i/>
          <w:spacing w:val="5"/>
          <w:w w:val="130"/>
          <w:position w:val="3"/>
          <w:sz w:val="18"/>
        </w:rPr>
        <w:t> </w:t>
      </w:r>
      <w:r>
        <w:rPr>
          <w:w w:val="130"/>
          <w:sz w:val="24"/>
        </w:rPr>
        <w:t>Nem</w:t>
      </w:r>
      <w:r>
        <w:rPr>
          <w:spacing w:val="27"/>
          <w:w w:val="130"/>
          <w:sz w:val="24"/>
        </w:rPr>
        <w:t> </w:t>
      </w:r>
      <w:r>
        <w:rPr>
          <w:w w:val="130"/>
          <w:sz w:val="24"/>
        </w:rPr>
        <w:t>jelenti</w:t>
      </w:r>
      <w:r>
        <w:rPr>
          <w:spacing w:val="35"/>
          <w:w w:val="130"/>
          <w:sz w:val="24"/>
        </w:rPr>
        <w:t> </w:t>
      </w:r>
      <w:r>
        <w:rPr>
          <w:w w:val="130"/>
          <w:sz w:val="24"/>
        </w:rPr>
        <w:t>az</w:t>
      </w:r>
      <w:r>
        <w:rPr>
          <w:spacing w:val="36"/>
          <w:w w:val="130"/>
          <w:sz w:val="24"/>
        </w:rPr>
        <w:t> </w:t>
      </w:r>
      <w:r>
        <w:rPr>
          <w:w w:val="130"/>
          <w:sz w:val="24"/>
        </w:rPr>
        <w:t>üzleti</w:t>
      </w:r>
      <w:r>
        <w:rPr>
          <w:spacing w:val="35"/>
          <w:w w:val="130"/>
          <w:sz w:val="24"/>
        </w:rPr>
        <w:t> </w:t>
      </w:r>
      <w:r>
        <w:rPr>
          <w:w w:val="130"/>
          <w:sz w:val="24"/>
        </w:rPr>
        <w:t>titok</w:t>
      </w:r>
      <w:r>
        <w:rPr>
          <w:spacing w:val="36"/>
          <w:w w:val="130"/>
          <w:sz w:val="24"/>
        </w:rPr>
        <w:t> </w:t>
      </w:r>
      <w:r>
        <w:rPr>
          <w:w w:val="130"/>
          <w:sz w:val="24"/>
        </w:rPr>
        <w:t>sérelmét</w:t>
      </w:r>
      <w:r>
        <w:rPr>
          <w:spacing w:val="35"/>
          <w:w w:val="130"/>
          <w:sz w:val="24"/>
        </w:rPr>
        <w:t> </w:t>
      </w:r>
      <w:r>
        <w:rPr>
          <w:w w:val="130"/>
          <w:sz w:val="24"/>
        </w:rPr>
        <w:t>a</w:t>
      </w:r>
      <w:r>
        <w:rPr>
          <w:spacing w:val="35"/>
          <w:w w:val="130"/>
          <w:sz w:val="24"/>
        </w:rPr>
        <w:t> </w:t>
      </w:r>
      <w:r>
        <w:rPr>
          <w:w w:val="130"/>
          <w:sz w:val="24"/>
        </w:rPr>
        <w:t>szanálási</w:t>
      </w:r>
      <w:r>
        <w:rPr>
          <w:spacing w:val="36"/>
          <w:w w:val="130"/>
          <w:sz w:val="24"/>
        </w:rPr>
        <w:t> </w:t>
      </w:r>
      <w:r>
        <w:rPr>
          <w:w w:val="130"/>
          <w:sz w:val="24"/>
        </w:rPr>
        <w:t>feladatkörében</w:t>
      </w:r>
      <w:r>
        <w:rPr>
          <w:spacing w:val="35"/>
          <w:w w:val="130"/>
          <w:sz w:val="24"/>
        </w:rPr>
        <w:t> </w:t>
      </w:r>
      <w:r>
        <w:rPr>
          <w:w w:val="130"/>
          <w:sz w:val="24"/>
        </w:rPr>
        <w:t>eljáró</w:t>
      </w:r>
    </w:p>
    <w:p>
      <w:pPr>
        <w:pStyle w:val="BodyText"/>
        <w:spacing w:line="225" w:lineRule="auto" w:before="12"/>
        <w:ind w:right="128" w:firstLine="0"/>
        <w:jc w:val="both"/>
      </w:pPr>
      <w:r>
        <w:rPr>
          <w:w w:val="125"/>
        </w:rPr>
        <w:t>Magyar Nemzeti Bank (a továbbiakban: szanálási feladatkörében eljáró MNB) által a pénzügyi közvetítő rendszer egyes szereplőinek biztonságát erősítő intézményrendszer továbbfejlesztéséről szóló törvény szerinti szanálási biztosnak a szanálási biztosi feladatok ellátása érdekében,  valamint  a  független értékelőnek vagy az ideiglenes értékelésben közreműködőnek az értékelés elkészítése érdekében, a vagyonértékesítés  alkalmazása  során  adatok, információk átadása a lehetséges ajánlattevőknek, valamint a vagyonértékesítés alkalmazása során az áthidaló intézménynek nem minősülő átvevőnek való adat- és</w:t>
      </w:r>
      <w:r>
        <w:rPr>
          <w:spacing w:val="2"/>
          <w:w w:val="125"/>
        </w:rPr>
        <w:t> </w:t>
      </w:r>
      <w:r>
        <w:rPr>
          <w:w w:val="125"/>
        </w:rPr>
        <w:t>információátadás.</w:t>
      </w:r>
    </w:p>
    <w:p>
      <w:pPr>
        <w:pStyle w:val="ListParagraph"/>
        <w:numPr>
          <w:ilvl w:val="0"/>
          <w:numId w:val="363"/>
        </w:numPr>
        <w:tabs>
          <w:tab w:pos="812" w:val="left" w:leader="none"/>
        </w:tabs>
        <w:spacing w:line="268" w:lineRule="exact" w:before="0" w:after="0"/>
        <w:ind w:left="811" w:right="0" w:hanging="494"/>
        <w:jc w:val="left"/>
        <w:rPr>
          <w:sz w:val="24"/>
        </w:rPr>
      </w:pPr>
      <w:r>
        <w:rPr>
          <w:i/>
          <w:w w:val="130"/>
          <w:position w:val="3"/>
          <w:sz w:val="18"/>
        </w:rPr>
        <w:t>2</w:t>
      </w:r>
      <w:r>
        <w:rPr>
          <w:i/>
          <w:spacing w:val="10"/>
          <w:w w:val="130"/>
          <w:position w:val="3"/>
          <w:sz w:val="18"/>
        </w:rPr>
        <w:t> </w:t>
      </w:r>
      <w:r>
        <w:rPr>
          <w:w w:val="130"/>
          <w:sz w:val="24"/>
        </w:rPr>
        <w:t>Nem</w:t>
      </w:r>
      <w:r>
        <w:rPr>
          <w:spacing w:val="-22"/>
          <w:w w:val="130"/>
          <w:sz w:val="24"/>
        </w:rPr>
        <w:t> </w:t>
      </w:r>
      <w:r>
        <w:rPr>
          <w:w w:val="130"/>
          <w:sz w:val="24"/>
        </w:rPr>
        <w:t>jelenti</w:t>
      </w:r>
      <w:r>
        <w:rPr>
          <w:spacing w:val="-15"/>
          <w:w w:val="130"/>
          <w:sz w:val="24"/>
        </w:rPr>
        <w:t> </w:t>
      </w:r>
      <w:r>
        <w:rPr>
          <w:w w:val="130"/>
          <w:sz w:val="24"/>
        </w:rPr>
        <w:t>az</w:t>
      </w:r>
      <w:r>
        <w:rPr>
          <w:spacing w:val="-16"/>
          <w:w w:val="130"/>
          <w:sz w:val="24"/>
        </w:rPr>
        <w:t> </w:t>
      </w:r>
      <w:r>
        <w:rPr>
          <w:w w:val="130"/>
          <w:sz w:val="24"/>
        </w:rPr>
        <w:t>üzleti</w:t>
      </w:r>
      <w:r>
        <w:rPr>
          <w:spacing w:val="-16"/>
          <w:w w:val="130"/>
          <w:sz w:val="24"/>
        </w:rPr>
        <w:t> </w:t>
      </w:r>
      <w:r>
        <w:rPr>
          <w:w w:val="130"/>
          <w:sz w:val="24"/>
        </w:rPr>
        <w:t>titok</w:t>
      </w:r>
      <w:r>
        <w:rPr>
          <w:spacing w:val="-16"/>
          <w:w w:val="130"/>
          <w:sz w:val="24"/>
        </w:rPr>
        <w:t> </w:t>
      </w:r>
      <w:r>
        <w:rPr>
          <w:w w:val="130"/>
          <w:sz w:val="24"/>
        </w:rPr>
        <w:t>sérelmét</w:t>
      </w:r>
      <w:r>
        <w:rPr>
          <w:spacing w:val="-15"/>
          <w:w w:val="130"/>
          <w:sz w:val="24"/>
        </w:rPr>
        <w:t> </w:t>
      </w:r>
      <w:r>
        <w:rPr>
          <w:w w:val="130"/>
          <w:sz w:val="24"/>
        </w:rPr>
        <w:t>a</w:t>
      </w:r>
      <w:r>
        <w:rPr>
          <w:spacing w:val="-4"/>
          <w:w w:val="130"/>
          <w:sz w:val="24"/>
        </w:rPr>
        <w:t> </w:t>
      </w:r>
      <w:r>
        <w:rPr>
          <w:w w:val="130"/>
          <w:sz w:val="24"/>
        </w:rPr>
        <w:t>164/B.</w:t>
      </w:r>
      <w:r>
        <w:rPr>
          <w:spacing w:val="-27"/>
          <w:w w:val="130"/>
          <w:sz w:val="24"/>
        </w:rPr>
        <w:t> </w:t>
      </w:r>
      <w:r>
        <w:rPr>
          <w:w w:val="130"/>
          <w:sz w:val="24"/>
        </w:rPr>
        <w:t>§</w:t>
      </w:r>
      <w:r>
        <w:rPr>
          <w:spacing w:val="-15"/>
          <w:w w:val="130"/>
          <w:sz w:val="24"/>
        </w:rPr>
        <w:t> </w:t>
      </w:r>
      <w:r>
        <w:rPr>
          <w:w w:val="130"/>
          <w:sz w:val="24"/>
        </w:rPr>
        <w:t>szerinti</w:t>
      </w:r>
      <w:r>
        <w:rPr>
          <w:spacing w:val="-15"/>
          <w:w w:val="130"/>
          <w:sz w:val="24"/>
        </w:rPr>
        <w:t> </w:t>
      </w:r>
      <w:r>
        <w:rPr>
          <w:w w:val="130"/>
          <w:sz w:val="24"/>
        </w:rPr>
        <w:t>adattovábbítás.</w:t>
      </w:r>
    </w:p>
    <w:p>
      <w:pPr>
        <w:pStyle w:val="BodyText"/>
        <w:spacing w:before="224"/>
        <w:ind w:left="4115" w:firstLine="0"/>
      </w:pPr>
      <w:r>
        <w:rPr>
          <w:w w:val="125"/>
        </w:rPr>
        <w:t>71. Banktitok</w:t>
      </w:r>
    </w:p>
    <w:p>
      <w:pPr>
        <w:pStyle w:val="ListParagraph"/>
        <w:numPr>
          <w:ilvl w:val="0"/>
          <w:numId w:val="358"/>
        </w:numPr>
        <w:tabs>
          <w:tab w:pos="1106" w:val="left" w:leader="none"/>
        </w:tabs>
        <w:spacing w:line="225" w:lineRule="auto" w:before="237" w:after="0"/>
        <w:ind w:left="113" w:right="125" w:firstLine="204"/>
        <w:jc w:val="both"/>
        <w:rPr>
          <w:sz w:val="24"/>
        </w:rPr>
      </w:pPr>
      <w:r>
        <w:rPr>
          <w:rFonts w:ascii="Arial" w:hAnsi="Arial"/>
          <w:b/>
          <w:w w:val="125"/>
          <w:sz w:val="24"/>
        </w:rPr>
        <w:t>§ </w:t>
      </w:r>
      <w:r>
        <w:rPr>
          <w:w w:val="125"/>
          <w:sz w:val="24"/>
        </w:rPr>
        <w:t>(1)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w:t>
      </w:r>
      <w:r>
        <w:rPr>
          <w:spacing w:val="4"/>
          <w:w w:val="125"/>
          <w:sz w:val="24"/>
        </w:rPr>
        <w:t> </w:t>
      </w:r>
      <w:r>
        <w:rPr>
          <w:w w:val="125"/>
          <w:sz w:val="24"/>
        </w:rPr>
        <w:t>vonatkozik.</w:t>
      </w:r>
    </w:p>
    <w:p>
      <w:pPr>
        <w:pStyle w:val="ListParagraph"/>
        <w:numPr>
          <w:ilvl w:val="0"/>
          <w:numId w:val="366"/>
        </w:numPr>
        <w:tabs>
          <w:tab w:pos="757" w:val="left" w:leader="none"/>
        </w:tabs>
        <w:spacing w:line="225" w:lineRule="auto" w:before="3" w:after="0"/>
        <w:ind w:left="113" w:right="121" w:firstLine="204"/>
        <w:jc w:val="both"/>
        <w:rPr>
          <w:sz w:val="24"/>
        </w:rPr>
      </w:pPr>
      <w:r>
        <w:rPr>
          <w:w w:val="125"/>
          <w:sz w:val="24"/>
        </w:rPr>
        <w:t>E törvény banktitokra vonatkozó rendelkezései szempontjából a pénzügyi intézmény ügyfelének tekintendő mindenki, aki (amely) a pénzügyi intézménytől pénzügyi szolgáltatást vesz igénybe. A banktitokra vonatkozó szabályokat alkalmazni kell arra a személyre is, aki szolgáltatás igénybevétele céljából lép kapcsolatba a pénzügyi intézménnyel, de a szolgáltatást nem veszi igénybe.</w:t>
      </w:r>
    </w:p>
    <w:p>
      <w:pPr>
        <w:pStyle w:val="ListParagraph"/>
        <w:numPr>
          <w:ilvl w:val="0"/>
          <w:numId w:val="366"/>
        </w:numPr>
        <w:tabs>
          <w:tab w:pos="829" w:val="left" w:leader="none"/>
        </w:tabs>
        <w:spacing w:line="225" w:lineRule="auto" w:before="4" w:after="0"/>
        <w:ind w:left="113" w:right="128" w:firstLine="204"/>
        <w:jc w:val="both"/>
        <w:rPr>
          <w:sz w:val="24"/>
        </w:rPr>
      </w:pPr>
      <w:r>
        <w:rPr>
          <w:w w:val="125"/>
          <w:sz w:val="24"/>
        </w:rPr>
        <w:t>A banktitokra vonatkozó rendelkezéseket a közvetítő ügyfelének (1) bekezdésben meghatározott adataira is megfelelően alkalmazni</w:t>
      </w:r>
      <w:r>
        <w:rPr>
          <w:spacing w:val="31"/>
          <w:w w:val="125"/>
          <w:sz w:val="24"/>
        </w:rPr>
        <w:t> </w:t>
      </w:r>
      <w:r>
        <w:rPr>
          <w:w w:val="125"/>
          <w:sz w:val="24"/>
        </w:rPr>
        <w:t>kell.</w:t>
      </w:r>
    </w:p>
    <w:p>
      <w:pPr>
        <w:pStyle w:val="ListParagraph"/>
        <w:numPr>
          <w:ilvl w:val="0"/>
          <w:numId w:val="358"/>
        </w:numPr>
        <w:tabs>
          <w:tab w:pos="985" w:val="left" w:leader="none"/>
        </w:tabs>
        <w:spacing w:line="249" w:lineRule="exact" w:before="0" w:after="0"/>
        <w:ind w:left="984" w:right="0" w:hanging="667"/>
        <w:jc w:val="left"/>
        <w:rPr>
          <w:sz w:val="24"/>
        </w:rPr>
      </w:pPr>
      <w:r>
        <w:rPr>
          <w:rFonts w:ascii="Arial" w:hAnsi="Arial"/>
          <w:b/>
          <w:w w:val="125"/>
          <w:sz w:val="24"/>
        </w:rPr>
        <w:t>§ </w:t>
      </w:r>
      <w:r>
        <w:rPr>
          <w:w w:val="125"/>
          <w:sz w:val="24"/>
        </w:rPr>
        <w:t>(1) Banktitok csak akkor adható ki harmadik személynek, ha</w:t>
      </w:r>
    </w:p>
    <w:p>
      <w:pPr>
        <w:pStyle w:val="ListParagraph"/>
        <w:numPr>
          <w:ilvl w:val="0"/>
          <w:numId w:val="367"/>
        </w:numPr>
        <w:tabs>
          <w:tab w:pos="556" w:val="left" w:leader="none"/>
          <w:tab w:pos="884" w:val="left" w:leader="none"/>
          <w:tab w:pos="1242" w:val="left" w:leader="none"/>
          <w:tab w:pos="2554" w:val="left" w:leader="none"/>
          <w:tab w:pos="4021" w:val="left" w:leader="none"/>
          <w:tab w:pos="5206" w:val="left" w:leader="none"/>
          <w:tab w:pos="6161" w:val="left" w:leader="none"/>
          <w:tab w:pos="7561" w:val="left" w:leader="none"/>
          <w:tab w:pos="9128" w:val="left" w:leader="none"/>
          <w:tab w:pos="9486" w:val="left" w:leader="none"/>
        </w:tabs>
        <w:spacing w:line="260" w:lineRule="exact" w:before="0" w:after="0"/>
        <w:ind w:left="555" w:right="0" w:hanging="238"/>
        <w:jc w:val="left"/>
        <w:rPr>
          <w:sz w:val="24"/>
        </w:rPr>
      </w:pPr>
      <w:r>
        <w:rPr>
          <w:i/>
          <w:w w:val="125"/>
          <w:position w:val="3"/>
          <w:sz w:val="18"/>
        </w:rPr>
        <w:t>3</w:t>
        <w:tab/>
      </w:r>
      <w:r>
        <w:rPr>
          <w:w w:val="125"/>
          <w:sz w:val="24"/>
        </w:rPr>
        <w:t>a</w:t>
        <w:tab/>
        <w:t>pénzügyi</w:t>
        <w:tab/>
        <w:t>intézmény</w:t>
        <w:tab/>
        <w:t>ügyfele,</w:t>
        <w:tab/>
        <w:t>annak</w:t>
        <w:tab/>
        <w:t>törvényes</w:t>
        <w:tab/>
        <w:t>képviselője</w:t>
        <w:tab/>
        <w:t>a</w:t>
        <w:tab/>
        <w:t>rá</w:t>
      </w:r>
    </w:p>
    <w:p>
      <w:pPr>
        <w:pStyle w:val="BodyText"/>
        <w:spacing w:line="225" w:lineRule="auto" w:before="12"/>
        <w:ind w:right="126" w:firstLine="0"/>
        <w:jc w:val="both"/>
      </w:pPr>
      <w:r>
        <w:rPr>
          <w:w w:val="130"/>
        </w:rPr>
        <w:t>vonatkozó kiszolgáltatható banktitok-kört pontosan megjelölve közokiratba vagy teljes bizonyító erejű magánokiratba foglaltan kéri vagy erre felhatalmazást ad; nem szükséges a közokiratba, teljes bizonyító erejű magánokiratba foglalás, ha az ügyfél ezt az írásbeli nyilatkozatát a pénzügyi intézménnyel történő szerződéskötés keretében - ideértve a fizetési számla váltásának kezdeményezését is - nyújtja,</w:t>
      </w:r>
    </w:p>
    <w:p>
      <w:pPr>
        <w:pStyle w:val="ListParagraph"/>
        <w:numPr>
          <w:ilvl w:val="0"/>
          <w:numId w:val="367"/>
        </w:numPr>
        <w:tabs>
          <w:tab w:pos="653" w:val="left" w:leader="none"/>
        </w:tabs>
        <w:spacing w:line="258" w:lineRule="exact" w:before="0" w:after="0"/>
        <w:ind w:left="652" w:right="0" w:hanging="335"/>
        <w:jc w:val="left"/>
        <w:rPr>
          <w:sz w:val="24"/>
        </w:rPr>
      </w:pPr>
      <w:r>
        <w:rPr>
          <w:w w:val="130"/>
          <w:sz w:val="24"/>
        </w:rPr>
        <w:t>e</w:t>
      </w:r>
      <w:r>
        <w:rPr>
          <w:spacing w:val="-20"/>
          <w:w w:val="130"/>
          <w:sz w:val="24"/>
        </w:rPr>
        <w:t> </w:t>
      </w:r>
      <w:r>
        <w:rPr>
          <w:w w:val="130"/>
          <w:sz w:val="24"/>
        </w:rPr>
        <w:t>törvény</w:t>
      </w:r>
      <w:r>
        <w:rPr>
          <w:spacing w:val="-10"/>
          <w:w w:val="130"/>
          <w:sz w:val="24"/>
        </w:rPr>
        <w:t> </w:t>
      </w:r>
      <w:r>
        <w:rPr>
          <w:w w:val="130"/>
          <w:sz w:val="24"/>
        </w:rPr>
        <w:t>a</w:t>
      </w:r>
      <w:r>
        <w:rPr>
          <w:spacing w:val="-9"/>
          <w:w w:val="130"/>
          <w:sz w:val="24"/>
        </w:rPr>
        <w:t> </w:t>
      </w:r>
      <w:r>
        <w:rPr>
          <w:w w:val="130"/>
          <w:sz w:val="24"/>
        </w:rPr>
        <w:t>banktitok</w:t>
      </w:r>
      <w:r>
        <w:rPr>
          <w:spacing w:val="-9"/>
          <w:w w:val="130"/>
          <w:sz w:val="24"/>
        </w:rPr>
        <w:t> </w:t>
      </w:r>
      <w:r>
        <w:rPr>
          <w:w w:val="130"/>
          <w:sz w:val="24"/>
        </w:rPr>
        <w:t>megtartásának</w:t>
      </w:r>
      <w:r>
        <w:rPr>
          <w:spacing w:val="-9"/>
          <w:w w:val="130"/>
          <w:sz w:val="24"/>
        </w:rPr>
        <w:t> </w:t>
      </w:r>
      <w:r>
        <w:rPr>
          <w:w w:val="130"/>
          <w:sz w:val="24"/>
        </w:rPr>
        <w:t>kötelezettsége</w:t>
      </w:r>
      <w:r>
        <w:rPr>
          <w:spacing w:val="-10"/>
          <w:w w:val="130"/>
          <w:sz w:val="24"/>
        </w:rPr>
        <w:t> </w:t>
      </w:r>
      <w:r>
        <w:rPr>
          <w:w w:val="130"/>
          <w:sz w:val="24"/>
        </w:rPr>
        <w:t>alól</w:t>
      </w:r>
      <w:r>
        <w:rPr>
          <w:spacing w:val="-10"/>
          <w:w w:val="130"/>
          <w:sz w:val="24"/>
        </w:rPr>
        <w:t> </w:t>
      </w:r>
      <w:r>
        <w:rPr>
          <w:w w:val="130"/>
          <w:sz w:val="24"/>
        </w:rPr>
        <w:t>felmentést</w:t>
      </w:r>
      <w:r>
        <w:rPr>
          <w:spacing w:val="-8"/>
          <w:w w:val="130"/>
          <w:sz w:val="24"/>
        </w:rPr>
        <w:t> </w:t>
      </w:r>
      <w:r>
        <w:rPr>
          <w:w w:val="130"/>
          <w:sz w:val="24"/>
        </w:rPr>
        <w:t>ad,</w:t>
      </w:r>
    </w:p>
    <w:p>
      <w:pPr>
        <w:pStyle w:val="ListParagraph"/>
        <w:numPr>
          <w:ilvl w:val="0"/>
          <w:numId w:val="367"/>
        </w:numPr>
        <w:tabs>
          <w:tab w:pos="632" w:val="left" w:leader="none"/>
        </w:tabs>
        <w:spacing w:line="225" w:lineRule="auto" w:before="5" w:after="0"/>
        <w:ind w:left="113" w:right="129" w:firstLine="204"/>
        <w:jc w:val="left"/>
        <w:rPr>
          <w:sz w:val="24"/>
        </w:rPr>
      </w:pPr>
      <w:r>
        <w:rPr>
          <w:w w:val="130"/>
          <w:sz w:val="24"/>
        </w:rPr>
        <w:t>a</w:t>
      </w:r>
      <w:r>
        <w:rPr>
          <w:spacing w:val="-12"/>
          <w:w w:val="130"/>
          <w:sz w:val="24"/>
        </w:rPr>
        <w:t> </w:t>
      </w:r>
      <w:r>
        <w:rPr>
          <w:w w:val="130"/>
          <w:sz w:val="24"/>
        </w:rPr>
        <w:t>pénzügyi</w:t>
      </w:r>
      <w:r>
        <w:rPr>
          <w:spacing w:val="-35"/>
          <w:w w:val="130"/>
          <w:sz w:val="24"/>
        </w:rPr>
        <w:t> </w:t>
      </w:r>
      <w:r>
        <w:rPr>
          <w:w w:val="130"/>
          <w:sz w:val="24"/>
        </w:rPr>
        <w:t>intézmény</w:t>
      </w:r>
      <w:r>
        <w:rPr>
          <w:spacing w:val="-23"/>
          <w:w w:val="130"/>
          <w:sz w:val="24"/>
        </w:rPr>
        <w:t> </w:t>
      </w:r>
      <w:r>
        <w:rPr>
          <w:w w:val="130"/>
          <w:sz w:val="24"/>
        </w:rPr>
        <w:t>érdeke</w:t>
      </w:r>
      <w:r>
        <w:rPr>
          <w:spacing w:val="-23"/>
          <w:w w:val="130"/>
          <w:sz w:val="24"/>
        </w:rPr>
        <w:t> </w:t>
      </w:r>
      <w:r>
        <w:rPr>
          <w:w w:val="130"/>
          <w:sz w:val="24"/>
        </w:rPr>
        <w:t>ezt</w:t>
      </w:r>
      <w:r>
        <w:rPr>
          <w:spacing w:val="-23"/>
          <w:w w:val="130"/>
          <w:sz w:val="24"/>
        </w:rPr>
        <w:t> </w:t>
      </w:r>
      <w:r>
        <w:rPr>
          <w:w w:val="130"/>
          <w:sz w:val="24"/>
        </w:rPr>
        <w:t>az</w:t>
      </w:r>
      <w:r>
        <w:rPr>
          <w:spacing w:val="-23"/>
          <w:w w:val="130"/>
          <w:sz w:val="24"/>
        </w:rPr>
        <w:t> </w:t>
      </w:r>
      <w:r>
        <w:rPr>
          <w:w w:val="130"/>
          <w:sz w:val="24"/>
        </w:rPr>
        <w:t>ügyféllel</w:t>
      </w:r>
      <w:r>
        <w:rPr>
          <w:spacing w:val="-23"/>
          <w:w w:val="130"/>
          <w:sz w:val="24"/>
        </w:rPr>
        <w:t> </w:t>
      </w:r>
      <w:r>
        <w:rPr>
          <w:w w:val="130"/>
          <w:sz w:val="24"/>
        </w:rPr>
        <w:t>szemben</w:t>
      </w:r>
      <w:r>
        <w:rPr>
          <w:spacing w:val="-23"/>
          <w:w w:val="130"/>
          <w:sz w:val="24"/>
        </w:rPr>
        <w:t> </w:t>
      </w:r>
      <w:r>
        <w:rPr>
          <w:w w:val="130"/>
          <w:sz w:val="24"/>
        </w:rPr>
        <w:t>fennálló</w:t>
      </w:r>
      <w:r>
        <w:rPr>
          <w:spacing w:val="-23"/>
          <w:w w:val="130"/>
          <w:sz w:val="24"/>
        </w:rPr>
        <w:t> </w:t>
      </w:r>
      <w:r>
        <w:rPr>
          <w:w w:val="130"/>
          <w:sz w:val="24"/>
        </w:rPr>
        <w:t>követelése eladásához</w:t>
      </w:r>
      <w:r>
        <w:rPr>
          <w:spacing w:val="-11"/>
          <w:w w:val="130"/>
          <w:sz w:val="24"/>
        </w:rPr>
        <w:t> </w:t>
      </w:r>
      <w:r>
        <w:rPr>
          <w:w w:val="130"/>
          <w:sz w:val="24"/>
        </w:rPr>
        <w:t>vagy</w:t>
      </w:r>
      <w:r>
        <w:rPr>
          <w:spacing w:val="-12"/>
          <w:w w:val="130"/>
          <w:sz w:val="24"/>
        </w:rPr>
        <w:t> </w:t>
      </w:r>
      <w:r>
        <w:rPr>
          <w:w w:val="130"/>
          <w:sz w:val="24"/>
        </w:rPr>
        <w:t>lejárt</w:t>
      </w:r>
      <w:r>
        <w:rPr>
          <w:spacing w:val="-11"/>
          <w:w w:val="130"/>
          <w:sz w:val="24"/>
        </w:rPr>
        <w:t> </w:t>
      </w:r>
      <w:r>
        <w:rPr>
          <w:w w:val="130"/>
          <w:sz w:val="24"/>
        </w:rPr>
        <w:t>követelése</w:t>
      </w:r>
      <w:r>
        <w:rPr>
          <w:spacing w:val="-11"/>
          <w:w w:val="130"/>
          <w:sz w:val="24"/>
        </w:rPr>
        <w:t> </w:t>
      </w:r>
      <w:r>
        <w:rPr>
          <w:w w:val="130"/>
          <w:sz w:val="24"/>
        </w:rPr>
        <w:t>érvényesítéséhez</w:t>
      </w:r>
      <w:r>
        <w:rPr>
          <w:spacing w:val="-11"/>
          <w:w w:val="130"/>
          <w:sz w:val="24"/>
        </w:rPr>
        <w:t> </w:t>
      </w:r>
      <w:r>
        <w:rPr>
          <w:w w:val="130"/>
          <w:sz w:val="24"/>
        </w:rPr>
        <w:t>szükségessé</w:t>
      </w:r>
      <w:r>
        <w:rPr>
          <w:spacing w:val="-10"/>
          <w:w w:val="130"/>
          <w:sz w:val="24"/>
        </w:rPr>
        <w:t> </w:t>
      </w:r>
      <w:r>
        <w:rPr>
          <w:w w:val="130"/>
          <w:sz w:val="24"/>
        </w:rPr>
        <w:t>teszi,</w:t>
      </w:r>
    </w:p>
    <w:p>
      <w:pPr>
        <w:pStyle w:val="ListParagraph"/>
        <w:numPr>
          <w:ilvl w:val="0"/>
          <w:numId w:val="367"/>
        </w:numPr>
        <w:tabs>
          <w:tab w:pos="567" w:val="left" w:leader="none"/>
        </w:tabs>
        <w:spacing w:line="225" w:lineRule="auto" w:before="1" w:after="0"/>
        <w:ind w:left="113" w:right="129" w:firstLine="204"/>
        <w:jc w:val="left"/>
        <w:rPr>
          <w:sz w:val="24"/>
        </w:rPr>
      </w:pPr>
      <w:r>
        <w:rPr>
          <w:i/>
          <w:w w:val="130"/>
          <w:position w:val="3"/>
          <w:sz w:val="18"/>
        </w:rPr>
        <w:t>4</w:t>
      </w:r>
      <w:r>
        <w:rPr>
          <w:i/>
          <w:spacing w:val="-2"/>
          <w:w w:val="130"/>
          <w:position w:val="3"/>
          <w:sz w:val="18"/>
        </w:rPr>
        <w:t> </w:t>
      </w:r>
      <w:r>
        <w:rPr>
          <w:w w:val="130"/>
          <w:sz w:val="24"/>
        </w:rPr>
        <w:t>a</w:t>
      </w:r>
      <w:r>
        <w:rPr>
          <w:spacing w:val="-21"/>
          <w:w w:val="130"/>
          <w:sz w:val="24"/>
        </w:rPr>
        <w:t> </w:t>
      </w:r>
      <w:r>
        <w:rPr>
          <w:w w:val="130"/>
          <w:sz w:val="24"/>
        </w:rPr>
        <w:t>pénzügyi</w:t>
      </w:r>
      <w:r>
        <w:rPr>
          <w:spacing w:val="-22"/>
          <w:w w:val="130"/>
          <w:sz w:val="24"/>
        </w:rPr>
        <w:t> </w:t>
      </w:r>
      <w:r>
        <w:rPr>
          <w:w w:val="130"/>
          <w:sz w:val="24"/>
        </w:rPr>
        <w:t>intézmény</w:t>
      </w:r>
      <w:r>
        <w:rPr>
          <w:spacing w:val="-22"/>
          <w:w w:val="130"/>
          <w:sz w:val="24"/>
        </w:rPr>
        <w:t> </w:t>
      </w:r>
      <w:r>
        <w:rPr>
          <w:w w:val="130"/>
          <w:sz w:val="24"/>
        </w:rPr>
        <w:t>által</w:t>
      </w:r>
      <w:r>
        <w:rPr>
          <w:spacing w:val="-18"/>
          <w:w w:val="130"/>
          <w:sz w:val="24"/>
        </w:rPr>
        <w:t> </w:t>
      </w:r>
      <w:r>
        <w:rPr>
          <w:w w:val="130"/>
          <w:sz w:val="24"/>
        </w:rPr>
        <w:t>megbízott</w:t>
      </w:r>
      <w:r>
        <w:rPr>
          <w:spacing w:val="-24"/>
          <w:w w:val="130"/>
          <w:sz w:val="24"/>
        </w:rPr>
        <w:t> </w:t>
      </w:r>
      <w:r>
        <w:rPr>
          <w:w w:val="130"/>
          <w:sz w:val="24"/>
        </w:rPr>
        <w:t>tanúsító</w:t>
      </w:r>
      <w:r>
        <w:rPr>
          <w:spacing w:val="-22"/>
          <w:w w:val="130"/>
          <w:sz w:val="24"/>
        </w:rPr>
        <w:t> </w:t>
      </w:r>
      <w:r>
        <w:rPr>
          <w:w w:val="130"/>
          <w:sz w:val="24"/>
        </w:rPr>
        <w:t>szervezet</w:t>
      </w:r>
      <w:r>
        <w:rPr>
          <w:spacing w:val="-21"/>
          <w:w w:val="130"/>
          <w:sz w:val="24"/>
        </w:rPr>
        <w:t> </w:t>
      </w:r>
      <w:r>
        <w:rPr>
          <w:w w:val="130"/>
          <w:sz w:val="24"/>
        </w:rPr>
        <w:t>és</w:t>
      </w:r>
      <w:r>
        <w:rPr>
          <w:spacing w:val="-22"/>
          <w:w w:val="130"/>
          <w:sz w:val="24"/>
        </w:rPr>
        <w:t> </w:t>
      </w:r>
      <w:r>
        <w:rPr>
          <w:w w:val="130"/>
          <w:sz w:val="24"/>
        </w:rPr>
        <w:t>alvállalkozója ezt a tanúsítási eljárás lefolytatása keretében ismeri</w:t>
      </w:r>
      <w:r>
        <w:rPr>
          <w:spacing w:val="-33"/>
          <w:w w:val="130"/>
          <w:sz w:val="24"/>
        </w:rPr>
        <w:t> </w:t>
      </w:r>
      <w:r>
        <w:rPr>
          <w:w w:val="130"/>
          <w:sz w:val="24"/>
        </w:rPr>
        <w:t>meg.</w:t>
      </w:r>
    </w:p>
    <w:p>
      <w:pPr>
        <w:pStyle w:val="ListParagraph"/>
        <w:numPr>
          <w:ilvl w:val="0"/>
          <w:numId w:val="368"/>
        </w:numPr>
        <w:tabs>
          <w:tab w:pos="659" w:val="left" w:leader="none"/>
          <w:tab w:pos="1049" w:val="left" w:leader="none"/>
          <w:tab w:pos="1626" w:val="left" w:leader="none"/>
          <w:tab w:pos="2242" w:val="left" w:leader="none"/>
          <w:tab w:pos="3647" w:val="left" w:leader="none"/>
          <w:tab w:pos="4171" w:val="left" w:leader="none"/>
          <w:tab w:pos="5666" w:val="left" w:leader="none"/>
          <w:tab w:pos="7011" w:val="left" w:leader="none"/>
          <w:tab w:pos="8176" w:val="left" w:leader="none"/>
          <w:tab w:pos="8596" w:val="left" w:leader="none"/>
        </w:tabs>
        <w:spacing w:line="250" w:lineRule="exact" w:before="0" w:after="0"/>
        <w:ind w:left="658" w:right="0" w:hanging="341"/>
        <w:jc w:val="left"/>
        <w:rPr>
          <w:sz w:val="24"/>
        </w:rPr>
      </w:pPr>
      <w:r>
        <w:rPr>
          <w:i/>
          <w:w w:val="125"/>
          <w:position w:val="3"/>
          <w:sz w:val="18"/>
        </w:rPr>
        <w:t>5</w:t>
        <w:tab/>
      </w:r>
      <w:r>
        <w:rPr>
          <w:w w:val="125"/>
          <w:sz w:val="24"/>
        </w:rPr>
        <w:t>Az</w:t>
        <w:tab/>
        <w:t>(1)</w:t>
        <w:tab/>
        <w:t>bekezdés</w:t>
        <w:tab/>
      </w:r>
      <w:r>
        <w:rPr>
          <w:i/>
          <w:w w:val="125"/>
          <w:sz w:val="24"/>
        </w:rPr>
        <w:t>b)</w:t>
        <w:tab/>
      </w:r>
      <w:r>
        <w:rPr>
          <w:w w:val="125"/>
          <w:sz w:val="24"/>
        </w:rPr>
        <w:t>pontjában</w:t>
        <w:tab/>
        <w:t>foglaltak</w:t>
        <w:tab/>
        <w:t>alapján</w:t>
        <w:tab/>
        <w:t>a</w:t>
        <w:tab/>
        <w:t>banktitok</w:t>
      </w:r>
    </w:p>
    <w:p>
      <w:pPr>
        <w:pStyle w:val="BodyText"/>
        <w:spacing w:line="275" w:lineRule="exact"/>
        <w:ind w:firstLine="0"/>
      </w:pPr>
      <w:r>
        <w:rPr>
          <w:w w:val="130"/>
        </w:rPr>
        <w:t>megtartásának kötelezettsége nem áll fenn</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19"/>
        </w:rPr>
      </w:pPr>
      <w:r>
        <w:rPr/>
        <w:pict>
          <v:line style="position:absolute;mso-position-horizontal-relative:page;mso-position-vertical-relative:paragraph;z-index:968;mso-wrap-distance-left:0;mso-wrap-distance-right:0" from="56.693001pt,13.486184pt" to="538.583001pt,13.486184pt" stroked="true" strokeweight=".5pt" strokecolor="#000000">
            <v:stroke dashstyle="solid"/>
            <w10:wrap type="topAndBottom"/>
          </v:line>
        </w:pict>
      </w:r>
    </w:p>
    <w:p>
      <w:pPr>
        <w:pStyle w:val="ListParagraph"/>
        <w:numPr>
          <w:ilvl w:val="0"/>
          <w:numId w:val="369"/>
        </w:numPr>
        <w:tabs>
          <w:tab w:pos="686" w:val="left" w:leader="none"/>
          <w:tab w:pos="687" w:val="left" w:leader="none"/>
        </w:tabs>
        <w:spacing w:line="203" w:lineRule="exact" w:before="44" w:after="0"/>
        <w:ind w:left="686" w:right="0" w:hanging="344"/>
        <w:jc w:val="left"/>
        <w:rPr>
          <w:i/>
          <w:sz w:val="18"/>
        </w:rPr>
      </w:pPr>
      <w:r>
        <w:rPr>
          <w:i/>
          <w:w w:val="120"/>
          <w:sz w:val="18"/>
        </w:rPr>
        <w:t>Beiktatta: 2014. évi XXXVII. törvény 161. § (12). Hatályos: 2014. IX.</w:t>
      </w:r>
      <w:r>
        <w:rPr>
          <w:i/>
          <w:spacing w:val="1"/>
          <w:w w:val="120"/>
          <w:sz w:val="18"/>
        </w:rPr>
        <w:t> </w:t>
      </w:r>
      <w:r>
        <w:rPr>
          <w:i/>
          <w:w w:val="120"/>
          <w:sz w:val="18"/>
        </w:rPr>
        <w:t>16-tól.</w:t>
      </w:r>
    </w:p>
    <w:p>
      <w:pPr>
        <w:pStyle w:val="ListParagraph"/>
        <w:numPr>
          <w:ilvl w:val="0"/>
          <w:numId w:val="369"/>
        </w:numPr>
        <w:tabs>
          <w:tab w:pos="686" w:val="left" w:leader="none"/>
          <w:tab w:pos="687" w:val="left" w:leader="none"/>
        </w:tabs>
        <w:spacing w:line="200" w:lineRule="exact" w:before="0" w:after="0"/>
        <w:ind w:left="686" w:right="0" w:hanging="344"/>
        <w:jc w:val="left"/>
        <w:rPr>
          <w:i/>
          <w:sz w:val="18"/>
        </w:rPr>
      </w:pPr>
      <w:r>
        <w:rPr>
          <w:i/>
          <w:w w:val="120"/>
          <w:sz w:val="18"/>
        </w:rPr>
        <w:t>Beiktatta: 2017. évi CXLV. törvény 126. §. Hatályos: 2017. XI.</w:t>
      </w:r>
      <w:r>
        <w:rPr>
          <w:i/>
          <w:spacing w:val="45"/>
          <w:w w:val="120"/>
          <w:sz w:val="18"/>
        </w:rPr>
        <w:t> </w:t>
      </w:r>
      <w:r>
        <w:rPr>
          <w:i/>
          <w:w w:val="120"/>
          <w:sz w:val="18"/>
        </w:rPr>
        <w:t>21-től.</w:t>
      </w:r>
    </w:p>
    <w:p>
      <w:pPr>
        <w:pStyle w:val="ListParagraph"/>
        <w:numPr>
          <w:ilvl w:val="0"/>
          <w:numId w:val="369"/>
        </w:numPr>
        <w:tabs>
          <w:tab w:pos="686" w:val="left" w:leader="none"/>
          <w:tab w:pos="687" w:val="left" w:leader="none"/>
        </w:tabs>
        <w:spacing w:line="200" w:lineRule="exact" w:before="0" w:after="0"/>
        <w:ind w:left="686" w:right="0" w:hanging="344"/>
        <w:jc w:val="left"/>
        <w:rPr>
          <w:i/>
          <w:sz w:val="18"/>
        </w:rPr>
      </w:pPr>
      <w:r>
        <w:rPr>
          <w:i/>
          <w:w w:val="120"/>
          <w:sz w:val="18"/>
        </w:rPr>
        <w:t>Megállapította:</w:t>
      </w:r>
      <w:r>
        <w:rPr>
          <w:i/>
          <w:spacing w:val="10"/>
          <w:w w:val="120"/>
          <w:sz w:val="18"/>
        </w:rPr>
        <w:t> </w:t>
      </w:r>
      <w:r>
        <w:rPr>
          <w:i/>
          <w:w w:val="120"/>
          <w:sz w:val="18"/>
        </w:rPr>
        <w:t>2017.</w:t>
      </w:r>
      <w:r>
        <w:rPr>
          <w:i/>
          <w:spacing w:val="11"/>
          <w:w w:val="120"/>
          <w:sz w:val="18"/>
        </w:rPr>
        <w:t> </w:t>
      </w:r>
      <w:r>
        <w:rPr>
          <w:i/>
          <w:w w:val="120"/>
          <w:sz w:val="18"/>
        </w:rPr>
        <w:t>évi</w:t>
      </w:r>
      <w:r>
        <w:rPr>
          <w:i/>
          <w:spacing w:val="11"/>
          <w:w w:val="120"/>
          <w:sz w:val="18"/>
        </w:rPr>
        <w:t> </w:t>
      </w:r>
      <w:r>
        <w:rPr>
          <w:i/>
          <w:w w:val="120"/>
          <w:sz w:val="18"/>
        </w:rPr>
        <w:t>CXLV.</w:t>
      </w:r>
      <w:r>
        <w:rPr>
          <w:i/>
          <w:spacing w:val="11"/>
          <w:w w:val="120"/>
          <w:sz w:val="18"/>
        </w:rPr>
        <w:t> </w:t>
      </w:r>
      <w:r>
        <w:rPr>
          <w:i/>
          <w:w w:val="120"/>
          <w:sz w:val="18"/>
        </w:rPr>
        <w:t>törvény</w:t>
      </w:r>
      <w:r>
        <w:rPr>
          <w:i/>
          <w:spacing w:val="11"/>
          <w:w w:val="120"/>
          <w:sz w:val="18"/>
        </w:rPr>
        <w:t> </w:t>
      </w:r>
      <w:r>
        <w:rPr>
          <w:i/>
          <w:w w:val="120"/>
          <w:sz w:val="18"/>
        </w:rPr>
        <w:t>127.</w:t>
      </w:r>
      <w:r>
        <w:rPr>
          <w:i/>
          <w:spacing w:val="11"/>
          <w:w w:val="120"/>
          <w:sz w:val="18"/>
        </w:rPr>
        <w:t> </w:t>
      </w:r>
      <w:r>
        <w:rPr>
          <w:i/>
          <w:w w:val="120"/>
          <w:sz w:val="18"/>
        </w:rPr>
        <w:t>§.</w:t>
      </w:r>
      <w:r>
        <w:rPr>
          <w:i/>
          <w:spacing w:val="12"/>
          <w:w w:val="120"/>
          <w:sz w:val="18"/>
        </w:rPr>
        <w:t> </w:t>
      </w:r>
      <w:r>
        <w:rPr>
          <w:i/>
          <w:w w:val="120"/>
          <w:sz w:val="18"/>
        </w:rPr>
        <w:t>Módosította:</w:t>
      </w:r>
      <w:r>
        <w:rPr>
          <w:i/>
          <w:spacing w:val="10"/>
          <w:w w:val="120"/>
          <w:sz w:val="18"/>
        </w:rPr>
        <w:t> </w:t>
      </w:r>
      <w:r>
        <w:rPr>
          <w:i/>
          <w:w w:val="120"/>
          <w:sz w:val="18"/>
        </w:rPr>
        <w:t>2018.</w:t>
      </w:r>
      <w:r>
        <w:rPr>
          <w:i/>
          <w:spacing w:val="11"/>
          <w:w w:val="120"/>
          <w:sz w:val="18"/>
        </w:rPr>
        <w:t> </w:t>
      </w:r>
      <w:r>
        <w:rPr>
          <w:i/>
          <w:w w:val="120"/>
          <w:sz w:val="18"/>
        </w:rPr>
        <w:t>évi</w:t>
      </w:r>
      <w:r>
        <w:rPr>
          <w:i/>
          <w:spacing w:val="11"/>
          <w:w w:val="120"/>
          <w:sz w:val="18"/>
        </w:rPr>
        <w:t> </w:t>
      </w:r>
      <w:r>
        <w:rPr>
          <w:i/>
          <w:w w:val="120"/>
          <w:sz w:val="18"/>
        </w:rPr>
        <w:t>CXXVI.</w:t>
      </w:r>
      <w:r>
        <w:rPr>
          <w:i/>
          <w:spacing w:val="11"/>
          <w:w w:val="120"/>
          <w:sz w:val="18"/>
        </w:rPr>
        <w:t> </w:t>
      </w:r>
      <w:r>
        <w:rPr>
          <w:i/>
          <w:w w:val="120"/>
          <w:sz w:val="18"/>
        </w:rPr>
        <w:t>törvény</w:t>
      </w:r>
      <w:r>
        <w:rPr>
          <w:i/>
          <w:spacing w:val="11"/>
          <w:w w:val="120"/>
          <w:sz w:val="18"/>
        </w:rPr>
        <w:t> </w:t>
      </w:r>
      <w:r>
        <w:rPr>
          <w:i/>
          <w:w w:val="120"/>
          <w:sz w:val="18"/>
        </w:rPr>
        <w:t>121.</w:t>
      </w:r>
      <w:r>
        <w:rPr>
          <w:i/>
          <w:spacing w:val="11"/>
          <w:w w:val="120"/>
          <w:sz w:val="18"/>
        </w:rPr>
        <w:t> </w:t>
      </w:r>
      <w:r>
        <w:rPr>
          <w:i/>
          <w:w w:val="120"/>
          <w:sz w:val="18"/>
        </w:rPr>
        <w:t>§</w:t>
      </w:r>
      <w:r>
        <w:rPr>
          <w:i/>
          <w:spacing w:val="12"/>
          <w:w w:val="120"/>
          <w:sz w:val="18"/>
        </w:rPr>
        <w:t> </w:t>
      </w:r>
      <w:r>
        <w:rPr>
          <w:i/>
          <w:w w:val="120"/>
          <w:sz w:val="18"/>
        </w:rPr>
        <w:t>c).</w:t>
      </w:r>
    </w:p>
    <w:p>
      <w:pPr>
        <w:pStyle w:val="ListParagraph"/>
        <w:numPr>
          <w:ilvl w:val="0"/>
          <w:numId w:val="369"/>
        </w:numPr>
        <w:tabs>
          <w:tab w:pos="686" w:val="left" w:leader="none"/>
          <w:tab w:pos="687" w:val="left" w:leader="none"/>
        </w:tabs>
        <w:spacing w:line="200" w:lineRule="exact" w:before="0" w:after="0"/>
        <w:ind w:left="686" w:right="0" w:hanging="344"/>
        <w:jc w:val="left"/>
        <w:rPr>
          <w:i/>
          <w:sz w:val="18"/>
        </w:rPr>
      </w:pPr>
      <w:r>
        <w:rPr>
          <w:i/>
          <w:w w:val="125"/>
          <w:sz w:val="18"/>
        </w:rPr>
        <w:t>Beiktatta: 2016. évi CLXXXII. törvény 42. §. Hatályos: 2016. XII.</w:t>
      </w:r>
      <w:r>
        <w:rPr>
          <w:i/>
          <w:spacing w:val="-20"/>
          <w:w w:val="125"/>
          <w:sz w:val="18"/>
        </w:rPr>
        <w:t> </w:t>
      </w:r>
      <w:r>
        <w:rPr>
          <w:i/>
          <w:w w:val="125"/>
          <w:sz w:val="18"/>
        </w:rPr>
        <w:t>28-tól.</w:t>
      </w:r>
    </w:p>
    <w:p>
      <w:pPr>
        <w:pStyle w:val="ListParagraph"/>
        <w:numPr>
          <w:ilvl w:val="0"/>
          <w:numId w:val="369"/>
        </w:numPr>
        <w:tabs>
          <w:tab w:pos="686" w:val="left" w:leader="none"/>
          <w:tab w:pos="687" w:val="left" w:leader="none"/>
        </w:tabs>
        <w:spacing w:line="203" w:lineRule="exact" w:before="0" w:after="0"/>
        <w:ind w:left="686" w:right="0" w:hanging="344"/>
        <w:jc w:val="left"/>
        <w:rPr>
          <w:i/>
          <w:sz w:val="18"/>
        </w:rPr>
      </w:pPr>
      <w:r>
        <w:rPr>
          <w:i/>
          <w:w w:val="125"/>
          <w:sz w:val="18"/>
        </w:rPr>
        <w:t>Módosította: 2017. évi CXCVII. törvény 408. §</w:t>
      </w:r>
      <w:r>
        <w:rPr>
          <w:i/>
          <w:spacing w:val="-6"/>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370"/>
        </w:numPr>
        <w:tabs>
          <w:tab w:pos="556" w:val="left" w:leader="none"/>
        </w:tabs>
        <w:spacing w:line="261" w:lineRule="exact" w:before="159" w:after="0"/>
        <w:ind w:left="555" w:right="0" w:hanging="238"/>
        <w:jc w:val="left"/>
        <w:rPr>
          <w:sz w:val="24"/>
        </w:rPr>
      </w:pPr>
      <w:r>
        <w:rPr>
          <w:i/>
          <w:w w:val="125"/>
          <w:position w:val="3"/>
          <w:sz w:val="18"/>
        </w:rPr>
        <w:t>1 </w:t>
      </w:r>
      <w:r>
        <w:rPr>
          <w:w w:val="125"/>
          <w:sz w:val="24"/>
        </w:rPr>
        <w:t>a</w:t>
      </w:r>
      <w:r>
        <w:rPr>
          <w:spacing w:val="39"/>
          <w:w w:val="125"/>
          <w:sz w:val="24"/>
        </w:rPr>
        <w:t> </w:t>
      </w:r>
      <w:r>
        <w:rPr>
          <w:w w:val="125"/>
          <w:sz w:val="24"/>
        </w:rPr>
        <w:t>feladatkörében</w:t>
      </w:r>
      <w:r>
        <w:rPr>
          <w:spacing w:val="38"/>
          <w:w w:val="125"/>
          <w:sz w:val="24"/>
        </w:rPr>
        <w:t> </w:t>
      </w:r>
      <w:r>
        <w:rPr>
          <w:w w:val="125"/>
          <w:sz w:val="24"/>
        </w:rPr>
        <w:t>eljáró</w:t>
      </w:r>
      <w:r>
        <w:rPr>
          <w:spacing w:val="38"/>
          <w:w w:val="125"/>
          <w:sz w:val="24"/>
        </w:rPr>
        <w:t> </w:t>
      </w:r>
      <w:r>
        <w:rPr>
          <w:w w:val="125"/>
          <w:sz w:val="24"/>
        </w:rPr>
        <w:t>MNB-vel,</w:t>
      </w:r>
      <w:r>
        <w:rPr>
          <w:spacing w:val="38"/>
          <w:w w:val="125"/>
          <w:sz w:val="24"/>
        </w:rPr>
        <w:t> </w:t>
      </w:r>
      <w:r>
        <w:rPr>
          <w:w w:val="125"/>
          <w:sz w:val="24"/>
        </w:rPr>
        <w:t>OBA-val,</w:t>
      </w:r>
      <w:r>
        <w:rPr>
          <w:spacing w:val="39"/>
          <w:w w:val="125"/>
          <w:sz w:val="24"/>
        </w:rPr>
        <w:t> </w:t>
      </w:r>
      <w:r>
        <w:rPr>
          <w:w w:val="125"/>
          <w:sz w:val="24"/>
        </w:rPr>
        <w:t>betét-</w:t>
      </w:r>
      <w:r>
        <w:rPr>
          <w:spacing w:val="38"/>
          <w:w w:val="125"/>
          <w:sz w:val="24"/>
        </w:rPr>
        <w:t> </w:t>
      </w:r>
      <w:r>
        <w:rPr>
          <w:w w:val="125"/>
          <w:sz w:val="24"/>
        </w:rPr>
        <w:t>és</w:t>
      </w:r>
      <w:r>
        <w:rPr>
          <w:spacing w:val="38"/>
          <w:w w:val="125"/>
          <w:sz w:val="24"/>
        </w:rPr>
        <w:t> </w:t>
      </w:r>
      <w:r>
        <w:rPr>
          <w:w w:val="125"/>
          <w:sz w:val="24"/>
        </w:rPr>
        <w:t>intézményvédelmi</w:t>
      </w:r>
    </w:p>
    <w:p>
      <w:pPr>
        <w:pStyle w:val="BodyText"/>
        <w:spacing w:line="225" w:lineRule="auto" w:before="12"/>
        <w:ind w:right="124" w:firstLine="0"/>
        <w:jc w:val="both"/>
      </w:pPr>
      <w:r>
        <w:rPr>
          <w:w w:val="125"/>
        </w:rPr>
        <w:t>alappal, a Szhitv. alapján a szövetkezeti hitelintézeti integráció feladatkörében eljáró központi bankjával, kötelező intézményvédelmi szervezettel, valamint az Állami Számvevőszékkel, Gazdasági Versenyhivatallal, a Pénzügyi Békéltető Testülettel, az önkéntes intézményvédelmi és betétbiztosítási alapokkal, az európai támogatások felhasználásának szabályszerűségét ellenőrző Európai Csalásellenes Hivatallal (OLAF),</w:t>
      </w:r>
    </w:p>
    <w:p>
      <w:pPr>
        <w:pStyle w:val="ListParagraph"/>
        <w:numPr>
          <w:ilvl w:val="0"/>
          <w:numId w:val="370"/>
        </w:numPr>
        <w:tabs>
          <w:tab w:pos="794" w:val="left" w:leader="none"/>
        </w:tabs>
        <w:spacing w:line="225" w:lineRule="auto" w:before="4" w:after="0"/>
        <w:ind w:left="113" w:right="132" w:firstLine="204"/>
        <w:jc w:val="both"/>
        <w:rPr>
          <w:sz w:val="24"/>
        </w:rPr>
      </w:pPr>
      <w:r>
        <w:rPr>
          <w:w w:val="130"/>
          <w:sz w:val="24"/>
        </w:rPr>
        <w:t>a hagyatéki ügyben eljáró közjegyzővel és jegyzővel, valamint a feladatkörében eljáró</w:t>
      </w:r>
      <w:r>
        <w:rPr>
          <w:spacing w:val="-4"/>
          <w:w w:val="130"/>
          <w:sz w:val="24"/>
        </w:rPr>
        <w:t> </w:t>
      </w:r>
      <w:r>
        <w:rPr>
          <w:w w:val="130"/>
          <w:sz w:val="24"/>
        </w:rPr>
        <w:t>gyámhatósággal,</w:t>
      </w:r>
    </w:p>
    <w:p>
      <w:pPr>
        <w:pStyle w:val="ListParagraph"/>
        <w:numPr>
          <w:ilvl w:val="0"/>
          <w:numId w:val="370"/>
        </w:numPr>
        <w:tabs>
          <w:tab w:pos="757" w:val="left" w:leader="none"/>
        </w:tabs>
        <w:spacing w:line="225" w:lineRule="auto" w:before="1" w:after="0"/>
        <w:ind w:left="113" w:right="121" w:firstLine="204"/>
        <w:jc w:val="both"/>
        <w:rPr>
          <w:sz w:val="24"/>
        </w:rPr>
      </w:pPr>
      <w:r>
        <w:rPr>
          <w:w w:val="125"/>
          <w:sz w:val="24"/>
        </w:rPr>
        <w:t>a csődeljárás, felszámolási eljárás, önkormányzati adósságrendezési eljárás, illetve végelszámolás ügyében eljáró vagyonfelügyelővel, felszámolóval, pénzügyi gondnokkal, illetve</w:t>
      </w:r>
      <w:r>
        <w:rPr>
          <w:spacing w:val="-11"/>
          <w:w w:val="125"/>
          <w:sz w:val="24"/>
        </w:rPr>
        <w:t> </w:t>
      </w:r>
      <w:r>
        <w:rPr>
          <w:w w:val="125"/>
          <w:sz w:val="24"/>
        </w:rPr>
        <w:t>végelszámolóval,</w:t>
      </w:r>
    </w:p>
    <w:p>
      <w:pPr>
        <w:pStyle w:val="ListParagraph"/>
        <w:numPr>
          <w:ilvl w:val="0"/>
          <w:numId w:val="370"/>
        </w:numPr>
        <w:tabs>
          <w:tab w:pos="567" w:val="left" w:leader="none"/>
        </w:tabs>
        <w:spacing w:line="250" w:lineRule="exact" w:before="0" w:after="0"/>
        <w:ind w:left="566" w:right="0" w:hanging="249"/>
        <w:jc w:val="left"/>
        <w:rPr>
          <w:sz w:val="24"/>
        </w:rPr>
      </w:pPr>
      <w:r>
        <w:rPr>
          <w:i/>
          <w:w w:val="130"/>
          <w:position w:val="3"/>
          <w:sz w:val="18"/>
        </w:rPr>
        <w:t>2</w:t>
      </w:r>
      <w:r>
        <w:rPr>
          <w:i/>
          <w:spacing w:val="11"/>
          <w:w w:val="130"/>
          <w:position w:val="3"/>
          <w:sz w:val="18"/>
        </w:rPr>
        <w:t> </w:t>
      </w:r>
      <w:r>
        <w:rPr>
          <w:w w:val="130"/>
          <w:sz w:val="24"/>
        </w:rPr>
        <w:t>a</w:t>
      </w:r>
      <w:r>
        <w:rPr>
          <w:spacing w:val="51"/>
          <w:w w:val="130"/>
          <w:sz w:val="24"/>
        </w:rPr>
        <w:t> </w:t>
      </w:r>
      <w:r>
        <w:rPr>
          <w:w w:val="130"/>
          <w:sz w:val="24"/>
        </w:rPr>
        <w:t>büntetőeljárás</w:t>
      </w:r>
      <w:r>
        <w:rPr>
          <w:spacing w:val="50"/>
          <w:w w:val="130"/>
          <w:sz w:val="24"/>
        </w:rPr>
        <w:t> </w:t>
      </w:r>
      <w:r>
        <w:rPr>
          <w:w w:val="130"/>
          <w:sz w:val="24"/>
        </w:rPr>
        <w:t>során</w:t>
      </w:r>
      <w:r>
        <w:rPr>
          <w:spacing w:val="51"/>
          <w:w w:val="130"/>
          <w:sz w:val="24"/>
        </w:rPr>
        <w:t> </w:t>
      </w:r>
      <w:r>
        <w:rPr>
          <w:w w:val="130"/>
          <w:sz w:val="24"/>
        </w:rPr>
        <w:t>az</w:t>
      </w:r>
      <w:r>
        <w:rPr>
          <w:spacing w:val="51"/>
          <w:w w:val="130"/>
          <w:sz w:val="24"/>
        </w:rPr>
        <w:t> </w:t>
      </w:r>
      <w:r>
        <w:rPr>
          <w:w w:val="130"/>
          <w:sz w:val="24"/>
        </w:rPr>
        <w:t>ügyészséggel,</w:t>
      </w:r>
      <w:r>
        <w:rPr>
          <w:spacing w:val="50"/>
          <w:w w:val="130"/>
          <w:sz w:val="24"/>
        </w:rPr>
        <w:t> </w:t>
      </w:r>
      <w:r>
        <w:rPr>
          <w:w w:val="130"/>
          <w:sz w:val="24"/>
        </w:rPr>
        <w:t>a</w:t>
      </w:r>
      <w:r>
        <w:rPr>
          <w:spacing w:val="51"/>
          <w:w w:val="130"/>
          <w:sz w:val="24"/>
        </w:rPr>
        <w:t> </w:t>
      </w:r>
      <w:r>
        <w:rPr>
          <w:w w:val="130"/>
          <w:sz w:val="24"/>
        </w:rPr>
        <w:t>nyomozó</w:t>
      </w:r>
      <w:r>
        <w:rPr>
          <w:spacing w:val="50"/>
          <w:w w:val="130"/>
          <w:sz w:val="24"/>
        </w:rPr>
        <w:t> </w:t>
      </w:r>
      <w:r>
        <w:rPr>
          <w:w w:val="130"/>
          <w:sz w:val="24"/>
        </w:rPr>
        <w:t>hatósággal</w:t>
      </w:r>
      <w:r>
        <w:rPr>
          <w:spacing w:val="51"/>
          <w:w w:val="130"/>
          <w:sz w:val="24"/>
        </w:rPr>
        <w:t> </w:t>
      </w:r>
      <w:r>
        <w:rPr>
          <w:w w:val="130"/>
          <w:sz w:val="24"/>
        </w:rPr>
        <w:t>és</w:t>
      </w:r>
      <w:r>
        <w:rPr>
          <w:spacing w:val="51"/>
          <w:w w:val="130"/>
          <w:sz w:val="24"/>
        </w:rPr>
        <w:t> </w:t>
      </w:r>
      <w:r>
        <w:rPr>
          <w:w w:val="130"/>
          <w:sz w:val="24"/>
        </w:rPr>
        <w:t>az</w:t>
      </w:r>
    </w:p>
    <w:p>
      <w:pPr>
        <w:pStyle w:val="BodyText"/>
        <w:spacing w:line="267" w:lineRule="exact"/>
        <w:ind w:firstLine="0"/>
      </w:pPr>
      <w:r>
        <w:rPr>
          <w:w w:val="125"/>
        </w:rPr>
        <w:t>előkészítő eljárást folytató szervvel,</w:t>
      </w:r>
    </w:p>
    <w:p>
      <w:pPr>
        <w:pStyle w:val="ListParagraph"/>
        <w:numPr>
          <w:ilvl w:val="0"/>
          <w:numId w:val="370"/>
        </w:numPr>
        <w:tabs>
          <w:tab w:pos="663" w:val="left" w:leader="none"/>
        </w:tabs>
        <w:spacing w:line="225" w:lineRule="auto" w:before="5" w:after="0"/>
        <w:ind w:left="113" w:right="129" w:firstLine="204"/>
        <w:jc w:val="both"/>
        <w:rPr>
          <w:sz w:val="24"/>
        </w:rPr>
      </w:pPr>
      <w:r>
        <w:rPr>
          <w:w w:val="130"/>
          <w:sz w:val="24"/>
        </w:rPr>
        <w:t>a büntető-, valamint polgári ügyben, a csőd-, illetve felszámolási eljárás, továbbá kényszertörlési eljárás, valamint önkormányzati adósságrendezési eljárás keretében a</w:t>
      </w:r>
      <w:r>
        <w:rPr>
          <w:spacing w:val="-10"/>
          <w:w w:val="130"/>
          <w:sz w:val="24"/>
        </w:rPr>
        <w:t> </w:t>
      </w:r>
      <w:r>
        <w:rPr>
          <w:w w:val="130"/>
          <w:sz w:val="24"/>
        </w:rPr>
        <w:t>bírósággal,</w:t>
      </w:r>
    </w:p>
    <w:p>
      <w:pPr>
        <w:pStyle w:val="ListParagraph"/>
        <w:numPr>
          <w:ilvl w:val="0"/>
          <w:numId w:val="370"/>
        </w:numPr>
        <w:tabs>
          <w:tab w:pos="504" w:val="left" w:leader="none"/>
        </w:tabs>
        <w:spacing w:line="250" w:lineRule="exact" w:before="0" w:after="0"/>
        <w:ind w:left="503" w:right="0" w:hanging="186"/>
        <w:jc w:val="left"/>
        <w:rPr>
          <w:sz w:val="24"/>
        </w:rPr>
      </w:pPr>
      <w:r>
        <w:rPr>
          <w:i/>
          <w:w w:val="130"/>
          <w:position w:val="3"/>
          <w:sz w:val="18"/>
        </w:rPr>
        <w:t>3 </w:t>
      </w:r>
      <w:r>
        <w:rPr>
          <w:w w:val="130"/>
          <w:sz w:val="24"/>
        </w:rPr>
        <w:t>a külön törvényben meghatározott feltételek megléte esetén a</w:t>
      </w:r>
      <w:r>
        <w:rPr>
          <w:spacing w:val="8"/>
          <w:w w:val="130"/>
          <w:sz w:val="24"/>
        </w:rPr>
        <w:t> </w:t>
      </w:r>
      <w:r>
        <w:rPr>
          <w:w w:val="130"/>
          <w:sz w:val="24"/>
        </w:rPr>
        <w:t>titkos</w:t>
      </w:r>
    </w:p>
    <w:p>
      <w:pPr>
        <w:pStyle w:val="BodyText"/>
        <w:spacing w:line="267" w:lineRule="exact"/>
        <w:ind w:firstLine="0"/>
      </w:pPr>
      <w:r>
        <w:rPr>
          <w:w w:val="125"/>
        </w:rPr>
        <w:t>információgyűjtésre felhatalmazott szervvel,</w:t>
      </w:r>
    </w:p>
    <w:p>
      <w:pPr>
        <w:pStyle w:val="ListParagraph"/>
        <w:numPr>
          <w:ilvl w:val="0"/>
          <w:numId w:val="370"/>
        </w:numPr>
        <w:tabs>
          <w:tab w:pos="786" w:val="left" w:leader="none"/>
        </w:tabs>
        <w:spacing w:line="225" w:lineRule="auto" w:before="5" w:after="0"/>
        <w:ind w:left="113" w:right="132" w:firstLine="204"/>
        <w:jc w:val="both"/>
        <w:rPr>
          <w:sz w:val="24"/>
        </w:rPr>
      </w:pPr>
      <w:r>
        <w:rPr>
          <w:w w:val="130"/>
          <w:sz w:val="24"/>
        </w:rPr>
        <w:t>a főigazgató eseti engedélye alapján a törvényben meghatározott feladatkörében eljáró nemzetbiztonsági</w:t>
      </w:r>
      <w:r>
        <w:rPr>
          <w:spacing w:val="-17"/>
          <w:w w:val="130"/>
          <w:sz w:val="24"/>
        </w:rPr>
        <w:t> </w:t>
      </w:r>
      <w:r>
        <w:rPr>
          <w:w w:val="130"/>
          <w:sz w:val="24"/>
        </w:rPr>
        <w:t>szolgálattal,</w:t>
      </w:r>
    </w:p>
    <w:p>
      <w:pPr>
        <w:pStyle w:val="ListParagraph"/>
        <w:numPr>
          <w:ilvl w:val="0"/>
          <w:numId w:val="370"/>
        </w:numPr>
        <w:tabs>
          <w:tab w:pos="806" w:val="left" w:leader="none"/>
        </w:tabs>
        <w:spacing w:line="225" w:lineRule="auto" w:before="1" w:after="0"/>
        <w:ind w:left="113" w:right="131" w:firstLine="204"/>
        <w:jc w:val="both"/>
        <w:rPr>
          <w:sz w:val="24"/>
        </w:rPr>
      </w:pPr>
      <w:r>
        <w:rPr>
          <w:w w:val="130"/>
          <w:sz w:val="24"/>
        </w:rPr>
        <w:t>az adó-, vám- és egészségbiztosítási, nyugdíjbiztosítási igazgatási kötelezettség teljesítésének ellenőrzése, valamint az ilyen tartozást</w:t>
      </w:r>
      <w:r>
        <w:rPr>
          <w:spacing w:val="78"/>
          <w:w w:val="130"/>
          <w:sz w:val="24"/>
        </w:rPr>
        <w:t> </w:t>
      </w:r>
      <w:r>
        <w:rPr>
          <w:w w:val="130"/>
          <w:sz w:val="24"/>
        </w:rPr>
        <w:t>megállapító</w:t>
      </w:r>
      <w:r>
        <w:rPr>
          <w:spacing w:val="-24"/>
          <w:w w:val="130"/>
          <w:sz w:val="24"/>
        </w:rPr>
        <w:t> </w:t>
      </w:r>
      <w:r>
        <w:rPr>
          <w:w w:val="130"/>
          <w:sz w:val="24"/>
        </w:rPr>
        <w:t>végrehajtható</w:t>
      </w:r>
      <w:r>
        <w:rPr>
          <w:spacing w:val="-23"/>
          <w:w w:val="130"/>
          <w:sz w:val="24"/>
        </w:rPr>
        <w:t> </w:t>
      </w:r>
      <w:r>
        <w:rPr>
          <w:w w:val="130"/>
          <w:sz w:val="24"/>
        </w:rPr>
        <w:t>okirat</w:t>
      </w:r>
      <w:r>
        <w:rPr>
          <w:spacing w:val="-24"/>
          <w:w w:val="130"/>
          <w:sz w:val="24"/>
        </w:rPr>
        <w:t> </w:t>
      </w:r>
      <w:r>
        <w:rPr>
          <w:w w:val="130"/>
          <w:sz w:val="24"/>
        </w:rPr>
        <w:t>végrehajtása,</w:t>
      </w:r>
      <w:r>
        <w:rPr>
          <w:spacing w:val="-23"/>
          <w:w w:val="130"/>
          <w:sz w:val="24"/>
        </w:rPr>
        <w:t> </w:t>
      </w:r>
      <w:r>
        <w:rPr>
          <w:w w:val="130"/>
          <w:sz w:val="24"/>
        </w:rPr>
        <w:t>továbbá</w:t>
      </w:r>
      <w:r>
        <w:rPr>
          <w:spacing w:val="-21"/>
          <w:w w:val="130"/>
          <w:sz w:val="24"/>
        </w:rPr>
        <w:t> </w:t>
      </w:r>
      <w:r>
        <w:rPr>
          <w:w w:val="130"/>
          <w:sz w:val="24"/>
        </w:rPr>
        <w:t>a</w:t>
      </w:r>
      <w:r>
        <w:rPr>
          <w:spacing w:val="-18"/>
          <w:w w:val="130"/>
          <w:sz w:val="24"/>
        </w:rPr>
        <w:t> </w:t>
      </w:r>
      <w:r>
        <w:rPr>
          <w:w w:val="130"/>
          <w:sz w:val="24"/>
        </w:rPr>
        <w:t>jogalap</w:t>
      </w:r>
      <w:r>
        <w:rPr>
          <w:spacing w:val="-31"/>
          <w:w w:val="130"/>
          <w:sz w:val="24"/>
        </w:rPr>
        <w:t> </w:t>
      </w:r>
      <w:r>
        <w:rPr>
          <w:w w:val="130"/>
          <w:sz w:val="24"/>
        </w:rPr>
        <w:t>nélkül</w:t>
      </w:r>
      <w:r>
        <w:rPr>
          <w:spacing w:val="-23"/>
          <w:w w:val="130"/>
          <w:sz w:val="24"/>
        </w:rPr>
        <w:t> </w:t>
      </w:r>
      <w:r>
        <w:rPr>
          <w:w w:val="130"/>
          <w:sz w:val="24"/>
        </w:rPr>
        <w:t>felvett ellátás</w:t>
      </w:r>
      <w:r>
        <w:rPr>
          <w:spacing w:val="78"/>
          <w:w w:val="130"/>
          <w:sz w:val="24"/>
        </w:rPr>
        <w:t> </w:t>
      </w:r>
      <w:r>
        <w:rPr>
          <w:w w:val="130"/>
          <w:sz w:val="24"/>
        </w:rPr>
        <w:t>összegének</w:t>
      </w:r>
      <w:r>
        <w:rPr>
          <w:spacing w:val="78"/>
          <w:w w:val="130"/>
          <w:sz w:val="24"/>
        </w:rPr>
        <w:t> </w:t>
      </w:r>
      <w:r>
        <w:rPr>
          <w:w w:val="130"/>
          <w:sz w:val="24"/>
        </w:rPr>
        <w:t>megtérülése</w:t>
      </w:r>
      <w:r>
        <w:rPr>
          <w:spacing w:val="78"/>
          <w:w w:val="130"/>
          <w:sz w:val="24"/>
        </w:rPr>
        <w:t> </w:t>
      </w:r>
      <w:r>
        <w:rPr>
          <w:w w:val="130"/>
          <w:sz w:val="24"/>
        </w:rPr>
        <w:t>érdekében</w:t>
      </w:r>
      <w:r>
        <w:rPr>
          <w:spacing w:val="78"/>
          <w:w w:val="130"/>
          <w:sz w:val="24"/>
        </w:rPr>
        <w:t> </w:t>
      </w:r>
      <w:r>
        <w:rPr>
          <w:w w:val="130"/>
          <w:sz w:val="24"/>
        </w:rPr>
        <w:t>eljáró</w:t>
      </w:r>
      <w:r>
        <w:rPr>
          <w:spacing w:val="78"/>
          <w:w w:val="130"/>
          <w:sz w:val="24"/>
        </w:rPr>
        <w:t> </w:t>
      </w:r>
      <w:r>
        <w:rPr>
          <w:w w:val="130"/>
          <w:sz w:val="24"/>
        </w:rPr>
        <w:t>adóhatósággal, vámhatósággal, illetve egészségbiztosítási szervvel, nyugdíjbiztosítási igazgatási</w:t>
      </w:r>
      <w:r>
        <w:rPr>
          <w:spacing w:val="-4"/>
          <w:w w:val="130"/>
          <w:sz w:val="24"/>
        </w:rPr>
        <w:t> </w:t>
      </w:r>
      <w:r>
        <w:rPr>
          <w:w w:val="130"/>
          <w:sz w:val="24"/>
        </w:rPr>
        <w:t>szervvel,</w:t>
      </w:r>
    </w:p>
    <w:p>
      <w:pPr>
        <w:pStyle w:val="ListParagraph"/>
        <w:numPr>
          <w:ilvl w:val="0"/>
          <w:numId w:val="370"/>
        </w:numPr>
        <w:tabs>
          <w:tab w:pos="490" w:val="left" w:leader="none"/>
        </w:tabs>
        <w:spacing w:line="225" w:lineRule="auto" w:before="4" w:after="0"/>
        <w:ind w:left="113" w:right="130" w:firstLine="204"/>
        <w:jc w:val="both"/>
        <w:rPr>
          <w:sz w:val="24"/>
        </w:rPr>
      </w:pPr>
      <w:r>
        <w:rPr>
          <w:i/>
          <w:w w:val="125"/>
          <w:position w:val="3"/>
          <w:sz w:val="18"/>
        </w:rPr>
        <w:t>4 </w:t>
      </w:r>
      <w:r>
        <w:rPr>
          <w:w w:val="125"/>
          <w:sz w:val="24"/>
        </w:rPr>
        <w:t>bírósági végrehajtási eljárásban és a bírósági végrehajtó által lefolytatott közigazgatási végrehajtási eljárásban - ideértve a bírósági végrehajtásról szóló 1994. évi LIII. törvény 79/C. § (2) bekezdése alapján a közös számla nem adós tulajdonosának nevére és címére vonatkozó megkeresést is - eljáró végrehajtóval, valamint a bírósági végrehajtási eljárásba a lakáscélú állami támogatásokról szóló kormányrendeletek alapján bekapcsolódni szándékozó lakáscélú állami támogatások ügyében eljáró</w:t>
      </w:r>
      <w:r>
        <w:rPr>
          <w:spacing w:val="6"/>
          <w:w w:val="125"/>
          <w:sz w:val="24"/>
        </w:rPr>
        <w:t> </w:t>
      </w:r>
      <w:r>
        <w:rPr>
          <w:w w:val="125"/>
          <w:sz w:val="24"/>
        </w:rPr>
        <w:t>szervvel,</w:t>
      </w:r>
    </w:p>
    <w:p>
      <w:pPr>
        <w:pStyle w:val="ListParagraph"/>
        <w:numPr>
          <w:ilvl w:val="0"/>
          <w:numId w:val="370"/>
        </w:numPr>
        <w:tabs>
          <w:tab w:pos="563" w:val="left" w:leader="none"/>
        </w:tabs>
        <w:spacing w:line="259" w:lineRule="exact" w:before="0" w:after="0"/>
        <w:ind w:left="562" w:right="0" w:hanging="245"/>
        <w:jc w:val="left"/>
        <w:rPr>
          <w:sz w:val="24"/>
        </w:rPr>
      </w:pPr>
      <w:r>
        <w:rPr>
          <w:w w:val="130"/>
          <w:sz w:val="24"/>
        </w:rPr>
        <w:t>a feladatkörében eljáró alapvető jogok</w:t>
      </w:r>
      <w:r>
        <w:rPr>
          <w:spacing w:val="-32"/>
          <w:w w:val="130"/>
          <w:sz w:val="24"/>
        </w:rPr>
        <w:t> </w:t>
      </w:r>
      <w:r>
        <w:rPr>
          <w:w w:val="130"/>
          <w:sz w:val="24"/>
        </w:rPr>
        <w:t>biztosával,</w:t>
      </w:r>
    </w:p>
    <w:p>
      <w:pPr>
        <w:pStyle w:val="ListParagraph"/>
        <w:numPr>
          <w:ilvl w:val="0"/>
          <w:numId w:val="370"/>
        </w:numPr>
        <w:tabs>
          <w:tab w:pos="806" w:val="left" w:leader="none"/>
        </w:tabs>
        <w:spacing w:line="225" w:lineRule="auto" w:before="5" w:after="0"/>
        <w:ind w:left="113" w:right="116" w:firstLine="204"/>
        <w:jc w:val="both"/>
        <w:rPr>
          <w:sz w:val="24"/>
        </w:rPr>
      </w:pPr>
      <w:r>
        <w:rPr>
          <w:w w:val="130"/>
          <w:sz w:val="24"/>
        </w:rPr>
        <w:t>a pénzügyi közvetítőrendszer stabilitásáról szóló törvény szerinti feladatkörében eljáró államháztartásért felelős miniszterrel, a pénz-, tőke- és biztosítási piac szabályozásáért felelős miniszterrel és az Európai Unió működéséről</w:t>
      </w:r>
      <w:r>
        <w:rPr>
          <w:spacing w:val="-18"/>
          <w:w w:val="130"/>
          <w:sz w:val="24"/>
        </w:rPr>
        <w:t> </w:t>
      </w:r>
      <w:r>
        <w:rPr>
          <w:w w:val="130"/>
          <w:sz w:val="24"/>
        </w:rPr>
        <w:t>szóló</w:t>
      </w:r>
      <w:r>
        <w:rPr>
          <w:spacing w:val="-17"/>
          <w:w w:val="130"/>
          <w:sz w:val="24"/>
        </w:rPr>
        <w:t> </w:t>
      </w:r>
      <w:r>
        <w:rPr>
          <w:w w:val="130"/>
          <w:sz w:val="24"/>
        </w:rPr>
        <w:t>szerződés</w:t>
      </w:r>
      <w:r>
        <w:rPr>
          <w:spacing w:val="-17"/>
          <w:w w:val="130"/>
          <w:sz w:val="24"/>
        </w:rPr>
        <w:t> </w:t>
      </w:r>
      <w:r>
        <w:rPr>
          <w:w w:val="130"/>
          <w:sz w:val="24"/>
        </w:rPr>
        <w:t>107.</w:t>
      </w:r>
      <w:r>
        <w:rPr>
          <w:spacing w:val="-17"/>
          <w:w w:val="130"/>
          <w:sz w:val="24"/>
        </w:rPr>
        <w:t> </w:t>
      </w:r>
      <w:r>
        <w:rPr>
          <w:w w:val="130"/>
          <w:sz w:val="24"/>
        </w:rPr>
        <w:t>cikk</w:t>
      </w:r>
      <w:r>
        <w:rPr>
          <w:spacing w:val="-17"/>
          <w:w w:val="130"/>
          <w:sz w:val="24"/>
        </w:rPr>
        <w:t> </w:t>
      </w:r>
      <w:r>
        <w:rPr>
          <w:w w:val="130"/>
          <w:sz w:val="24"/>
        </w:rPr>
        <w:t>hatálya</w:t>
      </w:r>
      <w:r>
        <w:rPr>
          <w:spacing w:val="-17"/>
          <w:w w:val="130"/>
          <w:sz w:val="24"/>
        </w:rPr>
        <w:t> </w:t>
      </w:r>
      <w:r>
        <w:rPr>
          <w:w w:val="130"/>
          <w:sz w:val="24"/>
        </w:rPr>
        <w:t>alá</w:t>
      </w:r>
      <w:r>
        <w:rPr>
          <w:spacing w:val="-17"/>
          <w:w w:val="130"/>
          <w:sz w:val="24"/>
        </w:rPr>
        <w:t> </w:t>
      </w:r>
      <w:r>
        <w:rPr>
          <w:w w:val="130"/>
          <w:sz w:val="24"/>
        </w:rPr>
        <w:t>tartozó</w:t>
      </w:r>
      <w:r>
        <w:rPr>
          <w:spacing w:val="-17"/>
          <w:w w:val="130"/>
          <w:sz w:val="24"/>
        </w:rPr>
        <w:t> </w:t>
      </w:r>
      <w:r>
        <w:rPr>
          <w:w w:val="130"/>
          <w:sz w:val="24"/>
        </w:rPr>
        <w:t>állami</w:t>
      </w:r>
      <w:r>
        <w:rPr>
          <w:spacing w:val="-17"/>
          <w:w w:val="130"/>
          <w:sz w:val="24"/>
        </w:rPr>
        <w:t> </w:t>
      </w:r>
      <w:r>
        <w:rPr>
          <w:w w:val="130"/>
          <w:sz w:val="24"/>
        </w:rPr>
        <w:t>támogatások</w:t>
      </w:r>
    </w:p>
    <w:p>
      <w:pPr>
        <w:pStyle w:val="ListParagraph"/>
        <w:numPr>
          <w:ilvl w:val="0"/>
          <w:numId w:val="6"/>
        </w:numPr>
        <w:tabs>
          <w:tab w:pos="325" w:val="left" w:leader="none"/>
        </w:tabs>
        <w:spacing w:line="225" w:lineRule="auto" w:before="3" w:after="0"/>
        <w:ind w:left="113" w:right="128" w:firstLine="0"/>
        <w:jc w:val="both"/>
        <w:rPr>
          <w:sz w:val="24"/>
        </w:rPr>
      </w:pPr>
      <w:r>
        <w:rPr>
          <w:w w:val="125"/>
          <w:sz w:val="24"/>
        </w:rPr>
        <w:t>az Európai Unió működéséről szóló szerződésben szereplő mezőgazdasági termékek előállításához és kereskedelméhez nyújtott támogatások és  az Európai Mezőgazdasági Vidékfejlesztési Alapból nyújtott támogatások, valamint jogszabályban más miniszter feladatkörébe utalt támogatások kivételével - versenyszempontú ellenőrzésének hazai koordinálásáért felelős miniszterrel,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8"/>
        </w:rPr>
      </w:pPr>
      <w:r>
        <w:rPr/>
        <w:pict>
          <v:line style="position:absolute;mso-position-horizontal-relative:page;mso-position-vertical-relative:paragraph;z-index:992;mso-wrap-distance-left:0;mso-wrap-distance-right:0" from="56.693001pt,18.780231pt" to="538.583001pt,18.780231pt" stroked="true" strokeweight=".5pt" strokecolor="#000000">
            <v:stroke dashstyle="solid"/>
            <w10:wrap type="topAndBottom"/>
          </v:line>
        </w:pict>
      </w:r>
    </w:p>
    <w:p>
      <w:pPr>
        <w:pStyle w:val="ListParagraph"/>
        <w:numPr>
          <w:ilvl w:val="0"/>
          <w:numId w:val="371"/>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210. §. Hatályos: 2015. VII.</w:t>
      </w:r>
      <w:r>
        <w:rPr>
          <w:i/>
          <w:spacing w:val="-23"/>
          <w:w w:val="125"/>
          <w:sz w:val="18"/>
        </w:rPr>
        <w:t> </w:t>
      </w:r>
      <w:r>
        <w:rPr>
          <w:i/>
          <w:w w:val="125"/>
          <w:sz w:val="18"/>
        </w:rPr>
        <w:t>7-től.</w:t>
      </w:r>
    </w:p>
    <w:p>
      <w:pPr>
        <w:pStyle w:val="ListParagraph"/>
        <w:numPr>
          <w:ilvl w:val="0"/>
          <w:numId w:val="371"/>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CXCVII. törvény 404. §. Hatályos: 2018. VII.</w:t>
      </w:r>
      <w:r>
        <w:rPr>
          <w:i/>
          <w:spacing w:val="-25"/>
          <w:w w:val="125"/>
          <w:sz w:val="18"/>
        </w:rPr>
        <w:t> </w:t>
      </w:r>
      <w:r>
        <w:rPr>
          <w:i/>
          <w:w w:val="125"/>
          <w:sz w:val="18"/>
        </w:rPr>
        <w:t>1-től.</w:t>
      </w:r>
    </w:p>
    <w:p>
      <w:pPr>
        <w:pStyle w:val="ListParagraph"/>
        <w:numPr>
          <w:ilvl w:val="0"/>
          <w:numId w:val="371"/>
        </w:numPr>
        <w:tabs>
          <w:tab w:pos="686" w:val="left" w:leader="none"/>
          <w:tab w:pos="687" w:val="left" w:leader="none"/>
        </w:tabs>
        <w:spacing w:line="200" w:lineRule="exact" w:before="0" w:after="0"/>
        <w:ind w:left="686" w:right="0" w:hanging="344"/>
        <w:jc w:val="left"/>
        <w:rPr>
          <w:i/>
          <w:sz w:val="18"/>
        </w:rPr>
      </w:pPr>
      <w:r>
        <w:rPr>
          <w:i/>
          <w:w w:val="125"/>
          <w:sz w:val="18"/>
        </w:rPr>
        <w:t>Módosította: 2017. évi CXCVII. törvény 409. §</w:t>
      </w:r>
      <w:r>
        <w:rPr>
          <w:i/>
          <w:spacing w:val="-6"/>
          <w:w w:val="125"/>
          <w:sz w:val="18"/>
        </w:rPr>
        <w:t> </w:t>
      </w:r>
      <w:r>
        <w:rPr>
          <w:i/>
          <w:w w:val="125"/>
          <w:sz w:val="18"/>
        </w:rPr>
        <w:t>b).</w:t>
      </w:r>
    </w:p>
    <w:p>
      <w:pPr>
        <w:tabs>
          <w:tab w:pos="686" w:val="left" w:leader="none"/>
        </w:tabs>
        <w:spacing w:line="203" w:lineRule="exact" w:before="0"/>
        <w:ind w:left="342" w:right="0" w:firstLine="0"/>
        <w:jc w:val="left"/>
        <w:rPr>
          <w:i/>
          <w:sz w:val="18"/>
        </w:rPr>
      </w:pPr>
      <w:r>
        <w:rPr>
          <w:i/>
          <w:w w:val="125"/>
          <w:sz w:val="18"/>
        </w:rPr>
        <w:t>4</w:t>
        <w:tab/>
        <w:t>Módosította: 2015. évi VIII. törvény 21. § (2), 2016. évi CIV. törvény 119. §</w:t>
      </w:r>
      <w:r>
        <w:rPr>
          <w:i/>
          <w:spacing w:val="-22"/>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0"/>
          <w:numId w:val="370"/>
        </w:numPr>
        <w:tabs>
          <w:tab w:pos="490" w:val="left" w:leader="none"/>
          <w:tab w:pos="907" w:val="left" w:leader="none"/>
          <w:tab w:pos="1355" w:val="left" w:leader="none"/>
          <w:tab w:pos="2796" w:val="left" w:leader="none"/>
          <w:tab w:pos="4657" w:val="left" w:leader="none"/>
          <w:tab w:pos="7104" w:val="left" w:leader="none"/>
          <w:tab w:pos="7660" w:val="left" w:leader="none"/>
        </w:tabs>
        <w:spacing w:line="261" w:lineRule="exact" w:before="159" w:after="0"/>
        <w:ind w:left="489" w:right="0" w:hanging="172"/>
        <w:jc w:val="left"/>
        <w:rPr>
          <w:sz w:val="24"/>
        </w:rPr>
      </w:pPr>
      <w:r>
        <w:rPr>
          <w:i/>
          <w:w w:val="130"/>
          <w:position w:val="3"/>
          <w:sz w:val="18"/>
        </w:rPr>
        <w:t>1</w:t>
        <w:tab/>
      </w:r>
      <w:r>
        <w:rPr>
          <w:w w:val="130"/>
          <w:sz w:val="24"/>
        </w:rPr>
        <w:t>a</w:t>
        <w:tab/>
        <w:t>lakáscélú</w:t>
        <w:tab/>
        <w:t>támogatások</w:t>
        <w:tab/>
        <w:t>igénybevételének</w:t>
        <w:tab/>
        <w:t>és</w:t>
        <w:tab/>
        <w:t>felhasználásának</w:t>
      </w:r>
    </w:p>
    <w:p>
      <w:pPr>
        <w:pStyle w:val="BodyText"/>
        <w:spacing w:line="225" w:lineRule="auto" w:before="12"/>
        <w:ind w:right="125" w:firstLine="0"/>
        <w:jc w:val="both"/>
      </w:pPr>
      <w:r>
        <w:rPr>
          <w:w w:val="130"/>
        </w:rPr>
        <w:t>jogszerűsége céljából feladatkörében ellenőrzést végző lakáscélú állami támogatások ügyében eljáró szervvel, kincstárral, lakásgazdálkodásért és lakáspolitikáért felelős miniszterrel, valamint pénz-, tőke- és biztosítási piac szabályozásáért felelős miniszterrel, továbbá a jogalap nélkül felvett fogyatékossági</w:t>
      </w:r>
      <w:r>
        <w:rPr>
          <w:spacing w:val="-15"/>
          <w:w w:val="130"/>
        </w:rPr>
        <w:t> </w:t>
      </w:r>
      <w:r>
        <w:rPr>
          <w:w w:val="130"/>
        </w:rPr>
        <w:t>támogatás</w:t>
      </w:r>
      <w:r>
        <w:rPr>
          <w:spacing w:val="-15"/>
          <w:w w:val="130"/>
        </w:rPr>
        <w:t> </w:t>
      </w:r>
      <w:r>
        <w:rPr>
          <w:w w:val="130"/>
        </w:rPr>
        <w:t>összegének</w:t>
      </w:r>
      <w:r>
        <w:rPr>
          <w:spacing w:val="-15"/>
          <w:w w:val="130"/>
        </w:rPr>
        <w:t> </w:t>
      </w:r>
      <w:r>
        <w:rPr>
          <w:w w:val="130"/>
        </w:rPr>
        <w:t>megtérülése</w:t>
      </w:r>
      <w:r>
        <w:rPr>
          <w:spacing w:val="-14"/>
          <w:w w:val="130"/>
        </w:rPr>
        <w:t> </w:t>
      </w:r>
      <w:r>
        <w:rPr>
          <w:w w:val="130"/>
        </w:rPr>
        <w:t>érdekében</w:t>
      </w:r>
      <w:r>
        <w:rPr>
          <w:spacing w:val="-16"/>
          <w:w w:val="130"/>
        </w:rPr>
        <w:t> </w:t>
      </w:r>
      <w:r>
        <w:rPr>
          <w:w w:val="130"/>
        </w:rPr>
        <w:t>eljáró</w:t>
      </w:r>
      <w:r>
        <w:rPr>
          <w:spacing w:val="-15"/>
          <w:w w:val="130"/>
        </w:rPr>
        <w:t> </w:t>
      </w:r>
      <w:r>
        <w:rPr>
          <w:w w:val="130"/>
        </w:rPr>
        <w:t>lakáscélú állami támogatások ügyében eljáró</w:t>
      </w:r>
      <w:r>
        <w:rPr>
          <w:spacing w:val="-23"/>
          <w:w w:val="130"/>
        </w:rPr>
        <w:t> </w:t>
      </w:r>
      <w:r>
        <w:rPr>
          <w:w w:val="130"/>
        </w:rPr>
        <w:t>szervvel,</w:t>
      </w:r>
    </w:p>
    <w:p>
      <w:pPr>
        <w:pStyle w:val="ListParagraph"/>
        <w:numPr>
          <w:ilvl w:val="0"/>
          <w:numId w:val="370"/>
        </w:numPr>
        <w:tabs>
          <w:tab w:pos="789" w:val="left" w:leader="none"/>
        </w:tabs>
        <w:spacing w:line="225" w:lineRule="auto" w:before="4" w:after="0"/>
        <w:ind w:left="113" w:right="125" w:firstLine="204"/>
        <w:jc w:val="both"/>
        <w:rPr>
          <w:sz w:val="24"/>
        </w:rPr>
      </w:pPr>
      <w:r>
        <w:rPr>
          <w:i/>
          <w:w w:val="125"/>
          <w:sz w:val="24"/>
        </w:rPr>
        <w:t>a </w:t>
      </w:r>
      <w:r>
        <w:rPr>
          <w:w w:val="125"/>
          <w:sz w:val="24"/>
        </w:rPr>
        <w:t>feladatkörében eljáró Nemzeti Adatvédelmi és Információszabadság Hatósággal,</w:t>
      </w:r>
    </w:p>
    <w:p>
      <w:pPr>
        <w:pStyle w:val="ListParagraph"/>
        <w:numPr>
          <w:ilvl w:val="0"/>
          <w:numId w:val="370"/>
        </w:numPr>
        <w:tabs>
          <w:tab w:pos="675" w:val="left" w:leader="none"/>
        </w:tabs>
        <w:spacing w:line="225" w:lineRule="auto" w:before="1" w:after="0"/>
        <w:ind w:left="113" w:right="113" w:firstLine="204"/>
        <w:jc w:val="both"/>
        <w:rPr>
          <w:sz w:val="24"/>
        </w:rPr>
      </w:pPr>
      <w:r>
        <w:rPr>
          <w:w w:val="125"/>
          <w:sz w:val="24"/>
        </w:rPr>
        <w:t>a Magyar Könyvvizsgálói Kamara által a pénzügyi intézménynél működő vagy volt könyvvizsgálója ellen indított fegyelmi eljárás keretében a Magyar Könyvvizsgálói</w:t>
      </w:r>
      <w:r>
        <w:rPr>
          <w:spacing w:val="-1"/>
          <w:w w:val="125"/>
          <w:sz w:val="24"/>
        </w:rPr>
        <w:t> </w:t>
      </w:r>
      <w:r>
        <w:rPr>
          <w:w w:val="125"/>
          <w:sz w:val="24"/>
        </w:rPr>
        <w:t>Kamarával,</w:t>
      </w:r>
    </w:p>
    <w:p>
      <w:pPr>
        <w:pStyle w:val="ListParagraph"/>
        <w:numPr>
          <w:ilvl w:val="0"/>
          <w:numId w:val="370"/>
        </w:numPr>
        <w:tabs>
          <w:tab w:pos="633" w:val="left" w:leader="none"/>
        </w:tabs>
        <w:spacing w:line="256" w:lineRule="exact" w:before="0" w:after="0"/>
        <w:ind w:left="632" w:right="0" w:hanging="315"/>
        <w:jc w:val="left"/>
        <w:rPr>
          <w:sz w:val="24"/>
        </w:rPr>
      </w:pPr>
      <w:r>
        <w:rPr>
          <w:w w:val="130"/>
          <w:sz w:val="24"/>
        </w:rPr>
        <w:t>a feladatkörében eljáró kormányzati ellenőrzési</w:t>
      </w:r>
      <w:r>
        <w:rPr>
          <w:spacing w:val="-41"/>
          <w:w w:val="130"/>
          <w:sz w:val="24"/>
        </w:rPr>
        <w:t> </w:t>
      </w:r>
      <w:r>
        <w:rPr>
          <w:w w:val="130"/>
          <w:sz w:val="24"/>
        </w:rPr>
        <w:t>szervvel,</w:t>
      </w:r>
    </w:p>
    <w:p>
      <w:pPr>
        <w:pStyle w:val="ListParagraph"/>
        <w:numPr>
          <w:ilvl w:val="0"/>
          <w:numId w:val="370"/>
        </w:numPr>
        <w:tabs>
          <w:tab w:pos="689" w:val="left" w:leader="none"/>
        </w:tabs>
        <w:spacing w:line="225" w:lineRule="auto" w:before="5" w:after="0"/>
        <w:ind w:left="113" w:right="130" w:firstLine="204"/>
        <w:jc w:val="both"/>
        <w:rPr>
          <w:sz w:val="24"/>
        </w:rPr>
      </w:pPr>
      <w:r>
        <w:rPr>
          <w:w w:val="130"/>
          <w:sz w:val="24"/>
        </w:rPr>
        <w:t>az eltűnt vagy az elfogatóparancs, európai elfogatóparancs, nemzetközi elfogatóparancs hatálya alatt álló személyek felkutatását, továbbá az ismeretlen</w:t>
      </w:r>
      <w:r>
        <w:rPr>
          <w:spacing w:val="-13"/>
          <w:w w:val="130"/>
          <w:sz w:val="24"/>
        </w:rPr>
        <w:t> </w:t>
      </w:r>
      <w:r>
        <w:rPr>
          <w:w w:val="130"/>
          <w:sz w:val="24"/>
        </w:rPr>
        <w:t>személy</w:t>
      </w:r>
      <w:r>
        <w:rPr>
          <w:spacing w:val="-13"/>
          <w:w w:val="130"/>
          <w:sz w:val="24"/>
        </w:rPr>
        <w:t> </w:t>
      </w:r>
      <w:r>
        <w:rPr>
          <w:w w:val="130"/>
          <w:sz w:val="24"/>
        </w:rPr>
        <w:t>vagy</w:t>
      </w:r>
      <w:r>
        <w:rPr>
          <w:spacing w:val="-13"/>
          <w:w w:val="130"/>
          <w:sz w:val="24"/>
        </w:rPr>
        <w:t> </w:t>
      </w:r>
      <w:r>
        <w:rPr>
          <w:w w:val="130"/>
          <w:sz w:val="24"/>
        </w:rPr>
        <w:t>holttest</w:t>
      </w:r>
      <w:r>
        <w:rPr>
          <w:spacing w:val="-12"/>
          <w:w w:val="130"/>
          <w:sz w:val="24"/>
        </w:rPr>
        <w:t> </w:t>
      </w:r>
      <w:r>
        <w:rPr>
          <w:w w:val="130"/>
          <w:sz w:val="24"/>
        </w:rPr>
        <w:t>azonosítását</w:t>
      </w:r>
      <w:r>
        <w:rPr>
          <w:spacing w:val="-13"/>
          <w:w w:val="130"/>
          <w:sz w:val="24"/>
        </w:rPr>
        <w:t> </w:t>
      </w:r>
      <w:r>
        <w:rPr>
          <w:w w:val="130"/>
          <w:sz w:val="24"/>
        </w:rPr>
        <w:t>végző</w:t>
      </w:r>
      <w:r>
        <w:rPr>
          <w:spacing w:val="-13"/>
          <w:w w:val="130"/>
          <w:sz w:val="24"/>
        </w:rPr>
        <w:t> </w:t>
      </w:r>
      <w:r>
        <w:rPr>
          <w:w w:val="130"/>
          <w:sz w:val="24"/>
        </w:rPr>
        <w:t>rendőri</w:t>
      </w:r>
      <w:r>
        <w:rPr>
          <w:spacing w:val="-12"/>
          <w:w w:val="130"/>
          <w:sz w:val="24"/>
        </w:rPr>
        <w:t> </w:t>
      </w:r>
      <w:r>
        <w:rPr>
          <w:w w:val="130"/>
          <w:sz w:val="24"/>
        </w:rPr>
        <w:t>szervvel,</w:t>
      </w:r>
    </w:p>
    <w:p>
      <w:pPr>
        <w:pStyle w:val="ListParagraph"/>
        <w:numPr>
          <w:ilvl w:val="0"/>
          <w:numId w:val="370"/>
        </w:numPr>
        <w:tabs>
          <w:tab w:pos="567" w:val="left" w:leader="none"/>
          <w:tab w:pos="1013" w:val="left" w:leader="none"/>
          <w:tab w:pos="1466" w:val="left" w:leader="none"/>
          <w:tab w:pos="3259" w:val="left" w:leader="none"/>
          <w:tab w:pos="4841" w:val="left" w:leader="none"/>
          <w:tab w:pos="7321" w:val="left" w:leader="none"/>
          <w:tab w:pos="9050" w:val="left" w:leader="none"/>
        </w:tabs>
        <w:spacing w:line="250" w:lineRule="exact" w:before="0" w:after="0"/>
        <w:ind w:left="566" w:right="0" w:hanging="249"/>
        <w:jc w:val="left"/>
        <w:rPr>
          <w:sz w:val="24"/>
        </w:rPr>
      </w:pPr>
      <w:r>
        <w:rPr>
          <w:i/>
          <w:w w:val="130"/>
          <w:position w:val="3"/>
          <w:sz w:val="18"/>
        </w:rPr>
        <w:t>2</w:t>
        <w:tab/>
      </w:r>
      <w:r>
        <w:rPr>
          <w:w w:val="130"/>
          <w:sz w:val="24"/>
        </w:rPr>
        <w:t>a</w:t>
        <w:tab/>
        <w:t>természetes</w:t>
        <w:tab/>
        <w:t>személyek</w:t>
        <w:tab/>
        <w:t>adósságrendezési</w:t>
        <w:tab/>
        <w:t>eljárásában</w:t>
        <w:tab/>
        <w:t>eljáró</w:t>
      </w:r>
    </w:p>
    <w:p>
      <w:pPr>
        <w:pStyle w:val="BodyText"/>
        <w:spacing w:line="225" w:lineRule="auto" w:before="12"/>
        <w:ind w:firstLine="0"/>
      </w:pPr>
      <w:r>
        <w:rPr>
          <w:w w:val="125"/>
        </w:rPr>
        <w:t>főhitelezővel, Családi Csődvédelmi Szolgálattal, családi vagyonfelügyelővel, bírósággal,</w:t>
      </w:r>
    </w:p>
    <w:p>
      <w:pPr>
        <w:pStyle w:val="ListParagraph"/>
        <w:numPr>
          <w:ilvl w:val="0"/>
          <w:numId w:val="370"/>
        </w:numPr>
        <w:tabs>
          <w:tab w:pos="528" w:val="left" w:leader="none"/>
        </w:tabs>
        <w:spacing w:line="249" w:lineRule="exact" w:before="0" w:after="0"/>
        <w:ind w:left="527" w:right="0" w:hanging="210"/>
        <w:jc w:val="left"/>
        <w:rPr>
          <w:sz w:val="24"/>
        </w:rPr>
      </w:pPr>
      <w:r>
        <w:rPr>
          <w:i/>
          <w:w w:val="130"/>
          <w:position w:val="3"/>
          <w:sz w:val="18"/>
        </w:rPr>
        <w:t>3 </w:t>
      </w:r>
      <w:r>
        <w:rPr>
          <w:w w:val="130"/>
          <w:sz w:val="24"/>
        </w:rPr>
        <w:t>a szociális rászorultságtól függő pénzbeli és természetbeni</w:t>
      </w:r>
      <w:r>
        <w:rPr>
          <w:spacing w:val="21"/>
          <w:w w:val="130"/>
          <w:sz w:val="24"/>
        </w:rPr>
        <w:t> </w:t>
      </w:r>
      <w:r>
        <w:rPr>
          <w:w w:val="130"/>
          <w:sz w:val="24"/>
        </w:rPr>
        <w:t>ellátások</w:t>
      </w:r>
    </w:p>
    <w:p>
      <w:pPr>
        <w:pStyle w:val="BodyText"/>
        <w:tabs>
          <w:tab w:pos="1812" w:val="left" w:leader="none"/>
          <w:tab w:pos="3546" w:val="left" w:leader="none"/>
          <w:tab w:pos="5351" w:val="left" w:leader="none"/>
          <w:tab w:pos="6915" w:val="left" w:leader="none"/>
          <w:tab w:pos="8984" w:val="left" w:leader="none"/>
        </w:tabs>
        <w:spacing w:line="225" w:lineRule="auto" w:before="12"/>
        <w:ind w:right="123" w:firstLine="0"/>
      </w:pPr>
      <w:r>
        <w:rPr>
          <w:w w:val="125"/>
        </w:rPr>
        <w:t>jogosultsági</w:t>
        <w:tab/>
        <w:t>feltételeinek</w:t>
        <w:tab/>
        <w:t>vizsgálatával</w:t>
        <w:tab/>
        <w:t>összefüggő</w:t>
        <w:tab/>
        <w:t>feladatkörében</w:t>
        <w:tab/>
      </w:r>
      <w:r>
        <w:rPr>
          <w:spacing w:val="-3"/>
          <w:w w:val="125"/>
        </w:rPr>
        <w:t>eljáró, </w:t>
      </w:r>
      <w:r>
        <w:rPr>
          <w:w w:val="125"/>
        </w:rPr>
        <w:t>szociális hatáskört gyakorló</w:t>
      </w:r>
      <w:r>
        <w:rPr>
          <w:spacing w:val="3"/>
          <w:w w:val="125"/>
        </w:rPr>
        <w:t> </w:t>
      </w:r>
      <w:r>
        <w:rPr>
          <w:w w:val="125"/>
        </w:rPr>
        <w:t>szervvel,</w:t>
      </w:r>
    </w:p>
    <w:p>
      <w:pPr>
        <w:pStyle w:val="ListParagraph"/>
        <w:numPr>
          <w:ilvl w:val="0"/>
          <w:numId w:val="370"/>
        </w:numPr>
        <w:tabs>
          <w:tab w:pos="536" w:val="left" w:leader="none"/>
          <w:tab w:pos="925" w:val="left" w:leader="none"/>
          <w:tab w:pos="1345" w:val="left" w:leader="none"/>
          <w:tab w:pos="3330" w:val="left" w:leader="none"/>
          <w:tab w:pos="3871" w:val="left" w:leader="none"/>
          <w:tab w:pos="4290" w:val="left" w:leader="none"/>
          <w:tab w:pos="6058" w:val="left" w:leader="none"/>
          <w:tab w:pos="7484" w:val="left" w:leader="none"/>
          <w:tab w:pos="8376" w:val="left" w:leader="none"/>
        </w:tabs>
        <w:spacing w:line="249" w:lineRule="exact" w:before="0" w:after="0"/>
        <w:ind w:left="535" w:right="0" w:hanging="218"/>
        <w:jc w:val="left"/>
        <w:rPr>
          <w:sz w:val="24"/>
        </w:rPr>
      </w:pPr>
      <w:r>
        <w:rPr>
          <w:i/>
          <w:w w:val="130"/>
          <w:position w:val="3"/>
          <w:sz w:val="18"/>
        </w:rPr>
        <w:t>4</w:t>
        <w:tab/>
      </w:r>
      <w:r>
        <w:rPr>
          <w:w w:val="130"/>
          <w:sz w:val="24"/>
        </w:rPr>
        <w:t>a</w:t>
        <w:tab/>
        <w:t>csődeljárásról</w:t>
        <w:tab/>
        <w:t>és</w:t>
        <w:tab/>
        <w:t>a</w:t>
        <w:tab/>
        <w:t>felszámolási</w:t>
        <w:tab/>
        <w:t>eljárásról</w:t>
        <w:tab/>
        <w:t>szóló</w:t>
        <w:tab/>
        <w:t>törvényben</w:t>
      </w:r>
    </w:p>
    <w:p>
      <w:pPr>
        <w:pStyle w:val="BodyText"/>
        <w:spacing w:line="225" w:lineRule="auto" w:before="12"/>
        <w:ind w:right="123" w:firstLine="0"/>
        <w:jc w:val="both"/>
      </w:pPr>
      <w:r>
        <w:rPr>
          <w:w w:val="130"/>
        </w:rPr>
        <w:t>meghatározott felszámoló szervezetek nyilvántartásával és hatósági ellenőrzésével összefüggő feladatai során eljáró, a felszámoló szervezeteket nyilvántartó hatósággal</w:t>
      </w:r>
    </w:p>
    <w:p>
      <w:pPr>
        <w:pStyle w:val="BodyText"/>
        <w:spacing w:line="225" w:lineRule="auto" w:before="2"/>
        <w:ind w:right="129" w:firstLine="0"/>
        <w:jc w:val="both"/>
      </w:pPr>
      <w:r>
        <w:rPr>
          <w:w w:val="130"/>
        </w:rPr>
        <w:t>szemben e szerveknek a pénzügyi intézményhez intézett adatkérése, illetve írásbeli megkeresése esetén.</w:t>
      </w:r>
    </w:p>
    <w:p>
      <w:pPr>
        <w:pStyle w:val="ListParagraph"/>
        <w:numPr>
          <w:ilvl w:val="0"/>
          <w:numId w:val="368"/>
        </w:numPr>
        <w:tabs>
          <w:tab w:pos="743" w:val="left" w:leader="none"/>
        </w:tabs>
        <w:spacing w:line="225" w:lineRule="auto" w:before="1" w:after="0"/>
        <w:ind w:left="113" w:right="130" w:firstLine="204"/>
        <w:jc w:val="both"/>
        <w:rPr>
          <w:sz w:val="24"/>
        </w:rPr>
      </w:pPr>
      <w:r>
        <w:rPr>
          <w:w w:val="130"/>
          <w:sz w:val="24"/>
        </w:rPr>
        <w:t>A</w:t>
      </w:r>
      <w:r>
        <w:rPr>
          <w:spacing w:val="-8"/>
          <w:w w:val="130"/>
          <w:sz w:val="24"/>
        </w:rPr>
        <w:t> </w:t>
      </w:r>
      <w:r>
        <w:rPr>
          <w:w w:val="130"/>
          <w:sz w:val="24"/>
        </w:rPr>
        <w:t>banktitok</w:t>
      </w:r>
      <w:r>
        <w:rPr>
          <w:spacing w:val="-7"/>
          <w:w w:val="130"/>
          <w:sz w:val="24"/>
        </w:rPr>
        <w:t> </w:t>
      </w:r>
      <w:r>
        <w:rPr>
          <w:w w:val="130"/>
          <w:sz w:val="24"/>
        </w:rPr>
        <w:t>megtartásának</w:t>
      </w:r>
      <w:r>
        <w:rPr>
          <w:spacing w:val="-8"/>
          <w:w w:val="130"/>
          <w:sz w:val="24"/>
        </w:rPr>
        <w:t> </w:t>
      </w:r>
      <w:r>
        <w:rPr>
          <w:w w:val="130"/>
          <w:sz w:val="24"/>
        </w:rPr>
        <w:t>kötelezettsége</w:t>
      </w:r>
      <w:r>
        <w:rPr>
          <w:spacing w:val="1"/>
          <w:w w:val="130"/>
          <w:sz w:val="24"/>
        </w:rPr>
        <w:t> </w:t>
      </w:r>
      <w:r>
        <w:rPr>
          <w:w w:val="130"/>
          <w:sz w:val="24"/>
        </w:rPr>
        <w:t>nem</w:t>
      </w:r>
      <w:r>
        <w:rPr>
          <w:spacing w:val="-16"/>
          <w:w w:val="130"/>
          <w:sz w:val="24"/>
        </w:rPr>
        <w:t> </w:t>
      </w:r>
      <w:r>
        <w:rPr>
          <w:w w:val="130"/>
          <w:sz w:val="24"/>
        </w:rPr>
        <w:t>áll</w:t>
      </w:r>
      <w:r>
        <w:rPr>
          <w:spacing w:val="-8"/>
          <w:w w:val="130"/>
          <w:sz w:val="24"/>
        </w:rPr>
        <w:t> </w:t>
      </w:r>
      <w:r>
        <w:rPr>
          <w:w w:val="130"/>
          <w:sz w:val="24"/>
        </w:rPr>
        <w:t>fenn</w:t>
      </w:r>
      <w:r>
        <w:rPr>
          <w:spacing w:val="-7"/>
          <w:w w:val="130"/>
          <w:sz w:val="24"/>
        </w:rPr>
        <w:t> </w:t>
      </w:r>
      <w:r>
        <w:rPr>
          <w:w w:val="130"/>
          <w:sz w:val="24"/>
        </w:rPr>
        <w:t>abban</w:t>
      </w:r>
      <w:r>
        <w:rPr>
          <w:spacing w:val="-7"/>
          <w:w w:val="130"/>
          <w:sz w:val="24"/>
        </w:rPr>
        <w:t> </w:t>
      </w:r>
      <w:r>
        <w:rPr>
          <w:w w:val="130"/>
          <w:sz w:val="24"/>
        </w:rPr>
        <w:t>az</w:t>
      </w:r>
      <w:r>
        <w:rPr>
          <w:spacing w:val="-8"/>
          <w:w w:val="130"/>
          <w:sz w:val="24"/>
        </w:rPr>
        <w:t> </w:t>
      </w:r>
      <w:r>
        <w:rPr>
          <w:w w:val="130"/>
          <w:sz w:val="24"/>
        </w:rPr>
        <w:t>esetben sem,</w:t>
      </w:r>
      <w:r>
        <w:rPr>
          <w:spacing w:val="-3"/>
          <w:w w:val="130"/>
          <w:sz w:val="24"/>
        </w:rPr>
        <w:t> </w:t>
      </w:r>
      <w:r>
        <w:rPr>
          <w:w w:val="130"/>
          <w:sz w:val="24"/>
        </w:rPr>
        <w:t>ha</w:t>
      </w:r>
    </w:p>
    <w:p>
      <w:pPr>
        <w:pStyle w:val="ListParagraph"/>
        <w:numPr>
          <w:ilvl w:val="0"/>
          <w:numId w:val="372"/>
        </w:numPr>
        <w:tabs>
          <w:tab w:pos="860" w:val="left" w:leader="none"/>
        </w:tabs>
        <w:spacing w:line="225" w:lineRule="auto" w:before="1" w:after="0"/>
        <w:ind w:left="113" w:right="121" w:firstLine="204"/>
        <w:jc w:val="both"/>
        <w:rPr>
          <w:sz w:val="24"/>
        </w:rPr>
      </w:pPr>
      <w:r>
        <w:rPr>
          <w:w w:val="130"/>
          <w:sz w:val="24"/>
        </w:rPr>
        <w:t>az adóhatóság és a Felügyelet nemzetközi szerződés, illetve</w:t>
      </w:r>
      <w:r>
        <w:rPr>
          <w:spacing w:val="78"/>
          <w:w w:val="130"/>
          <w:sz w:val="24"/>
        </w:rPr>
        <w:t> </w:t>
      </w:r>
      <w:r>
        <w:rPr>
          <w:w w:val="130"/>
          <w:sz w:val="24"/>
        </w:rPr>
        <w:t>együttműködési</w:t>
      </w:r>
      <w:r>
        <w:rPr>
          <w:spacing w:val="78"/>
          <w:w w:val="130"/>
          <w:sz w:val="24"/>
        </w:rPr>
        <w:t> </w:t>
      </w:r>
      <w:r>
        <w:rPr>
          <w:w w:val="130"/>
          <w:sz w:val="24"/>
        </w:rPr>
        <w:t>megállapodás</w:t>
      </w:r>
      <w:r>
        <w:rPr>
          <w:spacing w:val="78"/>
          <w:w w:val="130"/>
          <w:sz w:val="24"/>
        </w:rPr>
        <w:t> </w:t>
      </w:r>
      <w:r>
        <w:rPr>
          <w:w w:val="130"/>
          <w:sz w:val="24"/>
        </w:rPr>
        <w:t>alapján,</w:t>
      </w:r>
      <w:r>
        <w:rPr>
          <w:spacing w:val="78"/>
          <w:w w:val="130"/>
          <w:sz w:val="24"/>
        </w:rPr>
        <w:t> </w:t>
      </w:r>
      <w:r>
        <w:rPr>
          <w:w w:val="130"/>
          <w:sz w:val="24"/>
        </w:rPr>
        <w:t>külföldi</w:t>
      </w:r>
      <w:r>
        <w:rPr>
          <w:spacing w:val="78"/>
          <w:w w:val="130"/>
          <w:sz w:val="24"/>
        </w:rPr>
        <w:t> </w:t>
      </w:r>
      <w:r>
        <w:rPr>
          <w:w w:val="130"/>
          <w:sz w:val="24"/>
        </w:rPr>
        <w:t>hatóság</w:t>
      </w:r>
      <w:r>
        <w:rPr>
          <w:spacing w:val="78"/>
          <w:w w:val="130"/>
          <w:sz w:val="24"/>
        </w:rPr>
        <w:t> </w:t>
      </w:r>
      <w:r>
        <w:rPr>
          <w:w w:val="130"/>
          <w:sz w:val="24"/>
        </w:rPr>
        <w:t>írásbeli megkeresésének teljesítése érdekében írásban kér adatot a pénzügyi intézménytől, ha a megkeresés tartalmazza a külföldi hatóság által aláírt titoktartási</w:t>
      </w:r>
      <w:r>
        <w:rPr>
          <w:spacing w:val="11"/>
          <w:w w:val="130"/>
          <w:sz w:val="24"/>
        </w:rPr>
        <w:t> </w:t>
      </w:r>
      <w:r>
        <w:rPr>
          <w:w w:val="130"/>
          <w:sz w:val="24"/>
        </w:rPr>
        <w:t>záradékot,</w:t>
      </w:r>
    </w:p>
    <w:p>
      <w:pPr>
        <w:pStyle w:val="ListParagraph"/>
        <w:numPr>
          <w:ilvl w:val="0"/>
          <w:numId w:val="372"/>
        </w:numPr>
        <w:tabs>
          <w:tab w:pos="567" w:val="left" w:leader="none"/>
        </w:tabs>
        <w:spacing w:line="257" w:lineRule="exact" w:before="0" w:after="0"/>
        <w:ind w:left="566" w:right="0" w:hanging="249"/>
        <w:jc w:val="left"/>
        <w:rPr>
          <w:sz w:val="18"/>
        </w:rPr>
      </w:pPr>
      <w:r>
        <w:rPr>
          <w:i/>
          <w:w w:val="127"/>
          <w:position w:val="3"/>
          <w:sz w:val="18"/>
        </w:rPr>
        <w:t>5</w:t>
      </w:r>
      <w:r>
        <w:rPr>
          <w:sz w:val="18"/>
        </w:rPr>
      </w:r>
    </w:p>
    <w:p>
      <w:pPr>
        <w:pStyle w:val="ListParagraph"/>
        <w:numPr>
          <w:ilvl w:val="0"/>
          <w:numId w:val="372"/>
        </w:numPr>
        <w:tabs>
          <w:tab w:pos="736" w:val="left" w:leader="none"/>
        </w:tabs>
        <w:spacing w:line="225" w:lineRule="auto" w:before="5" w:after="0"/>
        <w:ind w:left="113" w:right="118" w:firstLine="204"/>
        <w:jc w:val="both"/>
        <w:rPr>
          <w:sz w:val="24"/>
        </w:rPr>
      </w:pPr>
      <w:r>
        <w:rPr>
          <w:w w:val="125"/>
          <w:sz w:val="24"/>
        </w:rPr>
        <w:t>a pénzügyi intézmény a hitelszerződésből eredő kötelezettségeiknek  eleget tenni nem tudó természetes  személyek  lakhatásának  biztosításáról  szóló 2011. évi CLXX. törvény 13. § (1) bekezdése alapján szolgáltat</w:t>
      </w:r>
      <w:r>
        <w:rPr>
          <w:spacing w:val="-53"/>
          <w:w w:val="125"/>
          <w:sz w:val="24"/>
        </w:rPr>
        <w:t> </w:t>
      </w:r>
      <w:r>
        <w:rPr>
          <w:w w:val="125"/>
          <w:sz w:val="24"/>
        </w:rPr>
        <w:t>adatot,</w:t>
      </w:r>
    </w:p>
    <w:p>
      <w:pPr>
        <w:pStyle w:val="ListParagraph"/>
        <w:numPr>
          <w:ilvl w:val="0"/>
          <w:numId w:val="372"/>
        </w:numPr>
        <w:tabs>
          <w:tab w:pos="567" w:val="left" w:leader="none"/>
        </w:tabs>
        <w:spacing w:line="250" w:lineRule="exact" w:before="0" w:after="0"/>
        <w:ind w:left="566" w:right="0" w:hanging="249"/>
        <w:jc w:val="left"/>
        <w:rPr>
          <w:sz w:val="24"/>
        </w:rPr>
      </w:pPr>
      <w:r>
        <w:rPr>
          <w:i/>
          <w:w w:val="125"/>
          <w:position w:val="3"/>
          <w:sz w:val="18"/>
        </w:rPr>
        <w:t>6</w:t>
      </w:r>
      <w:r>
        <w:rPr>
          <w:i/>
          <w:spacing w:val="53"/>
          <w:w w:val="125"/>
          <w:position w:val="3"/>
          <w:sz w:val="18"/>
        </w:rPr>
        <w:t> </w:t>
      </w:r>
      <w:r>
        <w:rPr>
          <w:w w:val="125"/>
          <w:sz w:val="24"/>
        </w:rPr>
        <w:t>a</w:t>
      </w:r>
      <w:r>
        <w:rPr>
          <w:spacing w:val="34"/>
          <w:w w:val="125"/>
          <w:sz w:val="24"/>
        </w:rPr>
        <w:t> </w:t>
      </w:r>
      <w:r>
        <w:rPr>
          <w:w w:val="125"/>
          <w:sz w:val="24"/>
        </w:rPr>
        <w:t>pénzügyi</w:t>
      </w:r>
      <w:r>
        <w:rPr>
          <w:spacing w:val="35"/>
          <w:w w:val="125"/>
          <w:sz w:val="24"/>
        </w:rPr>
        <w:t> </w:t>
      </w:r>
      <w:r>
        <w:rPr>
          <w:w w:val="125"/>
          <w:sz w:val="24"/>
        </w:rPr>
        <w:t>intézmény</w:t>
      </w:r>
      <w:r>
        <w:rPr>
          <w:spacing w:val="34"/>
          <w:w w:val="125"/>
          <w:sz w:val="24"/>
        </w:rPr>
        <w:t> </w:t>
      </w:r>
      <w:r>
        <w:rPr>
          <w:w w:val="125"/>
          <w:sz w:val="24"/>
        </w:rPr>
        <w:t>az</w:t>
      </w:r>
      <w:r>
        <w:rPr>
          <w:spacing w:val="35"/>
          <w:w w:val="125"/>
          <w:sz w:val="24"/>
        </w:rPr>
        <w:t> </w:t>
      </w:r>
      <w:r>
        <w:rPr>
          <w:w w:val="125"/>
          <w:sz w:val="24"/>
        </w:rPr>
        <w:t>Európai</w:t>
      </w:r>
      <w:r>
        <w:rPr>
          <w:spacing w:val="33"/>
          <w:w w:val="125"/>
          <w:sz w:val="24"/>
        </w:rPr>
        <w:t> </w:t>
      </w:r>
      <w:r>
        <w:rPr>
          <w:w w:val="125"/>
          <w:sz w:val="24"/>
        </w:rPr>
        <w:t>Unió</w:t>
      </w:r>
      <w:r>
        <w:rPr>
          <w:spacing w:val="35"/>
          <w:w w:val="125"/>
          <w:sz w:val="24"/>
        </w:rPr>
        <w:t> </w:t>
      </w:r>
      <w:r>
        <w:rPr>
          <w:w w:val="125"/>
          <w:sz w:val="24"/>
        </w:rPr>
        <w:t>és</w:t>
      </w:r>
      <w:r>
        <w:rPr>
          <w:spacing w:val="34"/>
          <w:w w:val="125"/>
          <w:sz w:val="24"/>
        </w:rPr>
        <w:t> </w:t>
      </w:r>
      <w:r>
        <w:rPr>
          <w:w w:val="125"/>
          <w:sz w:val="24"/>
        </w:rPr>
        <w:t>az</w:t>
      </w:r>
      <w:r>
        <w:rPr>
          <w:spacing w:val="35"/>
          <w:w w:val="125"/>
          <w:sz w:val="24"/>
        </w:rPr>
        <w:t> </w:t>
      </w:r>
      <w:r>
        <w:rPr>
          <w:w w:val="125"/>
          <w:sz w:val="24"/>
        </w:rPr>
        <w:t>ENSZ</w:t>
      </w:r>
      <w:r>
        <w:rPr>
          <w:spacing w:val="34"/>
          <w:w w:val="125"/>
          <w:sz w:val="24"/>
        </w:rPr>
        <w:t> </w:t>
      </w:r>
      <w:r>
        <w:rPr>
          <w:w w:val="125"/>
          <w:sz w:val="24"/>
        </w:rPr>
        <w:t>Biztonsági</w:t>
      </w:r>
      <w:r>
        <w:rPr>
          <w:spacing w:val="33"/>
          <w:w w:val="125"/>
          <w:sz w:val="24"/>
        </w:rPr>
        <w:t> </w:t>
      </w:r>
      <w:r>
        <w:rPr>
          <w:w w:val="125"/>
          <w:sz w:val="24"/>
        </w:rPr>
        <w:t>Tanácsa</w:t>
      </w:r>
    </w:p>
    <w:p>
      <w:pPr>
        <w:pStyle w:val="BodyText"/>
        <w:spacing w:line="225" w:lineRule="auto" w:before="12"/>
        <w:ind w:firstLine="0"/>
      </w:pPr>
      <w:r>
        <w:rPr>
          <w:w w:val="130"/>
        </w:rPr>
        <w:t>által elrendelt pénzügyi és vagyoni korlátozó intézkedések végrehajtásáról szóló törvény meghatározott bejelentési kötelezettségének tesz</w:t>
      </w:r>
      <w:r>
        <w:rPr>
          <w:spacing w:val="-58"/>
          <w:w w:val="130"/>
        </w:rPr>
        <w:t> </w:t>
      </w:r>
      <w:r>
        <w:rPr>
          <w:w w:val="130"/>
        </w:rPr>
        <w:t>eleget,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1016;mso-wrap-distance-left:0;mso-wrap-distance-right:0" from="56.693001pt,14.678758pt" to="538.583001pt,14.678758pt" stroked="true" strokeweight=".5pt" strokecolor="#000000">
            <v:stroke dashstyle="solid"/>
            <w10:wrap type="topAndBottom"/>
          </v:line>
        </w:pict>
      </w:r>
    </w:p>
    <w:p>
      <w:pPr>
        <w:pStyle w:val="ListParagraph"/>
        <w:numPr>
          <w:ilvl w:val="0"/>
          <w:numId w:val="373"/>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4"/>
          <w:w w:val="125"/>
          <w:sz w:val="18"/>
        </w:rPr>
        <w:t> </w:t>
      </w:r>
      <w:r>
        <w:rPr>
          <w:i/>
          <w:w w:val="125"/>
          <w:sz w:val="18"/>
        </w:rPr>
        <w:t>2015.</w:t>
      </w:r>
      <w:r>
        <w:rPr>
          <w:i/>
          <w:spacing w:val="-4"/>
          <w:w w:val="125"/>
          <w:sz w:val="18"/>
        </w:rPr>
        <w:t> </w:t>
      </w:r>
      <w:r>
        <w:rPr>
          <w:i/>
          <w:w w:val="125"/>
          <w:sz w:val="18"/>
        </w:rPr>
        <w:t>évi</w:t>
      </w:r>
      <w:r>
        <w:rPr>
          <w:i/>
          <w:spacing w:val="-4"/>
          <w:w w:val="125"/>
          <w:sz w:val="18"/>
        </w:rPr>
        <w:t> </w:t>
      </w:r>
      <w:r>
        <w:rPr>
          <w:i/>
          <w:w w:val="125"/>
          <w:sz w:val="18"/>
        </w:rPr>
        <w:t>VIII.</w:t>
      </w:r>
      <w:r>
        <w:rPr>
          <w:i/>
          <w:spacing w:val="-3"/>
          <w:w w:val="125"/>
          <w:sz w:val="18"/>
        </w:rPr>
        <w:t> </w:t>
      </w:r>
      <w:r>
        <w:rPr>
          <w:i/>
          <w:w w:val="125"/>
          <w:sz w:val="18"/>
        </w:rPr>
        <w:t>törvény</w:t>
      </w:r>
      <w:r>
        <w:rPr>
          <w:i/>
          <w:spacing w:val="-4"/>
          <w:w w:val="125"/>
          <w:sz w:val="18"/>
        </w:rPr>
        <w:t> </w:t>
      </w:r>
      <w:r>
        <w:rPr>
          <w:i/>
          <w:w w:val="125"/>
          <w:sz w:val="18"/>
        </w:rPr>
        <w:t>21.</w:t>
      </w:r>
      <w:r>
        <w:rPr>
          <w:i/>
          <w:spacing w:val="-4"/>
          <w:w w:val="125"/>
          <w:sz w:val="18"/>
        </w:rPr>
        <w:t> </w:t>
      </w:r>
      <w:r>
        <w:rPr>
          <w:i/>
          <w:w w:val="125"/>
          <w:sz w:val="18"/>
        </w:rPr>
        <w:t>§</w:t>
      </w:r>
      <w:r>
        <w:rPr>
          <w:i/>
          <w:spacing w:val="-3"/>
          <w:w w:val="125"/>
          <w:sz w:val="18"/>
        </w:rPr>
        <w:t> </w:t>
      </w:r>
      <w:r>
        <w:rPr>
          <w:i/>
          <w:w w:val="125"/>
          <w:sz w:val="18"/>
        </w:rPr>
        <w:t>(1).</w:t>
      </w:r>
      <w:r>
        <w:rPr>
          <w:i/>
          <w:spacing w:val="-3"/>
          <w:w w:val="125"/>
          <w:sz w:val="18"/>
        </w:rPr>
        <w:t> </w:t>
      </w:r>
      <w:r>
        <w:rPr>
          <w:i/>
          <w:w w:val="125"/>
          <w:sz w:val="18"/>
        </w:rPr>
        <w:t>Módosította:</w:t>
      </w:r>
      <w:r>
        <w:rPr>
          <w:i/>
          <w:spacing w:val="-4"/>
          <w:w w:val="125"/>
          <w:sz w:val="18"/>
        </w:rPr>
        <w:t> </w:t>
      </w:r>
      <w:r>
        <w:rPr>
          <w:i/>
          <w:w w:val="125"/>
          <w:sz w:val="18"/>
        </w:rPr>
        <w:t>2016.</w:t>
      </w:r>
      <w:r>
        <w:rPr>
          <w:i/>
          <w:spacing w:val="-4"/>
          <w:w w:val="125"/>
          <w:sz w:val="18"/>
        </w:rPr>
        <w:t> </w:t>
      </w:r>
      <w:r>
        <w:rPr>
          <w:i/>
          <w:w w:val="125"/>
          <w:sz w:val="18"/>
        </w:rPr>
        <w:t>évi</w:t>
      </w:r>
      <w:r>
        <w:rPr>
          <w:i/>
          <w:spacing w:val="-4"/>
          <w:w w:val="125"/>
          <w:sz w:val="18"/>
        </w:rPr>
        <w:t> </w:t>
      </w:r>
      <w:r>
        <w:rPr>
          <w:i/>
          <w:w w:val="125"/>
          <w:sz w:val="18"/>
        </w:rPr>
        <w:t>CIV.</w:t>
      </w:r>
      <w:r>
        <w:rPr>
          <w:i/>
          <w:spacing w:val="-3"/>
          <w:w w:val="125"/>
          <w:sz w:val="18"/>
        </w:rPr>
        <w:t> </w:t>
      </w:r>
      <w:r>
        <w:rPr>
          <w:i/>
          <w:w w:val="125"/>
          <w:sz w:val="18"/>
        </w:rPr>
        <w:t>törvény</w:t>
      </w:r>
      <w:r>
        <w:rPr>
          <w:i/>
          <w:spacing w:val="-4"/>
          <w:w w:val="125"/>
          <w:sz w:val="18"/>
        </w:rPr>
        <w:t> </w:t>
      </w:r>
      <w:r>
        <w:rPr>
          <w:i/>
          <w:w w:val="125"/>
          <w:sz w:val="18"/>
        </w:rPr>
        <w:t>119.</w:t>
      </w:r>
      <w:r>
        <w:rPr>
          <w:i/>
          <w:spacing w:val="-4"/>
          <w:w w:val="125"/>
          <w:sz w:val="18"/>
        </w:rPr>
        <w:t> </w:t>
      </w:r>
      <w:r>
        <w:rPr>
          <w:i/>
          <w:w w:val="125"/>
          <w:sz w:val="18"/>
        </w:rPr>
        <w:t>§</w:t>
      </w:r>
      <w:r>
        <w:rPr>
          <w:i/>
          <w:spacing w:val="-2"/>
          <w:w w:val="125"/>
          <w:sz w:val="18"/>
        </w:rPr>
        <w:t> </w:t>
      </w:r>
      <w:r>
        <w:rPr>
          <w:i/>
          <w:w w:val="125"/>
          <w:sz w:val="18"/>
        </w:rPr>
        <w:t>b).</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2015.</w:t>
      </w:r>
      <w:r>
        <w:rPr>
          <w:i/>
          <w:spacing w:val="-7"/>
          <w:w w:val="125"/>
          <w:sz w:val="18"/>
        </w:rPr>
        <w:t> </w:t>
      </w:r>
      <w:r>
        <w:rPr>
          <w:i/>
          <w:w w:val="125"/>
          <w:sz w:val="18"/>
        </w:rPr>
        <w:t>évi</w:t>
      </w:r>
      <w:r>
        <w:rPr>
          <w:i/>
          <w:spacing w:val="-8"/>
          <w:w w:val="125"/>
          <w:sz w:val="18"/>
        </w:rPr>
        <w:t> </w:t>
      </w:r>
      <w:r>
        <w:rPr>
          <w:i/>
          <w:w w:val="125"/>
          <w:sz w:val="18"/>
        </w:rPr>
        <w:t>CV.</w:t>
      </w:r>
      <w:r>
        <w:rPr>
          <w:i/>
          <w:spacing w:val="-6"/>
          <w:w w:val="125"/>
          <w:sz w:val="18"/>
        </w:rPr>
        <w:t> </w:t>
      </w:r>
      <w:r>
        <w:rPr>
          <w:i/>
          <w:w w:val="125"/>
          <w:sz w:val="18"/>
        </w:rPr>
        <w:t>törvény</w:t>
      </w:r>
      <w:r>
        <w:rPr>
          <w:i/>
          <w:spacing w:val="-8"/>
          <w:w w:val="125"/>
          <w:sz w:val="18"/>
        </w:rPr>
        <w:t> </w:t>
      </w:r>
      <w:r>
        <w:rPr>
          <w:i/>
          <w:w w:val="125"/>
          <w:sz w:val="18"/>
        </w:rPr>
        <w:t>124.</w:t>
      </w:r>
      <w:r>
        <w:rPr>
          <w:i/>
          <w:spacing w:val="-7"/>
          <w:w w:val="125"/>
          <w:sz w:val="18"/>
        </w:rPr>
        <w:t> </w:t>
      </w:r>
      <w:r>
        <w:rPr>
          <w:i/>
          <w:w w:val="125"/>
          <w:sz w:val="18"/>
        </w:rPr>
        <w:t>§.</w:t>
      </w:r>
      <w:r>
        <w:rPr>
          <w:i/>
          <w:spacing w:val="-7"/>
          <w:w w:val="125"/>
          <w:sz w:val="18"/>
        </w:rPr>
        <w:t> </w:t>
      </w:r>
      <w:r>
        <w:rPr>
          <w:i/>
          <w:w w:val="125"/>
          <w:sz w:val="18"/>
        </w:rPr>
        <w:t>Hatályos:</w:t>
      </w:r>
      <w:r>
        <w:rPr>
          <w:i/>
          <w:spacing w:val="-6"/>
          <w:w w:val="125"/>
          <w:sz w:val="18"/>
        </w:rPr>
        <w:t> </w:t>
      </w:r>
      <w:r>
        <w:rPr>
          <w:i/>
          <w:w w:val="125"/>
          <w:sz w:val="18"/>
        </w:rPr>
        <w:t>2015.</w:t>
      </w:r>
      <w:r>
        <w:rPr>
          <w:i/>
          <w:spacing w:val="-8"/>
          <w:w w:val="125"/>
          <w:sz w:val="18"/>
        </w:rPr>
        <w:t> </w:t>
      </w:r>
      <w:r>
        <w:rPr>
          <w:i/>
          <w:w w:val="125"/>
          <w:sz w:val="18"/>
        </w:rPr>
        <w:t>IX.</w:t>
      </w:r>
      <w:r>
        <w:rPr>
          <w:i/>
          <w:spacing w:val="-7"/>
          <w:w w:val="125"/>
          <w:sz w:val="18"/>
        </w:rPr>
        <w:t> </w:t>
      </w:r>
      <w:r>
        <w:rPr>
          <w:i/>
          <w:w w:val="125"/>
          <w:sz w:val="18"/>
        </w:rPr>
        <w:t>1-től.</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9"/>
          <w:w w:val="125"/>
          <w:sz w:val="18"/>
        </w:rPr>
        <w:t> </w:t>
      </w:r>
      <w:r>
        <w:rPr>
          <w:i/>
          <w:w w:val="125"/>
          <w:sz w:val="18"/>
        </w:rPr>
        <w:t>2016.</w:t>
      </w:r>
      <w:r>
        <w:rPr>
          <w:i/>
          <w:spacing w:val="-8"/>
          <w:w w:val="125"/>
          <w:sz w:val="18"/>
        </w:rPr>
        <w:t> </w:t>
      </w:r>
      <w:r>
        <w:rPr>
          <w:i/>
          <w:w w:val="125"/>
          <w:sz w:val="18"/>
        </w:rPr>
        <w:t>évi</w:t>
      </w:r>
      <w:r>
        <w:rPr>
          <w:i/>
          <w:spacing w:val="-8"/>
          <w:w w:val="125"/>
          <w:sz w:val="18"/>
        </w:rPr>
        <w:t> </w:t>
      </w:r>
      <w:r>
        <w:rPr>
          <w:i/>
          <w:w w:val="125"/>
          <w:sz w:val="18"/>
        </w:rPr>
        <w:t>XXVI.</w:t>
      </w:r>
      <w:r>
        <w:rPr>
          <w:i/>
          <w:spacing w:val="-9"/>
          <w:w w:val="125"/>
          <w:sz w:val="18"/>
        </w:rPr>
        <w:t> </w:t>
      </w:r>
      <w:r>
        <w:rPr>
          <w:i/>
          <w:w w:val="125"/>
          <w:sz w:val="18"/>
        </w:rPr>
        <w:t>törvény</w:t>
      </w:r>
      <w:r>
        <w:rPr>
          <w:i/>
          <w:spacing w:val="-8"/>
          <w:w w:val="125"/>
          <w:sz w:val="18"/>
        </w:rPr>
        <w:t> </w:t>
      </w:r>
      <w:r>
        <w:rPr>
          <w:i/>
          <w:w w:val="125"/>
          <w:sz w:val="18"/>
        </w:rPr>
        <w:t>55.</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2016.</w:t>
      </w:r>
      <w:r>
        <w:rPr>
          <w:i/>
          <w:spacing w:val="-8"/>
          <w:w w:val="125"/>
          <w:sz w:val="18"/>
        </w:rPr>
        <w:t> </w:t>
      </w:r>
      <w:r>
        <w:rPr>
          <w:i/>
          <w:w w:val="125"/>
          <w:sz w:val="18"/>
        </w:rPr>
        <w:t>V.</w:t>
      </w:r>
      <w:r>
        <w:rPr>
          <w:i/>
          <w:spacing w:val="-8"/>
          <w:w w:val="125"/>
          <w:sz w:val="18"/>
        </w:rPr>
        <w:t> </w:t>
      </w:r>
      <w:r>
        <w:rPr>
          <w:i/>
          <w:w w:val="125"/>
          <w:sz w:val="18"/>
        </w:rPr>
        <w:t>1-től.</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Beiktatta: 2017. évi XLIX. törvény 48. §. Hatályos: 2017. VII.</w:t>
      </w:r>
      <w:r>
        <w:rPr>
          <w:i/>
          <w:spacing w:val="-13"/>
          <w:w w:val="125"/>
          <w:sz w:val="18"/>
        </w:rPr>
        <w:t> </w:t>
      </w:r>
      <w:r>
        <w:rPr>
          <w:i/>
          <w:w w:val="125"/>
          <w:sz w:val="18"/>
        </w:rPr>
        <w:t>1-től.</w:t>
      </w:r>
    </w:p>
    <w:p>
      <w:pPr>
        <w:pStyle w:val="ListParagraph"/>
        <w:numPr>
          <w:ilvl w:val="0"/>
          <w:numId w:val="373"/>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2017. évi CLIX. törvény 224. §. Hatálytalan: 2018. I.</w:t>
      </w:r>
      <w:r>
        <w:rPr>
          <w:i/>
          <w:spacing w:val="-22"/>
          <w:w w:val="125"/>
          <w:sz w:val="18"/>
        </w:rPr>
        <w:t> </w:t>
      </w:r>
      <w:r>
        <w:rPr>
          <w:i/>
          <w:w w:val="125"/>
          <w:sz w:val="18"/>
        </w:rPr>
        <w:t>1-től.</w:t>
      </w:r>
    </w:p>
    <w:p>
      <w:pPr>
        <w:pStyle w:val="ListParagraph"/>
        <w:numPr>
          <w:ilvl w:val="0"/>
          <w:numId w:val="373"/>
        </w:numPr>
        <w:tabs>
          <w:tab w:pos="686" w:val="left" w:leader="none"/>
          <w:tab w:pos="687" w:val="left" w:leader="none"/>
        </w:tabs>
        <w:spacing w:line="203" w:lineRule="exact" w:before="0" w:after="0"/>
        <w:ind w:left="686" w:right="0" w:hanging="344"/>
        <w:jc w:val="left"/>
        <w:rPr>
          <w:i/>
          <w:sz w:val="18"/>
        </w:rPr>
      </w:pPr>
      <w:r>
        <w:rPr>
          <w:i/>
          <w:w w:val="125"/>
          <w:sz w:val="18"/>
        </w:rPr>
        <w:t>Módosítva: 2017. évi LII. törvény 22. § (7) c)</w:t>
      </w:r>
      <w:r>
        <w:rPr>
          <w:i/>
          <w:spacing w:val="-7"/>
          <w:w w:val="125"/>
          <w:sz w:val="18"/>
        </w:rPr>
        <w:t> </w:t>
      </w:r>
      <w:r>
        <w:rPr>
          <w:i/>
          <w:w w:val="125"/>
          <w:sz w:val="18"/>
        </w:rPr>
        <w:t>alapján.</w:t>
      </w:r>
    </w:p>
    <w:p>
      <w:pPr>
        <w:spacing w:after="0" w:line="203" w:lineRule="exact"/>
        <w:jc w:val="left"/>
        <w:rPr>
          <w:sz w:val="18"/>
        </w:rPr>
        <w:sectPr>
          <w:pgSz w:w="11900" w:h="16820"/>
          <w:pgMar w:header="1104" w:footer="0" w:top="1840" w:bottom="280" w:left="1020" w:right="1000"/>
        </w:sectPr>
      </w:pPr>
    </w:p>
    <w:p>
      <w:pPr>
        <w:pStyle w:val="ListParagraph"/>
        <w:numPr>
          <w:ilvl w:val="0"/>
          <w:numId w:val="372"/>
        </w:numPr>
        <w:tabs>
          <w:tab w:pos="751" w:val="left" w:leader="none"/>
        </w:tabs>
        <w:spacing w:line="261" w:lineRule="exact" w:before="159" w:after="0"/>
        <w:ind w:left="750" w:right="0" w:hanging="237"/>
        <w:jc w:val="left"/>
        <w:rPr>
          <w:sz w:val="24"/>
        </w:rPr>
      </w:pPr>
      <w:r>
        <w:rPr/>
        <w:drawing>
          <wp:anchor distT="0" distB="0" distL="0" distR="0" allowOverlap="1" layoutInCell="1" locked="0" behindDoc="0" simplePos="0" relativeHeight="3112">
            <wp:simplePos x="0" y="0"/>
            <wp:positionH relativeFrom="page">
              <wp:posOffset>745401</wp:posOffset>
            </wp:positionH>
            <wp:positionV relativeFrom="paragraph">
              <wp:posOffset>123522</wp:posOffset>
            </wp:positionV>
            <wp:extent cx="228600" cy="16510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1</w:t>
      </w:r>
      <w:r>
        <w:rPr>
          <w:i/>
          <w:spacing w:val="11"/>
          <w:w w:val="130"/>
          <w:position w:val="3"/>
          <w:sz w:val="18"/>
        </w:rPr>
        <w:t> </w:t>
      </w:r>
      <w:r>
        <w:rPr>
          <w:w w:val="130"/>
          <w:sz w:val="24"/>
        </w:rPr>
        <w:t>a</w:t>
      </w:r>
      <w:r>
        <w:rPr>
          <w:spacing w:val="49"/>
          <w:w w:val="130"/>
          <w:sz w:val="24"/>
        </w:rPr>
        <w:t> </w:t>
      </w:r>
      <w:r>
        <w:rPr>
          <w:w w:val="130"/>
          <w:sz w:val="24"/>
        </w:rPr>
        <w:t>pénzügyi</w:t>
      </w:r>
      <w:r>
        <w:rPr>
          <w:spacing w:val="51"/>
          <w:w w:val="130"/>
          <w:sz w:val="24"/>
        </w:rPr>
        <w:t> </w:t>
      </w:r>
      <w:r>
        <w:rPr>
          <w:w w:val="130"/>
          <w:sz w:val="24"/>
        </w:rPr>
        <w:t>intézmény</w:t>
      </w:r>
      <w:r>
        <w:rPr>
          <w:spacing w:val="49"/>
          <w:w w:val="130"/>
          <w:sz w:val="24"/>
        </w:rPr>
        <w:t> </w:t>
      </w:r>
      <w:r>
        <w:rPr>
          <w:w w:val="130"/>
          <w:sz w:val="24"/>
        </w:rPr>
        <w:t>a</w:t>
      </w:r>
      <w:r>
        <w:rPr>
          <w:spacing w:val="59"/>
          <w:w w:val="130"/>
          <w:sz w:val="24"/>
        </w:rPr>
        <w:t> </w:t>
      </w:r>
      <w:r>
        <w:rPr>
          <w:w w:val="130"/>
          <w:sz w:val="24"/>
        </w:rPr>
        <w:t>pénzmosás</w:t>
      </w:r>
      <w:r>
        <w:rPr>
          <w:spacing w:val="41"/>
          <w:w w:val="130"/>
          <w:sz w:val="24"/>
        </w:rPr>
        <w:t> </w:t>
      </w:r>
      <w:r>
        <w:rPr>
          <w:w w:val="130"/>
          <w:sz w:val="24"/>
        </w:rPr>
        <w:t>és</w:t>
      </w:r>
      <w:r>
        <w:rPr>
          <w:spacing w:val="49"/>
          <w:w w:val="130"/>
          <w:sz w:val="24"/>
        </w:rPr>
        <w:t> </w:t>
      </w:r>
      <w:r>
        <w:rPr>
          <w:w w:val="130"/>
          <w:sz w:val="24"/>
        </w:rPr>
        <w:t>a</w:t>
      </w:r>
      <w:r>
        <w:rPr>
          <w:spacing w:val="50"/>
          <w:w w:val="130"/>
          <w:sz w:val="24"/>
        </w:rPr>
        <w:t> </w:t>
      </w:r>
      <w:r>
        <w:rPr>
          <w:w w:val="130"/>
          <w:sz w:val="24"/>
        </w:rPr>
        <w:t>terrorizmus</w:t>
      </w:r>
      <w:r>
        <w:rPr>
          <w:spacing w:val="49"/>
          <w:w w:val="130"/>
          <w:sz w:val="24"/>
        </w:rPr>
        <w:t> </w:t>
      </w:r>
      <w:r>
        <w:rPr>
          <w:w w:val="130"/>
          <w:sz w:val="24"/>
        </w:rPr>
        <w:t>finanszírozása</w:t>
      </w:r>
    </w:p>
    <w:p>
      <w:pPr>
        <w:pStyle w:val="BodyText"/>
        <w:spacing w:line="225" w:lineRule="auto" w:before="12"/>
        <w:ind w:right="129" w:firstLine="0"/>
        <w:jc w:val="both"/>
      </w:pPr>
      <w:r>
        <w:rPr>
          <w:w w:val="125"/>
        </w:rPr>
        <w:t>megelőzéséről és megakadályozásáról szóló 2017. évi LIII. törvény (a továbbiakban: Pmt.) szerinti bejelentési kötelezettségét, valamint  csoportszinten meghatározott pénzmosás és terrorizmus-finanszírozás elleni politikához és eljáráshoz kapcsolódó kötelezettségét</w:t>
      </w:r>
      <w:r>
        <w:rPr>
          <w:spacing w:val="12"/>
          <w:w w:val="125"/>
        </w:rPr>
        <w:t> </w:t>
      </w:r>
      <w:r>
        <w:rPr>
          <w:w w:val="125"/>
        </w:rPr>
        <w:t>teljesíti,</w:t>
      </w:r>
    </w:p>
    <w:p>
      <w:pPr>
        <w:pStyle w:val="ListParagraph"/>
        <w:numPr>
          <w:ilvl w:val="0"/>
          <w:numId w:val="372"/>
        </w:numPr>
        <w:tabs>
          <w:tab w:pos="712" w:val="left" w:leader="none"/>
        </w:tabs>
        <w:spacing w:line="225" w:lineRule="auto" w:before="3" w:after="0"/>
        <w:ind w:left="113" w:right="130" w:firstLine="204"/>
        <w:jc w:val="both"/>
        <w:rPr>
          <w:sz w:val="24"/>
        </w:rPr>
      </w:pPr>
      <w:r>
        <w:rPr>
          <w:w w:val="130"/>
          <w:sz w:val="24"/>
        </w:rPr>
        <w:t>a magyar bűnüldöző szerv nemzetközi kötelezettségvállalás alapján külföldi bűnüldöző szerv írásbeli megkeresésének teljesítése céljából - harmadik ország bűnüldöző szerve esetén, ha a megkeresés tartalmazza a</w:t>
      </w:r>
      <w:r>
        <w:rPr>
          <w:spacing w:val="78"/>
          <w:w w:val="130"/>
          <w:sz w:val="24"/>
        </w:rPr>
        <w:t> </w:t>
      </w:r>
      <w:r>
        <w:rPr>
          <w:w w:val="130"/>
          <w:sz w:val="24"/>
        </w:rPr>
        <w:t>harmadik országbeli adatkérő által aláírt titoktartási záradékot - írásban kér banktitoknak</w:t>
      </w:r>
      <w:r>
        <w:rPr>
          <w:spacing w:val="-10"/>
          <w:w w:val="130"/>
          <w:sz w:val="24"/>
        </w:rPr>
        <w:t> </w:t>
      </w:r>
      <w:r>
        <w:rPr>
          <w:w w:val="130"/>
          <w:sz w:val="24"/>
        </w:rPr>
        <w:t>minősülő</w:t>
      </w:r>
      <w:r>
        <w:rPr>
          <w:spacing w:val="-10"/>
          <w:w w:val="130"/>
          <w:sz w:val="24"/>
        </w:rPr>
        <w:t> </w:t>
      </w:r>
      <w:r>
        <w:rPr>
          <w:w w:val="130"/>
          <w:sz w:val="24"/>
        </w:rPr>
        <w:t>adatot</w:t>
      </w:r>
      <w:r>
        <w:rPr>
          <w:spacing w:val="-10"/>
          <w:w w:val="130"/>
          <w:sz w:val="24"/>
        </w:rPr>
        <w:t> </w:t>
      </w:r>
      <w:r>
        <w:rPr>
          <w:w w:val="130"/>
          <w:sz w:val="24"/>
        </w:rPr>
        <w:t>a</w:t>
      </w:r>
      <w:r>
        <w:rPr>
          <w:spacing w:val="-10"/>
          <w:w w:val="130"/>
          <w:sz w:val="24"/>
        </w:rPr>
        <w:t> </w:t>
      </w:r>
      <w:r>
        <w:rPr>
          <w:w w:val="130"/>
          <w:sz w:val="24"/>
        </w:rPr>
        <w:t>pénzügyi</w:t>
      </w:r>
      <w:r>
        <w:rPr>
          <w:spacing w:val="-9"/>
          <w:w w:val="130"/>
          <w:sz w:val="24"/>
        </w:rPr>
        <w:t> </w:t>
      </w:r>
      <w:r>
        <w:rPr>
          <w:w w:val="130"/>
          <w:sz w:val="24"/>
        </w:rPr>
        <w:t>intézménytől,</w:t>
      </w:r>
      <w:r>
        <w:rPr>
          <w:spacing w:val="-10"/>
          <w:w w:val="130"/>
          <w:sz w:val="24"/>
        </w:rPr>
        <w:t> </w:t>
      </w:r>
      <w:r>
        <w:rPr>
          <w:w w:val="130"/>
          <w:sz w:val="24"/>
        </w:rPr>
        <w:t>vagy</w:t>
      </w:r>
    </w:p>
    <w:p>
      <w:pPr>
        <w:pStyle w:val="ListParagraph"/>
        <w:numPr>
          <w:ilvl w:val="0"/>
          <w:numId w:val="372"/>
        </w:numPr>
        <w:tabs>
          <w:tab w:pos="812" w:val="left" w:leader="none"/>
        </w:tabs>
        <w:spacing w:line="225" w:lineRule="auto" w:before="3" w:after="0"/>
        <w:ind w:left="113" w:right="131" w:firstLine="204"/>
        <w:jc w:val="both"/>
        <w:rPr>
          <w:sz w:val="24"/>
        </w:rPr>
      </w:pPr>
      <w:r>
        <w:rPr>
          <w:w w:val="130"/>
          <w:sz w:val="24"/>
        </w:rPr>
        <w:t>a pénzügyi információs egységként működő hatóság a Pmt.-ben meghatározott feladatkörében eljárva vagy külföldi pénzügyi információs egység írásbeli megkeresésének teljesítése céljából - harmadik ország</w:t>
      </w:r>
      <w:r>
        <w:rPr>
          <w:spacing w:val="78"/>
          <w:w w:val="130"/>
          <w:sz w:val="24"/>
        </w:rPr>
        <w:t> </w:t>
      </w:r>
      <w:r>
        <w:rPr>
          <w:w w:val="130"/>
          <w:sz w:val="24"/>
        </w:rPr>
        <w:t>pénzügyi információs egysége esetén, ha a megkeresés tartalmazza a harmadik országbeli adatkérő által aláírt titoktartási záradékot - írásban kér banktitoknak minősülő adatot a pénzügyi</w:t>
      </w:r>
      <w:r>
        <w:rPr>
          <w:spacing w:val="-38"/>
          <w:w w:val="130"/>
          <w:sz w:val="24"/>
        </w:rPr>
        <w:t> </w:t>
      </w:r>
      <w:r>
        <w:rPr>
          <w:w w:val="130"/>
          <w:sz w:val="24"/>
        </w:rPr>
        <w:t>intézménytől.</w:t>
      </w:r>
    </w:p>
    <w:p>
      <w:pPr>
        <w:pStyle w:val="ListParagraph"/>
        <w:numPr>
          <w:ilvl w:val="0"/>
          <w:numId w:val="368"/>
        </w:numPr>
        <w:tabs>
          <w:tab w:pos="867" w:val="left" w:leader="none"/>
        </w:tabs>
        <w:spacing w:line="225" w:lineRule="auto" w:before="3" w:after="0"/>
        <w:ind w:left="113" w:right="126" w:firstLine="204"/>
        <w:jc w:val="both"/>
        <w:rPr>
          <w:sz w:val="24"/>
        </w:rPr>
      </w:pPr>
      <w:r>
        <w:rPr>
          <w:w w:val="130"/>
          <w:sz w:val="24"/>
        </w:rPr>
        <w:t>Az írásbeli megkeresésben meg kell jelölni azt az ügyfelet vagy bankszámlát, akiről vagy amelyről a (2) bekezdésben megjelölt szerv vagy hatóság a banktitok kiadását kéri, valamint a kért adatok fajtáját és az adatkérés célját, kivéve, ha a feladatkörében eljáró Felügyelet helyszíni ellenőrzést</w:t>
      </w:r>
      <w:r>
        <w:rPr>
          <w:spacing w:val="-4"/>
          <w:w w:val="130"/>
          <w:sz w:val="24"/>
        </w:rPr>
        <w:t> </w:t>
      </w:r>
      <w:r>
        <w:rPr>
          <w:w w:val="130"/>
          <w:sz w:val="24"/>
        </w:rPr>
        <w:t>folytat.</w:t>
      </w:r>
    </w:p>
    <w:p>
      <w:pPr>
        <w:pStyle w:val="BodyText"/>
        <w:tabs>
          <w:tab w:pos="7306" w:val="left" w:leader="none"/>
        </w:tabs>
        <w:spacing w:line="251" w:lineRule="exact"/>
        <w:ind w:left="317" w:firstLine="0"/>
      </w:pPr>
      <w:r>
        <w:rPr>
          <w:w w:val="125"/>
        </w:rPr>
        <w:t>(4a)</w:t>
      </w:r>
      <w:r>
        <w:rPr>
          <w:i/>
          <w:w w:val="125"/>
          <w:position w:val="3"/>
          <w:sz w:val="18"/>
        </w:rPr>
        <w:t>2    </w:t>
      </w:r>
      <w:r>
        <w:rPr>
          <w:w w:val="125"/>
        </w:rPr>
        <w:t>Ha   törvény   másként   nem</w:t>
      </w:r>
      <w:r>
        <w:rPr>
          <w:spacing w:val="36"/>
          <w:w w:val="125"/>
        </w:rPr>
        <w:t> </w:t>
      </w:r>
      <w:r>
        <w:rPr>
          <w:w w:val="125"/>
        </w:rPr>
        <w:t>rendelkezik, </w:t>
      </w:r>
      <w:r>
        <w:rPr>
          <w:spacing w:val="53"/>
          <w:w w:val="125"/>
        </w:rPr>
        <w:t> </w:t>
      </w:r>
      <w:r>
        <w:rPr>
          <w:w w:val="125"/>
        </w:rPr>
        <w:t>akkor</w:t>
        <w:tab/>
        <w:t>a (2)</w:t>
      </w:r>
      <w:r>
        <w:rPr>
          <w:spacing w:val="34"/>
          <w:w w:val="125"/>
        </w:rPr>
        <w:t> </w:t>
      </w:r>
      <w:r>
        <w:rPr>
          <w:w w:val="125"/>
        </w:rPr>
        <w:t>bekezdésben</w:t>
      </w:r>
    </w:p>
    <w:p>
      <w:pPr>
        <w:pStyle w:val="BodyText"/>
        <w:spacing w:line="225" w:lineRule="auto" w:before="12"/>
        <w:ind w:right="127" w:firstLine="0"/>
        <w:jc w:val="both"/>
      </w:pPr>
      <w:r>
        <w:rPr>
          <w:w w:val="130"/>
        </w:rPr>
        <w:t>meghatározott</w:t>
      </w:r>
      <w:r>
        <w:rPr>
          <w:spacing w:val="-7"/>
          <w:w w:val="130"/>
        </w:rPr>
        <w:t> </w:t>
      </w:r>
      <w:r>
        <w:rPr>
          <w:w w:val="130"/>
        </w:rPr>
        <w:t>esetben</w:t>
      </w:r>
      <w:r>
        <w:rPr>
          <w:spacing w:val="-7"/>
          <w:w w:val="130"/>
        </w:rPr>
        <w:t> </w:t>
      </w:r>
      <w:r>
        <w:rPr>
          <w:w w:val="130"/>
        </w:rPr>
        <w:t>a</w:t>
      </w:r>
      <w:r>
        <w:rPr>
          <w:spacing w:val="-7"/>
          <w:w w:val="130"/>
        </w:rPr>
        <w:t> </w:t>
      </w:r>
      <w:r>
        <w:rPr>
          <w:w w:val="130"/>
        </w:rPr>
        <w:t>pénzügyi</w:t>
      </w:r>
      <w:r>
        <w:rPr>
          <w:spacing w:val="-7"/>
          <w:w w:val="130"/>
        </w:rPr>
        <w:t> </w:t>
      </w:r>
      <w:r>
        <w:rPr>
          <w:w w:val="130"/>
        </w:rPr>
        <w:t>intézmény</w:t>
      </w:r>
      <w:r>
        <w:rPr>
          <w:spacing w:val="-6"/>
          <w:w w:val="130"/>
        </w:rPr>
        <w:t> </w:t>
      </w:r>
      <w:r>
        <w:rPr>
          <w:w w:val="130"/>
        </w:rPr>
        <w:t>rendőrség</w:t>
      </w:r>
      <w:r>
        <w:rPr>
          <w:spacing w:val="-7"/>
          <w:w w:val="130"/>
        </w:rPr>
        <w:t> </w:t>
      </w:r>
      <w:r>
        <w:rPr>
          <w:w w:val="130"/>
        </w:rPr>
        <w:t>és</w:t>
      </w:r>
      <w:r>
        <w:rPr>
          <w:spacing w:val="-7"/>
          <w:w w:val="130"/>
        </w:rPr>
        <w:t> </w:t>
      </w:r>
      <w:r>
        <w:rPr>
          <w:w w:val="130"/>
        </w:rPr>
        <w:t>a</w:t>
      </w:r>
      <w:r>
        <w:rPr>
          <w:spacing w:val="-7"/>
          <w:w w:val="130"/>
        </w:rPr>
        <w:t> </w:t>
      </w:r>
      <w:r>
        <w:rPr>
          <w:w w:val="130"/>
        </w:rPr>
        <w:t>Nemzeti</w:t>
      </w:r>
      <w:r>
        <w:rPr>
          <w:spacing w:val="-6"/>
          <w:w w:val="130"/>
        </w:rPr>
        <w:t> </w:t>
      </w:r>
      <w:r>
        <w:rPr>
          <w:w w:val="130"/>
        </w:rPr>
        <w:t>Adó-</w:t>
      </w:r>
      <w:r>
        <w:rPr>
          <w:spacing w:val="-7"/>
          <w:w w:val="130"/>
        </w:rPr>
        <w:t> </w:t>
      </w:r>
      <w:r>
        <w:rPr>
          <w:w w:val="130"/>
        </w:rPr>
        <w:t>és Vámhivatal titkos információgyűjtés folytatására feljogosított szerve, az ügyészség, a nyomozó hatóság és az előkészítő eljárást folytató szerv adatkérésére tizenöt munkanapon belül, a nemzetbiztonsági szolgálat írásbeli megkeresésére kettő munkanapon belül szolgáltatja a kért</w:t>
      </w:r>
      <w:r>
        <w:rPr>
          <w:spacing w:val="-39"/>
          <w:w w:val="130"/>
        </w:rPr>
        <w:t> </w:t>
      </w:r>
      <w:r>
        <w:rPr>
          <w:w w:val="130"/>
        </w:rPr>
        <w:t>adatot.</w:t>
      </w:r>
    </w:p>
    <w:p>
      <w:pPr>
        <w:pStyle w:val="BodyText"/>
        <w:tabs>
          <w:tab w:pos="1222" w:val="left" w:leader="none"/>
          <w:tab w:pos="1692" w:val="left" w:leader="none"/>
          <w:tab w:pos="3085" w:val="left" w:leader="none"/>
          <w:tab w:pos="4635" w:val="left" w:leader="none"/>
          <w:tab w:pos="5074" w:val="left" w:leader="none"/>
          <w:tab w:pos="7465" w:val="left" w:leader="none"/>
          <w:tab w:pos="8377" w:val="left" w:leader="none"/>
        </w:tabs>
        <w:spacing w:line="251" w:lineRule="exact"/>
        <w:ind w:left="317" w:firstLine="0"/>
      </w:pPr>
      <w:r>
        <w:rPr>
          <w:w w:val="125"/>
        </w:rPr>
        <w:t>(4b)</w:t>
      </w:r>
      <w:r>
        <w:rPr>
          <w:i/>
          <w:w w:val="125"/>
          <w:position w:val="3"/>
          <w:sz w:val="18"/>
        </w:rPr>
        <w:t>3</w:t>
        <w:tab/>
      </w:r>
      <w:r>
        <w:rPr>
          <w:w w:val="125"/>
        </w:rPr>
        <w:t>A</w:t>
        <w:tab/>
        <w:t>pénzügyi</w:t>
        <w:tab/>
        <w:t>intézmény</w:t>
        <w:tab/>
        <w:t>a</w:t>
        <w:tab/>
        <w:t>büntetőeljárásról</w:t>
        <w:tab/>
        <w:t>szóló</w:t>
        <w:tab/>
        <w:t>törvényben</w:t>
      </w:r>
    </w:p>
    <w:p>
      <w:pPr>
        <w:pStyle w:val="BodyText"/>
        <w:spacing w:line="225" w:lineRule="auto" w:before="12"/>
        <w:ind w:right="128" w:firstLine="0"/>
        <w:jc w:val="both"/>
      </w:pPr>
      <w:r>
        <w:rPr>
          <w:w w:val="125"/>
        </w:rPr>
        <w:t>meghatározott fizetési műveletek megfigyelésének elrendelése esetén az elrendelésről szóló határozatban megjelölt adatokat az abban meghatározott módon és határidőben köteles rögzíteni és továbbítani.</w:t>
      </w:r>
    </w:p>
    <w:p>
      <w:pPr>
        <w:pStyle w:val="ListParagraph"/>
        <w:numPr>
          <w:ilvl w:val="0"/>
          <w:numId w:val="368"/>
        </w:numPr>
        <w:tabs>
          <w:tab w:pos="785" w:val="left" w:leader="none"/>
        </w:tabs>
        <w:spacing w:line="225" w:lineRule="auto" w:before="2" w:after="0"/>
        <w:ind w:left="113" w:right="127" w:firstLine="204"/>
        <w:jc w:val="both"/>
        <w:rPr>
          <w:sz w:val="24"/>
        </w:rPr>
      </w:pPr>
      <w:r>
        <w:rPr>
          <w:w w:val="130"/>
          <w:sz w:val="24"/>
        </w:rPr>
        <w:t>Nem kell a (4) bekezdés szerinti adatokat az írásbeli megkeresésében megjelölni, ha a Gazdasági Versenyhivatal előzetes értesítés nélkül helyszíni szemlét vagy helyszíni kutatást tart. Ezekben az esetekben a Gazdasági Versenyhivatal megkeresését a helyszínen</w:t>
      </w:r>
      <w:r>
        <w:rPr>
          <w:spacing w:val="-26"/>
          <w:w w:val="130"/>
          <w:sz w:val="24"/>
        </w:rPr>
        <w:t> </w:t>
      </w:r>
      <w:r>
        <w:rPr>
          <w:w w:val="130"/>
          <w:sz w:val="24"/>
        </w:rPr>
        <w:t>közli.</w:t>
      </w:r>
    </w:p>
    <w:p>
      <w:pPr>
        <w:pStyle w:val="ListParagraph"/>
        <w:numPr>
          <w:ilvl w:val="0"/>
          <w:numId w:val="368"/>
        </w:numPr>
        <w:tabs>
          <w:tab w:pos="817" w:val="left" w:leader="none"/>
        </w:tabs>
        <w:spacing w:line="225" w:lineRule="auto" w:before="2" w:after="0"/>
        <w:ind w:left="113" w:right="124" w:firstLine="204"/>
        <w:jc w:val="both"/>
        <w:rPr>
          <w:sz w:val="24"/>
        </w:rPr>
      </w:pPr>
      <w:r>
        <w:rPr>
          <w:w w:val="130"/>
          <w:sz w:val="24"/>
        </w:rPr>
        <w:t>A (2) és (3) bekezdés szerint adatkérésre jogosult a rendelkezésére bocsátott adatokat kizárólag arra a célra használhatja fel, amelyet az adatkéréskor</w:t>
      </w:r>
      <w:r>
        <w:rPr>
          <w:spacing w:val="-4"/>
          <w:w w:val="130"/>
          <w:sz w:val="24"/>
        </w:rPr>
        <w:t> </w:t>
      </w:r>
      <w:r>
        <w:rPr>
          <w:w w:val="130"/>
          <w:sz w:val="24"/>
        </w:rPr>
        <w:t>megjelölt.</w:t>
      </w:r>
    </w:p>
    <w:p>
      <w:pPr>
        <w:pStyle w:val="ListParagraph"/>
        <w:numPr>
          <w:ilvl w:val="0"/>
          <w:numId w:val="368"/>
        </w:numPr>
        <w:tabs>
          <w:tab w:pos="796" w:val="left" w:leader="none"/>
        </w:tabs>
        <w:spacing w:line="225" w:lineRule="auto" w:before="2" w:after="0"/>
        <w:ind w:left="113" w:right="129" w:firstLine="204"/>
        <w:jc w:val="both"/>
        <w:rPr>
          <w:sz w:val="24"/>
        </w:rPr>
      </w:pPr>
      <w:r>
        <w:rPr>
          <w:w w:val="125"/>
          <w:sz w:val="24"/>
        </w:rPr>
        <w:t>A pénzügyi intézmény az (1)-(3) bekezdésben, valamint az 162. §-ban foglalt esetekben az adatok kiszolgáltatását - titoktartási kötelezettségére hivatkozva - nem tagadhatja</w:t>
      </w:r>
      <w:r>
        <w:rPr>
          <w:spacing w:val="3"/>
          <w:w w:val="125"/>
          <w:sz w:val="24"/>
        </w:rPr>
        <w:t> </w:t>
      </w:r>
      <w:r>
        <w:rPr>
          <w:w w:val="125"/>
          <w:sz w:val="24"/>
        </w:rPr>
        <w:t>meg.</w:t>
      </w:r>
    </w:p>
    <w:p>
      <w:pPr>
        <w:pStyle w:val="ListParagraph"/>
        <w:numPr>
          <w:ilvl w:val="0"/>
          <w:numId w:val="368"/>
        </w:numPr>
        <w:tabs>
          <w:tab w:pos="933" w:val="left" w:leader="none"/>
        </w:tabs>
        <w:spacing w:line="225" w:lineRule="auto" w:before="1" w:after="0"/>
        <w:ind w:left="113" w:right="117" w:firstLine="204"/>
        <w:jc w:val="both"/>
        <w:rPr>
          <w:sz w:val="24"/>
        </w:rPr>
      </w:pPr>
      <w:r>
        <w:rPr>
          <w:w w:val="125"/>
          <w:sz w:val="24"/>
        </w:rPr>
        <w:t>Az MNB jogszabályban, a pénzügyi intézmény számára előírt adatszolgáltatás során is jogosult banktitokhoz</w:t>
      </w:r>
      <w:r>
        <w:rPr>
          <w:spacing w:val="12"/>
          <w:w w:val="125"/>
          <w:sz w:val="24"/>
        </w:rPr>
        <w:t> </w:t>
      </w:r>
      <w:r>
        <w:rPr>
          <w:w w:val="125"/>
          <w:sz w:val="24"/>
        </w:rPr>
        <w:t>jutni.</w:t>
      </w:r>
    </w:p>
    <w:p>
      <w:pPr>
        <w:pStyle w:val="ListParagraph"/>
        <w:numPr>
          <w:ilvl w:val="0"/>
          <w:numId w:val="368"/>
        </w:numPr>
        <w:tabs>
          <w:tab w:pos="659" w:val="left" w:leader="none"/>
        </w:tabs>
        <w:spacing w:line="250" w:lineRule="exact" w:before="0" w:after="0"/>
        <w:ind w:left="658" w:right="0" w:hanging="341"/>
        <w:jc w:val="left"/>
        <w:rPr>
          <w:sz w:val="24"/>
        </w:rPr>
      </w:pPr>
      <w:r>
        <w:rPr>
          <w:i/>
          <w:w w:val="125"/>
          <w:position w:val="3"/>
          <w:sz w:val="18"/>
        </w:rPr>
        <w:t>4 </w:t>
      </w:r>
      <w:r>
        <w:rPr>
          <w:w w:val="125"/>
          <w:sz w:val="24"/>
        </w:rPr>
        <w:t>Az adóhatóság a FATCA-törvényből, valamint a pénzügyi</w:t>
      </w:r>
      <w:r>
        <w:rPr>
          <w:spacing w:val="20"/>
          <w:w w:val="125"/>
          <w:sz w:val="24"/>
        </w:rPr>
        <w:t> </w:t>
      </w:r>
      <w:r>
        <w:rPr>
          <w:w w:val="125"/>
          <w:sz w:val="24"/>
        </w:rPr>
        <w:t>számlákkal</w:t>
      </w:r>
    </w:p>
    <w:p>
      <w:pPr>
        <w:pStyle w:val="BodyText"/>
        <w:spacing w:line="225" w:lineRule="auto" w:before="12"/>
        <w:ind w:right="128" w:firstLine="0"/>
        <w:jc w:val="both"/>
      </w:pPr>
      <w:r>
        <w:rPr>
          <w:w w:val="130"/>
        </w:rPr>
        <w:t>kapcsolatos egyéb adatszolgáltatási kötelezettség teljesítése céljából az Aktv. 43/B. és 43/C., továbbá 43/H. §-a szerinti adatszolgáltatás során is jogosult banktitokhoz jutni.</w:t>
      </w:r>
    </w:p>
    <w:p>
      <w:pPr>
        <w:pStyle w:val="BodyText"/>
        <w:ind w:left="0" w:firstLine="0"/>
        <w:rPr>
          <w:sz w:val="20"/>
        </w:rPr>
      </w:pPr>
    </w:p>
    <w:p>
      <w:pPr>
        <w:pStyle w:val="BodyText"/>
        <w:spacing w:before="5"/>
        <w:ind w:left="0" w:firstLine="0"/>
        <w:rPr>
          <w:sz w:val="23"/>
        </w:rPr>
      </w:pPr>
      <w:r>
        <w:rPr/>
        <w:pict>
          <v:line style="position:absolute;mso-position-horizontal-relative:page;mso-position-vertical-relative:paragraph;z-index:1040;mso-wrap-distance-left:0;mso-wrap-distance-right:0" from="56.693001pt,15.703953pt" to="538.583001pt,15.703953pt" stroked="true" strokeweight=".5pt" strokecolor="#000000">
            <v:stroke dashstyle="solid"/>
            <w10:wrap type="topAndBottom"/>
          </v:line>
        </w:pict>
      </w:r>
    </w:p>
    <w:p>
      <w:pPr>
        <w:pStyle w:val="ListParagraph"/>
        <w:numPr>
          <w:ilvl w:val="0"/>
          <w:numId w:val="374"/>
        </w:numPr>
        <w:tabs>
          <w:tab w:pos="686" w:val="left" w:leader="none"/>
          <w:tab w:pos="687" w:val="left" w:leader="none"/>
        </w:tabs>
        <w:spacing w:line="203" w:lineRule="exact" w:before="44" w:after="0"/>
        <w:ind w:left="686" w:right="0" w:hanging="344"/>
        <w:jc w:val="left"/>
        <w:rPr>
          <w:i/>
          <w:sz w:val="18"/>
        </w:rPr>
      </w:pPr>
      <w:r>
        <w:rPr>
          <w:i/>
          <w:w w:val="125"/>
          <w:sz w:val="18"/>
        </w:rPr>
        <w:t>Megállapította: 2019. évi XXXIV. törvény 132. §. Hatályos: 2019. IV.</w:t>
      </w:r>
      <w:r>
        <w:rPr>
          <w:i/>
          <w:spacing w:val="-22"/>
          <w:w w:val="125"/>
          <w:sz w:val="18"/>
        </w:rPr>
        <w:t> </w:t>
      </w:r>
      <w:r>
        <w:rPr>
          <w:i/>
          <w:w w:val="125"/>
          <w:sz w:val="18"/>
        </w:rPr>
        <w:t>26-tól.</w:t>
      </w:r>
    </w:p>
    <w:p>
      <w:pPr>
        <w:pStyle w:val="ListParagraph"/>
        <w:numPr>
          <w:ilvl w:val="0"/>
          <w:numId w:val="374"/>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5"/>
          <w:w w:val="125"/>
          <w:sz w:val="18"/>
        </w:rPr>
        <w:t> </w:t>
      </w:r>
      <w:r>
        <w:rPr>
          <w:i/>
          <w:w w:val="125"/>
          <w:sz w:val="18"/>
        </w:rPr>
        <w:t>2016.</w:t>
      </w:r>
      <w:r>
        <w:rPr>
          <w:i/>
          <w:spacing w:val="-4"/>
          <w:w w:val="125"/>
          <w:sz w:val="18"/>
        </w:rPr>
        <w:t> </w:t>
      </w:r>
      <w:r>
        <w:rPr>
          <w:i/>
          <w:w w:val="125"/>
          <w:sz w:val="18"/>
        </w:rPr>
        <w:t>évi</w:t>
      </w:r>
      <w:r>
        <w:rPr>
          <w:i/>
          <w:spacing w:val="-4"/>
          <w:w w:val="125"/>
          <w:sz w:val="18"/>
        </w:rPr>
        <w:t> </w:t>
      </w:r>
      <w:r>
        <w:rPr>
          <w:i/>
          <w:w w:val="125"/>
          <w:sz w:val="18"/>
        </w:rPr>
        <w:t>LXIX.</w:t>
      </w:r>
      <w:r>
        <w:rPr>
          <w:i/>
          <w:spacing w:val="-3"/>
          <w:w w:val="125"/>
          <w:sz w:val="18"/>
        </w:rPr>
        <w:t> </w:t>
      </w:r>
      <w:r>
        <w:rPr>
          <w:i/>
          <w:w w:val="125"/>
          <w:sz w:val="18"/>
        </w:rPr>
        <w:t>törvény</w:t>
      </w:r>
      <w:r>
        <w:rPr>
          <w:i/>
          <w:spacing w:val="-5"/>
          <w:w w:val="125"/>
          <w:sz w:val="18"/>
        </w:rPr>
        <w:t> </w:t>
      </w:r>
      <w:r>
        <w:rPr>
          <w:i/>
          <w:w w:val="125"/>
          <w:sz w:val="18"/>
        </w:rPr>
        <w:t>68.</w:t>
      </w:r>
      <w:r>
        <w:rPr>
          <w:i/>
          <w:spacing w:val="-4"/>
          <w:w w:val="125"/>
          <w:sz w:val="18"/>
        </w:rPr>
        <w:t> </w:t>
      </w:r>
      <w:r>
        <w:rPr>
          <w:i/>
          <w:w w:val="125"/>
          <w:sz w:val="18"/>
        </w:rPr>
        <w:t>§</w:t>
      </w:r>
      <w:r>
        <w:rPr>
          <w:i/>
          <w:spacing w:val="-3"/>
          <w:w w:val="125"/>
          <w:sz w:val="18"/>
        </w:rPr>
        <w:t> </w:t>
      </w:r>
      <w:r>
        <w:rPr>
          <w:i/>
          <w:w w:val="125"/>
          <w:sz w:val="18"/>
        </w:rPr>
        <w:t>(1).</w:t>
      </w:r>
      <w:r>
        <w:rPr>
          <w:i/>
          <w:spacing w:val="-3"/>
          <w:w w:val="125"/>
          <w:sz w:val="18"/>
        </w:rPr>
        <w:t> </w:t>
      </w:r>
      <w:r>
        <w:rPr>
          <w:i/>
          <w:w w:val="125"/>
          <w:sz w:val="18"/>
        </w:rPr>
        <w:t>Módosította:</w:t>
      </w:r>
      <w:r>
        <w:rPr>
          <w:i/>
          <w:spacing w:val="-5"/>
          <w:w w:val="125"/>
          <w:sz w:val="18"/>
        </w:rPr>
        <w:t> </w:t>
      </w:r>
      <w:r>
        <w:rPr>
          <w:i/>
          <w:w w:val="125"/>
          <w:sz w:val="18"/>
        </w:rPr>
        <w:t>2017.</w:t>
      </w:r>
      <w:r>
        <w:rPr>
          <w:i/>
          <w:spacing w:val="-4"/>
          <w:w w:val="125"/>
          <w:sz w:val="18"/>
        </w:rPr>
        <w:t> </w:t>
      </w:r>
      <w:r>
        <w:rPr>
          <w:i/>
          <w:w w:val="125"/>
          <w:sz w:val="18"/>
        </w:rPr>
        <w:t>évi</w:t>
      </w:r>
      <w:r>
        <w:rPr>
          <w:i/>
          <w:spacing w:val="-4"/>
          <w:w w:val="125"/>
          <w:sz w:val="18"/>
        </w:rPr>
        <w:t> </w:t>
      </w:r>
      <w:r>
        <w:rPr>
          <w:i/>
          <w:w w:val="125"/>
          <w:sz w:val="18"/>
        </w:rPr>
        <w:t>CXCVII.</w:t>
      </w:r>
      <w:r>
        <w:rPr>
          <w:i/>
          <w:spacing w:val="-3"/>
          <w:w w:val="125"/>
          <w:sz w:val="18"/>
        </w:rPr>
        <w:t> </w:t>
      </w:r>
      <w:r>
        <w:rPr>
          <w:i/>
          <w:w w:val="125"/>
          <w:sz w:val="18"/>
        </w:rPr>
        <w:t>törvény</w:t>
      </w:r>
      <w:r>
        <w:rPr>
          <w:i/>
          <w:spacing w:val="-4"/>
          <w:w w:val="125"/>
          <w:sz w:val="18"/>
        </w:rPr>
        <w:t> </w:t>
      </w:r>
      <w:r>
        <w:rPr>
          <w:i/>
          <w:w w:val="125"/>
          <w:sz w:val="18"/>
        </w:rPr>
        <w:t>408.</w:t>
      </w:r>
      <w:r>
        <w:rPr>
          <w:i/>
          <w:spacing w:val="-5"/>
          <w:w w:val="125"/>
          <w:sz w:val="18"/>
        </w:rPr>
        <w:t> </w:t>
      </w:r>
      <w:r>
        <w:rPr>
          <w:i/>
          <w:w w:val="125"/>
          <w:sz w:val="18"/>
        </w:rPr>
        <w:t>§</w:t>
      </w:r>
      <w:r>
        <w:rPr>
          <w:i/>
          <w:spacing w:val="-3"/>
          <w:w w:val="125"/>
          <w:sz w:val="18"/>
        </w:rPr>
        <w:t> </w:t>
      </w:r>
      <w:r>
        <w:rPr>
          <w:i/>
          <w:w w:val="125"/>
          <w:sz w:val="18"/>
        </w:rPr>
        <w:t>c).</w:t>
      </w:r>
    </w:p>
    <w:p>
      <w:pPr>
        <w:pStyle w:val="ListParagraph"/>
        <w:numPr>
          <w:ilvl w:val="0"/>
          <w:numId w:val="374"/>
        </w:numPr>
        <w:tabs>
          <w:tab w:pos="686" w:val="left" w:leader="none"/>
          <w:tab w:pos="687" w:val="left" w:leader="none"/>
        </w:tabs>
        <w:spacing w:line="200" w:lineRule="exact" w:before="0" w:after="0"/>
        <w:ind w:left="686" w:right="0" w:hanging="344"/>
        <w:jc w:val="left"/>
        <w:rPr>
          <w:i/>
          <w:sz w:val="18"/>
        </w:rPr>
      </w:pPr>
      <w:r>
        <w:rPr>
          <w:i/>
          <w:w w:val="120"/>
          <w:sz w:val="18"/>
        </w:rPr>
        <w:t>Beiktatta: 2017. évi CXCVII. törvény 405. § (1). Hatályos: 2018. VII.</w:t>
      </w:r>
      <w:r>
        <w:rPr>
          <w:i/>
          <w:spacing w:val="51"/>
          <w:w w:val="120"/>
          <w:sz w:val="18"/>
        </w:rPr>
        <w:t> </w:t>
      </w:r>
      <w:r>
        <w:rPr>
          <w:i/>
          <w:w w:val="120"/>
          <w:sz w:val="18"/>
        </w:rPr>
        <w:t>1-től.</w:t>
      </w:r>
    </w:p>
    <w:p>
      <w:pPr>
        <w:pStyle w:val="ListParagraph"/>
        <w:numPr>
          <w:ilvl w:val="0"/>
          <w:numId w:val="374"/>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CXCII. törvény 17. §. Hatályos: 2016. I.</w:t>
      </w:r>
      <w:r>
        <w:rPr>
          <w:i/>
          <w:spacing w:val="-18"/>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58"/>
        </w:numPr>
        <w:tabs>
          <w:tab w:pos="1049" w:val="left" w:leader="none"/>
        </w:tabs>
        <w:spacing w:line="262" w:lineRule="exact" w:before="158" w:after="0"/>
        <w:ind w:left="1048" w:right="0" w:hanging="731"/>
        <w:jc w:val="left"/>
        <w:rPr>
          <w:sz w:val="24"/>
        </w:rPr>
      </w:pPr>
      <w:r>
        <w:rPr>
          <w:rFonts w:ascii="Arial" w:hAnsi="Arial"/>
          <w:b/>
          <w:w w:val="120"/>
          <w:sz w:val="24"/>
        </w:rPr>
        <w:t>§</w:t>
      </w:r>
      <w:r>
        <w:rPr>
          <w:rFonts w:ascii="Arial" w:hAnsi="Arial"/>
          <w:b/>
          <w:spacing w:val="9"/>
          <w:w w:val="120"/>
          <w:sz w:val="24"/>
        </w:rPr>
        <w:t> </w:t>
      </w:r>
      <w:r>
        <w:rPr>
          <w:w w:val="120"/>
          <w:sz w:val="24"/>
        </w:rPr>
        <w:t>(1)</w:t>
      </w:r>
      <w:r>
        <w:rPr>
          <w:i/>
          <w:w w:val="120"/>
          <w:position w:val="3"/>
          <w:sz w:val="18"/>
        </w:rPr>
        <w:t>1</w:t>
      </w:r>
      <w:r>
        <w:rPr>
          <w:i/>
          <w:spacing w:val="51"/>
          <w:w w:val="120"/>
          <w:position w:val="3"/>
          <w:sz w:val="18"/>
        </w:rPr>
        <w:t> </w:t>
      </w:r>
      <w:r>
        <w:rPr>
          <w:w w:val="120"/>
          <w:sz w:val="24"/>
        </w:rPr>
        <w:t>A</w:t>
      </w:r>
      <w:r>
        <w:rPr>
          <w:spacing w:val="16"/>
          <w:w w:val="120"/>
          <w:sz w:val="24"/>
        </w:rPr>
        <w:t> </w:t>
      </w:r>
      <w:r>
        <w:rPr>
          <w:w w:val="120"/>
          <w:sz w:val="24"/>
        </w:rPr>
        <w:t>pénzügyi</w:t>
      </w:r>
      <w:r>
        <w:rPr>
          <w:spacing w:val="16"/>
          <w:w w:val="120"/>
          <w:sz w:val="24"/>
        </w:rPr>
        <w:t> </w:t>
      </w:r>
      <w:r>
        <w:rPr>
          <w:w w:val="120"/>
          <w:sz w:val="24"/>
        </w:rPr>
        <w:t>intézmény</w:t>
      </w:r>
      <w:r>
        <w:rPr>
          <w:spacing w:val="16"/>
          <w:w w:val="120"/>
          <w:sz w:val="24"/>
        </w:rPr>
        <w:t> </w:t>
      </w:r>
      <w:r>
        <w:rPr>
          <w:w w:val="120"/>
          <w:sz w:val="24"/>
        </w:rPr>
        <w:t>az</w:t>
      </w:r>
      <w:r>
        <w:rPr>
          <w:spacing w:val="15"/>
          <w:w w:val="120"/>
          <w:sz w:val="24"/>
        </w:rPr>
        <w:t> </w:t>
      </w:r>
      <w:r>
        <w:rPr>
          <w:w w:val="120"/>
          <w:sz w:val="24"/>
        </w:rPr>
        <w:t>előkészítő</w:t>
      </w:r>
      <w:r>
        <w:rPr>
          <w:spacing w:val="16"/>
          <w:w w:val="120"/>
          <w:sz w:val="24"/>
        </w:rPr>
        <w:t> </w:t>
      </w:r>
      <w:r>
        <w:rPr>
          <w:w w:val="120"/>
          <w:sz w:val="24"/>
        </w:rPr>
        <w:t>eljárást</w:t>
      </w:r>
      <w:r>
        <w:rPr>
          <w:spacing w:val="16"/>
          <w:w w:val="120"/>
          <w:sz w:val="24"/>
        </w:rPr>
        <w:t> </w:t>
      </w:r>
      <w:r>
        <w:rPr>
          <w:w w:val="120"/>
          <w:sz w:val="24"/>
        </w:rPr>
        <w:t>folytató</w:t>
      </w:r>
      <w:r>
        <w:rPr>
          <w:spacing w:val="16"/>
          <w:w w:val="120"/>
          <w:sz w:val="24"/>
        </w:rPr>
        <w:t> </w:t>
      </w:r>
      <w:r>
        <w:rPr>
          <w:w w:val="120"/>
          <w:sz w:val="24"/>
        </w:rPr>
        <w:t>szerv,</w:t>
      </w:r>
      <w:r>
        <w:rPr>
          <w:spacing w:val="15"/>
          <w:w w:val="120"/>
          <w:sz w:val="24"/>
        </w:rPr>
        <w:t> </w:t>
      </w:r>
      <w:r>
        <w:rPr>
          <w:w w:val="120"/>
          <w:sz w:val="24"/>
        </w:rPr>
        <w:t>a</w:t>
      </w:r>
    </w:p>
    <w:p>
      <w:pPr>
        <w:pStyle w:val="BodyText"/>
        <w:spacing w:line="225" w:lineRule="auto" w:before="12"/>
        <w:ind w:right="123" w:firstLine="0"/>
        <w:jc w:val="both"/>
      </w:pPr>
      <w:r>
        <w:rPr>
          <w:w w:val="130"/>
        </w:rPr>
        <w:t>nyomozó hatóság, a nemzetbiztonsági szolgálat, az ügyészség és a bíróság adatkérésére, illetve írásbeli megkeresésére haladéktalanul, de legkésőbb kettő munkanapon belül kiszolgáltatja a kért adatot a nála vezetett bankszámláról</w:t>
      </w:r>
      <w:r>
        <w:rPr>
          <w:spacing w:val="-14"/>
          <w:w w:val="130"/>
        </w:rPr>
        <w:t> </w:t>
      </w:r>
      <w:r>
        <w:rPr>
          <w:w w:val="130"/>
        </w:rPr>
        <w:t>és</w:t>
      </w:r>
      <w:r>
        <w:rPr>
          <w:spacing w:val="-14"/>
          <w:w w:val="130"/>
        </w:rPr>
        <w:t> </w:t>
      </w:r>
      <w:r>
        <w:rPr>
          <w:w w:val="130"/>
        </w:rPr>
        <w:t>az</w:t>
      </w:r>
      <w:r>
        <w:rPr>
          <w:spacing w:val="-14"/>
          <w:w w:val="130"/>
        </w:rPr>
        <w:t> </w:t>
      </w:r>
      <w:r>
        <w:rPr>
          <w:w w:val="130"/>
        </w:rPr>
        <w:t>általa</w:t>
      </w:r>
      <w:r>
        <w:rPr>
          <w:spacing w:val="-14"/>
          <w:w w:val="130"/>
        </w:rPr>
        <w:t> </w:t>
      </w:r>
      <w:r>
        <w:rPr>
          <w:w w:val="130"/>
        </w:rPr>
        <w:t>lebonyolított</w:t>
      </w:r>
      <w:r>
        <w:rPr>
          <w:spacing w:val="-14"/>
          <w:w w:val="130"/>
        </w:rPr>
        <w:t> </w:t>
      </w:r>
      <w:r>
        <w:rPr>
          <w:w w:val="130"/>
        </w:rPr>
        <w:t>ügyletről,</w:t>
      </w:r>
      <w:r>
        <w:rPr>
          <w:spacing w:val="-14"/>
          <w:w w:val="130"/>
        </w:rPr>
        <w:t> </w:t>
      </w:r>
      <w:r>
        <w:rPr>
          <w:w w:val="130"/>
        </w:rPr>
        <w:t>ha</w:t>
      </w:r>
      <w:r>
        <w:rPr>
          <w:spacing w:val="-14"/>
          <w:w w:val="130"/>
        </w:rPr>
        <w:t> </w:t>
      </w:r>
      <w:r>
        <w:rPr>
          <w:w w:val="130"/>
        </w:rPr>
        <w:t>adat</w:t>
      </w:r>
      <w:r>
        <w:rPr>
          <w:spacing w:val="-5"/>
          <w:w w:val="130"/>
        </w:rPr>
        <w:t> </w:t>
      </w:r>
      <w:r>
        <w:rPr>
          <w:w w:val="130"/>
        </w:rPr>
        <w:t>merül</w:t>
      </w:r>
      <w:r>
        <w:rPr>
          <w:spacing w:val="-23"/>
          <w:w w:val="130"/>
        </w:rPr>
        <w:t> </w:t>
      </w:r>
      <w:r>
        <w:rPr>
          <w:w w:val="130"/>
        </w:rPr>
        <w:t>fel</w:t>
      </w:r>
      <w:r>
        <w:rPr>
          <w:spacing w:val="-14"/>
          <w:w w:val="130"/>
        </w:rPr>
        <w:t> </w:t>
      </w:r>
      <w:r>
        <w:rPr>
          <w:w w:val="130"/>
        </w:rPr>
        <w:t>arra,</w:t>
      </w:r>
      <w:r>
        <w:rPr>
          <w:spacing w:val="-14"/>
          <w:w w:val="130"/>
        </w:rPr>
        <w:t> </w:t>
      </w:r>
      <w:r>
        <w:rPr>
          <w:w w:val="130"/>
        </w:rPr>
        <w:t>hogy a bankszámla vagy az</w:t>
      </w:r>
      <w:r>
        <w:rPr>
          <w:spacing w:val="-17"/>
          <w:w w:val="130"/>
        </w:rPr>
        <w:t> </w:t>
      </w:r>
      <w:r>
        <w:rPr>
          <w:w w:val="130"/>
        </w:rPr>
        <w:t>ügylet</w:t>
      </w:r>
    </w:p>
    <w:p>
      <w:pPr>
        <w:pStyle w:val="ListParagraph"/>
        <w:numPr>
          <w:ilvl w:val="0"/>
          <w:numId w:val="375"/>
        </w:numPr>
        <w:tabs>
          <w:tab w:pos="807" w:val="left" w:leader="none"/>
        </w:tabs>
        <w:spacing w:line="225" w:lineRule="auto" w:before="3" w:after="0"/>
        <w:ind w:left="113" w:right="119" w:firstLine="204"/>
        <w:jc w:val="both"/>
        <w:rPr>
          <w:sz w:val="24"/>
        </w:rPr>
      </w:pPr>
      <w:r>
        <w:rPr>
          <w:w w:val="120"/>
          <w:sz w:val="24"/>
        </w:rPr>
        <w:t>kábítószerrel visszaéléssel (1978. évi IV. törvény 282-282/C. §), kábítószer-kereskedelemmel (Btk. 176-177. §), kábítószer birtoklásával (Btk. 178-79. §), kóros szenvedélykeltéssel (Btk. 181. §), kábítószer készítésének elősegítésével (Btk. 182. §) vagy új pszichoaktív  anyaggal  visszaéléssel [1978. évi IV. törvény 283/B. §, illetve Btk. 184. § (1) bekezdés </w:t>
      </w:r>
      <w:r>
        <w:rPr>
          <w:i/>
          <w:w w:val="120"/>
          <w:sz w:val="24"/>
        </w:rPr>
        <w:t>b)</w:t>
      </w:r>
      <w:r>
        <w:rPr>
          <w:i/>
          <w:spacing w:val="30"/>
          <w:w w:val="120"/>
          <w:sz w:val="24"/>
        </w:rPr>
        <w:t> </w:t>
      </w:r>
      <w:r>
        <w:rPr>
          <w:spacing w:val="-3"/>
          <w:w w:val="120"/>
          <w:sz w:val="24"/>
        </w:rPr>
        <w:t>pont],</w:t>
      </w:r>
    </w:p>
    <w:p>
      <w:pPr>
        <w:pStyle w:val="ListParagraph"/>
        <w:numPr>
          <w:ilvl w:val="0"/>
          <w:numId w:val="375"/>
        </w:numPr>
        <w:tabs>
          <w:tab w:pos="567" w:val="left" w:leader="none"/>
        </w:tabs>
        <w:spacing w:line="257" w:lineRule="exact" w:before="0" w:after="0"/>
        <w:ind w:left="566" w:right="0" w:hanging="249"/>
        <w:jc w:val="left"/>
        <w:rPr>
          <w:sz w:val="24"/>
        </w:rPr>
      </w:pPr>
      <w:r>
        <w:rPr>
          <w:i/>
          <w:w w:val="125"/>
          <w:position w:val="3"/>
          <w:sz w:val="18"/>
        </w:rPr>
        <w:t>2 </w:t>
      </w:r>
      <w:r>
        <w:rPr>
          <w:w w:val="125"/>
          <w:sz w:val="24"/>
        </w:rPr>
        <w:t>terrorcselekménnyel (1978. évi IV. törvény 261. §, illetve Btk.</w:t>
      </w:r>
      <w:r>
        <w:rPr>
          <w:spacing w:val="-29"/>
          <w:w w:val="125"/>
          <w:sz w:val="24"/>
        </w:rPr>
        <w:t> </w:t>
      </w:r>
      <w:r>
        <w:rPr>
          <w:w w:val="125"/>
          <w:sz w:val="24"/>
        </w:rPr>
        <w:t>314-316/A.</w:t>
      </w:r>
    </w:p>
    <w:p>
      <w:pPr>
        <w:pStyle w:val="BodyText"/>
        <w:spacing w:line="225" w:lineRule="auto" w:before="6"/>
        <w:ind w:right="134" w:firstLine="0"/>
        <w:jc w:val="both"/>
      </w:pPr>
      <w:r>
        <w:rPr>
          <w:w w:val="125"/>
        </w:rPr>
        <w:t>§), terrorcselekmény feljelentésének elmulasztásával (Btk. 317. §), terrorizmus finanszírozásával (Btk. 318-318/A. §) vagy háborús uszítással (Btk. 331. §),</w:t>
      </w:r>
    </w:p>
    <w:p>
      <w:pPr>
        <w:pStyle w:val="ListParagraph"/>
        <w:numPr>
          <w:ilvl w:val="0"/>
          <w:numId w:val="375"/>
        </w:numPr>
        <w:tabs>
          <w:tab w:pos="625" w:val="left" w:leader="none"/>
        </w:tabs>
        <w:spacing w:line="256" w:lineRule="exact" w:before="0" w:after="0"/>
        <w:ind w:left="624" w:right="0" w:hanging="307"/>
        <w:jc w:val="left"/>
        <w:rPr>
          <w:sz w:val="24"/>
        </w:rPr>
      </w:pPr>
      <w:r>
        <w:rPr>
          <w:w w:val="125"/>
          <w:sz w:val="24"/>
        </w:rPr>
        <w:t>robbanóanyaggal vagy robbantószerrel visszaéléssel (1978. évi IV.</w:t>
      </w:r>
      <w:r>
        <w:rPr>
          <w:spacing w:val="41"/>
          <w:w w:val="125"/>
          <w:sz w:val="24"/>
        </w:rPr>
        <w:t> </w:t>
      </w:r>
      <w:r>
        <w:rPr>
          <w:w w:val="125"/>
          <w:sz w:val="24"/>
        </w:rPr>
        <w:t>törvény</w:t>
      </w:r>
    </w:p>
    <w:p>
      <w:pPr>
        <w:pStyle w:val="BodyText"/>
        <w:spacing w:line="260" w:lineRule="exact"/>
        <w:ind w:firstLine="0"/>
      </w:pPr>
      <w:r>
        <w:rPr>
          <w:w w:val="120"/>
        </w:rPr>
        <w:t>263. §, illetve Btk. 324. §),</w:t>
      </w:r>
    </w:p>
    <w:p>
      <w:pPr>
        <w:pStyle w:val="ListParagraph"/>
        <w:numPr>
          <w:ilvl w:val="0"/>
          <w:numId w:val="375"/>
        </w:numPr>
        <w:tabs>
          <w:tab w:pos="688" w:val="left" w:leader="none"/>
        </w:tabs>
        <w:spacing w:line="225" w:lineRule="auto" w:before="5" w:after="0"/>
        <w:ind w:left="113" w:right="139" w:firstLine="204"/>
        <w:jc w:val="both"/>
        <w:rPr>
          <w:sz w:val="24"/>
        </w:rPr>
      </w:pPr>
      <w:r>
        <w:rPr>
          <w:w w:val="125"/>
          <w:sz w:val="24"/>
        </w:rPr>
        <w:t>lőfegyverrel vagy lőszerrel visszaéléssel (1978. évi IV. törvény 263/A. §, illetve Btk. 325.</w:t>
      </w:r>
      <w:r>
        <w:rPr>
          <w:spacing w:val="-2"/>
          <w:w w:val="125"/>
          <w:sz w:val="24"/>
        </w:rPr>
        <w:t> </w:t>
      </w:r>
      <w:r>
        <w:rPr>
          <w:w w:val="125"/>
          <w:sz w:val="24"/>
        </w:rPr>
        <w:t>§),</w:t>
      </w:r>
    </w:p>
    <w:p>
      <w:pPr>
        <w:pStyle w:val="BodyText"/>
        <w:spacing w:line="256" w:lineRule="exact"/>
        <w:ind w:left="317" w:firstLine="0"/>
      </w:pPr>
      <w:r>
        <w:rPr>
          <w:i/>
          <w:w w:val="120"/>
        </w:rPr>
        <w:t>e) </w:t>
      </w:r>
      <w:r>
        <w:rPr>
          <w:w w:val="120"/>
        </w:rPr>
        <w:t>pénzmosással (1978. évi IV. törvény 303-303/A. §, illetve Btk. 399-400. §),</w:t>
      </w:r>
    </w:p>
    <w:p>
      <w:pPr>
        <w:pStyle w:val="ListParagraph"/>
        <w:numPr>
          <w:ilvl w:val="0"/>
          <w:numId w:val="376"/>
        </w:numPr>
        <w:tabs>
          <w:tab w:pos="577" w:val="left" w:leader="none"/>
        </w:tabs>
        <w:spacing w:line="260" w:lineRule="exact" w:before="0" w:after="0"/>
        <w:ind w:left="576" w:right="0" w:hanging="259"/>
        <w:jc w:val="left"/>
        <w:rPr>
          <w:sz w:val="24"/>
        </w:rPr>
      </w:pPr>
      <w:r>
        <w:rPr>
          <w:w w:val="125"/>
          <w:sz w:val="24"/>
        </w:rPr>
        <w:t>bűnszövetségben vagy bűnszervezetben elkövetett</w:t>
      </w:r>
      <w:r>
        <w:rPr>
          <w:spacing w:val="31"/>
          <w:w w:val="125"/>
          <w:sz w:val="24"/>
        </w:rPr>
        <w:t> </w:t>
      </w:r>
      <w:r>
        <w:rPr>
          <w:w w:val="125"/>
          <w:sz w:val="24"/>
        </w:rPr>
        <w:t>bűncselekménnyel,</w:t>
      </w:r>
    </w:p>
    <w:p>
      <w:pPr>
        <w:pStyle w:val="ListParagraph"/>
        <w:numPr>
          <w:ilvl w:val="0"/>
          <w:numId w:val="376"/>
        </w:numPr>
        <w:tabs>
          <w:tab w:pos="653" w:val="left" w:leader="none"/>
        </w:tabs>
        <w:spacing w:line="260" w:lineRule="exact" w:before="0" w:after="0"/>
        <w:ind w:left="652" w:right="0" w:hanging="335"/>
        <w:jc w:val="left"/>
        <w:rPr>
          <w:sz w:val="24"/>
        </w:rPr>
      </w:pPr>
      <w:r>
        <w:rPr>
          <w:w w:val="125"/>
          <w:sz w:val="24"/>
        </w:rPr>
        <w:t>bennfentes kereskedelemmel</w:t>
      </w:r>
      <w:r>
        <w:rPr>
          <w:spacing w:val="-9"/>
          <w:w w:val="125"/>
          <w:sz w:val="24"/>
        </w:rPr>
        <w:t> </w:t>
      </w:r>
      <w:r>
        <w:rPr>
          <w:w w:val="125"/>
          <w:sz w:val="24"/>
        </w:rPr>
        <w:t>vagy</w:t>
      </w:r>
    </w:p>
    <w:p>
      <w:pPr>
        <w:pStyle w:val="ListParagraph"/>
        <w:numPr>
          <w:ilvl w:val="0"/>
          <w:numId w:val="376"/>
        </w:numPr>
        <w:tabs>
          <w:tab w:pos="643" w:val="left" w:leader="none"/>
        </w:tabs>
        <w:spacing w:line="225" w:lineRule="auto" w:before="6" w:after="0"/>
        <w:ind w:left="113" w:right="6890" w:firstLine="204"/>
        <w:jc w:val="left"/>
        <w:rPr>
          <w:sz w:val="24"/>
        </w:rPr>
      </w:pPr>
      <w:r>
        <w:rPr>
          <w:spacing w:val="-1"/>
          <w:w w:val="125"/>
          <w:sz w:val="24"/>
        </w:rPr>
        <w:t>piacbefolyásolással </w:t>
      </w:r>
      <w:r>
        <w:rPr>
          <w:w w:val="125"/>
          <w:sz w:val="24"/>
        </w:rPr>
        <w:t>van</w:t>
      </w:r>
      <w:r>
        <w:rPr>
          <w:spacing w:val="4"/>
          <w:w w:val="125"/>
          <w:sz w:val="24"/>
        </w:rPr>
        <w:t> </w:t>
      </w:r>
      <w:r>
        <w:rPr>
          <w:w w:val="125"/>
          <w:sz w:val="24"/>
        </w:rPr>
        <w:t>összefüggésben.</w:t>
      </w:r>
    </w:p>
    <w:p>
      <w:pPr>
        <w:pStyle w:val="ListParagraph"/>
        <w:numPr>
          <w:ilvl w:val="0"/>
          <w:numId w:val="377"/>
        </w:numPr>
        <w:tabs>
          <w:tab w:pos="751" w:val="left" w:leader="none"/>
        </w:tabs>
        <w:spacing w:line="225" w:lineRule="auto" w:before="1" w:after="0"/>
        <w:ind w:left="113" w:right="124" w:firstLine="204"/>
        <w:jc w:val="both"/>
        <w:rPr>
          <w:sz w:val="24"/>
        </w:rPr>
      </w:pPr>
      <w:r>
        <w:rPr>
          <w:w w:val="125"/>
          <w:sz w:val="24"/>
        </w:rPr>
        <w:t>Az (1) bekezdésben foglalt rendelkezést a rendőrségről szóló törvényben meghatározott terrorizmust elhárító, valamint a belső bűnmegelőzési és bűnfelderítési feladatokat ellátó szervre a hatáskörükbe tartozó bűncselekményekkel összefüggő adatok tekintetében kell</w:t>
      </w:r>
      <w:r>
        <w:rPr>
          <w:spacing w:val="17"/>
          <w:w w:val="125"/>
          <w:sz w:val="24"/>
        </w:rPr>
        <w:t> </w:t>
      </w:r>
      <w:r>
        <w:rPr>
          <w:w w:val="125"/>
          <w:sz w:val="24"/>
        </w:rPr>
        <w:t>alkalmazni.</w:t>
      </w:r>
    </w:p>
    <w:p>
      <w:pPr>
        <w:pStyle w:val="ListParagraph"/>
        <w:numPr>
          <w:ilvl w:val="0"/>
          <w:numId w:val="377"/>
        </w:numPr>
        <w:tabs>
          <w:tab w:pos="744" w:val="left" w:leader="none"/>
        </w:tabs>
        <w:spacing w:line="225" w:lineRule="auto" w:before="2" w:after="0"/>
        <w:ind w:left="113" w:right="131" w:firstLine="204"/>
        <w:jc w:val="both"/>
        <w:rPr>
          <w:sz w:val="24"/>
        </w:rPr>
      </w:pPr>
      <w:r>
        <w:rPr>
          <w:w w:val="125"/>
          <w:sz w:val="24"/>
        </w:rPr>
        <w:t>A pénzügyi intézmény a megkeresések teljesítése során a minősített adat védelméről szóló törvényben és egyéb, a minősített adat kezelésére vonatkozó jogszabályokban előírt követelmények betartásával jár</w:t>
      </w:r>
      <w:r>
        <w:rPr>
          <w:spacing w:val="10"/>
          <w:w w:val="125"/>
          <w:sz w:val="24"/>
        </w:rPr>
        <w:t> </w:t>
      </w:r>
      <w:r>
        <w:rPr>
          <w:w w:val="125"/>
          <w:sz w:val="24"/>
        </w:rPr>
        <w:t>el.</w:t>
      </w:r>
    </w:p>
    <w:p>
      <w:pPr>
        <w:pStyle w:val="ListParagraph"/>
        <w:numPr>
          <w:ilvl w:val="0"/>
          <w:numId w:val="377"/>
        </w:numPr>
        <w:tabs>
          <w:tab w:pos="659" w:val="left" w:leader="none"/>
        </w:tabs>
        <w:spacing w:line="225" w:lineRule="auto" w:before="2" w:after="0"/>
        <w:ind w:left="113" w:right="124" w:firstLine="204"/>
        <w:jc w:val="both"/>
        <w:rPr>
          <w:sz w:val="24"/>
        </w:rPr>
      </w:pPr>
      <w:r>
        <w:rPr>
          <w:i/>
          <w:w w:val="130"/>
          <w:position w:val="3"/>
          <w:sz w:val="18"/>
        </w:rPr>
        <w:t>3</w:t>
      </w:r>
      <w:r>
        <w:rPr>
          <w:i/>
          <w:spacing w:val="-9"/>
          <w:w w:val="130"/>
          <w:position w:val="3"/>
          <w:sz w:val="18"/>
        </w:rPr>
        <w:t> </w:t>
      </w:r>
      <w:r>
        <w:rPr>
          <w:w w:val="130"/>
          <w:sz w:val="24"/>
        </w:rPr>
        <w:t>Ha</w:t>
      </w:r>
      <w:r>
        <w:rPr>
          <w:spacing w:val="-27"/>
          <w:w w:val="130"/>
          <w:sz w:val="24"/>
        </w:rPr>
        <w:t> </w:t>
      </w:r>
      <w:r>
        <w:rPr>
          <w:w w:val="130"/>
          <w:sz w:val="24"/>
        </w:rPr>
        <w:t>a</w:t>
      </w:r>
      <w:r>
        <w:rPr>
          <w:spacing w:val="-28"/>
          <w:w w:val="130"/>
          <w:sz w:val="24"/>
        </w:rPr>
        <w:t> </w:t>
      </w:r>
      <w:r>
        <w:rPr>
          <w:w w:val="130"/>
          <w:sz w:val="24"/>
        </w:rPr>
        <w:t>pénzügyi</w:t>
      </w:r>
      <w:r>
        <w:rPr>
          <w:spacing w:val="-22"/>
          <w:w w:val="130"/>
          <w:sz w:val="24"/>
        </w:rPr>
        <w:t> </w:t>
      </w:r>
      <w:r>
        <w:rPr>
          <w:w w:val="130"/>
          <w:sz w:val="24"/>
        </w:rPr>
        <w:t>intézmény</w:t>
      </w:r>
      <w:r>
        <w:rPr>
          <w:spacing w:val="-34"/>
          <w:w w:val="130"/>
          <w:sz w:val="24"/>
        </w:rPr>
        <w:t> </w:t>
      </w:r>
      <w:r>
        <w:rPr>
          <w:w w:val="130"/>
          <w:sz w:val="24"/>
        </w:rPr>
        <w:t>az</w:t>
      </w:r>
      <w:r>
        <w:rPr>
          <w:spacing w:val="-28"/>
          <w:w w:val="130"/>
          <w:sz w:val="24"/>
        </w:rPr>
        <w:t> </w:t>
      </w:r>
      <w:r>
        <w:rPr>
          <w:w w:val="130"/>
          <w:sz w:val="24"/>
        </w:rPr>
        <w:t>előkészítő</w:t>
      </w:r>
      <w:r>
        <w:rPr>
          <w:spacing w:val="-28"/>
          <w:w w:val="130"/>
          <w:sz w:val="24"/>
        </w:rPr>
        <w:t> </w:t>
      </w:r>
      <w:r>
        <w:rPr>
          <w:w w:val="130"/>
          <w:sz w:val="24"/>
        </w:rPr>
        <w:t>eljárást</w:t>
      </w:r>
      <w:r>
        <w:rPr>
          <w:spacing w:val="-28"/>
          <w:w w:val="130"/>
          <w:sz w:val="24"/>
        </w:rPr>
        <w:t> </w:t>
      </w:r>
      <w:r>
        <w:rPr>
          <w:w w:val="130"/>
          <w:sz w:val="24"/>
        </w:rPr>
        <w:t>folytató</w:t>
      </w:r>
      <w:r>
        <w:rPr>
          <w:spacing w:val="-28"/>
          <w:w w:val="130"/>
          <w:sz w:val="24"/>
        </w:rPr>
        <w:t> </w:t>
      </w:r>
      <w:r>
        <w:rPr>
          <w:w w:val="130"/>
          <w:sz w:val="24"/>
        </w:rPr>
        <w:t>szerv,</w:t>
      </w:r>
      <w:r>
        <w:rPr>
          <w:spacing w:val="-27"/>
          <w:w w:val="130"/>
          <w:sz w:val="24"/>
        </w:rPr>
        <w:t> </w:t>
      </w:r>
      <w:r>
        <w:rPr>
          <w:w w:val="130"/>
          <w:sz w:val="24"/>
        </w:rPr>
        <w:t>a</w:t>
      </w:r>
      <w:r>
        <w:rPr>
          <w:spacing w:val="-28"/>
          <w:w w:val="130"/>
          <w:sz w:val="24"/>
        </w:rPr>
        <w:t> </w:t>
      </w:r>
      <w:r>
        <w:rPr>
          <w:w w:val="130"/>
          <w:sz w:val="24"/>
        </w:rPr>
        <w:t>nyomozó hatóság, a nemzetbiztonsági szolgálat, az ügyészség vagy a bíróság adatkérésére,</w:t>
      </w:r>
      <w:r>
        <w:rPr>
          <w:spacing w:val="78"/>
          <w:w w:val="130"/>
          <w:sz w:val="24"/>
        </w:rPr>
        <w:t> </w:t>
      </w:r>
      <w:r>
        <w:rPr>
          <w:w w:val="130"/>
          <w:sz w:val="24"/>
        </w:rPr>
        <w:t>illetve</w:t>
      </w:r>
      <w:r>
        <w:rPr>
          <w:spacing w:val="78"/>
          <w:w w:val="130"/>
          <w:sz w:val="24"/>
        </w:rPr>
        <w:t> </w:t>
      </w:r>
      <w:r>
        <w:rPr>
          <w:w w:val="130"/>
          <w:sz w:val="24"/>
        </w:rPr>
        <w:t>írásbeli</w:t>
      </w:r>
      <w:r>
        <w:rPr>
          <w:spacing w:val="78"/>
          <w:w w:val="130"/>
          <w:sz w:val="24"/>
        </w:rPr>
        <w:t> </w:t>
      </w:r>
      <w:r>
        <w:rPr>
          <w:w w:val="130"/>
          <w:sz w:val="24"/>
        </w:rPr>
        <w:t>megkeresésére</w:t>
      </w:r>
      <w:r>
        <w:rPr>
          <w:spacing w:val="78"/>
          <w:w w:val="130"/>
          <w:sz w:val="24"/>
        </w:rPr>
        <w:t> </w:t>
      </w:r>
      <w:r>
        <w:rPr>
          <w:w w:val="130"/>
          <w:sz w:val="24"/>
        </w:rPr>
        <w:t>határidőn</w:t>
      </w:r>
      <w:r>
        <w:rPr>
          <w:spacing w:val="78"/>
          <w:w w:val="130"/>
          <w:sz w:val="24"/>
        </w:rPr>
        <w:t> </w:t>
      </w:r>
      <w:r>
        <w:rPr>
          <w:w w:val="130"/>
          <w:sz w:val="24"/>
        </w:rPr>
        <w:t>belül</w:t>
      </w:r>
      <w:r>
        <w:rPr>
          <w:spacing w:val="78"/>
          <w:w w:val="130"/>
          <w:sz w:val="24"/>
        </w:rPr>
        <w:t> </w:t>
      </w:r>
      <w:r>
        <w:rPr>
          <w:w w:val="130"/>
          <w:sz w:val="24"/>
        </w:rPr>
        <w:t>az adatszolgáltatást</w:t>
      </w:r>
      <w:r>
        <w:rPr>
          <w:spacing w:val="-9"/>
          <w:w w:val="130"/>
          <w:sz w:val="24"/>
        </w:rPr>
        <w:t> </w:t>
      </w:r>
      <w:r>
        <w:rPr>
          <w:w w:val="130"/>
          <w:sz w:val="24"/>
        </w:rPr>
        <w:t>nem</w:t>
      </w:r>
      <w:r>
        <w:rPr>
          <w:spacing w:val="-8"/>
          <w:w w:val="130"/>
          <w:sz w:val="24"/>
        </w:rPr>
        <w:t> </w:t>
      </w:r>
      <w:r>
        <w:rPr>
          <w:w w:val="130"/>
          <w:sz w:val="24"/>
        </w:rPr>
        <w:t>teljesíti</w:t>
      </w:r>
      <w:r>
        <w:rPr>
          <w:spacing w:val="-8"/>
          <w:w w:val="130"/>
          <w:sz w:val="24"/>
        </w:rPr>
        <w:t> </w:t>
      </w:r>
      <w:r>
        <w:rPr>
          <w:w w:val="130"/>
          <w:sz w:val="24"/>
        </w:rPr>
        <w:t>és</w:t>
      </w:r>
      <w:r>
        <w:rPr>
          <w:spacing w:val="-8"/>
          <w:w w:val="130"/>
          <w:sz w:val="24"/>
        </w:rPr>
        <w:t> </w:t>
      </w:r>
      <w:r>
        <w:rPr>
          <w:w w:val="130"/>
          <w:sz w:val="24"/>
        </w:rPr>
        <w:t>a</w:t>
      </w:r>
      <w:r>
        <w:rPr>
          <w:spacing w:val="-8"/>
          <w:w w:val="130"/>
          <w:sz w:val="24"/>
        </w:rPr>
        <w:t> </w:t>
      </w:r>
      <w:r>
        <w:rPr>
          <w:w w:val="130"/>
          <w:sz w:val="24"/>
        </w:rPr>
        <w:t>mulasztását</w:t>
      </w:r>
      <w:r>
        <w:rPr>
          <w:spacing w:val="-8"/>
          <w:w w:val="130"/>
          <w:sz w:val="24"/>
        </w:rPr>
        <w:t> </w:t>
      </w:r>
      <w:r>
        <w:rPr>
          <w:w w:val="130"/>
          <w:sz w:val="24"/>
        </w:rPr>
        <w:t>a</w:t>
      </w:r>
      <w:r>
        <w:rPr>
          <w:spacing w:val="-8"/>
          <w:w w:val="130"/>
          <w:sz w:val="24"/>
        </w:rPr>
        <w:t> </w:t>
      </w:r>
      <w:r>
        <w:rPr>
          <w:w w:val="130"/>
          <w:sz w:val="24"/>
        </w:rPr>
        <w:t>megkereső</w:t>
      </w:r>
      <w:r>
        <w:rPr>
          <w:spacing w:val="-8"/>
          <w:w w:val="130"/>
          <w:sz w:val="24"/>
        </w:rPr>
        <w:t> </w:t>
      </w:r>
      <w:r>
        <w:rPr>
          <w:w w:val="130"/>
          <w:sz w:val="24"/>
        </w:rPr>
        <w:t>szerv</w:t>
      </w:r>
      <w:r>
        <w:rPr>
          <w:spacing w:val="-8"/>
          <w:w w:val="130"/>
          <w:sz w:val="24"/>
        </w:rPr>
        <w:t> </w:t>
      </w:r>
      <w:r>
        <w:rPr>
          <w:w w:val="130"/>
          <w:sz w:val="24"/>
        </w:rPr>
        <w:t>felé</w:t>
      </w:r>
      <w:r>
        <w:rPr>
          <w:spacing w:val="-8"/>
          <w:w w:val="130"/>
          <w:sz w:val="24"/>
        </w:rPr>
        <w:t> </w:t>
      </w:r>
      <w:r>
        <w:rPr>
          <w:w w:val="130"/>
          <w:sz w:val="24"/>
        </w:rPr>
        <w:t>írásban sem</w:t>
      </w:r>
      <w:r>
        <w:rPr>
          <w:spacing w:val="-7"/>
          <w:w w:val="130"/>
          <w:sz w:val="24"/>
        </w:rPr>
        <w:t> </w:t>
      </w:r>
      <w:r>
        <w:rPr>
          <w:w w:val="130"/>
          <w:sz w:val="24"/>
        </w:rPr>
        <w:t>menti</w:t>
      </w:r>
      <w:r>
        <w:rPr>
          <w:spacing w:val="-8"/>
          <w:w w:val="130"/>
          <w:sz w:val="24"/>
        </w:rPr>
        <w:t> </w:t>
      </w:r>
      <w:r>
        <w:rPr>
          <w:w w:val="130"/>
          <w:sz w:val="24"/>
        </w:rPr>
        <w:t>ki,</w:t>
      </w:r>
      <w:r>
        <w:rPr>
          <w:spacing w:val="-8"/>
          <w:w w:val="130"/>
          <w:sz w:val="24"/>
        </w:rPr>
        <w:t> </w:t>
      </w:r>
      <w:r>
        <w:rPr>
          <w:w w:val="130"/>
          <w:sz w:val="24"/>
        </w:rPr>
        <w:t>a</w:t>
      </w:r>
      <w:r>
        <w:rPr>
          <w:spacing w:val="-7"/>
          <w:w w:val="130"/>
          <w:sz w:val="24"/>
        </w:rPr>
        <w:t> </w:t>
      </w:r>
      <w:r>
        <w:rPr>
          <w:w w:val="130"/>
          <w:sz w:val="24"/>
        </w:rPr>
        <w:t>megkereső</w:t>
      </w:r>
      <w:r>
        <w:rPr>
          <w:spacing w:val="-8"/>
          <w:w w:val="130"/>
          <w:sz w:val="24"/>
        </w:rPr>
        <w:t> </w:t>
      </w:r>
      <w:r>
        <w:rPr>
          <w:w w:val="130"/>
          <w:sz w:val="24"/>
        </w:rPr>
        <w:t>szerv</w:t>
      </w:r>
      <w:r>
        <w:rPr>
          <w:spacing w:val="-7"/>
          <w:w w:val="130"/>
          <w:sz w:val="24"/>
        </w:rPr>
        <w:t> </w:t>
      </w:r>
      <w:r>
        <w:rPr>
          <w:w w:val="130"/>
          <w:sz w:val="24"/>
        </w:rPr>
        <w:t>erről</w:t>
      </w:r>
      <w:r>
        <w:rPr>
          <w:spacing w:val="-7"/>
          <w:w w:val="130"/>
          <w:sz w:val="24"/>
        </w:rPr>
        <w:t> </w:t>
      </w:r>
      <w:r>
        <w:rPr>
          <w:w w:val="130"/>
          <w:sz w:val="24"/>
        </w:rPr>
        <w:t>tájékoztatja</w:t>
      </w:r>
      <w:r>
        <w:rPr>
          <w:spacing w:val="-8"/>
          <w:w w:val="130"/>
          <w:sz w:val="24"/>
        </w:rPr>
        <w:t> </w:t>
      </w:r>
      <w:r>
        <w:rPr>
          <w:w w:val="130"/>
          <w:sz w:val="24"/>
        </w:rPr>
        <w:t>a</w:t>
      </w:r>
      <w:r>
        <w:rPr>
          <w:spacing w:val="-7"/>
          <w:w w:val="130"/>
          <w:sz w:val="24"/>
        </w:rPr>
        <w:t> </w:t>
      </w:r>
      <w:r>
        <w:rPr>
          <w:w w:val="130"/>
          <w:sz w:val="24"/>
        </w:rPr>
        <w:t>Felügyeletet.</w:t>
      </w:r>
    </w:p>
    <w:p>
      <w:pPr>
        <w:pStyle w:val="ListParagraph"/>
        <w:numPr>
          <w:ilvl w:val="0"/>
          <w:numId w:val="377"/>
        </w:numPr>
        <w:tabs>
          <w:tab w:pos="659" w:val="left" w:leader="none"/>
        </w:tabs>
        <w:spacing w:line="225" w:lineRule="auto" w:before="3" w:after="0"/>
        <w:ind w:left="113" w:right="126" w:firstLine="204"/>
        <w:jc w:val="both"/>
        <w:rPr>
          <w:sz w:val="24"/>
        </w:rPr>
      </w:pPr>
      <w:r>
        <w:rPr>
          <w:i/>
          <w:w w:val="125"/>
          <w:position w:val="3"/>
          <w:sz w:val="18"/>
        </w:rPr>
        <w:t>4</w:t>
      </w:r>
      <w:r>
        <w:rPr>
          <w:i/>
          <w:spacing w:val="5"/>
          <w:w w:val="125"/>
          <w:position w:val="3"/>
          <w:sz w:val="18"/>
        </w:rPr>
        <w:t> </w:t>
      </w:r>
      <w:r>
        <w:rPr>
          <w:w w:val="125"/>
          <w:sz w:val="24"/>
        </w:rPr>
        <w:t>A</w:t>
      </w:r>
      <w:r>
        <w:rPr>
          <w:spacing w:val="-14"/>
          <w:w w:val="125"/>
          <w:sz w:val="24"/>
        </w:rPr>
        <w:t> </w:t>
      </w:r>
      <w:r>
        <w:rPr>
          <w:w w:val="125"/>
          <w:sz w:val="24"/>
        </w:rPr>
        <w:t>Rendőrségről</w:t>
      </w:r>
      <w:r>
        <w:rPr>
          <w:spacing w:val="-15"/>
          <w:w w:val="125"/>
          <w:sz w:val="24"/>
        </w:rPr>
        <w:t> </w:t>
      </w:r>
      <w:r>
        <w:rPr>
          <w:w w:val="125"/>
          <w:sz w:val="24"/>
        </w:rPr>
        <w:t>szóló</w:t>
      </w:r>
      <w:r>
        <w:rPr>
          <w:spacing w:val="-9"/>
          <w:w w:val="125"/>
          <w:sz w:val="24"/>
        </w:rPr>
        <w:t> </w:t>
      </w:r>
      <w:r>
        <w:rPr>
          <w:w w:val="125"/>
          <w:sz w:val="24"/>
        </w:rPr>
        <w:t>1994.</w:t>
      </w:r>
      <w:r>
        <w:rPr>
          <w:spacing w:val="-19"/>
          <w:w w:val="125"/>
          <w:sz w:val="24"/>
        </w:rPr>
        <w:t> </w:t>
      </w:r>
      <w:r>
        <w:rPr>
          <w:w w:val="125"/>
          <w:sz w:val="24"/>
        </w:rPr>
        <w:t>évi</w:t>
      </w:r>
      <w:r>
        <w:rPr>
          <w:spacing w:val="-15"/>
          <w:w w:val="125"/>
          <w:sz w:val="24"/>
        </w:rPr>
        <w:t> </w:t>
      </w:r>
      <w:r>
        <w:rPr>
          <w:w w:val="125"/>
          <w:sz w:val="24"/>
        </w:rPr>
        <w:t>XXXIV.</w:t>
      </w:r>
      <w:r>
        <w:rPr>
          <w:spacing w:val="-14"/>
          <w:w w:val="125"/>
          <w:sz w:val="24"/>
        </w:rPr>
        <w:t> </w:t>
      </w:r>
      <w:r>
        <w:rPr>
          <w:w w:val="125"/>
          <w:sz w:val="24"/>
        </w:rPr>
        <w:t>törvény</w:t>
      </w:r>
      <w:r>
        <w:rPr>
          <w:spacing w:val="-15"/>
          <w:w w:val="125"/>
          <w:sz w:val="24"/>
        </w:rPr>
        <w:t> </w:t>
      </w:r>
      <w:r>
        <w:rPr>
          <w:w w:val="125"/>
          <w:sz w:val="24"/>
        </w:rPr>
        <w:t>69.</w:t>
      </w:r>
      <w:r>
        <w:rPr>
          <w:spacing w:val="-14"/>
          <w:w w:val="125"/>
          <w:sz w:val="24"/>
        </w:rPr>
        <w:t> </w:t>
      </w:r>
      <w:r>
        <w:rPr>
          <w:w w:val="125"/>
          <w:sz w:val="24"/>
        </w:rPr>
        <w:t>§</w:t>
      </w:r>
      <w:r>
        <w:rPr>
          <w:spacing w:val="-14"/>
          <w:w w:val="125"/>
          <w:sz w:val="24"/>
        </w:rPr>
        <w:t> </w:t>
      </w:r>
      <w:r>
        <w:rPr>
          <w:w w:val="125"/>
          <w:sz w:val="24"/>
        </w:rPr>
        <w:t>(3)</w:t>
      </w:r>
      <w:r>
        <w:rPr>
          <w:spacing w:val="-14"/>
          <w:w w:val="125"/>
          <w:sz w:val="24"/>
        </w:rPr>
        <w:t> </w:t>
      </w:r>
      <w:r>
        <w:rPr>
          <w:w w:val="125"/>
          <w:sz w:val="24"/>
        </w:rPr>
        <w:t>bekezdésében,</w:t>
      </w:r>
      <w:r>
        <w:rPr>
          <w:spacing w:val="-13"/>
          <w:w w:val="125"/>
          <w:sz w:val="24"/>
        </w:rPr>
        <w:t> </w:t>
      </w:r>
      <w:r>
        <w:rPr>
          <w:w w:val="125"/>
          <w:sz w:val="24"/>
        </w:rPr>
        <w:t>a Nemzeti Adó- és Vámhivatalról szóló 2010. évi CXXII. törvény 58. § (3) bekezdésében vagy a büntetőeljárásról szóló 2017. évi XC. törvény 262. § (3) bekezdésében meghatározottak szerinti adatkérés  esetén  a  pénzügyi intézmény az ügyészség engedélye nélkül is köteles az általa kezelt, banktitoknak minősülő adatokra vonatkozó adatkérést</w:t>
      </w:r>
      <w:r>
        <w:rPr>
          <w:spacing w:val="22"/>
          <w:w w:val="125"/>
          <w:sz w:val="24"/>
        </w:rPr>
        <w:t> </w:t>
      </w:r>
      <w:r>
        <w:rPr>
          <w:w w:val="125"/>
          <w:sz w:val="24"/>
        </w:rPr>
        <w:t>teljesíteni.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9"/>
        </w:rPr>
      </w:pPr>
      <w:r>
        <w:rPr/>
        <w:pict>
          <v:line style="position:absolute;mso-position-horizontal-relative:page;mso-position-vertical-relative:paragraph;z-index:1088;mso-wrap-distance-left:0;mso-wrap-distance-right:0" from="56.693001pt,13.290434pt" to="538.583001pt,13.29043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2016. évi LXIX. törvény 68. § (3), 2017. évi CXCVII. törvény 408. §</w:t>
      </w:r>
      <w:r>
        <w:rPr>
          <w:i/>
          <w:spacing w:val="-35"/>
          <w:w w:val="125"/>
          <w:sz w:val="18"/>
        </w:rPr>
        <w:t> </w:t>
      </w:r>
      <w:r>
        <w:rPr>
          <w:i/>
          <w:w w:val="125"/>
          <w:sz w:val="18"/>
        </w:rPr>
        <w:t>d).</w:t>
      </w:r>
    </w:p>
    <w:p>
      <w:pPr>
        <w:pStyle w:val="ListParagraph"/>
        <w:numPr>
          <w:ilvl w:val="0"/>
          <w:numId w:val="378"/>
        </w:numPr>
        <w:tabs>
          <w:tab w:pos="686" w:val="left" w:leader="none"/>
          <w:tab w:pos="687" w:val="left" w:leader="none"/>
        </w:tabs>
        <w:spacing w:line="200" w:lineRule="exact" w:before="0" w:after="0"/>
        <w:ind w:left="686" w:right="0" w:hanging="344"/>
        <w:jc w:val="left"/>
        <w:rPr>
          <w:i/>
          <w:sz w:val="18"/>
        </w:rPr>
      </w:pPr>
      <w:r>
        <w:rPr>
          <w:i/>
          <w:w w:val="125"/>
          <w:sz w:val="18"/>
        </w:rPr>
        <w:t>Módosította: 2017. évi XXXIX. törvény 83.</w:t>
      </w:r>
      <w:r>
        <w:rPr>
          <w:i/>
          <w:spacing w:val="-6"/>
          <w:w w:val="125"/>
          <w:sz w:val="18"/>
        </w:rPr>
        <w:t> </w:t>
      </w:r>
      <w:r>
        <w:rPr>
          <w:i/>
          <w:w w:val="125"/>
          <w:sz w:val="18"/>
        </w:rPr>
        <w:t>§.</w:t>
      </w:r>
    </w:p>
    <w:p>
      <w:pPr>
        <w:pStyle w:val="ListParagraph"/>
        <w:numPr>
          <w:ilvl w:val="0"/>
          <w:numId w:val="37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5"/>
          <w:w w:val="125"/>
          <w:sz w:val="18"/>
        </w:rPr>
        <w:t> </w:t>
      </w:r>
      <w:r>
        <w:rPr>
          <w:i/>
          <w:w w:val="125"/>
          <w:sz w:val="18"/>
        </w:rPr>
        <w:t>2016.</w:t>
      </w:r>
      <w:r>
        <w:rPr>
          <w:i/>
          <w:spacing w:val="-4"/>
          <w:w w:val="125"/>
          <w:sz w:val="18"/>
        </w:rPr>
        <w:t> </w:t>
      </w:r>
      <w:r>
        <w:rPr>
          <w:i/>
          <w:w w:val="125"/>
          <w:sz w:val="18"/>
        </w:rPr>
        <w:t>évi</w:t>
      </w:r>
      <w:r>
        <w:rPr>
          <w:i/>
          <w:spacing w:val="-4"/>
          <w:w w:val="125"/>
          <w:sz w:val="18"/>
        </w:rPr>
        <w:t> </w:t>
      </w:r>
      <w:r>
        <w:rPr>
          <w:i/>
          <w:w w:val="125"/>
          <w:sz w:val="18"/>
        </w:rPr>
        <w:t>LXIX.</w:t>
      </w:r>
      <w:r>
        <w:rPr>
          <w:i/>
          <w:spacing w:val="-3"/>
          <w:w w:val="125"/>
          <w:sz w:val="18"/>
        </w:rPr>
        <w:t> </w:t>
      </w:r>
      <w:r>
        <w:rPr>
          <w:i/>
          <w:w w:val="125"/>
          <w:sz w:val="18"/>
        </w:rPr>
        <w:t>törvény</w:t>
      </w:r>
      <w:r>
        <w:rPr>
          <w:i/>
          <w:spacing w:val="-4"/>
          <w:w w:val="125"/>
          <w:sz w:val="18"/>
        </w:rPr>
        <w:t> </w:t>
      </w:r>
      <w:r>
        <w:rPr>
          <w:i/>
          <w:w w:val="125"/>
          <w:sz w:val="18"/>
        </w:rPr>
        <w:t>68.</w:t>
      </w:r>
      <w:r>
        <w:rPr>
          <w:i/>
          <w:spacing w:val="-4"/>
          <w:w w:val="125"/>
          <w:sz w:val="18"/>
        </w:rPr>
        <w:t> </w:t>
      </w:r>
      <w:r>
        <w:rPr>
          <w:i/>
          <w:w w:val="125"/>
          <w:sz w:val="18"/>
        </w:rPr>
        <w:t>§</w:t>
      </w:r>
      <w:r>
        <w:rPr>
          <w:i/>
          <w:spacing w:val="-3"/>
          <w:w w:val="125"/>
          <w:sz w:val="18"/>
        </w:rPr>
        <w:t> </w:t>
      </w:r>
      <w:r>
        <w:rPr>
          <w:i/>
          <w:w w:val="125"/>
          <w:sz w:val="18"/>
        </w:rPr>
        <w:t>(2).</w:t>
      </w:r>
      <w:r>
        <w:rPr>
          <w:i/>
          <w:spacing w:val="-3"/>
          <w:w w:val="125"/>
          <w:sz w:val="18"/>
        </w:rPr>
        <w:t> </w:t>
      </w:r>
      <w:r>
        <w:rPr>
          <w:i/>
          <w:w w:val="125"/>
          <w:sz w:val="18"/>
        </w:rPr>
        <w:t>Módosította:</w:t>
      </w:r>
      <w:r>
        <w:rPr>
          <w:i/>
          <w:spacing w:val="-4"/>
          <w:w w:val="125"/>
          <w:sz w:val="18"/>
        </w:rPr>
        <w:t> </w:t>
      </w:r>
      <w:r>
        <w:rPr>
          <w:i/>
          <w:w w:val="125"/>
          <w:sz w:val="18"/>
        </w:rPr>
        <w:t>2017.</w:t>
      </w:r>
      <w:r>
        <w:rPr>
          <w:i/>
          <w:spacing w:val="-4"/>
          <w:w w:val="125"/>
          <w:sz w:val="18"/>
        </w:rPr>
        <w:t> </w:t>
      </w:r>
      <w:r>
        <w:rPr>
          <w:i/>
          <w:w w:val="125"/>
          <w:sz w:val="18"/>
        </w:rPr>
        <w:t>évi</w:t>
      </w:r>
      <w:r>
        <w:rPr>
          <w:i/>
          <w:spacing w:val="-4"/>
          <w:w w:val="125"/>
          <w:sz w:val="18"/>
        </w:rPr>
        <w:t> </w:t>
      </w:r>
      <w:r>
        <w:rPr>
          <w:i/>
          <w:w w:val="125"/>
          <w:sz w:val="18"/>
        </w:rPr>
        <w:t>CXCVII.</w:t>
      </w:r>
      <w:r>
        <w:rPr>
          <w:i/>
          <w:spacing w:val="-3"/>
          <w:w w:val="125"/>
          <w:sz w:val="18"/>
        </w:rPr>
        <w:t> </w:t>
      </w:r>
      <w:r>
        <w:rPr>
          <w:i/>
          <w:w w:val="125"/>
          <w:sz w:val="18"/>
        </w:rPr>
        <w:t>törvény</w:t>
      </w:r>
      <w:r>
        <w:rPr>
          <w:i/>
          <w:spacing w:val="-4"/>
          <w:w w:val="125"/>
          <w:sz w:val="18"/>
        </w:rPr>
        <w:t> </w:t>
      </w:r>
      <w:r>
        <w:rPr>
          <w:i/>
          <w:w w:val="125"/>
          <w:sz w:val="18"/>
        </w:rPr>
        <w:t>408.</w:t>
      </w:r>
      <w:r>
        <w:rPr>
          <w:i/>
          <w:spacing w:val="-4"/>
          <w:w w:val="125"/>
          <w:sz w:val="18"/>
        </w:rPr>
        <w:t> </w:t>
      </w:r>
      <w:r>
        <w:rPr>
          <w:i/>
          <w:w w:val="125"/>
          <w:sz w:val="18"/>
        </w:rPr>
        <w:t>§</w:t>
      </w:r>
      <w:r>
        <w:rPr>
          <w:i/>
          <w:spacing w:val="-3"/>
          <w:w w:val="125"/>
          <w:sz w:val="18"/>
        </w:rPr>
        <w:t> </w:t>
      </w:r>
      <w:r>
        <w:rPr>
          <w:i/>
          <w:w w:val="125"/>
          <w:sz w:val="18"/>
        </w:rPr>
        <w:t>e).</w:t>
      </w:r>
    </w:p>
    <w:p>
      <w:pPr>
        <w:pStyle w:val="ListParagraph"/>
        <w:numPr>
          <w:ilvl w:val="0"/>
          <w:numId w:val="378"/>
        </w:numPr>
        <w:tabs>
          <w:tab w:pos="686" w:val="left" w:leader="none"/>
          <w:tab w:pos="687" w:val="left" w:leader="none"/>
        </w:tabs>
        <w:spacing w:line="203" w:lineRule="exact" w:before="0" w:after="0"/>
        <w:ind w:left="686" w:right="0" w:hanging="344"/>
        <w:jc w:val="left"/>
        <w:rPr>
          <w:i/>
          <w:sz w:val="18"/>
        </w:rPr>
      </w:pPr>
      <w:r>
        <w:rPr>
          <w:i/>
          <w:w w:val="120"/>
          <w:sz w:val="18"/>
        </w:rPr>
        <w:t>Beiktatta: 2017. évi CXCVII. törvény 405. § (2). Hatályos: 2018. VII.</w:t>
      </w:r>
      <w:r>
        <w:rPr>
          <w:i/>
          <w:spacing w:val="51"/>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2"/>
        <w:ind w:right="125"/>
        <w:jc w:val="both"/>
      </w:pPr>
      <w:r>
        <w:rPr>
          <w:rFonts w:ascii="Arial" w:hAnsi="Arial"/>
          <w:b/>
          <w:w w:val="125"/>
        </w:rPr>
        <w:t>163. § </w:t>
      </w:r>
      <w:r>
        <w:rPr>
          <w:w w:val="125"/>
        </w:rPr>
        <w:t>(1)</w:t>
      </w:r>
      <w:r>
        <w:rPr>
          <w:i/>
          <w:w w:val="125"/>
          <w:position w:val="3"/>
          <w:sz w:val="18"/>
        </w:rPr>
        <w:t>1 </w:t>
      </w:r>
      <w:r>
        <w:rPr>
          <w:w w:val="125"/>
        </w:rPr>
        <w:t>A 161. § (2) bekezdés </w:t>
      </w:r>
      <w:r>
        <w:rPr>
          <w:i/>
          <w:w w:val="125"/>
        </w:rPr>
        <w:t>d)</w:t>
      </w:r>
      <w:r>
        <w:rPr>
          <w:w w:val="125"/>
        </w:rPr>
        <w:t>, </w:t>
      </w:r>
      <w:r>
        <w:rPr>
          <w:i/>
          <w:w w:val="125"/>
        </w:rPr>
        <w:t>f)</w:t>
      </w:r>
      <w:r>
        <w:rPr>
          <w:w w:val="125"/>
        </w:rPr>
        <w:t>, </w:t>
      </w:r>
      <w:r>
        <w:rPr>
          <w:i/>
          <w:w w:val="125"/>
        </w:rPr>
        <w:t>g) </w:t>
      </w:r>
      <w:r>
        <w:rPr>
          <w:w w:val="125"/>
        </w:rPr>
        <w:t>és </w:t>
      </w:r>
      <w:r>
        <w:rPr>
          <w:i/>
          <w:w w:val="125"/>
        </w:rPr>
        <w:t>o) </w:t>
      </w:r>
      <w:r>
        <w:rPr>
          <w:w w:val="125"/>
        </w:rPr>
        <w:t>pontja, a 161. § (3) bekezdés </w:t>
      </w:r>
      <w:r>
        <w:rPr>
          <w:i/>
          <w:w w:val="125"/>
        </w:rPr>
        <w:t>e)-g) </w:t>
      </w:r>
      <w:r>
        <w:rPr>
          <w:w w:val="125"/>
        </w:rPr>
        <w:t>pontja, a 162. §, valamint az 164. § </w:t>
      </w:r>
      <w:r>
        <w:rPr>
          <w:i/>
          <w:w w:val="125"/>
        </w:rPr>
        <w:t>p) </w:t>
      </w:r>
      <w:r>
        <w:rPr>
          <w:w w:val="125"/>
        </w:rPr>
        <w:t>pontja alapján  történő  adatátadásról a pénzügyi intézmény az érintett ügyfelet nem tájékoztathatja. Ebben az esetben az érintett személy személyes adataihoz való hozzáférési jogának gyakorlása iránti kérelme esetén olyan tájékoztatást kell  adni, amelyből nem derül ki, hogy a személyes adatainak továbbítására milyen  célból került</w:t>
      </w:r>
      <w:r>
        <w:rPr>
          <w:spacing w:val="1"/>
          <w:w w:val="125"/>
        </w:rPr>
        <w:t> </w:t>
      </w:r>
      <w:r>
        <w:rPr>
          <w:w w:val="125"/>
        </w:rPr>
        <w:t>sor.</w:t>
      </w:r>
    </w:p>
    <w:p>
      <w:pPr>
        <w:pStyle w:val="BodyText"/>
        <w:spacing w:line="225" w:lineRule="auto" w:before="4"/>
        <w:ind w:right="130"/>
        <w:jc w:val="both"/>
      </w:pPr>
      <w:r>
        <w:rPr>
          <w:w w:val="130"/>
        </w:rPr>
        <w:t>(2)</w:t>
      </w:r>
      <w:r>
        <w:rPr>
          <w:spacing w:val="-17"/>
          <w:w w:val="130"/>
        </w:rPr>
        <w:t> </w:t>
      </w:r>
      <w:r>
        <w:rPr>
          <w:w w:val="130"/>
        </w:rPr>
        <w:t>Az</w:t>
      </w:r>
      <w:r>
        <w:rPr>
          <w:spacing w:val="-16"/>
          <w:w w:val="130"/>
        </w:rPr>
        <w:t> </w:t>
      </w:r>
      <w:r>
        <w:rPr>
          <w:w w:val="130"/>
        </w:rPr>
        <w:t>adatkérő</w:t>
      </w:r>
      <w:r>
        <w:rPr>
          <w:spacing w:val="-16"/>
          <w:w w:val="130"/>
        </w:rPr>
        <w:t> </w:t>
      </w:r>
      <w:r>
        <w:rPr>
          <w:w w:val="130"/>
        </w:rPr>
        <w:t>az</w:t>
      </w:r>
      <w:r>
        <w:rPr>
          <w:spacing w:val="-17"/>
          <w:w w:val="130"/>
        </w:rPr>
        <w:t> </w:t>
      </w:r>
      <w:r>
        <w:rPr>
          <w:w w:val="130"/>
        </w:rPr>
        <w:t>(1)</w:t>
      </w:r>
      <w:r>
        <w:rPr>
          <w:spacing w:val="-16"/>
          <w:w w:val="130"/>
        </w:rPr>
        <w:t> </w:t>
      </w:r>
      <w:r>
        <w:rPr>
          <w:w w:val="130"/>
        </w:rPr>
        <w:t>bekezdésben</w:t>
      </w:r>
      <w:r>
        <w:rPr>
          <w:spacing w:val="-3"/>
          <w:w w:val="130"/>
        </w:rPr>
        <w:t> </w:t>
      </w:r>
      <w:r>
        <w:rPr>
          <w:w w:val="130"/>
        </w:rPr>
        <w:t>említett</w:t>
      </w:r>
      <w:r>
        <w:rPr>
          <w:spacing w:val="-23"/>
          <w:w w:val="130"/>
        </w:rPr>
        <w:t> </w:t>
      </w:r>
      <w:r>
        <w:rPr>
          <w:w w:val="130"/>
        </w:rPr>
        <w:t>esetek</w:t>
      </w:r>
      <w:r>
        <w:rPr>
          <w:spacing w:val="-23"/>
          <w:w w:val="130"/>
        </w:rPr>
        <w:t> </w:t>
      </w:r>
      <w:r>
        <w:rPr>
          <w:w w:val="130"/>
        </w:rPr>
        <w:t>kivételével</w:t>
      </w:r>
      <w:r>
        <w:rPr>
          <w:spacing w:val="-16"/>
          <w:w w:val="130"/>
        </w:rPr>
        <w:t> </w:t>
      </w:r>
      <w:r>
        <w:rPr>
          <w:w w:val="130"/>
        </w:rPr>
        <w:t>az</w:t>
      </w:r>
      <w:r>
        <w:rPr>
          <w:spacing w:val="-17"/>
          <w:w w:val="130"/>
        </w:rPr>
        <w:t> </w:t>
      </w:r>
      <w:r>
        <w:rPr>
          <w:w w:val="130"/>
        </w:rPr>
        <w:t>ügyfelet</w:t>
      </w:r>
      <w:r>
        <w:rPr>
          <w:spacing w:val="-16"/>
          <w:w w:val="130"/>
        </w:rPr>
        <w:t> </w:t>
      </w:r>
      <w:r>
        <w:rPr>
          <w:w w:val="130"/>
        </w:rPr>
        <w:t>az adatkérésről</w:t>
      </w:r>
      <w:r>
        <w:rPr>
          <w:spacing w:val="-4"/>
          <w:w w:val="130"/>
        </w:rPr>
        <w:t> </w:t>
      </w:r>
      <w:r>
        <w:rPr>
          <w:w w:val="130"/>
        </w:rPr>
        <w:t>tájékoztatja.</w:t>
      </w:r>
    </w:p>
    <w:p>
      <w:pPr>
        <w:pStyle w:val="BodyText"/>
        <w:spacing w:line="256" w:lineRule="exact"/>
        <w:ind w:left="317" w:firstLine="0"/>
      </w:pPr>
      <w:r>
        <w:rPr>
          <w:rFonts w:ascii="Arial" w:hAnsi="Arial"/>
          <w:b/>
          <w:w w:val="125"/>
        </w:rPr>
        <w:t>164. § </w:t>
      </w:r>
      <w:r>
        <w:rPr>
          <w:w w:val="125"/>
        </w:rPr>
        <w:t>Nem jelenti a banktitok sérelmét</w:t>
      </w:r>
    </w:p>
    <w:p>
      <w:pPr>
        <w:pStyle w:val="ListParagraph"/>
        <w:numPr>
          <w:ilvl w:val="0"/>
          <w:numId w:val="379"/>
        </w:numPr>
        <w:tabs>
          <w:tab w:pos="710" w:val="left" w:leader="none"/>
        </w:tabs>
        <w:spacing w:line="225" w:lineRule="auto" w:before="5" w:after="0"/>
        <w:ind w:left="113" w:right="124" w:firstLine="204"/>
        <w:jc w:val="both"/>
        <w:rPr>
          <w:sz w:val="24"/>
        </w:rPr>
      </w:pPr>
      <w:r>
        <w:rPr>
          <w:w w:val="130"/>
          <w:sz w:val="24"/>
        </w:rPr>
        <w:t>az olyan összesített adatok szolgáltatása, amelyből az egyes ügyfelek</w:t>
      </w:r>
      <w:r>
        <w:rPr>
          <w:spacing w:val="78"/>
          <w:w w:val="130"/>
          <w:sz w:val="24"/>
        </w:rPr>
        <w:t> </w:t>
      </w:r>
      <w:r>
        <w:rPr>
          <w:w w:val="130"/>
          <w:sz w:val="24"/>
        </w:rPr>
        <w:t>személye vagy üzleti adata nem állapítható</w:t>
      </w:r>
      <w:r>
        <w:rPr>
          <w:spacing w:val="-32"/>
          <w:w w:val="130"/>
          <w:sz w:val="24"/>
        </w:rPr>
        <w:t> </w:t>
      </w:r>
      <w:r>
        <w:rPr>
          <w:w w:val="130"/>
          <w:sz w:val="24"/>
        </w:rPr>
        <w:t>meg,</w:t>
      </w:r>
    </w:p>
    <w:p>
      <w:pPr>
        <w:pStyle w:val="ListParagraph"/>
        <w:numPr>
          <w:ilvl w:val="0"/>
          <w:numId w:val="379"/>
        </w:numPr>
        <w:tabs>
          <w:tab w:pos="787" w:val="left" w:leader="none"/>
        </w:tabs>
        <w:spacing w:line="225" w:lineRule="auto" w:before="1" w:after="0"/>
        <w:ind w:left="113" w:right="124" w:firstLine="204"/>
        <w:jc w:val="both"/>
        <w:rPr>
          <w:sz w:val="24"/>
        </w:rPr>
      </w:pPr>
      <w:r>
        <w:rPr>
          <w:w w:val="130"/>
          <w:sz w:val="24"/>
        </w:rPr>
        <w:t>a pénzforgalmi számlatulajdonos nevére, pénzforgalmi számlájának számára vonatkozó adatszolgáltatás, továbbá téves utalás esetén a teljesített átutalási</w:t>
      </w:r>
      <w:r>
        <w:rPr>
          <w:spacing w:val="-20"/>
          <w:w w:val="130"/>
          <w:sz w:val="24"/>
        </w:rPr>
        <w:t> </w:t>
      </w:r>
      <w:r>
        <w:rPr>
          <w:w w:val="130"/>
          <w:sz w:val="24"/>
        </w:rPr>
        <w:t>megbízás</w:t>
      </w:r>
      <w:r>
        <w:rPr>
          <w:spacing w:val="-20"/>
          <w:w w:val="130"/>
          <w:sz w:val="24"/>
        </w:rPr>
        <w:t> </w:t>
      </w:r>
      <w:r>
        <w:rPr>
          <w:w w:val="130"/>
          <w:sz w:val="24"/>
        </w:rPr>
        <w:t>megbízója,</w:t>
      </w:r>
      <w:r>
        <w:rPr>
          <w:spacing w:val="-19"/>
          <w:w w:val="130"/>
          <w:sz w:val="24"/>
        </w:rPr>
        <w:t> </w:t>
      </w:r>
      <w:r>
        <w:rPr>
          <w:w w:val="130"/>
          <w:sz w:val="24"/>
        </w:rPr>
        <w:t>illetve</w:t>
      </w:r>
      <w:r>
        <w:rPr>
          <w:spacing w:val="-21"/>
          <w:w w:val="130"/>
          <w:sz w:val="24"/>
        </w:rPr>
        <w:t> </w:t>
      </w:r>
      <w:r>
        <w:rPr>
          <w:w w:val="130"/>
          <w:sz w:val="24"/>
        </w:rPr>
        <w:t>a</w:t>
      </w:r>
      <w:r>
        <w:rPr>
          <w:spacing w:val="-20"/>
          <w:w w:val="130"/>
          <w:sz w:val="24"/>
        </w:rPr>
        <w:t> </w:t>
      </w:r>
      <w:r>
        <w:rPr>
          <w:w w:val="130"/>
          <w:sz w:val="24"/>
        </w:rPr>
        <w:t>megbízó</w:t>
      </w:r>
      <w:r>
        <w:rPr>
          <w:spacing w:val="-20"/>
          <w:w w:val="130"/>
          <w:sz w:val="24"/>
        </w:rPr>
        <w:t> </w:t>
      </w:r>
      <w:r>
        <w:rPr>
          <w:w w:val="130"/>
          <w:sz w:val="24"/>
        </w:rPr>
        <w:t>számlavezetője</w:t>
      </w:r>
      <w:r>
        <w:rPr>
          <w:spacing w:val="-20"/>
          <w:w w:val="130"/>
          <w:sz w:val="24"/>
        </w:rPr>
        <w:t> </w:t>
      </w:r>
      <w:r>
        <w:rPr>
          <w:w w:val="130"/>
          <w:sz w:val="24"/>
        </w:rPr>
        <w:t>javára</w:t>
      </w:r>
      <w:r>
        <w:rPr>
          <w:spacing w:val="-20"/>
          <w:w w:val="130"/>
          <w:sz w:val="24"/>
        </w:rPr>
        <w:t> </w:t>
      </w:r>
      <w:r>
        <w:rPr>
          <w:w w:val="130"/>
          <w:sz w:val="24"/>
        </w:rPr>
        <w:t>történő adatátadás, a megbízás szerint kedvezményezett, nem pénzforgalmi számlatulajdonos nevére, címére</w:t>
      </w:r>
      <w:r>
        <w:rPr>
          <w:spacing w:val="-16"/>
          <w:w w:val="130"/>
          <w:sz w:val="24"/>
        </w:rPr>
        <w:t> </w:t>
      </w:r>
      <w:r>
        <w:rPr>
          <w:w w:val="130"/>
          <w:sz w:val="24"/>
        </w:rPr>
        <w:t>vonatkozóan,</w:t>
      </w:r>
    </w:p>
    <w:p>
      <w:pPr>
        <w:pStyle w:val="ListParagraph"/>
        <w:numPr>
          <w:ilvl w:val="0"/>
          <w:numId w:val="379"/>
        </w:numPr>
        <w:tabs>
          <w:tab w:pos="547" w:val="left" w:leader="none"/>
        </w:tabs>
        <w:spacing w:line="251" w:lineRule="exact" w:before="0" w:after="0"/>
        <w:ind w:left="546" w:right="0" w:hanging="229"/>
        <w:jc w:val="left"/>
        <w:rPr>
          <w:sz w:val="24"/>
        </w:rPr>
      </w:pPr>
      <w:r>
        <w:rPr>
          <w:i/>
          <w:w w:val="125"/>
          <w:position w:val="3"/>
          <w:sz w:val="18"/>
        </w:rPr>
        <w:t>2</w:t>
      </w:r>
      <w:r>
        <w:rPr>
          <w:i/>
          <w:spacing w:val="52"/>
          <w:w w:val="125"/>
          <w:position w:val="3"/>
          <w:sz w:val="18"/>
        </w:rPr>
        <w:t> </w:t>
      </w:r>
      <w:r>
        <w:rPr>
          <w:w w:val="125"/>
          <w:sz w:val="24"/>
        </w:rPr>
        <w:t>a</w:t>
      </w:r>
      <w:r>
        <w:rPr>
          <w:spacing w:val="34"/>
          <w:w w:val="125"/>
          <w:sz w:val="24"/>
        </w:rPr>
        <w:t> </w:t>
      </w:r>
      <w:r>
        <w:rPr>
          <w:w w:val="125"/>
          <w:sz w:val="24"/>
        </w:rPr>
        <w:t>3.</w:t>
      </w:r>
      <w:r>
        <w:rPr>
          <w:spacing w:val="34"/>
          <w:w w:val="125"/>
          <w:sz w:val="24"/>
        </w:rPr>
        <w:t> </w:t>
      </w:r>
      <w:r>
        <w:rPr>
          <w:w w:val="125"/>
          <w:sz w:val="24"/>
        </w:rPr>
        <w:t>§</w:t>
      </w:r>
      <w:r>
        <w:rPr>
          <w:spacing w:val="40"/>
          <w:w w:val="125"/>
          <w:sz w:val="24"/>
        </w:rPr>
        <w:t> </w:t>
      </w:r>
      <w:r>
        <w:rPr>
          <w:w w:val="125"/>
          <w:sz w:val="24"/>
        </w:rPr>
        <w:t>(1)</w:t>
      </w:r>
      <w:r>
        <w:rPr>
          <w:spacing w:val="27"/>
          <w:w w:val="125"/>
          <w:sz w:val="24"/>
        </w:rPr>
        <w:t> </w:t>
      </w:r>
      <w:r>
        <w:rPr>
          <w:w w:val="125"/>
          <w:sz w:val="24"/>
        </w:rPr>
        <w:t>bekezdés</w:t>
      </w:r>
      <w:r>
        <w:rPr>
          <w:spacing w:val="33"/>
          <w:w w:val="125"/>
          <w:sz w:val="24"/>
        </w:rPr>
        <w:t> </w:t>
      </w:r>
      <w:r>
        <w:rPr>
          <w:i/>
          <w:w w:val="125"/>
          <w:sz w:val="24"/>
        </w:rPr>
        <w:t>b)-g)</w:t>
      </w:r>
      <w:r>
        <w:rPr>
          <w:i/>
          <w:spacing w:val="34"/>
          <w:w w:val="125"/>
          <w:sz w:val="24"/>
        </w:rPr>
        <w:t> </w:t>
      </w:r>
      <w:r>
        <w:rPr>
          <w:w w:val="125"/>
          <w:sz w:val="24"/>
        </w:rPr>
        <w:t>és</w:t>
      </w:r>
      <w:r>
        <w:rPr>
          <w:spacing w:val="33"/>
          <w:w w:val="125"/>
          <w:sz w:val="24"/>
        </w:rPr>
        <w:t> </w:t>
      </w:r>
      <w:r>
        <w:rPr>
          <w:i/>
          <w:w w:val="125"/>
          <w:sz w:val="24"/>
        </w:rPr>
        <w:t>l)</w:t>
      </w:r>
      <w:r>
        <w:rPr>
          <w:i/>
          <w:spacing w:val="34"/>
          <w:w w:val="125"/>
          <w:sz w:val="24"/>
        </w:rPr>
        <w:t> </w:t>
      </w:r>
      <w:r>
        <w:rPr>
          <w:w w:val="125"/>
          <w:sz w:val="24"/>
        </w:rPr>
        <w:t>pontjában</w:t>
      </w:r>
      <w:r>
        <w:rPr>
          <w:spacing w:val="34"/>
          <w:w w:val="125"/>
          <w:sz w:val="24"/>
        </w:rPr>
        <w:t> </w:t>
      </w:r>
      <w:r>
        <w:rPr>
          <w:w w:val="125"/>
          <w:sz w:val="24"/>
        </w:rPr>
        <w:t>foglalt</w:t>
      </w:r>
      <w:r>
        <w:rPr>
          <w:spacing w:val="34"/>
          <w:w w:val="125"/>
          <w:sz w:val="24"/>
        </w:rPr>
        <w:t> </w:t>
      </w:r>
      <w:r>
        <w:rPr>
          <w:w w:val="125"/>
          <w:sz w:val="24"/>
        </w:rPr>
        <w:t>tevékenységek</w:t>
      </w:r>
      <w:r>
        <w:rPr>
          <w:spacing w:val="33"/>
          <w:w w:val="125"/>
          <w:sz w:val="24"/>
        </w:rPr>
        <w:t> </w:t>
      </w:r>
      <w:r>
        <w:rPr>
          <w:w w:val="125"/>
          <w:sz w:val="24"/>
        </w:rPr>
        <w:t>legalább</w:t>
      </w:r>
    </w:p>
    <w:p>
      <w:pPr>
        <w:pStyle w:val="BodyText"/>
        <w:spacing w:line="225" w:lineRule="auto" w:before="12"/>
        <w:ind w:right="127" w:firstLine="0"/>
        <w:jc w:val="both"/>
      </w:pPr>
      <w:r>
        <w:rPr>
          <w:w w:val="130"/>
        </w:rPr>
        <w:t>egyikét végző pénzügyi intézmény, valamint a kizárólag garanciavállalással, készfizető kezesség vállalásával foglalkozó jogi személy részéről a központi hitelinformációs rendszerről szóló törvényben meghatározott központi hitelinformációs</w:t>
      </w:r>
      <w:r>
        <w:rPr>
          <w:spacing w:val="-18"/>
          <w:w w:val="130"/>
        </w:rPr>
        <w:t> </w:t>
      </w:r>
      <w:r>
        <w:rPr>
          <w:w w:val="130"/>
        </w:rPr>
        <w:t>rendszerbe,</w:t>
      </w:r>
      <w:r>
        <w:rPr>
          <w:spacing w:val="-18"/>
          <w:w w:val="130"/>
        </w:rPr>
        <w:t> </w:t>
      </w:r>
      <w:r>
        <w:rPr>
          <w:w w:val="130"/>
        </w:rPr>
        <w:t>illetve</w:t>
      </w:r>
      <w:r>
        <w:rPr>
          <w:spacing w:val="-18"/>
          <w:w w:val="130"/>
        </w:rPr>
        <w:t> </w:t>
      </w:r>
      <w:r>
        <w:rPr>
          <w:w w:val="130"/>
        </w:rPr>
        <w:t>e</w:t>
      </w:r>
      <w:r>
        <w:rPr>
          <w:spacing w:val="-17"/>
          <w:w w:val="130"/>
        </w:rPr>
        <w:t> </w:t>
      </w:r>
      <w:r>
        <w:rPr>
          <w:w w:val="130"/>
        </w:rPr>
        <w:t>rendszerből</w:t>
      </w:r>
      <w:r>
        <w:rPr>
          <w:spacing w:val="-18"/>
          <w:w w:val="130"/>
        </w:rPr>
        <w:t> </w:t>
      </w:r>
      <w:r>
        <w:rPr>
          <w:w w:val="130"/>
        </w:rPr>
        <w:t>a</w:t>
      </w:r>
      <w:r>
        <w:rPr>
          <w:spacing w:val="-18"/>
          <w:w w:val="130"/>
        </w:rPr>
        <w:t> </w:t>
      </w:r>
      <w:r>
        <w:rPr>
          <w:w w:val="130"/>
        </w:rPr>
        <w:t>törvényben</w:t>
      </w:r>
      <w:r>
        <w:rPr>
          <w:spacing w:val="-18"/>
          <w:w w:val="130"/>
        </w:rPr>
        <w:t> </w:t>
      </w:r>
      <w:r>
        <w:rPr>
          <w:w w:val="130"/>
        </w:rPr>
        <w:t>meghatározott referenciaadat-szolgáltató részére nyújtott</w:t>
      </w:r>
      <w:r>
        <w:rPr>
          <w:spacing w:val="-20"/>
          <w:w w:val="130"/>
        </w:rPr>
        <w:t> </w:t>
      </w:r>
      <w:r>
        <w:rPr>
          <w:w w:val="130"/>
        </w:rPr>
        <w:t>referenciaadat-szolgáltatás,</w:t>
      </w:r>
    </w:p>
    <w:p>
      <w:pPr>
        <w:pStyle w:val="ListParagraph"/>
        <w:numPr>
          <w:ilvl w:val="0"/>
          <w:numId w:val="379"/>
        </w:numPr>
        <w:tabs>
          <w:tab w:pos="669" w:val="left" w:leader="none"/>
        </w:tabs>
        <w:spacing w:line="225" w:lineRule="auto" w:before="3" w:after="0"/>
        <w:ind w:left="113" w:right="124" w:firstLine="204"/>
        <w:jc w:val="both"/>
        <w:rPr>
          <w:sz w:val="24"/>
        </w:rPr>
      </w:pPr>
      <w:r>
        <w:rPr>
          <w:w w:val="125"/>
          <w:sz w:val="24"/>
        </w:rPr>
        <w:t>a pénzügyi intézmény által felhatalmazott könyvvizsgálónak, a megbízott vagyonellenőrnek, jogi vagy egyéb szakértőnek, valamint a pénzügyi  intézmény részére biztosítási fedezetet nyújtó biztosítónak a biztosítási szerződés teljesítéséhez szükséges mértékben történő</w:t>
      </w:r>
      <w:r>
        <w:rPr>
          <w:spacing w:val="50"/>
          <w:w w:val="125"/>
          <w:sz w:val="24"/>
        </w:rPr>
        <w:t> </w:t>
      </w:r>
      <w:r>
        <w:rPr>
          <w:w w:val="125"/>
          <w:sz w:val="24"/>
        </w:rPr>
        <w:t>adatátadás,</w:t>
      </w:r>
    </w:p>
    <w:p>
      <w:pPr>
        <w:pStyle w:val="ListParagraph"/>
        <w:numPr>
          <w:ilvl w:val="0"/>
          <w:numId w:val="379"/>
        </w:numPr>
        <w:tabs>
          <w:tab w:pos="555" w:val="left" w:leader="none"/>
          <w:tab w:pos="878" w:val="left" w:leader="none"/>
          <w:tab w:pos="1232" w:val="left" w:leader="none"/>
          <w:tab w:pos="2540" w:val="left" w:leader="none"/>
          <w:tab w:pos="4003" w:val="left" w:leader="none"/>
          <w:tab w:pos="6252" w:val="left" w:leader="none"/>
          <w:tab w:pos="7366" w:val="left" w:leader="none"/>
          <w:tab w:pos="9600" w:val="left" w:leader="none"/>
        </w:tabs>
        <w:spacing w:line="250" w:lineRule="exact" w:before="0" w:after="0"/>
        <w:ind w:left="554" w:right="0" w:hanging="237"/>
        <w:jc w:val="left"/>
        <w:rPr>
          <w:sz w:val="24"/>
        </w:rPr>
      </w:pPr>
      <w:r>
        <w:rPr>
          <w:i/>
          <w:w w:val="130"/>
          <w:position w:val="3"/>
          <w:sz w:val="18"/>
        </w:rPr>
        <w:t>3</w:t>
        <w:tab/>
      </w:r>
      <w:r>
        <w:rPr>
          <w:w w:val="130"/>
          <w:sz w:val="24"/>
        </w:rPr>
        <w:t>a</w:t>
        <w:tab/>
        <w:t>pénzügyi</w:t>
        <w:tab/>
        <w:t>intézmény</w:t>
        <w:tab/>
        <w:t>igazgatóságának</w:t>
        <w:tab/>
        <w:t>írásbeli</w:t>
        <w:tab/>
        <w:t>hozzájárulásával</w:t>
        <w:tab/>
        <w:t>a</w:t>
      </w:r>
    </w:p>
    <w:p>
      <w:pPr>
        <w:pStyle w:val="BodyText"/>
        <w:spacing w:line="225" w:lineRule="auto" w:before="12"/>
        <w:ind w:right="127" w:firstLine="0"/>
        <w:jc w:val="both"/>
      </w:pPr>
      <w:r>
        <w:rPr>
          <w:w w:val="125"/>
        </w:rPr>
        <w:t>pénzügyi intézményben befolyásoló részesedéssel rendelkező tagnak vagy az ilyen befolyást szerezni kívánó személy (társaság), az üzletág átvételét tervező társaság, illetve az ilyen tag vagy esetleges jövőbeni tag által felhatalmazott könyvvizsgálónak, jogi vagy más szakértőnek történő, valamint a 17. és 17/A. § szerinti állományátruházáshoz kapcsolódóan az átadó és az átvevő pénzügyi intézmény közötti adatátadás,</w:t>
      </w:r>
    </w:p>
    <w:p>
      <w:pPr>
        <w:pStyle w:val="ListParagraph"/>
        <w:numPr>
          <w:ilvl w:val="0"/>
          <w:numId w:val="379"/>
        </w:numPr>
        <w:tabs>
          <w:tab w:pos="627" w:val="left" w:leader="none"/>
        </w:tabs>
        <w:spacing w:line="225" w:lineRule="auto" w:before="3" w:after="0"/>
        <w:ind w:left="113" w:right="125" w:firstLine="204"/>
        <w:jc w:val="left"/>
        <w:rPr>
          <w:sz w:val="24"/>
        </w:rPr>
      </w:pPr>
      <w:r>
        <w:rPr>
          <w:w w:val="130"/>
          <w:sz w:val="24"/>
        </w:rPr>
        <w:t>a bíróság megkeresése esetén a peres fél számlája felett rendelkezésre</w:t>
      </w:r>
      <w:r>
        <w:rPr>
          <w:spacing w:val="78"/>
          <w:w w:val="130"/>
          <w:sz w:val="24"/>
        </w:rPr>
        <w:t> </w:t>
      </w:r>
      <w:r>
        <w:rPr>
          <w:w w:val="130"/>
          <w:sz w:val="24"/>
        </w:rPr>
        <w:t>jogosultak aláírásmintájának</w:t>
      </w:r>
      <w:r>
        <w:rPr>
          <w:spacing w:val="-8"/>
          <w:w w:val="130"/>
          <w:sz w:val="24"/>
        </w:rPr>
        <w:t> </w:t>
      </w:r>
      <w:r>
        <w:rPr>
          <w:w w:val="130"/>
          <w:sz w:val="24"/>
        </w:rPr>
        <w:t>bemutatása,</w:t>
      </w:r>
    </w:p>
    <w:p>
      <w:pPr>
        <w:pStyle w:val="ListParagraph"/>
        <w:numPr>
          <w:ilvl w:val="0"/>
          <w:numId w:val="379"/>
        </w:numPr>
        <w:tabs>
          <w:tab w:pos="743" w:val="left" w:leader="none"/>
        </w:tabs>
        <w:spacing w:line="225" w:lineRule="auto" w:before="2" w:after="0"/>
        <w:ind w:left="113" w:right="129" w:firstLine="204"/>
        <w:jc w:val="left"/>
        <w:rPr>
          <w:sz w:val="24"/>
        </w:rPr>
      </w:pPr>
      <w:r>
        <w:rPr>
          <w:w w:val="125"/>
          <w:sz w:val="24"/>
        </w:rPr>
        <w:t>az MNB által - a banktitokra vonatkozó szabályok betartásával - a hitelintézetekről egyedi azonosításra alkalmas adatok</w:t>
      </w:r>
      <w:r>
        <w:rPr>
          <w:spacing w:val="31"/>
          <w:w w:val="125"/>
          <w:sz w:val="24"/>
        </w:rPr>
        <w:t> </w:t>
      </w:r>
      <w:r>
        <w:rPr>
          <w:w w:val="125"/>
          <w:sz w:val="24"/>
        </w:rPr>
        <w:t>szolgáltatása</w:t>
      </w:r>
    </w:p>
    <w:p>
      <w:pPr>
        <w:pStyle w:val="BodyText"/>
        <w:spacing w:line="256" w:lineRule="exact"/>
        <w:ind w:left="317" w:firstLine="0"/>
      </w:pPr>
      <w:r>
        <w:rPr>
          <w:i/>
          <w:w w:val="130"/>
        </w:rPr>
        <w:t>ga) </w:t>
      </w:r>
      <w:r>
        <w:rPr>
          <w:w w:val="130"/>
        </w:rPr>
        <w:t>statisztikai célra a Központi Statisztikai Hivatal</w:t>
      </w:r>
    </w:p>
    <w:p>
      <w:pPr>
        <w:pStyle w:val="BodyText"/>
        <w:spacing w:line="225" w:lineRule="auto" w:before="5"/>
        <w:ind w:right="39"/>
      </w:pPr>
      <w:r>
        <w:rPr>
          <w:i/>
          <w:w w:val="130"/>
        </w:rPr>
        <w:t>gb) </w:t>
      </w:r>
      <w:r>
        <w:rPr>
          <w:w w:val="130"/>
        </w:rPr>
        <w:t>a nemzetgazdasági folyamatok elemzése, illetve a központi költségvetés tervezése céljából az államháztartásért felelős miniszter</w:t>
      </w:r>
    </w:p>
    <w:p>
      <w:pPr>
        <w:pStyle w:val="BodyText"/>
        <w:spacing w:line="264" w:lineRule="exact"/>
        <w:ind w:firstLine="0"/>
        <w:jc w:val="both"/>
      </w:pPr>
      <w:r>
        <w:rPr>
          <w:w w:val="135"/>
        </w:rPr>
        <w:t>részére,</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3"/>
        </w:rPr>
      </w:pPr>
      <w:r>
        <w:rPr/>
        <w:pict>
          <v:line style="position:absolute;mso-position-horizontal-relative:page;mso-position-vertical-relative:paragraph;z-index:1112;mso-wrap-distance-left:0;mso-wrap-distance-right:0" from="56.693001pt,10.002445pt" to="538.583001pt,10.002445pt" stroked="true" strokeweight=".5pt" strokecolor="#000000">
            <v:stroke dashstyle="solid"/>
            <w10:wrap type="topAndBottom"/>
          </v:line>
        </w:pict>
      </w:r>
    </w:p>
    <w:p>
      <w:pPr>
        <w:tabs>
          <w:tab w:pos="686" w:val="left" w:leader="none"/>
        </w:tabs>
        <w:spacing w:line="232" w:lineRule="auto" w:before="49"/>
        <w:ind w:left="342" w:right="2294" w:firstLine="0"/>
        <w:jc w:val="left"/>
        <w:rPr>
          <w:i/>
          <w:sz w:val="18"/>
        </w:rPr>
      </w:pPr>
      <w:r>
        <w:rPr>
          <w:i/>
          <w:w w:val="125"/>
          <w:sz w:val="18"/>
        </w:rPr>
        <w:t>1</w:t>
        <w:tab/>
        <w:t>Megállapította:</w:t>
      </w:r>
      <w:r>
        <w:rPr>
          <w:i/>
          <w:spacing w:val="-13"/>
          <w:w w:val="125"/>
          <w:sz w:val="18"/>
        </w:rPr>
        <w:t> </w:t>
      </w:r>
      <w:r>
        <w:rPr>
          <w:i/>
          <w:w w:val="125"/>
          <w:sz w:val="18"/>
        </w:rPr>
        <w:t>2017.</w:t>
      </w:r>
      <w:r>
        <w:rPr>
          <w:i/>
          <w:spacing w:val="-13"/>
          <w:w w:val="125"/>
          <w:sz w:val="18"/>
        </w:rPr>
        <w:t> </w:t>
      </w:r>
      <w:r>
        <w:rPr>
          <w:i/>
          <w:w w:val="125"/>
          <w:sz w:val="18"/>
        </w:rPr>
        <w:t>évi</w:t>
      </w:r>
      <w:r>
        <w:rPr>
          <w:i/>
          <w:spacing w:val="-12"/>
          <w:w w:val="125"/>
          <w:sz w:val="18"/>
        </w:rPr>
        <w:t> </w:t>
      </w:r>
      <w:r>
        <w:rPr>
          <w:i/>
          <w:w w:val="125"/>
          <w:sz w:val="18"/>
        </w:rPr>
        <w:t>CXCVII.</w:t>
      </w:r>
      <w:r>
        <w:rPr>
          <w:i/>
          <w:spacing w:val="-12"/>
          <w:w w:val="125"/>
          <w:sz w:val="18"/>
        </w:rPr>
        <w:t> </w:t>
      </w:r>
      <w:r>
        <w:rPr>
          <w:i/>
          <w:w w:val="125"/>
          <w:sz w:val="18"/>
        </w:rPr>
        <w:t>törvény</w:t>
      </w:r>
      <w:r>
        <w:rPr>
          <w:i/>
          <w:spacing w:val="-13"/>
          <w:w w:val="125"/>
          <w:sz w:val="18"/>
        </w:rPr>
        <w:t> </w:t>
      </w:r>
      <w:r>
        <w:rPr>
          <w:i/>
          <w:w w:val="125"/>
          <w:sz w:val="18"/>
        </w:rPr>
        <w:t>406.</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2018.</w:t>
      </w:r>
      <w:r>
        <w:rPr>
          <w:i/>
          <w:spacing w:val="-13"/>
          <w:w w:val="125"/>
          <w:sz w:val="18"/>
        </w:rPr>
        <w:t> </w:t>
      </w:r>
      <w:r>
        <w:rPr>
          <w:i/>
          <w:w w:val="125"/>
          <w:sz w:val="18"/>
        </w:rPr>
        <w:t>VII.</w:t>
      </w:r>
      <w:r>
        <w:rPr>
          <w:i/>
          <w:spacing w:val="-11"/>
          <w:w w:val="125"/>
          <w:sz w:val="18"/>
        </w:rPr>
        <w:t> </w:t>
      </w:r>
      <w:r>
        <w:rPr>
          <w:i/>
          <w:w w:val="125"/>
          <w:sz w:val="18"/>
        </w:rPr>
        <w:t>1-től. 2</w:t>
        <w:tab/>
        <w:t>Megállapította:</w:t>
      </w:r>
      <w:r>
        <w:rPr>
          <w:i/>
          <w:spacing w:val="-9"/>
          <w:w w:val="125"/>
          <w:sz w:val="18"/>
        </w:rPr>
        <w:t> </w:t>
      </w:r>
      <w:r>
        <w:rPr>
          <w:i/>
          <w:w w:val="125"/>
          <w:sz w:val="18"/>
        </w:rPr>
        <w:t>2014.</w:t>
      </w:r>
      <w:r>
        <w:rPr>
          <w:i/>
          <w:spacing w:val="-8"/>
          <w:w w:val="125"/>
          <w:sz w:val="18"/>
        </w:rPr>
        <w:t> </w:t>
      </w:r>
      <w:r>
        <w:rPr>
          <w:i/>
          <w:w w:val="125"/>
          <w:sz w:val="18"/>
        </w:rPr>
        <w:t>évi</w:t>
      </w:r>
      <w:r>
        <w:rPr>
          <w:i/>
          <w:spacing w:val="-8"/>
          <w:w w:val="125"/>
          <w:sz w:val="18"/>
        </w:rPr>
        <w:t> </w:t>
      </w:r>
      <w:r>
        <w:rPr>
          <w:i/>
          <w:w w:val="125"/>
          <w:sz w:val="18"/>
        </w:rPr>
        <w:t>XVI.</w:t>
      </w:r>
      <w:r>
        <w:rPr>
          <w:i/>
          <w:spacing w:val="-9"/>
          <w:w w:val="125"/>
          <w:sz w:val="18"/>
        </w:rPr>
        <w:t> </w:t>
      </w:r>
      <w:r>
        <w:rPr>
          <w:i/>
          <w:w w:val="125"/>
          <w:sz w:val="18"/>
        </w:rPr>
        <w:t>törvény</w:t>
      </w:r>
      <w:r>
        <w:rPr>
          <w:i/>
          <w:spacing w:val="-8"/>
          <w:w w:val="125"/>
          <w:sz w:val="18"/>
        </w:rPr>
        <w:t> </w:t>
      </w:r>
      <w:r>
        <w:rPr>
          <w:i/>
          <w:w w:val="125"/>
          <w:sz w:val="18"/>
        </w:rPr>
        <w:t>294.</w:t>
      </w:r>
      <w:r>
        <w:rPr>
          <w:i/>
          <w:spacing w:val="-8"/>
          <w:w w:val="125"/>
          <w:sz w:val="18"/>
        </w:rPr>
        <w:t> </w:t>
      </w:r>
      <w:r>
        <w:rPr>
          <w:i/>
          <w:w w:val="125"/>
          <w:sz w:val="18"/>
        </w:rPr>
        <w:t>§</w:t>
      </w:r>
      <w:r>
        <w:rPr>
          <w:i/>
          <w:spacing w:val="-8"/>
          <w:w w:val="125"/>
          <w:sz w:val="18"/>
        </w:rPr>
        <w:t> </w:t>
      </w:r>
      <w:r>
        <w:rPr>
          <w:i/>
          <w:w w:val="125"/>
          <w:sz w:val="18"/>
        </w:rPr>
        <w:t>(2).</w:t>
      </w:r>
      <w:r>
        <w:rPr>
          <w:i/>
          <w:spacing w:val="-7"/>
          <w:w w:val="125"/>
          <w:sz w:val="18"/>
        </w:rPr>
        <w:t> </w:t>
      </w:r>
      <w:r>
        <w:rPr>
          <w:i/>
          <w:w w:val="125"/>
          <w:sz w:val="18"/>
        </w:rPr>
        <w:t>Hatályos:</w:t>
      </w:r>
      <w:r>
        <w:rPr>
          <w:i/>
          <w:spacing w:val="-8"/>
          <w:w w:val="125"/>
          <w:sz w:val="18"/>
        </w:rPr>
        <w:t> </w:t>
      </w:r>
      <w:r>
        <w:rPr>
          <w:i/>
          <w:w w:val="125"/>
          <w:sz w:val="18"/>
        </w:rPr>
        <w:t>2014.</w:t>
      </w:r>
      <w:r>
        <w:rPr>
          <w:i/>
          <w:spacing w:val="-8"/>
          <w:w w:val="125"/>
          <w:sz w:val="18"/>
        </w:rPr>
        <w:t> </w:t>
      </w:r>
      <w:r>
        <w:rPr>
          <w:i/>
          <w:w w:val="125"/>
          <w:sz w:val="18"/>
        </w:rPr>
        <w:t>II.</w:t>
      </w:r>
      <w:r>
        <w:rPr>
          <w:i/>
          <w:spacing w:val="-7"/>
          <w:w w:val="125"/>
          <w:sz w:val="18"/>
        </w:rPr>
        <w:t> </w:t>
      </w:r>
      <w:r>
        <w:rPr>
          <w:i/>
          <w:w w:val="125"/>
          <w:sz w:val="18"/>
        </w:rPr>
        <w:t>25-től.</w:t>
      </w:r>
    </w:p>
    <w:p>
      <w:pPr>
        <w:tabs>
          <w:tab w:pos="686" w:val="left" w:leader="none"/>
        </w:tabs>
        <w:spacing w:line="200" w:lineRule="exact" w:before="0"/>
        <w:ind w:left="342" w:right="0" w:firstLine="0"/>
        <w:jc w:val="left"/>
        <w:rPr>
          <w:i/>
          <w:sz w:val="18"/>
        </w:rPr>
      </w:pPr>
      <w:r>
        <w:rPr>
          <w:i/>
          <w:w w:val="125"/>
          <w:sz w:val="18"/>
        </w:rPr>
        <w:t>3</w:t>
        <w:tab/>
        <w:t>Megállapította: 2015. évi LXXXV. törvény 211. § (1). Hatályos: 2015. VII.</w:t>
      </w:r>
      <w:r>
        <w:rPr>
          <w:i/>
          <w:spacing w:val="-30"/>
          <w:w w:val="125"/>
          <w:sz w:val="18"/>
        </w:rPr>
        <w:t> </w:t>
      </w:r>
      <w:r>
        <w:rPr>
          <w:i/>
          <w:w w:val="125"/>
          <w:sz w:val="18"/>
        </w:rPr>
        <w:t>7-től.</w:t>
      </w:r>
    </w:p>
    <w:p>
      <w:pPr>
        <w:spacing w:after="0" w:line="200" w:lineRule="exact"/>
        <w:jc w:val="left"/>
        <w:rPr>
          <w:sz w:val="18"/>
        </w:rPr>
        <w:sectPr>
          <w:pgSz w:w="11900" w:h="16820"/>
          <w:pgMar w:header="1104" w:footer="0" w:top="1840" w:bottom="280" w:left="1020" w:right="1000"/>
        </w:sectPr>
      </w:pPr>
    </w:p>
    <w:p>
      <w:pPr>
        <w:pStyle w:val="ListParagraph"/>
        <w:numPr>
          <w:ilvl w:val="0"/>
          <w:numId w:val="379"/>
        </w:numPr>
        <w:tabs>
          <w:tab w:pos="764" w:val="left" w:leader="none"/>
        </w:tabs>
        <w:spacing w:line="261" w:lineRule="exact" w:before="159" w:after="0"/>
        <w:ind w:left="763" w:right="0" w:hanging="250"/>
        <w:jc w:val="left"/>
        <w:rPr>
          <w:sz w:val="24"/>
        </w:rPr>
      </w:pPr>
      <w:r>
        <w:rPr/>
        <w:drawing>
          <wp:anchor distT="0" distB="0" distL="0" distR="0" allowOverlap="1" layoutInCell="1" locked="0" behindDoc="0" simplePos="0" relativeHeight="3208">
            <wp:simplePos x="0" y="0"/>
            <wp:positionH relativeFrom="page">
              <wp:posOffset>745401</wp:posOffset>
            </wp:positionH>
            <wp:positionV relativeFrom="paragraph">
              <wp:posOffset>123522</wp:posOffset>
            </wp:positionV>
            <wp:extent cx="228600" cy="16510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 </w:t>
      </w:r>
      <w:r>
        <w:rPr>
          <w:w w:val="125"/>
          <w:sz w:val="24"/>
        </w:rPr>
        <w:t>a pénzügyi intézmény által a külföldi pénzügyi intézmény</w:t>
      </w:r>
      <w:r>
        <w:rPr>
          <w:spacing w:val="48"/>
          <w:w w:val="125"/>
          <w:sz w:val="24"/>
        </w:rPr>
        <w:t> </w:t>
      </w:r>
      <w:r>
        <w:rPr>
          <w:w w:val="125"/>
          <w:sz w:val="24"/>
        </w:rPr>
        <w:t>számára</w:t>
      </w:r>
    </w:p>
    <w:p>
      <w:pPr>
        <w:pStyle w:val="BodyText"/>
        <w:spacing w:line="225" w:lineRule="auto" w:before="12"/>
        <w:ind w:right="126" w:firstLine="0"/>
        <w:jc w:val="both"/>
      </w:pPr>
      <w:r>
        <w:rPr>
          <w:w w:val="125"/>
        </w:rPr>
        <w:t>történő adattovábbítás, abban az esetben, ha a pénzügyi intézmény ügyfele (adatalany) ahhoz írásban hozzájárult és a külföldi pénzügyi intézménynél (adatkezelőnél) a jogszabályok és az Európai Unió közvetlenül alkalmazandó jogi aktusai által támasztott követelményeket kielégítő adatkezelés feltételei minden egyes adatra nézve teljesülnek, valamint a külföldi  pénzügyi  intézmény székhelye szerinti állam rendelkezik a jogszabályok és az Európai Unió közvetlenül alkalmazandó jogi aktusai által támasztott követelményeket kielégítő adatvédelmi</w:t>
      </w:r>
      <w:r>
        <w:rPr>
          <w:spacing w:val="-1"/>
          <w:w w:val="125"/>
        </w:rPr>
        <w:t> </w:t>
      </w:r>
      <w:r>
        <w:rPr>
          <w:w w:val="125"/>
        </w:rPr>
        <w:t>jogszabállyal,</w:t>
      </w:r>
    </w:p>
    <w:p>
      <w:pPr>
        <w:pStyle w:val="ListParagraph"/>
        <w:numPr>
          <w:ilvl w:val="0"/>
          <w:numId w:val="379"/>
        </w:numPr>
        <w:tabs>
          <w:tab w:pos="670" w:val="left" w:leader="none"/>
        </w:tabs>
        <w:spacing w:line="225" w:lineRule="auto" w:before="5" w:after="0"/>
        <w:ind w:left="113" w:right="128" w:firstLine="204"/>
        <w:jc w:val="both"/>
        <w:rPr>
          <w:sz w:val="24"/>
        </w:rPr>
      </w:pPr>
      <w:r>
        <w:rPr>
          <w:w w:val="130"/>
          <w:sz w:val="24"/>
        </w:rPr>
        <w:t>a külföldi pénzügyi intézmény székhelye szerinti illetékes felügyeleti hatóság számára a felügyeleti tevékenységéhez szükséges, és a külföldi felügyeleti hatóság és a Felügyelet között együttműködési megállapodásban rögzített módon történő adattovábbítás, ha a megállapodás tartalmazza az adatok bizalmas kezelésére, felhasználására vonatkozó rendelkezést, továbbá a Felügyelet hozzájárulását a külföldi felügyeleti hatóságnak átadott adatok külföldi illetékes bűnüldöző szervnek történő</w:t>
      </w:r>
      <w:r>
        <w:rPr>
          <w:spacing w:val="-50"/>
          <w:w w:val="130"/>
          <w:sz w:val="24"/>
        </w:rPr>
        <w:t> </w:t>
      </w:r>
      <w:r>
        <w:rPr>
          <w:w w:val="130"/>
          <w:sz w:val="24"/>
        </w:rPr>
        <w:t>továbbításához,</w:t>
      </w:r>
    </w:p>
    <w:p>
      <w:pPr>
        <w:pStyle w:val="ListParagraph"/>
        <w:numPr>
          <w:ilvl w:val="0"/>
          <w:numId w:val="379"/>
        </w:numPr>
        <w:tabs>
          <w:tab w:pos="487" w:val="left" w:leader="none"/>
          <w:tab w:pos="851" w:val="left" w:leader="none"/>
          <w:tab w:pos="1245" w:val="left" w:leader="none"/>
          <w:tab w:pos="2593" w:val="left" w:leader="none"/>
          <w:tab w:pos="4097" w:val="left" w:leader="none"/>
          <w:tab w:pos="4884" w:val="left" w:leader="none"/>
          <w:tab w:pos="6597" w:val="left" w:leader="none"/>
          <w:tab w:pos="8357" w:val="left" w:leader="none"/>
        </w:tabs>
        <w:spacing w:line="252" w:lineRule="exact" w:before="0" w:after="0"/>
        <w:ind w:left="486" w:right="0" w:hanging="169"/>
        <w:jc w:val="left"/>
        <w:rPr>
          <w:sz w:val="24"/>
        </w:rPr>
      </w:pPr>
      <w:r>
        <w:rPr>
          <w:i/>
          <w:w w:val="130"/>
          <w:position w:val="3"/>
          <w:sz w:val="18"/>
        </w:rPr>
        <w:t>2</w:t>
        <w:tab/>
      </w:r>
      <w:r>
        <w:rPr>
          <w:w w:val="130"/>
          <w:sz w:val="24"/>
        </w:rPr>
        <w:t>a</w:t>
        <w:tab/>
        <w:t>pénzügyi</w:t>
        <w:tab/>
        <w:t>intézmény</w:t>
        <w:tab/>
        <w:t>által</w:t>
        <w:tab/>
        <w:t>kiszervezett</w:t>
        <w:tab/>
        <w:t>tevékenység</w:t>
        <w:tab/>
        <w:t>végzéséhez</w:t>
      </w:r>
    </w:p>
    <w:p>
      <w:pPr>
        <w:pStyle w:val="BodyText"/>
        <w:spacing w:line="225" w:lineRule="auto" w:before="12"/>
        <w:ind w:firstLine="0"/>
      </w:pPr>
      <w:r>
        <w:rPr>
          <w:w w:val="130"/>
        </w:rPr>
        <w:t>szükséges adatátadás a kiszervezett tevékenységet végző és az általa igénybe vett közreműködő részére,</w:t>
      </w:r>
    </w:p>
    <w:p>
      <w:pPr>
        <w:pStyle w:val="ListParagraph"/>
        <w:numPr>
          <w:ilvl w:val="0"/>
          <w:numId w:val="379"/>
        </w:numPr>
        <w:tabs>
          <w:tab w:pos="779" w:val="left" w:leader="none"/>
        </w:tabs>
        <w:spacing w:line="225" w:lineRule="auto" w:before="1" w:after="0"/>
        <w:ind w:left="113" w:right="130" w:firstLine="204"/>
        <w:jc w:val="both"/>
        <w:rPr>
          <w:sz w:val="24"/>
        </w:rPr>
      </w:pPr>
      <w:r>
        <w:rPr>
          <w:w w:val="125"/>
          <w:sz w:val="24"/>
        </w:rPr>
        <w:t>az összevont alapú felügyeleti megfelelés vonatkozásában történő, valamint a pénzügyi konglomerátumok kiegészítő felügyeletéről szóló törvényben</w:t>
      </w:r>
      <w:r>
        <w:rPr>
          <w:spacing w:val="19"/>
          <w:w w:val="125"/>
          <w:sz w:val="24"/>
        </w:rPr>
        <w:t> </w:t>
      </w:r>
      <w:r>
        <w:rPr>
          <w:w w:val="125"/>
          <w:sz w:val="24"/>
        </w:rPr>
        <w:t>foglalt</w:t>
      </w:r>
      <w:r>
        <w:rPr>
          <w:spacing w:val="22"/>
          <w:w w:val="125"/>
          <w:sz w:val="24"/>
        </w:rPr>
        <w:t> </w:t>
      </w:r>
      <w:r>
        <w:rPr>
          <w:w w:val="125"/>
          <w:sz w:val="24"/>
        </w:rPr>
        <w:t>rendelkezések</w:t>
      </w:r>
      <w:r>
        <w:rPr>
          <w:spacing w:val="21"/>
          <w:w w:val="125"/>
          <w:sz w:val="24"/>
        </w:rPr>
        <w:t> </w:t>
      </w:r>
      <w:r>
        <w:rPr>
          <w:w w:val="125"/>
          <w:sz w:val="24"/>
        </w:rPr>
        <w:t>teljesítése</w:t>
      </w:r>
      <w:r>
        <w:rPr>
          <w:spacing w:val="20"/>
          <w:w w:val="125"/>
          <w:sz w:val="24"/>
        </w:rPr>
        <w:t> </w:t>
      </w:r>
      <w:r>
        <w:rPr>
          <w:w w:val="125"/>
          <w:sz w:val="24"/>
        </w:rPr>
        <w:t>érdekében</w:t>
      </w:r>
      <w:r>
        <w:rPr>
          <w:spacing w:val="19"/>
          <w:w w:val="125"/>
          <w:sz w:val="24"/>
        </w:rPr>
        <w:t> </w:t>
      </w:r>
      <w:r>
        <w:rPr>
          <w:w w:val="125"/>
          <w:sz w:val="24"/>
        </w:rPr>
        <w:t>történő</w:t>
      </w:r>
      <w:r>
        <w:rPr>
          <w:spacing w:val="20"/>
          <w:w w:val="125"/>
          <w:sz w:val="24"/>
        </w:rPr>
        <w:t> </w:t>
      </w:r>
      <w:r>
        <w:rPr>
          <w:w w:val="125"/>
          <w:sz w:val="24"/>
        </w:rPr>
        <w:t>adatátadás,</w:t>
      </w:r>
    </w:p>
    <w:p>
      <w:pPr>
        <w:pStyle w:val="ListParagraph"/>
        <w:numPr>
          <w:ilvl w:val="0"/>
          <w:numId w:val="379"/>
        </w:numPr>
        <w:tabs>
          <w:tab w:pos="590" w:val="left" w:leader="none"/>
        </w:tabs>
        <w:spacing w:line="225" w:lineRule="auto" w:before="2" w:after="0"/>
        <w:ind w:left="113" w:right="127" w:firstLine="204"/>
        <w:jc w:val="both"/>
        <w:rPr>
          <w:sz w:val="24"/>
        </w:rPr>
      </w:pPr>
      <w:r>
        <w:rPr>
          <w:w w:val="130"/>
          <w:sz w:val="24"/>
        </w:rPr>
        <w:t>a Felügyelet által a hitelintézetekről egyedi azonosításra alkalmas adatok szolgáltatása</w:t>
      </w:r>
      <w:r>
        <w:rPr>
          <w:spacing w:val="-12"/>
          <w:w w:val="130"/>
          <w:sz w:val="24"/>
        </w:rPr>
        <w:t> </w:t>
      </w:r>
      <w:r>
        <w:rPr>
          <w:w w:val="130"/>
          <w:sz w:val="24"/>
        </w:rPr>
        <w:t>a</w:t>
      </w:r>
      <w:r>
        <w:rPr>
          <w:spacing w:val="-13"/>
          <w:w w:val="130"/>
          <w:sz w:val="24"/>
        </w:rPr>
        <w:t> </w:t>
      </w:r>
      <w:r>
        <w:rPr>
          <w:w w:val="130"/>
          <w:sz w:val="24"/>
        </w:rPr>
        <w:t>feladatkörében</w:t>
      </w:r>
      <w:r>
        <w:rPr>
          <w:spacing w:val="-12"/>
          <w:w w:val="130"/>
          <w:sz w:val="24"/>
        </w:rPr>
        <w:t> </w:t>
      </w:r>
      <w:r>
        <w:rPr>
          <w:w w:val="130"/>
          <w:sz w:val="24"/>
        </w:rPr>
        <w:t>eljáró</w:t>
      </w:r>
      <w:r>
        <w:rPr>
          <w:spacing w:val="-13"/>
          <w:w w:val="130"/>
          <w:sz w:val="24"/>
        </w:rPr>
        <w:t> </w:t>
      </w:r>
      <w:r>
        <w:rPr>
          <w:w w:val="130"/>
          <w:sz w:val="24"/>
        </w:rPr>
        <w:t>Gazdasági</w:t>
      </w:r>
      <w:r>
        <w:rPr>
          <w:spacing w:val="-13"/>
          <w:w w:val="130"/>
          <w:sz w:val="24"/>
        </w:rPr>
        <w:t> </w:t>
      </w:r>
      <w:r>
        <w:rPr>
          <w:w w:val="130"/>
          <w:sz w:val="24"/>
        </w:rPr>
        <w:t>Versenyhivatal</w:t>
      </w:r>
      <w:r>
        <w:rPr>
          <w:spacing w:val="-12"/>
          <w:w w:val="130"/>
          <w:sz w:val="24"/>
        </w:rPr>
        <w:t> </w:t>
      </w:r>
      <w:r>
        <w:rPr>
          <w:w w:val="130"/>
          <w:sz w:val="24"/>
        </w:rPr>
        <w:t>részére,</w:t>
      </w:r>
    </w:p>
    <w:p>
      <w:pPr>
        <w:pStyle w:val="ListParagraph"/>
        <w:numPr>
          <w:ilvl w:val="0"/>
          <w:numId w:val="379"/>
        </w:numPr>
        <w:tabs>
          <w:tab w:pos="641" w:val="left" w:leader="none"/>
        </w:tabs>
        <w:spacing w:line="225" w:lineRule="auto" w:before="1" w:after="0"/>
        <w:ind w:left="113" w:right="126" w:firstLine="204"/>
        <w:jc w:val="both"/>
        <w:rPr>
          <w:sz w:val="24"/>
        </w:rPr>
      </w:pPr>
      <w:r>
        <w:rPr>
          <w:i/>
          <w:w w:val="130"/>
          <w:position w:val="3"/>
          <w:sz w:val="18"/>
        </w:rPr>
        <w:t>3</w:t>
      </w:r>
      <w:r>
        <w:rPr>
          <w:i/>
          <w:spacing w:val="2"/>
          <w:w w:val="130"/>
          <w:position w:val="3"/>
          <w:sz w:val="18"/>
        </w:rPr>
        <w:t> </w:t>
      </w:r>
      <w:r>
        <w:rPr>
          <w:w w:val="130"/>
          <w:sz w:val="24"/>
        </w:rPr>
        <w:t>az</w:t>
      </w:r>
      <w:r>
        <w:rPr>
          <w:spacing w:val="-17"/>
          <w:w w:val="130"/>
          <w:sz w:val="24"/>
        </w:rPr>
        <w:t> </w:t>
      </w:r>
      <w:r>
        <w:rPr>
          <w:w w:val="130"/>
          <w:sz w:val="24"/>
        </w:rPr>
        <w:t>OBA</w:t>
      </w:r>
      <w:r>
        <w:rPr>
          <w:spacing w:val="-17"/>
          <w:w w:val="130"/>
          <w:sz w:val="24"/>
        </w:rPr>
        <w:t> </w:t>
      </w:r>
      <w:r>
        <w:rPr>
          <w:w w:val="130"/>
          <w:sz w:val="24"/>
        </w:rPr>
        <w:t>által</w:t>
      </w:r>
      <w:r>
        <w:rPr>
          <w:spacing w:val="-17"/>
          <w:w w:val="130"/>
          <w:sz w:val="24"/>
        </w:rPr>
        <w:t> </w:t>
      </w:r>
      <w:r>
        <w:rPr>
          <w:w w:val="130"/>
          <w:sz w:val="24"/>
        </w:rPr>
        <w:t>a</w:t>
      </w:r>
      <w:r>
        <w:rPr>
          <w:spacing w:val="-17"/>
          <w:w w:val="130"/>
          <w:sz w:val="24"/>
        </w:rPr>
        <w:t> </w:t>
      </w:r>
      <w:r>
        <w:rPr>
          <w:w w:val="130"/>
          <w:sz w:val="24"/>
        </w:rPr>
        <w:t>161.</w:t>
      </w:r>
      <w:r>
        <w:rPr>
          <w:spacing w:val="-17"/>
          <w:w w:val="130"/>
          <w:sz w:val="24"/>
        </w:rPr>
        <w:t> </w:t>
      </w:r>
      <w:r>
        <w:rPr>
          <w:w w:val="130"/>
          <w:sz w:val="24"/>
        </w:rPr>
        <w:t>§</w:t>
      </w:r>
      <w:r>
        <w:rPr>
          <w:spacing w:val="-17"/>
          <w:w w:val="130"/>
          <w:sz w:val="24"/>
        </w:rPr>
        <w:t> </w:t>
      </w:r>
      <w:r>
        <w:rPr>
          <w:w w:val="130"/>
          <w:sz w:val="24"/>
        </w:rPr>
        <w:t>(2)</w:t>
      </w:r>
      <w:r>
        <w:rPr>
          <w:spacing w:val="-17"/>
          <w:w w:val="130"/>
          <w:sz w:val="24"/>
        </w:rPr>
        <w:t> </w:t>
      </w:r>
      <w:r>
        <w:rPr>
          <w:w w:val="130"/>
          <w:sz w:val="24"/>
        </w:rPr>
        <w:t>bekezdés</w:t>
      </w:r>
      <w:r>
        <w:rPr>
          <w:spacing w:val="-17"/>
          <w:w w:val="130"/>
          <w:sz w:val="24"/>
        </w:rPr>
        <w:t> </w:t>
      </w:r>
      <w:r>
        <w:rPr>
          <w:i/>
          <w:w w:val="130"/>
          <w:sz w:val="24"/>
        </w:rPr>
        <w:t>a),</w:t>
      </w:r>
      <w:r>
        <w:rPr>
          <w:i/>
          <w:spacing w:val="-17"/>
          <w:w w:val="130"/>
          <w:sz w:val="24"/>
        </w:rPr>
        <w:t> </w:t>
      </w:r>
      <w:r>
        <w:rPr>
          <w:i/>
          <w:w w:val="130"/>
          <w:sz w:val="24"/>
        </w:rPr>
        <w:t>b),</w:t>
      </w:r>
      <w:r>
        <w:rPr>
          <w:i/>
          <w:spacing w:val="-17"/>
          <w:w w:val="130"/>
          <w:sz w:val="24"/>
        </w:rPr>
        <w:t> </w:t>
      </w:r>
      <w:r>
        <w:rPr>
          <w:i/>
          <w:w w:val="130"/>
          <w:sz w:val="24"/>
        </w:rPr>
        <w:t>d),</w:t>
      </w:r>
      <w:r>
        <w:rPr>
          <w:i/>
          <w:spacing w:val="-17"/>
          <w:w w:val="130"/>
          <w:sz w:val="24"/>
        </w:rPr>
        <w:t> </w:t>
      </w:r>
      <w:r>
        <w:rPr>
          <w:i/>
          <w:w w:val="130"/>
          <w:sz w:val="24"/>
        </w:rPr>
        <w:t>e)</w:t>
      </w:r>
      <w:r>
        <w:rPr>
          <w:i/>
          <w:spacing w:val="-17"/>
          <w:w w:val="130"/>
          <w:sz w:val="24"/>
        </w:rPr>
        <w:t> </w:t>
      </w:r>
      <w:r>
        <w:rPr>
          <w:w w:val="130"/>
          <w:sz w:val="24"/>
        </w:rPr>
        <w:t>és</w:t>
      </w:r>
      <w:r>
        <w:rPr>
          <w:spacing w:val="-7"/>
          <w:w w:val="130"/>
          <w:sz w:val="24"/>
        </w:rPr>
        <w:t> </w:t>
      </w:r>
      <w:r>
        <w:rPr>
          <w:i/>
          <w:w w:val="130"/>
          <w:sz w:val="24"/>
        </w:rPr>
        <w:t>h)</w:t>
      </w:r>
      <w:r>
        <w:rPr>
          <w:i/>
          <w:spacing w:val="-26"/>
          <w:w w:val="130"/>
          <w:sz w:val="24"/>
        </w:rPr>
        <w:t> </w:t>
      </w:r>
      <w:r>
        <w:rPr>
          <w:w w:val="130"/>
          <w:sz w:val="24"/>
        </w:rPr>
        <w:t>pontjai</w:t>
      </w:r>
      <w:r>
        <w:rPr>
          <w:spacing w:val="-17"/>
          <w:w w:val="130"/>
          <w:sz w:val="24"/>
        </w:rPr>
        <w:t> </w:t>
      </w:r>
      <w:r>
        <w:rPr>
          <w:w w:val="130"/>
          <w:sz w:val="24"/>
        </w:rPr>
        <w:t>alapján,</w:t>
      </w:r>
      <w:r>
        <w:rPr>
          <w:spacing w:val="-17"/>
          <w:w w:val="130"/>
          <w:sz w:val="24"/>
        </w:rPr>
        <w:t> </w:t>
      </w:r>
      <w:r>
        <w:rPr>
          <w:w w:val="130"/>
          <w:sz w:val="24"/>
        </w:rPr>
        <w:t>az</w:t>
      </w:r>
      <w:r>
        <w:rPr>
          <w:spacing w:val="-17"/>
          <w:w w:val="130"/>
          <w:sz w:val="24"/>
        </w:rPr>
        <w:t> </w:t>
      </w:r>
      <w:r>
        <w:rPr>
          <w:w w:val="130"/>
          <w:sz w:val="24"/>
        </w:rPr>
        <w:t>e szervezeteknek az OBA-hoz intézett írásbeli megkeresésére adott válasz, továbbá a külföldi betétbiztosítási rendszerek, valamint külföldi felügyeleti hatóságok részére együttműködési megállapodásban rögzített módon történő adattovábbítás,</w:t>
      </w:r>
      <w:r>
        <w:rPr>
          <w:spacing w:val="-14"/>
          <w:w w:val="130"/>
          <w:sz w:val="24"/>
        </w:rPr>
        <w:t> </w:t>
      </w:r>
      <w:r>
        <w:rPr>
          <w:w w:val="130"/>
          <w:sz w:val="24"/>
        </w:rPr>
        <w:t>ha</w:t>
      </w:r>
      <w:r>
        <w:rPr>
          <w:spacing w:val="-13"/>
          <w:w w:val="130"/>
          <w:sz w:val="24"/>
        </w:rPr>
        <w:t> </w:t>
      </w:r>
      <w:r>
        <w:rPr>
          <w:w w:val="130"/>
          <w:sz w:val="24"/>
        </w:rPr>
        <w:t>az</w:t>
      </w:r>
      <w:r>
        <w:rPr>
          <w:spacing w:val="-13"/>
          <w:w w:val="130"/>
          <w:sz w:val="24"/>
        </w:rPr>
        <w:t> </w:t>
      </w:r>
      <w:r>
        <w:rPr>
          <w:w w:val="130"/>
          <w:sz w:val="24"/>
        </w:rPr>
        <w:t>adatok</w:t>
      </w:r>
      <w:r>
        <w:rPr>
          <w:spacing w:val="-13"/>
          <w:w w:val="130"/>
          <w:sz w:val="24"/>
        </w:rPr>
        <w:t> </w:t>
      </w:r>
      <w:r>
        <w:rPr>
          <w:w w:val="130"/>
          <w:sz w:val="24"/>
        </w:rPr>
        <w:t>kezelésére,</w:t>
      </w:r>
      <w:r>
        <w:rPr>
          <w:spacing w:val="-7"/>
          <w:w w:val="130"/>
          <w:sz w:val="24"/>
        </w:rPr>
        <w:t> </w:t>
      </w:r>
      <w:r>
        <w:rPr>
          <w:w w:val="130"/>
          <w:sz w:val="24"/>
        </w:rPr>
        <w:t>illetve</w:t>
      </w:r>
      <w:r>
        <w:rPr>
          <w:spacing w:val="-20"/>
          <w:w w:val="130"/>
          <w:sz w:val="24"/>
        </w:rPr>
        <w:t> </w:t>
      </w:r>
      <w:r>
        <w:rPr>
          <w:w w:val="130"/>
          <w:sz w:val="24"/>
        </w:rPr>
        <w:t>felhasználására</w:t>
      </w:r>
      <w:r>
        <w:rPr>
          <w:spacing w:val="-13"/>
          <w:w w:val="130"/>
          <w:sz w:val="24"/>
        </w:rPr>
        <w:t> </w:t>
      </w:r>
      <w:r>
        <w:rPr>
          <w:w w:val="130"/>
          <w:sz w:val="24"/>
        </w:rPr>
        <w:t>vonatkozóan</w:t>
      </w:r>
      <w:r>
        <w:rPr>
          <w:spacing w:val="-14"/>
          <w:w w:val="130"/>
          <w:sz w:val="24"/>
        </w:rPr>
        <w:t> </w:t>
      </w:r>
      <w:r>
        <w:rPr>
          <w:w w:val="130"/>
          <w:sz w:val="24"/>
        </w:rPr>
        <w:t>a magyar szabályozással legalább egyenrangú védelem</w:t>
      </w:r>
      <w:r>
        <w:rPr>
          <w:spacing w:val="-33"/>
          <w:w w:val="130"/>
          <w:sz w:val="24"/>
        </w:rPr>
        <w:t> </w:t>
      </w:r>
      <w:r>
        <w:rPr>
          <w:w w:val="130"/>
          <w:sz w:val="24"/>
        </w:rPr>
        <w:t>biztosított,</w:t>
      </w:r>
    </w:p>
    <w:p>
      <w:pPr>
        <w:pStyle w:val="ListParagraph"/>
        <w:numPr>
          <w:ilvl w:val="0"/>
          <w:numId w:val="379"/>
        </w:numPr>
        <w:tabs>
          <w:tab w:pos="709" w:val="left" w:leader="none"/>
        </w:tabs>
        <w:spacing w:line="225" w:lineRule="auto" w:before="3" w:after="0"/>
        <w:ind w:left="113" w:right="130" w:firstLine="204"/>
        <w:jc w:val="both"/>
        <w:rPr>
          <w:sz w:val="24"/>
        </w:rPr>
      </w:pPr>
      <w:r>
        <w:rPr>
          <w:w w:val="130"/>
          <w:sz w:val="24"/>
        </w:rPr>
        <w:t>a pénzügyi intézmény által vállalt kockázat fedezetét nyújtó harmadik személy részére, a kockázatvállalás alapján fennálló követelés összegére és esedékességére vonatkozó</w:t>
      </w:r>
      <w:r>
        <w:rPr>
          <w:spacing w:val="-9"/>
          <w:w w:val="130"/>
          <w:sz w:val="24"/>
        </w:rPr>
        <w:t> </w:t>
      </w:r>
      <w:r>
        <w:rPr>
          <w:w w:val="130"/>
          <w:sz w:val="24"/>
        </w:rPr>
        <w:t>adatszolgáltatás,</w:t>
      </w:r>
    </w:p>
    <w:p>
      <w:pPr>
        <w:pStyle w:val="ListParagraph"/>
        <w:numPr>
          <w:ilvl w:val="0"/>
          <w:numId w:val="379"/>
        </w:numPr>
        <w:tabs>
          <w:tab w:pos="649" w:val="left" w:leader="none"/>
        </w:tabs>
        <w:spacing w:line="225" w:lineRule="auto" w:before="2" w:after="0"/>
        <w:ind w:left="113" w:right="126" w:firstLine="204"/>
        <w:jc w:val="both"/>
        <w:rPr>
          <w:sz w:val="24"/>
        </w:rPr>
      </w:pPr>
      <w:r>
        <w:rPr>
          <w:w w:val="130"/>
          <w:sz w:val="24"/>
        </w:rPr>
        <w:t>a</w:t>
      </w:r>
      <w:r>
        <w:rPr>
          <w:spacing w:val="-18"/>
          <w:w w:val="130"/>
          <w:sz w:val="24"/>
        </w:rPr>
        <w:t> </w:t>
      </w:r>
      <w:r>
        <w:rPr>
          <w:w w:val="130"/>
          <w:sz w:val="24"/>
        </w:rPr>
        <w:t>pénzátutalásokat</w:t>
      </w:r>
      <w:r>
        <w:rPr>
          <w:spacing w:val="-18"/>
          <w:w w:val="130"/>
          <w:sz w:val="24"/>
        </w:rPr>
        <w:t> </w:t>
      </w:r>
      <w:r>
        <w:rPr>
          <w:w w:val="130"/>
          <w:sz w:val="24"/>
        </w:rPr>
        <w:t>kísérő</w:t>
      </w:r>
      <w:r>
        <w:rPr>
          <w:spacing w:val="-18"/>
          <w:w w:val="130"/>
          <w:sz w:val="24"/>
        </w:rPr>
        <w:t> </w:t>
      </w:r>
      <w:r>
        <w:rPr>
          <w:w w:val="130"/>
          <w:sz w:val="24"/>
        </w:rPr>
        <w:t>megbízói</w:t>
      </w:r>
      <w:r>
        <w:rPr>
          <w:spacing w:val="-17"/>
          <w:w w:val="130"/>
          <w:sz w:val="24"/>
        </w:rPr>
        <w:t> </w:t>
      </w:r>
      <w:r>
        <w:rPr>
          <w:w w:val="130"/>
          <w:sz w:val="24"/>
        </w:rPr>
        <w:t>adatokról</w:t>
      </w:r>
      <w:r>
        <w:rPr>
          <w:spacing w:val="-18"/>
          <w:w w:val="130"/>
          <w:sz w:val="24"/>
        </w:rPr>
        <w:t> </w:t>
      </w:r>
      <w:r>
        <w:rPr>
          <w:w w:val="130"/>
          <w:sz w:val="24"/>
        </w:rPr>
        <w:t>szóló,</w:t>
      </w:r>
      <w:r>
        <w:rPr>
          <w:spacing w:val="-18"/>
          <w:w w:val="130"/>
          <w:sz w:val="24"/>
        </w:rPr>
        <w:t> </w:t>
      </w:r>
      <w:r>
        <w:rPr>
          <w:w w:val="130"/>
          <w:sz w:val="24"/>
        </w:rPr>
        <w:t>2006.</w:t>
      </w:r>
      <w:r>
        <w:rPr>
          <w:spacing w:val="-17"/>
          <w:w w:val="130"/>
          <w:sz w:val="24"/>
        </w:rPr>
        <w:t> </w:t>
      </w:r>
      <w:r>
        <w:rPr>
          <w:w w:val="130"/>
          <w:sz w:val="24"/>
        </w:rPr>
        <w:t>november</w:t>
      </w:r>
      <w:r>
        <w:rPr>
          <w:spacing w:val="-18"/>
          <w:w w:val="130"/>
          <w:sz w:val="24"/>
        </w:rPr>
        <w:t> </w:t>
      </w:r>
      <w:r>
        <w:rPr>
          <w:w w:val="130"/>
          <w:sz w:val="24"/>
        </w:rPr>
        <w:t>15-i, 1781/2006/EK európai parlamenti és tanácsi rendelet 4. cikkében meghatározott adatoknak a rendelet hatálya alá tartozó kedvezményezett fizetési szolgáltatója és közvetítő fizetési szolgáltató számára a rendelet által meghatározott esetekben történő</w:t>
      </w:r>
      <w:r>
        <w:rPr>
          <w:spacing w:val="-11"/>
          <w:w w:val="130"/>
          <w:sz w:val="24"/>
        </w:rPr>
        <w:t> </w:t>
      </w:r>
      <w:r>
        <w:rPr>
          <w:w w:val="130"/>
          <w:sz w:val="24"/>
        </w:rPr>
        <w:t>továbbítása,</w:t>
      </w:r>
    </w:p>
    <w:p>
      <w:pPr>
        <w:pStyle w:val="ListParagraph"/>
        <w:numPr>
          <w:ilvl w:val="0"/>
          <w:numId w:val="379"/>
        </w:numPr>
        <w:tabs>
          <w:tab w:pos="735" w:val="left" w:leader="none"/>
        </w:tabs>
        <w:spacing w:line="225" w:lineRule="auto" w:before="3" w:after="0"/>
        <w:ind w:left="113" w:right="126" w:firstLine="204"/>
        <w:jc w:val="both"/>
        <w:rPr>
          <w:sz w:val="24"/>
        </w:rPr>
      </w:pPr>
      <w:r>
        <w:rPr>
          <w:i/>
          <w:w w:val="125"/>
          <w:sz w:val="24"/>
        </w:rPr>
        <w:t>a </w:t>
      </w:r>
      <w:r>
        <w:rPr>
          <w:w w:val="125"/>
          <w:sz w:val="24"/>
        </w:rPr>
        <w:t>jegybanki feladatkörében eljáró MNB részére, írásbeli megkeresés alapján az MNB tv. 4. § (1)-(7) bekezdésében meghatározott alapvető feladatai teljesítése érdekében végrehajtott műveletei biztosítékául szolgáló hitelkövetelésekre vonatkozó</w:t>
      </w:r>
      <w:r>
        <w:rPr>
          <w:spacing w:val="4"/>
          <w:w w:val="125"/>
          <w:sz w:val="24"/>
        </w:rPr>
        <w:t> </w:t>
      </w:r>
      <w:r>
        <w:rPr>
          <w:w w:val="125"/>
          <w:sz w:val="24"/>
        </w:rPr>
        <w:t>adatátadás,</w:t>
      </w:r>
    </w:p>
    <w:p>
      <w:pPr>
        <w:pStyle w:val="ListParagraph"/>
        <w:numPr>
          <w:ilvl w:val="0"/>
          <w:numId w:val="379"/>
        </w:numPr>
        <w:tabs>
          <w:tab w:pos="794" w:val="left" w:leader="none"/>
        </w:tabs>
        <w:spacing w:line="225" w:lineRule="auto" w:before="2" w:after="0"/>
        <w:ind w:left="113" w:right="130" w:firstLine="204"/>
        <w:jc w:val="both"/>
        <w:rPr>
          <w:sz w:val="24"/>
        </w:rPr>
      </w:pPr>
      <w:r>
        <w:rPr>
          <w:w w:val="130"/>
          <w:sz w:val="24"/>
        </w:rPr>
        <w:t>a pénzügyi intézmény által a pénzügyi intézménnyel szerződéses kapcsolatban levő közvetítő részére a közvetítő által közvetített pénzügyi szolgáltatásra</w:t>
      </w:r>
      <w:r>
        <w:rPr>
          <w:spacing w:val="-33"/>
          <w:w w:val="130"/>
          <w:sz w:val="24"/>
        </w:rPr>
        <w:t> </w:t>
      </w:r>
      <w:r>
        <w:rPr>
          <w:w w:val="130"/>
          <w:sz w:val="24"/>
        </w:rPr>
        <w:t>vonatkozó</w:t>
      </w:r>
      <w:r>
        <w:rPr>
          <w:spacing w:val="-34"/>
          <w:w w:val="130"/>
          <w:sz w:val="24"/>
        </w:rPr>
        <w:t> </w:t>
      </w:r>
      <w:r>
        <w:rPr>
          <w:w w:val="130"/>
          <w:sz w:val="24"/>
        </w:rPr>
        <w:t>szerződés</w:t>
      </w:r>
      <w:r>
        <w:rPr>
          <w:spacing w:val="-33"/>
          <w:w w:val="130"/>
          <w:sz w:val="24"/>
        </w:rPr>
        <w:t> </w:t>
      </w:r>
      <w:r>
        <w:rPr>
          <w:w w:val="130"/>
          <w:sz w:val="24"/>
        </w:rPr>
        <w:t>teljesítéséhez</w:t>
      </w:r>
      <w:r>
        <w:rPr>
          <w:spacing w:val="-33"/>
          <w:w w:val="130"/>
          <w:sz w:val="24"/>
        </w:rPr>
        <w:t> </w:t>
      </w:r>
      <w:r>
        <w:rPr>
          <w:w w:val="130"/>
          <w:sz w:val="24"/>
        </w:rPr>
        <w:t>kapcsolódó</w:t>
      </w:r>
      <w:r>
        <w:rPr>
          <w:spacing w:val="-34"/>
          <w:w w:val="130"/>
          <w:sz w:val="24"/>
        </w:rPr>
        <w:t> </w:t>
      </w:r>
      <w:r>
        <w:rPr>
          <w:w w:val="130"/>
          <w:sz w:val="24"/>
        </w:rPr>
        <w:t>adatszolgáltatás,</w:t>
      </w:r>
    </w:p>
    <w:p>
      <w:pPr>
        <w:pStyle w:val="ListParagraph"/>
        <w:numPr>
          <w:ilvl w:val="0"/>
          <w:numId w:val="379"/>
        </w:numPr>
        <w:tabs>
          <w:tab w:pos="670" w:val="left" w:leader="none"/>
        </w:tabs>
        <w:spacing w:line="225" w:lineRule="auto" w:before="2" w:after="0"/>
        <w:ind w:left="113" w:right="129" w:firstLine="204"/>
        <w:jc w:val="both"/>
        <w:rPr>
          <w:sz w:val="24"/>
        </w:rPr>
      </w:pPr>
      <w:r>
        <w:rPr>
          <w:w w:val="125"/>
          <w:sz w:val="24"/>
        </w:rPr>
        <w:t>a Felügyelet által a 176. § (7) bekezdése szerinti válsághelyzetben az EGT-állam központi bankjainak vagy az Európai Központi Banknak történő adattovábbítás, ha az adatok törvény által előírt feladatuk teljesítéséhez szükségesek,</w:t>
      </w:r>
    </w:p>
    <w:p>
      <w:pPr>
        <w:pStyle w:val="BodyText"/>
        <w:spacing w:before="8"/>
        <w:ind w:left="0" w:firstLine="0"/>
        <w:rPr>
          <w:sz w:val="15"/>
        </w:rPr>
      </w:pPr>
      <w:r>
        <w:rPr/>
        <w:pict>
          <v:line style="position:absolute;mso-position-horizontal-relative:page;mso-position-vertical-relative:paragraph;z-index:1136;mso-wrap-distance-left:0;mso-wrap-distance-right:0" from="56.693001pt,11.246922pt" to="538.583001pt,11.246922pt" stroked="true" strokeweight=".5pt" strokecolor="#000000">
            <v:stroke dashstyle="solid"/>
            <w10:wrap type="topAndBottom"/>
          </v:line>
        </w:pict>
      </w:r>
    </w:p>
    <w:p>
      <w:pPr>
        <w:pStyle w:val="ListParagraph"/>
        <w:numPr>
          <w:ilvl w:val="0"/>
          <w:numId w:val="380"/>
        </w:numPr>
        <w:tabs>
          <w:tab w:pos="686" w:val="left" w:leader="none"/>
          <w:tab w:pos="687" w:val="left" w:leader="none"/>
        </w:tabs>
        <w:spacing w:line="203" w:lineRule="exact" w:before="44" w:after="0"/>
        <w:ind w:left="686" w:right="0" w:hanging="344"/>
        <w:jc w:val="left"/>
        <w:rPr>
          <w:i/>
          <w:sz w:val="18"/>
        </w:rPr>
      </w:pPr>
      <w:r>
        <w:rPr>
          <w:i/>
          <w:w w:val="125"/>
          <w:sz w:val="18"/>
        </w:rPr>
        <w:t>Módosította: 2019. évi XXXIV. törvény 133. §</w:t>
      </w:r>
      <w:r>
        <w:rPr>
          <w:i/>
          <w:spacing w:val="-6"/>
          <w:w w:val="125"/>
          <w:sz w:val="18"/>
        </w:rPr>
        <w:t> </w:t>
      </w:r>
      <w:r>
        <w:rPr>
          <w:i/>
          <w:w w:val="125"/>
          <w:sz w:val="18"/>
        </w:rPr>
        <w:t>a).</w:t>
      </w:r>
    </w:p>
    <w:p>
      <w:pPr>
        <w:pStyle w:val="ListParagraph"/>
        <w:numPr>
          <w:ilvl w:val="0"/>
          <w:numId w:val="380"/>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LXII. törvény 41. §. Hatályos: 2017. VIII.</w:t>
      </w:r>
      <w:r>
        <w:rPr>
          <w:i/>
          <w:spacing w:val="-19"/>
          <w:w w:val="125"/>
          <w:sz w:val="18"/>
        </w:rPr>
        <w:t> </w:t>
      </w:r>
      <w:r>
        <w:rPr>
          <w:i/>
          <w:w w:val="125"/>
          <w:sz w:val="18"/>
        </w:rPr>
        <w:t>1-től.</w:t>
      </w:r>
    </w:p>
    <w:p>
      <w:pPr>
        <w:pStyle w:val="ListParagraph"/>
        <w:numPr>
          <w:ilvl w:val="0"/>
          <w:numId w:val="380"/>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211. § (2). Hatályos: 2015. VII.</w:t>
      </w:r>
      <w:r>
        <w:rPr>
          <w:i/>
          <w:spacing w:val="-30"/>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79"/>
        </w:numPr>
        <w:tabs>
          <w:tab w:pos="739" w:val="left" w:leader="none"/>
        </w:tabs>
        <w:spacing w:line="225" w:lineRule="auto" w:before="173" w:after="0"/>
        <w:ind w:left="113" w:right="125" w:firstLine="204"/>
        <w:jc w:val="both"/>
        <w:rPr>
          <w:sz w:val="24"/>
        </w:rPr>
      </w:pPr>
      <w:r>
        <w:rPr>
          <w:w w:val="130"/>
          <w:sz w:val="24"/>
        </w:rPr>
        <w:t>a pénzügyi intézmény ügyfele által nyilvánosságra hozott állítással összefüggésben a pénzügyi intézmény részéről a közte és ügyfele közötti jogviszonyra vonatkozó, a nyilvánosság előtti válaszadáshoz szükséges mértékben történő</w:t>
      </w:r>
      <w:r>
        <w:rPr>
          <w:spacing w:val="-7"/>
          <w:w w:val="130"/>
          <w:sz w:val="24"/>
        </w:rPr>
        <w:t> </w:t>
      </w:r>
      <w:r>
        <w:rPr>
          <w:w w:val="130"/>
          <w:sz w:val="24"/>
        </w:rPr>
        <w:t>adatközlés,</w:t>
      </w:r>
    </w:p>
    <w:p>
      <w:pPr>
        <w:pStyle w:val="ListParagraph"/>
        <w:numPr>
          <w:ilvl w:val="0"/>
          <w:numId w:val="379"/>
        </w:numPr>
        <w:tabs>
          <w:tab w:pos="639" w:val="left" w:leader="none"/>
        </w:tabs>
        <w:spacing w:line="225" w:lineRule="auto" w:before="2" w:after="0"/>
        <w:ind w:left="113" w:right="127" w:firstLine="204"/>
        <w:jc w:val="both"/>
        <w:rPr>
          <w:sz w:val="24"/>
        </w:rPr>
      </w:pPr>
      <w:r>
        <w:rPr>
          <w:w w:val="130"/>
          <w:sz w:val="24"/>
        </w:rPr>
        <w:t>a jegybanki feladatkörében eljáró MNB által alapvető feladatai ellátása érdekében</w:t>
      </w:r>
      <w:r>
        <w:rPr>
          <w:spacing w:val="-10"/>
          <w:w w:val="130"/>
          <w:sz w:val="24"/>
        </w:rPr>
        <w:t> </w:t>
      </w:r>
      <w:r>
        <w:rPr>
          <w:w w:val="130"/>
          <w:sz w:val="24"/>
        </w:rPr>
        <w:t>a</w:t>
      </w:r>
      <w:r>
        <w:rPr>
          <w:spacing w:val="-9"/>
          <w:w w:val="130"/>
          <w:sz w:val="24"/>
        </w:rPr>
        <w:t> </w:t>
      </w:r>
      <w:r>
        <w:rPr>
          <w:w w:val="130"/>
          <w:sz w:val="24"/>
        </w:rPr>
        <w:t>jegybanki</w:t>
      </w:r>
      <w:r>
        <w:rPr>
          <w:spacing w:val="-8"/>
          <w:w w:val="130"/>
          <w:sz w:val="24"/>
        </w:rPr>
        <w:t> </w:t>
      </w:r>
      <w:r>
        <w:rPr>
          <w:w w:val="130"/>
          <w:sz w:val="24"/>
        </w:rPr>
        <w:t>információs</w:t>
      </w:r>
      <w:r>
        <w:rPr>
          <w:spacing w:val="-10"/>
          <w:w w:val="130"/>
          <w:sz w:val="24"/>
        </w:rPr>
        <w:t> </w:t>
      </w:r>
      <w:r>
        <w:rPr>
          <w:w w:val="130"/>
          <w:sz w:val="24"/>
        </w:rPr>
        <w:t>rendszerben</w:t>
      </w:r>
      <w:r>
        <w:rPr>
          <w:spacing w:val="-8"/>
          <w:w w:val="130"/>
          <w:sz w:val="24"/>
        </w:rPr>
        <w:t> </w:t>
      </w:r>
      <w:r>
        <w:rPr>
          <w:w w:val="130"/>
          <w:sz w:val="24"/>
        </w:rPr>
        <w:t>rendelkezésre</w:t>
      </w:r>
      <w:r>
        <w:rPr>
          <w:spacing w:val="-9"/>
          <w:w w:val="130"/>
          <w:sz w:val="24"/>
        </w:rPr>
        <w:t> </w:t>
      </w:r>
      <w:r>
        <w:rPr>
          <w:w w:val="130"/>
          <w:sz w:val="24"/>
        </w:rPr>
        <w:t>álló</w:t>
      </w:r>
      <w:r>
        <w:rPr>
          <w:spacing w:val="-9"/>
          <w:w w:val="130"/>
          <w:sz w:val="24"/>
        </w:rPr>
        <w:t> </w:t>
      </w:r>
      <w:r>
        <w:rPr>
          <w:w w:val="130"/>
          <w:sz w:val="24"/>
        </w:rPr>
        <w:t>adatoknak egyedi</w:t>
      </w:r>
      <w:r>
        <w:rPr>
          <w:spacing w:val="-19"/>
          <w:w w:val="130"/>
          <w:sz w:val="24"/>
        </w:rPr>
        <w:t> </w:t>
      </w:r>
      <w:r>
        <w:rPr>
          <w:w w:val="130"/>
          <w:sz w:val="24"/>
        </w:rPr>
        <w:t>azonosításra</w:t>
      </w:r>
      <w:r>
        <w:rPr>
          <w:spacing w:val="-7"/>
          <w:w w:val="130"/>
          <w:sz w:val="24"/>
        </w:rPr>
        <w:t> </w:t>
      </w:r>
      <w:r>
        <w:rPr>
          <w:w w:val="130"/>
          <w:sz w:val="24"/>
        </w:rPr>
        <w:t>alkalmas</w:t>
      </w:r>
      <w:r>
        <w:rPr>
          <w:spacing w:val="-28"/>
          <w:w w:val="130"/>
          <w:sz w:val="24"/>
        </w:rPr>
        <w:t> </w:t>
      </w:r>
      <w:r>
        <w:rPr>
          <w:w w:val="130"/>
          <w:sz w:val="24"/>
        </w:rPr>
        <w:t>módon</w:t>
      </w:r>
      <w:r>
        <w:rPr>
          <w:spacing w:val="-17"/>
          <w:w w:val="130"/>
          <w:sz w:val="24"/>
        </w:rPr>
        <w:t> </w:t>
      </w:r>
      <w:r>
        <w:rPr>
          <w:w w:val="130"/>
          <w:sz w:val="24"/>
        </w:rPr>
        <w:t>való</w:t>
      </w:r>
      <w:r>
        <w:rPr>
          <w:spacing w:val="-19"/>
          <w:w w:val="130"/>
          <w:sz w:val="24"/>
        </w:rPr>
        <w:t> </w:t>
      </w:r>
      <w:r>
        <w:rPr>
          <w:w w:val="130"/>
          <w:sz w:val="24"/>
        </w:rPr>
        <w:t>átadása</w:t>
      </w:r>
      <w:r>
        <w:rPr>
          <w:spacing w:val="-17"/>
          <w:w w:val="130"/>
          <w:sz w:val="24"/>
        </w:rPr>
        <w:t> </w:t>
      </w:r>
      <w:r>
        <w:rPr>
          <w:w w:val="130"/>
          <w:sz w:val="24"/>
        </w:rPr>
        <w:t>a</w:t>
      </w:r>
      <w:r>
        <w:rPr>
          <w:spacing w:val="-18"/>
          <w:w w:val="130"/>
          <w:sz w:val="24"/>
        </w:rPr>
        <w:t> </w:t>
      </w:r>
      <w:r>
        <w:rPr>
          <w:w w:val="130"/>
          <w:sz w:val="24"/>
        </w:rPr>
        <w:t>Központi</w:t>
      </w:r>
      <w:r>
        <w:rPr>
          <w:spacing w:val="-17"/>
          <w:w w:val="130"/>
          <w:sz w:val="24"/>
        </w:rPr>
        <w:t> </w:t>
      </w:r>
      <w:r>
        <w:rPr>
          <w:w w:val="130"/>
          <w:sz w:val="24"/>
        </w:rPr>
        <w:t>Bankok</w:t>
      </w:r>
      <w:r>
        <w:rPr>
          <w:spacing w:val="-18"/>
          <w:w w:val="130"/>
          <w:sz w:val="24"/>
        </w:rPr>
        <w:t> </w:t>
      </w:r>
      <w:r>
        <w:rPr>
          <w:w w:val="130"/>
          <w:sz w:val="24"/>
        </w:rPr>
        <w:t>Európai Rendszere és annak tagjai számára, azok kérelme alapján, az Európai Unió működéséről szóló szerződésből eredő vagy központi banki feladataik teljesítéséhez szükséges</w:t>
      </w:r>
      <w:r>
        <w:rPr>
          <w:spacing w:val="-7"/>
          <w:w w:val="130"/>
          <w:sz w:val="24"/>
        </w:rPr>
        <w:t> </w:t>
      </w:r>
      <w:r>
        <w:rPr>
          <w:w w:val="130"/>
          <w:sz w:val="24"/>
        </w:rPr>
        <w:t>mértékben,</w:t>
      </w:r>
    </w:p>
    <w:p>
      <w:pPr>
        <w:pStyle w:val="ListParagraph"/>
        <w:numPr>
          <w:ilvl w:val="0"/>
          <w:numId w:val="379"/>
        </w:numPr>
        <w:tabs>
          <w:tab w:pos="660" w:val="left" w:leader="none"/>
        </w:tabs>
        <w:spacing w:line="225" w:lineRule="auto" w:before="3" w:after="0"/>
        <w:ind w:left="113" w:right="121" w:firstLine="204"/>
        <w:jc w:val="both"/>
        <w:rPr>
          <w:sz w:val="24"/>
        </w:rPr>
      </w:pPr>
      <w:r>
        <w:rPr>
          <w:w w:val="125"/>
          <w:sz w:val="24"/>
        </w:rPr>
        <w:t>a pénzforgalmi szolgáltatás nyújtása és a fizetési műveletek feldolgozása, elszámolása és teljesítése keretében a fizetési megbízás teljesítése céljából pénzügyi intézmény által a fizetési műveletek  feldolgozásában,  elszámolásában és teljesítésében közreműködő pénzügyi intézmények és pénzügyi intézménynek nem minősülő pénzforgalmi szolgáltatók részére történő</w:t>
      </w:r>
      <w:r>
        <w:rPr>
          <w:spacing w:val="1"/>
          <w:w w:val="125"/>
          <w:sz w:val="24"/>
        </w:rPr>
        <w:t> </w:t>
      </w:r>
      <w:r>
        <w:rPr>
          <w:w w:val="125"/>
          <w:sz w:val="24"/>
        </w:rPr>
        <w:t>adattovábbítás,</w:t>
      </w:r>
    </w:p>
    <w:p>
      <w:pPr>
        <w:pStyle w:val="ListParagraph"/>
        <w:numPr>
          <w:ilvl w:val="0"/>
          <w:numId w:val="379"/>
        </w:numPr>
        <w:tabs>
          <w:tab w:pos="548" w:val="left" w:leader="none"/>
        </w:tabs>
        <w:spacing w:line="252" w:lineRule="exact" w:before="0" w:after="0"/>
        <w:ind w:left="547" w:right="0" w:hanging="230"/>
        <w:jc w:val="left"/>
        <w:rPr>
          <w:sz w:val="24"/>
        </w:rPr>
      </w:pPr>
      <w:r>
        <w:rPr>
          <w:i/>
          <w:w w:val="130"/>
          <w:position w:val="3"/>
          <w:sz w:val="18"/>
        </w:rPr>
        <w:t>1 </w:t>
      </w:r>
      <w:r>
        <w:rPr>
          <w:w w:val="130"/>
          <w:sz w:val="24"/>
        </w:rPr>
        <w:t>a központi szerződő fél, valamint a központi értéktári</w:t>
      </w:r>
      <w:r>
        <w:rPr>
          <w:spacing w:val="71"/>
          <w:w w:val="130"/>
          <w:sz w:val="24"/>
        </w:rPr>
        <w:t> </w:t>
      </w:r>
      <w:r>
        <w:rPr>
          <w:w w:val="130"/>
          <w:sz w:val="24"/>
        </w:rPr>
        <w:t>tevékenység</w:t>
      </w:r>
    </w:p>
    <w:p>
      <w:pPr>
        <w:pStyle w:val="BodyText"/>
        <w:spacing w:line="225" w:lineRule="auto" w:before="12"/>
        <w:ind w:firstLine="0"/>
      </w:pPr>
      <w:r>
        <w:rPr>
          <w:w w:val="130"/>
        </w:rPr>
        <w:t>végzésének érdekében szükséges, a központi értéktár és a központi szerződő fél közötti adattovábbítás,</w:t>
      </w:r>
    </w:p>
    <w:p>
      <w:pPr>
        <w:pStyle w:val="ListParagraph"/>
        <w:numPr>
          <w:ilvl w:val="0"/>
          <w:numId w:val="379"/>
        </w:numPr>
        <w:tabs>
          <w:tab w:pos="888" w:val="left" w:leader="none"/>
          <w:tab w:pos="889" w:val="left" w:leader="none"/>
          <w:tab w:pos="1442" w:val="left" w:leader="none"/>
          <w:tab w:pos="1849" w:val="left" w:leader="none"/>
          <w:tab w:pos="3210" w:val="left" w:leader="none"/>
          <w:tab w:pos="4726" w:val="left" w:leader="none"/>
          <w:tab w:pos="5133" w:val="left" w:leader="none"/>
          <w:tab w:pos="5876" w:val="left" w:leader="none"/>
          <w:tab w:pos="6907" w:val="left" w:leader="none"/>
          <w:tab w:pos="7966" w:val="left" w:leader="none"/>
        </w:tabs>
        <w:spacing w:line="225" w:lineRule="auto" w:before="1" w:after="0"/>
        <w:ind w:left="113" w:right="128" w:firstLine="204"/>
        <w:jc w:val="left"/>
        <w:rPr>
          <w:sz w:val="24"/>
        </w:rPr>
      </w:pPr>
      <w:r>
        <w:rPr>
          <w:w w:val="130"/>
          <w:sz w:val="24"/>
        </w:rPr>
        <w:t>ha</w:t>
        <w:tab/>
        <w:t>a</w:t>
        <w:tab/>
        <w:t>pénzügyi</w:t>
        <w:tab/>
        <w:t>intézmény</w:t>
        <w:tab/>
        <w:t>a</w:t>
        <w:tab/>
        <w:t>Ptk.</w:t>
        <w:tab/>
        <w:t>6:418.</w:t>
        <w:tab/>
        <w:t>§-ában</w:t>
        <w:tab/>
      </w:r>
      <w:r>
        <w:rPr>
          <w:spacing w:val="-1"/>
          <w:w w:val="130"/>
          <w:sz w:val="24"/>
        </w:rPr>
        <w:t>meghatározott </w:t>
      </w:r>
      <w:r>
        <w:rPr>
          <w:w w:val="130"/>
          <w:sz w:val="24"/>
        </w:rPr>
        <w:t>kötelezettségét</w:t>
      </w:r>
      <w:r>
        <w:rPr>
          <w:spacing w:val="-4"/>
          <w:w w:val="130"/>
          <w:sz w:val="24"/>
        </w:rPr>
        <w:t> </w:t>
      </w:r>
      <w:r>
        <w:rPr>
          <w:w w:val="130"/>
          <w:sz w:val="24"/>
        </w:rPr>
        <w:t>teljesíti,</w:t>
      </w:r>
    </w:p>
    <w:p>
      <w:pPr>
        <w:pStyle w:val="ListParagraph"/>
        <w:numPr>
          <w:ilvl w:val="0"/>
          <w:numId w:val="379"/>
        </w:numPr>
        <w:tabs>
          <w:tab w:pos="548" w:val="left" w:leader="none"/>
        </w:tabs>
        <w:spacing w:line="249" w:lineRule="exact" w:before="0" w:after="0"/>
        <w:ind w:left="547" w:right="0" w:hanging="230"/>
        <w:jc w:val="left"/>
        <w:rPr>
          <w:sz w:val="24"/>
        </w:rPr>
      </w:pPr>
      <w:r>
        <w:rPr>
          <w:i/>
          <w:w w:val="130"/>
          <w:position w:val="3"/>
          <w:sz w:val="18"/>
        </w:rPr>
        <w:t>2 </w:t>
      </w:r>
      <w:r>
        <w:rPr>
          <w:w w:val="130"/>
          <w:sz w:val="24"/>
        </w:rPr>
        <w:t>a szanálási feladatkörében eljáró MNB által a Szantv. szerinti</w:t>
      </w:r>
      <w:r>
        <w:rPr>
          <w:spacing w:val="10"/>
          <w:w w:val="130"/>
          <w:sz w:val="24"/>
        </w:rPr>
        <w:t> </w:t>
      </w:r>
      <w:r>
        <w:rPr>
          <w:w w:val="130"/>
          <w:sz w:val="24"/>
        </w:rPr>
        <w:t>független</w:t>
      </w:r>
    </w:p>
    <w:p>
      <w:pPr>
        <w:pStyle w:val="BodyText"/>
        <w:spacing w:line="225" w:lineRule="auto" w:before="12"/>
        <w:ind w:right="130" w:firstLine="0"/>
        <w:jc w:val="both"/>
      </w:pPr>
      <w:r>
        <w:rPr>
          <w:w w:val="130"/>
        </w:rPr>
        <w:t>és ideiglenes értékelőnek - valamint az értékelésben közreműködőnek - az értékelés elkészítése érdekében, a vagyonértékesítés alkalmazása során a lehetséges</w:t>
      </w:r>
      <w:r>
        <w:rPr>
          <w:spacing w:val="-18"/>
          <w:w w:val="130"/>
        </w:rPr>
        <w:t> </w:t>
      </w:r>
      <w:r>
        <w:rPr>
          <w:w w:val="130"/>
        </w:rPr>
        <w:t>ajánlattevőknek,</w:t>
      </w:r>
      <w:r>
        <w:rPr>
          <w:spacing w:val="-18"/>
          <w:w w:val="130"/>
        </w:rPr>
        <w:t> </w:t>
      </w:r>
      <w:r>
        <w:rPr>
          <w:w w:val="130"/>
        </w:rPr>
        <w:t>továbbá</w:t>
      </w:r>
      <w:r>
        <w:rPr>
          <w:spacing w:val="-18"/>
          <w:w w:val="130"/>
        </w:rPr>
        <w:t> </w:t>
      </w:r>
      <w:r>
        <w:rPr>
          <w:w w:val="130"/>
        </w:rPr>
        <w:t>a</w:t>
      </w:r>
      <w:r>
        <w:rPr>
          <w:spacing w:val="-18"/>
          <w:w w:val="130"/>
        </w:rPr>
        <w:t> </w:t>
      </w:r>
      <w:r>
        <w:rPr>
          <w:w w:val="130"/>
        </w:rPr>
        <w:t>vagyonértékesítés</w:t>
      </w:r>
      <w:r>
        <w:rPr>
          <w:spacing w:val="-18"/>
          <w:w w:val="130"/>
        </w:rPr>
        <w:t> </w:t>
      </w:r>
      <w:r>
        <w:rPr>
          <w:w w:val="130"/>
        </w:rPr>
        <w:t>alkalmazása</w:t>
      </w:r>
      <w:r>
        <w:rPr>
          <w:spacing w:val="-11"/>
          <w:w w:val="130"/>
        </w:rPr>
        <w:t> </w:t>
      </w:r>
      <w:r>
        <w:rPr>
          <w:w w:val="130"/>
        </w:rPr>
        <w:t>során</w:t>
      </w:r>
      <w:r>
        <w:rPr>
          <w:spacing w:val="-24"/>
          <w:w w:val="130"/>
        </w:rPr>
        <w:t> </w:t>
      </w:r>
      <w:r>
        <w:rPr>
          <w:w w:val="130"/>
        </w:rPr>
        <w:t>az áthidaló intézménynek nem minősülő átvevőnek való adat- és információátadás,</w:t>
      </w:r>
    </w:p>
    <w:p>
      <w:pPr>
        <w:pStyle w:val="ListParagraph"/>
        <w:numPr>
          <w:ilvl w:val="0"/>
          <w:numId w:val="379"/>
        </w:numPr>
        <w:tabs>
          <w:tab w:pos="548" w:val="left" w:leader="none"/>
        </w:tabs>
        <w:spacing w:line="251" w:lineRule="exact" w:before="0" w:after="0"/>
        <w:ind w:left="547" w:right="0" w:hanging="230"/>
        <w:jc w:val="left"/>
        <w:rPr>
          <w:sz w:val="24"/>
        </w:rPr>
      </w:pPr>
      <w:r>
        <w:rPr>
          <w:i/>
          <w:w w:val="125"/>
          <w:position w:val="3"/>
          <w:sz w:val="18"/>
        </w:rPr>
        <w:t>3</w:t>
      </w:r>
      <w:r>
        <w:rPr>
          <w:i/>
          <w:spacing w:val="4"/>
          <w:w w:val="125"/>
          <w:position w:val="3"/>
          <w:sz w:val="18"/>
        </w:rPr>
        <w:t> </w:t>
      </w:r>
      <w:r>
        <w:rPr>
          <w:w w:val="125"/>
          <w:sz w:val="24"/>
        </w:rPr>
        <w:t>az</w:t>
      </w:r>
      <w:r>
        <w:rPr>
          <w:spacing w:val="42"/>
          <w:w w:val="125"/>
          <w:sz w:val="24"/>
        </w:rPr>
        <w:t> </w:t>
      </w:r>
      <w:r>
        <w:rPr>
          <w:w w:val="125"/>
          <w:sz w:val="24"/>
        </w:rPr>
        <w:t>elhalálozott</w:t>
      </w:r>
      <w:r>
        <w:rPr>
          <w:spacing w:val="41"/>
          <w:w w:val="125"/>
          <w:sz w:val="24"/>
        </w:rPr>
        <w:t> </w:t>
      </w:r>
      <w:r>
        <w:rPr>
          <w:w w:val="125"/>
          <w:sz w:val="24"/>
        </w:rPr>
        <w:t>által</w:t>
      </w:r>
      <w:r>
        <w:rPr>
          <w:spacing w:val="42"/>
          <w:w w:val="125"/>
          <w:sz w:val="24"/>
        </w:rPr>
        <w:t> </w:t>
      </w:r>
      <w:r>
        <w:rPr>
          <w:w w:val="125"/>
          <w:sz w:val="24"/>
        </w:rPr>
        <w:t>felvett</w:t>
      </w:r>
      <w:r>
        <w:rPr>
          <w:spacing w:val="42"/>
          <w:w w:val="125"/>
          <w:sz w:val="24"/>
        </w:rPr>
        <w:t> </w:t>
      </w:r>
      <w:r>
        <w:rPr>
          <w:w w:val="125"/>
          <w:sz w:val="24"/>
        </w:rPr>
        <w:t>és</w:t>
      </w:r>
      <w:r>
        <w:rPr>
          <w:spacing w:val="42"/>
          <w:w w:val="125"/>
          <w:sz w:val="24"/>
        </w:rPr>
        <w:t> </w:t>
      </w:r>
      <w:r>
        <w:rPr>
          <w:w w:val="125"/>
          <w:sz w:val="24"/>
        </w:rPr>
        <w:t>még</w:t>
      </w:r>
      <w:r>
        <w:rPr>
          <w:spacing w:val="48"/>
          <w:w w:val="125"/>
          <w:sz w:val="24"/>
        </w:rPr>
        <w:t> </w:t>
      </w:r>
      <w:r>
        <w:rPr>
          <w:w w:val="125"/>
          <w:sz w:val="24"/>
        </w:rPr>
        <w:t>vissza</w:t>
      </w:r>
      <w:r>
        <w:rPr>
          <w:spacing w:val="44"/>
          <w:w w:val="125"/>
          <w:sz w:val="24"/>
        </w:rPr>
        <w:t> </w:t>
      </w:r>
      <w:r>
        <w:rPr>
          <w:w w:val="125"/>
          <w:sz w:val="24"/>
        </w:rPr>
        <w:t>nem</w:t>
      </w:r>
      <w:r>
        <w:rPr>
          <w:spacing w:val="33"/>
          <w:w w:val="125"/>
          <w:sz w:val="24"/>
        </w:rPr>
        <w:t> </w:t>
      </w:r>
      <w:r>
        <w:rPr>
          <w:w w:val="125"/>
          <w:sz w:val="24"/>
        </w:rPr>
        <w:t>fizetett</w:t>
      </w:r>
      <w:r>
        <w:rPr>
          <w:spacing w:val="42"/>
          <w:w w:val="125"/>
          <w:sz w:val="24"/>
        </w:rPr>
        <w:t> </w:t>
      </w:r>
      <w:r>
        <w:rPr>
          <w:w w:val="125"/>
          <w:sz w:val="24"/>
        </w:rPr>
        <w:t>kölcsönhöz</w:t>
      </w:r>
      <w:r>
        <w:rPr>
          <w:spacing w:val="42"/>
          <w:w w:val="125"/>
          <w:sz w:val="24"/>
        </w:rPr>
        <w:t> </w:t>
      </w:r>
      <w:r>
        <w:rPr>
          <w:w w:val="125"/>
          <w:sz w:val="24"/>
        </w:rPr>
        <w:t>és</w:t>
      </w:r>
      <w:r>
        <w:rPr>
          <w:spacing w:val="42"/>
          <w:w w:val="125"/>
          <w:sz w:val="24"/>
        </w:rPr>
        <w:t> </w:t>
      </w:r>
      <w:r>
        <w:rPr>
          <w:w w:val="125"/>
          <w:sz w:val="24"/>
        </w:rPr>
        <w:t>le</w:t>
      </w:r>
    </w:p>
    <w:p>
      <w:pPr>
        <w:pStyle w:val="BodyText"/>
        <w:spacing w:line="225" w:lineRule="auto" w:before="12"/>
        <w:ind w:right="127" w:firstLine="0"/>
        <w:jc w:val="both"/>
      </w:pPr>
      <w:r>
        <w:rPr>
          <w:w w:val="130"/>
        </w:rPr>
        <w:t>nem járt pénzügyi lízinghez kapcsolódóan a fennálló tartozás összegéről, a lejárt tartozás összegéről, az esedékes havi törlesztőrészletről, azon számlaszámról, amelyre a törlesztőrészletet fizetni kell (hitelszámla száma), valamint</w:t>
      </w:r>
      <w:r>
        <w:rPr>
          <w:spacing w:val="-10"/>
          <w:w w:val="130"/>
        </w:rPr>
        <w:t> </w:t>
      </w:r>
      <w:r>
        <w:rPr>
          <w:w w:val="130"/>
        </w:rPr>
        <w:t>a</w:t>
      </w:r>
      <w:r>
        <w:rPr>
          <w:spacing w:val="-23"/>
          <w:w w:val="130"/>
        </w:rPr>
        <w:t> </w:t>
      </w:r>
      <w:r>
        <w:rPr>
          <w:w w:val="130"/>
        </w:rPr>
        <w:t>hátralévő</w:t>
      </w:r>
      <w:r>
        <w:rPr>
          <w:spacing w:val="-16"/>
          <w:w w:val="130"/>
        </w:rPr>
        <w:t> </w:t>
      </w:r>
      <w:r>
        <w:rPr>
          <w:w w:val="130"/>
        </w:rPr>
        <w:t>futamidőről</w:t>
      </w:r>
      <w:r>
        <w:rPr>
          <w:spacing w:val="-15"/>
          <w:w w:val="130"/>
        </w:rPr>
        <w:t> </w:t>
      </w:r>
      <w:r>
        <w:rPr>
          <w:w w:val="130"/>
        </w:rPr>
        <w:t>az</w:t>
      </w:r>
      <w:r>
        <w:rPr>
          <w:spacing w:val="-10"/>
          <w:w w:val="130"/>
        </w:rPr>
        <w:t> </w:t>
      </w:r>
      <w:r>
        <w:rPr>
          <w:w w:val="130"/>
        </w:rPr>
        <w:t>örökhagyó</w:t>
      </w:r>
      <w:r>
        <w:rPr>
          <w:spacing w:val="-22"/>
          <w:w w:val="130"/>
        </w:rPr>
        <w:t> </w:t>
      </w:r>
      <w:r>
        <w:rPr>
          <w:w w:val="130"/>
        </w:rPr>
        <w:t>közeli</w:t>
      </w:r>
      <w:r>
        <w:rPr>
          <w:spacing w:val="-14"/>
          <w:w w:val="130"/>
        </w:rPr>
        <w:t> </w:t>
      </w:r>
      <w:r>
        <w:rPr>
          <w:w w:val="130"/>
        </w:rPr>
        <w:t>hozzátartozója</w:t>
      </w:r>
      <w:r>
        <w:rPr>
          <w:spacing w:val="-18"/>
          <w:w w:val="130"/>
        </w:rPr>
        <w:t> </w:t>
      </w:r>
      <w:r>
        <w:rPr>
          <w:w w:val="130"/>
        </w:rPr>
        <w:t>részére</w:t>
      </w:r>
      <w:r>
        <w:rPr>
          <w:spacing w:val="-16"/>
          <w:w w:val="130"/>
        </w:rPr>
        <w:t> </w:t>
      </w:r>
      <w:r>
        <w:rPr>
          <w:w w:val="130"/>
        </w:rPr>
        <w:t>- annak</w:t>
      </w:r>
      <w:r>
        <w:rPr>
          <w:spacing w:val="-9"/>
          <w:w w:val="130"/>
        </w:rPr>
        <w:t> </w:t>
      </w:r>
      <w:r>
        <w:rPr>
          <w:w w:val="130"/>
        </w:rPr>
        <w:t>írásbeli</w:t>
      </w:r>
      <w:r>
        <w:rPr>
          <w:spacing w:val="-8"/>
          <w:w w:val="130"/>
        </w:rPr>
        <w:t> </w:t>
      </w:r>
      <w:r>
        <w:rPr>
          <w:w w:val="130"/>
        </w:rPr>
        <w:t>kérelmére</w:t>
      </w:r>
      <w:r>
        <w:rPr>
          <w:spacing w:val="-8"/>
          <w:w w:val="130"/>
        </w:rPr>
        <w:t> </w:t>
      </w:r>
      <w:r>
        <w:rPr>
          <w:w w:val="130"/>
        </w:rPr>
        <w:t>-</w:t>
      </w:r>
      <w:r>
        <w:rPr>
          <w:spacing w:val="-8"/>
          <w:w w:val="130"/>
        </w:rPr>
        <w:t> </w:t>
      </w:r>
      <w:r>
        <w:rPr>
          <w:w w:val="130"/>
        </w:rPr>
        <w:t>történő</w:t>
      </w:r>
      <w:r>
        <w:rPr>
          <w:spacing w:val="-8"/>
          <w:w w:val="130"/>
        </w:rPr>
        <w:t> </w:t>
      </w:r>
      <w:r>
        <w:rPr>
          <w:w w:val="130"/>
        </w:rPr>
        <w:t>adatszolgáltatás</w:t>
      </w:r>
      <w:r>
        <w:rPr>
          <w:spacing w:val="-8"/>
          <w:w w:val="130"/>
        </w:rPr>
        <w:t> </w:t>
      </w:r>
      <w:r>
        <w:rPr>
          <w:w w:val="130"/>
        </w:rPr>
        <w:t>a</w:t>
      </w:r>
      <w:r>
        <w:rPr>
          <w:spacing w:val="-8"/>
          <w:w w:val="130"/>
        </w:rPr>
        <w:t> </w:t>
      </w:r>
      <w:r>
        <w:rPr>
          <w:w w:val="130"/>
        </w:rPr>
        <w:t>hagyatéki</w:t>
      </w:r>
      <w:r>
        <w:rPr>
          <w:spacing w:val="-8"/>
          <w:w w:val="130"/>
        </w:rPr>
        <w:t> </w:t>
      </w:r>
      <w:r>
        <w:rPr>
          <w:w w:val="130"/>
        </w:rPr>
        <w:t>eljárás</w:t>
      </w:r>
      <w:r>
        <w:rPr>
          <w:spacing w:val="-8"/>
          <w:w w:val="130"/>
        </w:rPr>
        <w:t> </w:t>
      </w:r>
      <w:r>
        <w:rPr>
          <w:w w:val="130"/>
        </w:rPr>
        <w:t>jogerős lezárásáról történő tudomásszerzés</w:t>
      </w:r>
      <w:r>
        <w:rPr>
          <w:spacing w:val="2"/>
          <w:w w:val="130"/>
        </w:rPr>
        <w:t> </w:t>
      </w:r>
      <w:r>
        <w:rPr>
          <w:w w:val="130"/>
        </w:rPr>
        <w:t>napjáig,</w:t>
      </w:r>
    </w:p>
    <w:p>
      <w:pPr>
        <w:pStyle w:val="ListParagraph"/>
        <w:numPr>
          <w:ilvl w:val="0"/>
          <w:numId w:val="379"/>
        </w:numPr>
        <w:tabs>
          <w:tab w:pos="539" w:val="left" w:leader="none"/>
        </w:tabs>
        <w:spacing w:line="251" w:lineRule="exact" w:before="0" w:after="0"/>
        <w:ind w:left="538" w:right="0" w:hanging="221"/>
        <w:jc w:val="left"/>
        <w:rPr>
          <w:sz w:val="24"/>
        </w:rPr>
      </w:pPr>
      <w:r>
        <w:rPr>
          <w:i/>
          <w:w w:val="125"/>
          <w:position w:val="3"/>
          <w:sz w:val="18"/>
        </w:rPr>
        <w:t>4</w:t>
      </w:r>
      <w:r>
        <w:rPr>
          <w:i/>
          <w:spacing w:val="46"/>
          <w:w w:val="125"/>
          <w:position w:val="3"/>
          <w:sz w:val="18"/>
        </w:rPr>
        <w:t> </w:t>
      </w:r>
      <w:r>
        <w:rPr>
          <w:w w:val="125"/>
          <w:sz w:val="24"/>
        </w:rPr>
        <w:t>a</w:t>
      </w:r>
      <w:r>
        <w:rPr>
          <w:spacing w:val="27"/>
          <w:w w:val="125"/>
          <w:sz w:val="24"/>
        </w:rPr>
        <w:t> </w:t>
      </w:r>
      <w:r>
        <w:rPr>
          <w:w w:val="125"/>
          <w:sz w:val="24"/>
        </w:rPr>
        <w:t>Felügyelet</w:t>
      </w:r>
      <w:r>
        <w:rPr>
          <w:spacing w:val="27"/>
          <w:w w:val="125"/>
          <w:sz w:val="24"/>
        </w:rPr>
        <w:t> </w:t>
      </w:r>
      <w:r>
        <w:rPr>
          <w:w w:val="125"/>
          <w:sz w:val="24"/>
        </w:rPr>
        <w:t>MNB</w:t>
      </w:r>
      <w:r>
        <w:rPr>
          <w:spacing w:val="38"/>
          <w:w w:val="125"/>
          <w:sz w:val="24"/>
        </w:rPr>
        <w:t> </w:t>
      </w:r>
      <w:r>
        <w:rPr>
          <w:w w:val="125"/>
          <w:sz w:val="24"/>
        </w:rPr>
        <w:t>tv.</w:t>
      </w:r>
      <w:r>
        <w:rPr>
          <w:spacing w:val="16"/>
          <w:w w:val="125"/>
          <w:sz w:val="24"/>
        </w:rPr>
        <w:t> </w:t>
      </w:r>
      <w:r>
        <w:rPr>
          <w:w w:val="125"/>
          <w:sz w:val="24"/>
        </w:rPr>
        <w:t>57.</w:t>
      </w:r>
      <w:r>
        <w:rPr>
          <w:spacing w:val="28"/>
          <w:w w:val="125"/>
          <w:sz w:val="24"/>
        </w:rPr>
        <w:t> </w:t>
      </w:r>
      <w:r>
        <w:rPr>
          <w:w w:val="125"/>
          <w:sz w:val="24"/>
        </w:rPr>
        <w:t>§</w:t>
      </w:r>
      <w:r>
        <w:rPr>
          <w:spacing w:val="27"/>
          <w:w w:val="125"/>
          <w:sz w:val="24"/>
        </w:rPr>
        <w:t> </w:t>
      </w:r>
      <w:r>
        <w:rPr>
          <w:w w:val="125"/>
          <w:sz w:val="24"/>
        </w:rPr>
        <w:t>(1)</w:t>
      </w:r>
      <w:r>
        <w:rPr>
          <w:spacing w:val="27"/>
          <w:w w:val="125"/>
          <w:sz w:val="24"/>
        </w:rPr>
        <w:t> </w:t>
      </w:r>
      <w:r>
        <w:rPr>
          <w:w w:val="125"/>
          <w:sz w:val="24"/>
        </w:rPr>
        <w:t>bekezdés</w:t>
      </w:r>
      <w:r>
        <w:rPr>
          <w:spacing w:val="31"/>
          <w:w w:val="125"/>
          <w:sz w:val="24"/>
        </w:rPr>
        <w:t> </w:t>
      </w:r>
      <w:r>
        <w:rPr>
          <w:i/>
          <w:w w:val="125"/>
          <w:sz w:val="24"/>
        </w:rPr>
        <w:t>c)</w:t>
      </w:r>
      <w:r>
        <w:rPr>
          <w:i/>
          <w:spacing w:val="27"/>
          <w:w w:val="125"/>
          <w:sz w:val="24"/>
        </w:rPr>
        <w:t> </w:t>
      </w:r>
      <w:r>
        <w:rPr>
          <w:w w:val="125"/>
          <w:sz w:val="24"/>
        </w:rPr>
        <w:t>pontjában,</w:t>
      </w:r>
      <w:r>
        <w:rPr>
          <w:spacing w:val="27"/>
          <w:w w:val="125"/>
          <w:sz w:val="24"/>
        </w:rPr>
        <w:t> </w:t>
      </w:r>
      <w:r>
        <w:rPr>
          <w:w w:val="125"/>
          <w:sz w:val="24"/>
        </w:rPr>
        <w:t>illetve</w:t>
      </w:r>
      <w:r>
        <w:rPr>
          <w:spacing w:val="27"/>
          <w:w w:val="125"/>
          <w:sz w:val="24"/>
        </w:rPr>
        <w:t> </w:t>
      </w:r>
      <w:r>
        <w:rPr>
          <w:w w:val="125"/>
          <w:sz w:val="24"/>
        </w:rPr>
        <w:t>140.</w:t>
      </w:r>
      <w:r>
        <w:rPr>
          <w:spacing w:val="27"/>
          <w:w w:val="125"/>
          <w:sz w:val="24"/>
        </w:rPr>
        <w:t> </w:t>
      </w:r>
      <w:r>
        <w:rPr>
          <w:w w:val="125"/>
          <w:sz w:val="24"/>
        </w:rPr>
        <w:t>§</w:t>
      </w:r>
      <w:r>
        <w:rPr>
          <w:spacing w:val="27"/>
          <w:w w:val="125"/>
          <w:sz w:val="24"/>
        </w:rPr>
        <w:t> </w:t>
      </w:r>
      <w:r>
        <w:rPr>
          <w:w w:val="125"/>
          <w:sz w:val="24"/>
        </w:rPr>
        <w:t>(2)</w:t>
      </w:r>
    </w:p>
    <w:p>
      <w:pPr>
        <w:pStyle w:val="BodyText"/>
        <w:spacing w:line="260" w:lineRule="exact"/>
        <w:ind w:firstLine="0"/>
      </w:pPr>
      <w:r>
        <w:rPr>
          <w:w w:val="130"/>
        </w:rPr>
        <w:t>bekezdésében foglalt adattovábbítása,</w:t>
      </w:r>
    </w:p>
    <w:p>
      <w:pPr>
        <w:pStyle w:val="BodyText"/>
        <w:spacing w:line="260" w:lineRule="exact"/>
        <w:ind w:left="317" w:firstLine="0"/>
      </w:pPr>
      <w:r>
        <w:rPr>
          <w:i/>
          <w:w w:val="125"/>
        </w:rPr>
        <w:t>zs)</w:t>
      </w:r>
      <w:r>
        <w:rPr>
          <w:i/>
          <w:w w:val="125"/>
          <w:position w:val="3"/>
          <w:sz w:val="18"/>
        </w:rPr>
        <w:t>5 </w:t>
      </w:r>
      <w:r>
        <w:rPr>
          <w:w w:val="125"/>
        </w:rPr>
        <w:t>a 164/B. § szerinti kölcsönös adatátadás, valamint az ezen alapuló</w:t>
      </w:r>
    </w:p>
    <w:p>
      <w:pPr>
        <w:spacing w:after="0" w:line="260" w:lineRule="exact"/>
        <w:sectPr>
          <w:pgSz w:w="11900" w:h="16820"/>
          <w:pgMar w:header="1104" w:footer="0" w:top="1840" w:bottom="280" w:left="1020" w:right="1000"/>
        </w:sectPr>
      </w:pPr>
    </w:p>
    <w:p>
      <w:pPr>
        <w:pStyle w:val="BodyText"/>
        <w:spacing w:line="266" w:lineRule="exact"/>
        <w:ind w:firstLine="0"/>
      </w:pPr>
      <w:r>
        <w:rPr>
          <w:w w:val="130"/>
        </w:rPr>
        <w:t>adatkezelés.</w:t>
      </w:r>
    </w:p>
    <w:p>
      <w:pPr>
        <w:pStyle w:val="Heading1"/>
        <w:tabs>
          <w:tab w:pos="1465" w:val="left" w:leader="none"/>
        </w:tabs>
        <w:spacing w:line="254" w:lineRule="exact"/>
        <w:rPr>
          <w:rFonts w:ascii="Times New Roman" w:hAnsi="Times New Roman"/>
          <w:b w:val="0"/>
          <w:i/>
          <w:sz w:val="18"/>
        </w:rPr>
      </w:pPr>
      <w:r>
        <w:rPr>
          <w:w w:val="120"/>
        </w:rPr>
        <w:t>164/A.</w:t>
        <w:tab/>
        <w:t>§</w:t>
      </w:r>
      <w:r>
        <w:rPr>
          <w:rFonts w:ascii="Times New Roman" w:hAnsi="Times New Roman"/>
          <w:b w:val="0"/>
          <w:i/>
          <w:w w:val="120"/>
          <w:position w:val="3"/>
          <w:sz w:val="18"/>
        </w:rPr>
        <w:t>6</w:t>
      </w:r>
    </w:p>
    <w:p>
      <w:pPr>
        <w:pStyle w:val="BodyText"/>
        <w:spacing w:before="5"/>
        <w:ind w:left="0" w:firstLine="0"/>
        <w:rPr>
          <w:i/>
          <w:sz w:val="22"/>
        </w:rPr>
      </w:pPr>
      <w:r>
        <w:rPr/>
        <w:br w:type="column"/>
      </w:r>
      <w:r>
        <w:rPr>
          <w:i/>
          <w:sz w:val="22"/>
        </w:rPr>
      </w:r>
    </w:p>
    <w:p>
      <w:pPr>
        <w:pStyle w:val="BodyText"/>
        <w:tabs>
          <w:tab w:pos="977" w:val="left" w:leader="none"/>
          <w:tab w:pos="2025" w:val="left" w:leader="none"/>
          <w:tab w:pos="2452" w:val="left" w:leader="none"/>
          <w:tab w:pos="3892" w:val="left" w:leader="none"/>
          <w:tab w:pos="5241" w:val="left" w:leader="none"/>
          <w:tab w:pos="5668" w:val="left" w:leader="none"/>
          <w:tab w:pos="7334" w:val="left" w:leader="none"/>
        </w:tabs>
        <w:spacing w:line="261" w:lineRule="exact"/>
        <w:ind w:firstLine="0"/>
      </w:pPr>
      <w:r>
        <w:rPr>
          <w:w w:val="130"/>
        </w:rPr>
        <w:t>Nem</w:t>
        <w:tab/>
        <w:t>jelenti</w:t>
        <w:tab/>
        <w:t>a</w:t>
        <w:tab/>
        <w:t>banktitok</w:t>
        <w:tab/>
        <w:t>sérelmét</w:t>
        <w:tab/>
        <w:t>a</w:t>
        <w:tab/>
        <w:t>hitelintézet</w:t>
        <w:tab/>
        <w:t>által</w:t>
      </w:r>
    </w:p>
    <w:p>
      <w:pPr>
        <w:spacing w:after="0" w:line="261" w:lineRule="exact"/>
        <w:sectPr>
          <w:type w:val="continuous"/>
          <w:pgSz w:w="11900" w:h="16820"/>
          <w:pgMar w:top="1840" w:bottom="280" w:left="1020" w:right="1000"/>
          <w:cols w:num="2" w:equalWidth="0">
            <w:col w:w="1748" w:space="138"/>
            <w:col w:w="7994"/>
          </w:cols>
        </w:sectPr>
      </w:pPr>
    </w:p>
    <w:p>
      <w:pPr>
        <w:pStyle w:val="BodyText"/>
        <w:spacing w:line="225" w:lineRule="auto" w:before="12"/>
        <w:ind w:firstLine="0"/>
      </w:pPr>
      <w:r>
        <w:rPr>
          <w:w w:val="130"/>
        </w:rPr>
        <w:t>jelzálog-hitelintézet részére történő adatátadás abban az esetben, ha az adatátadás jelzáloglevéllel történő refinanszírozás keretében</w:t>
      </w:r>
    </w:p>
    <w:p>
      <w:pPr>
        <w:pStyle w:val="ListParagraph"/>
        <w:numPr>
          <w:ilvl w:val="0"/>
          <w:numId w:val="381"/>
        </w:numPr>
        <w:tabs>
          <w:tab w:pos="631" w:val="left" w:leader="none"/>
        </w:tabs>
        <w:spacing w:line="256" w:lineRule="exact" w:before="0" w:after="0"/>
        <w:ind w:left="630" w:right="0" w:hanging="313"/>
        <w:jc w:val="left"/>
        <w:rPr>
          <w:sz w:val="24"/>
        </w:rPr>
      </w:pPr>
      <w:r>
        <w:rPr>
          <w:w w:val="130"/>
          <w:sz w:val="24"/>
        </w:rPr>
        <w:t>a jelzálog-hitelintézet</w:t>
      </w:r>
      <w:r>
        <w:rPr>
          <w:spacing w:val="-14"/>
          <w:w w:val="130"/>
          <w:sz w:val="24"/>
        </w:rPr>
        <w:t> </w:t>
      </w:r>
      <w:r>
        <w:rPr>
          <w:w w:val="130"/>
          <w:sz w:val="24"/>
        </w:rPr>
        <w:t>fedezet-nyilvántartásához,</w:t>
      </w:r>
    </w:p>
    <w:p>
      <w:pPr>
        <w:pStyle w:val="ListParagraph"/>
        <w:numPr>
          <w:ilvl w:val="0"/>
          <w:numId w:val="381"/>
        </w:numPr>
        <w:tabs>
          <w:tab w:pos="740" w:val="left" w:leader="none"/>
        </w:tabs>
        <w:spacing w:line="225" w:lineRule="auto" w:before="5" w:after="0"/>
        <w:ind w:left="113" w:right="123" w:firstLine="204"/>
        <w:jc w:val="both"/>
        <w:rPr>
          <w:sz w:val="24"/>
        </w:rPr>
      </w:pPr>
      <w:r>
        <w:rPr>
          <w:w w:val="125"/>
          <w:sz w:val="24"/>
        </w:rPr>
        <w:t>az 575/2013/EU rendelet 125. cikk (2) bekezdésében, 199. cikk (2) bekezdésében, 208. cikk (5) bekezdésében, valamint 402. cikk (3) bekezdésében foglalt feltételek teljesülésének igazolásához,</w:t>
      </w:r>
      <w:r>
        <w:rPr>
          <w:spacing w:val="16"/>
          <w:w w:val="125"/>
          <w:sz w:val="24"/>
        </w:rPr>
        <w:t> </w:t>
      </w:r>
      <w:r>
        <w:rPr>
          <w:w w:val="125"/>
          <w:sz w:val="24"/>
        </w:rPr>
        <w:t>vagy</w:t>
      </w:r>
    </w:p>
    <w:p>
      <w:pPr>
        <w:pStyle w:val="BodyText"/>
        <w:ind w:left="0" w:firstLine="0"/>
        <w:rPr>
          <w:sz w:val="20"/>
        </w:rPr>
      </w:pPr>
    </w:p>
    <w:p>
      <w:pPr>
        <w:pStyle w:val="BodyText"/>
        <w:ind w:left="0" w:firstLine="0"/>
        <w:rPr>
          <w:sz w:val="20"/>
        </w:rPr>
      </w:pPr>
    </w:p>
    <w:p>
      <w:pPr>
        <w:pStyle w:val="BodyText"/>
        <w:spacing w:before="11"/>
        <w:ind w:left="0" w:firstLine="0"/>
        <w:rPr>
          <w:sz w:val="13"/>
        </w:rPr>
      </w:pPr>
      <w:r>
        <w:rPr/>
        <w:pict>
          <v:line style="position:absolute;mso-position-horizontal-relative:page;mso-position-vertical-relative:paragraph;z-index:1184;mso-wrap-distance-left:0;mso-wrap-distance-right:0" from="56.693001pt,10.227703pt" to="538.583001pt,10.227703pt" stroked="true" strokeweight=".5pt" strokecolor="#000000">
            <v:stroke dashstyle="solid"/>
            <w10:wrap type="topAndBottom"/>
          </v:line>
        </w:pict>
      </w:r>
    </w:p>
    <w:p>
      <w:pPr>
        <w:tabs>
          <w:tab w:pos="686" w:val="left" w:leader="none"/>
        </w:tabs>
        <w:spacing w:line="232" w:lineRule="auto" w:before="49"/>
        <w:ind w:left="342" w:right="2225" w:firstLine="0"/>
        <w:jc w:val="left"/>
        <w:rPr>
          <w:i/>
          <w:sz w:val="18"/>
        </w:rPr>
      </w:pPr>
      <w:r>
        <w:rPr>
          <w:i/>
          <w:w w:val="125"/>
          <w:sz w:val="18"/>
        </w:rPr>
        <w:t>1</w:t>
        <w:tab/>
        <w:t>Megállapította:</w:t>
      </w:r>
      <w:r>
        <w:rPr>
          <w:i/>
          <w:spacing w:val="-11"/>
          <w:w w:val="125"/>
          <w:sz w:val="18"/>
        </w:rPr>
        <w:t> </w:t>
      </w:r>
      <w:r>
        <w:rPr>
          <w:i/>
          <w:w w:val="125"/>
          <w:sz w:val="18"/>
        </w:rPr>
        <w:t>2015.</w:t>
      </w:r>
      <w:r>
        <w:rPr>
          <w:i/>
          <w:spacing w:val="-11"/>
          <w:w w:val="125"/>
          <w:sz w:val="18"/>
        </w:rPr>
        <w:t> </w:t>
      </w:r>
      <w:r>
        <w:rPr>
          <w:i/>
          <w:w w:val="125"/>
          <w:sz w:val="18"/>
        </w:rPr>
        <w:t>évi</w:t>
      </w:r>
      <w:r>
        <w:rPr>
          <w:i/>
          <w:spacing w:val="-10"/>
          <w:w w:val="125"/>
          <w:sz w:val="18"/>
        </w:rPr>
        <w:t> </w:t>
      </w:r>
      <w:r>
        <w:rPr>
          <w:i/>
          <w:w w:val="125"/>
          <w:sz w:val="18"/>
        </w:rPr>
        <w:t>LXXXV.</w:t>
      </w:r>
      <w:r>
        <w:rPr>
          <w:i/>
          <w:spacing w:val="-10"/>
          <w:w w:val="125"/>
          <w:sz w:val="18"/>
        </w:rPr>
        <w:t> </w:t>
      </w:r>
      <w:r>
        <w:rPr>
          <w:i/>
          <w:w w:val="125"/>
          <w:sz w:val="18"/>
        </w:rPr>
        <w:t>törvény</w:t>
      </w:r>
      <w:r>
        <w:rPr>
          <w:i/>
          <w:spacing w:val="-10"/>
          <w:w w:val="125"/>
          <w:sz w:val="18"/>
        </w:rPr>
        <w:t> </w:t>
      </w:r>
      <w:r>
        <w:rPr>
          <w:i/>
          <w:w w:val="125"/>
          <w:sz w:val="18"/>
        </w:rPr>
        <w:t>211.</w:t>
      </w:r>
      <w:r>
        <w:rPr>
          <w:i/>
          <w:spacing w:val="-11"/>
          <w:w w:val="125"/>
          <w:sz w:val="18"/>
        </w:rPr>
        <w:t> </w:t>
      </w:r>
      <w:r>
        <w:rPr>
          <w:i/>
          <w:w w:val="125"/>
          <w:sz w:val="18"/>
        </w:rPr>
        <w:t>§</w:t>
      </w:r>
      <w:r>
        <w:rPr>
          <w:i/>
          <w:spacing w:val="-9"/>
          <w:w w:val="125"/>
          <w:sz w:val="18"/>
        </w:rPr>
        <w:t> </w:t>
      </w:r>
      <w:r>
        <w:rPr>
          <w:i/>
          <w:w w:val="125"/>
          <w:sz w:val="18"/>
        </w:rPr>
        <w:t>(3).</w:t>
      </w:r>
      <w:r>
        <w:rPr>
          <w:i/>
          <w:spacing w:val="-10"/>
          <w:w w:val="125"/>
          <w:sz w:val="18"/>
        </w:rPr>
        <w:t> </w:t>
      </w:r>
      <w:r>
        <w:rPr>
          <w:i/>
          <w:w w:val="125"/>
          <w:sz w:val="18"/>
        </w:rPr>
        <w:t>Hatályos:</w:t>
      </w:r>
      <w:r>
        <w:rPr>
          <w:i/>
          <w:spacing w:val="-10"/>
          <w:w w:val="125"/>
          <w:sz w:val="18"/>
        </w:rPr>
        <w:t> </w:t>
      </w:r>
      <w:r>
        <w:rPr>
          <w:i/>
          <w:w w:val="125"/>
          <w:sz w:val="18"/>
        </w:rPr>
        <w:t>2016.</w:t>
      </w:r>
      <w:r>
        <w:rPr>
          <w:i/>
          <w:spacing w:val="-10"/>
          <w:w w:val="125"/>
          <w:sz w:val="18"/>
        </w:rPr>
        <w:t> </w:t>
      </w:r>
      <w:r>
        <w:rPr>
          <w:i/>
          <w:w w:val="125"/>
          <w:sz w:val="18"/>
        </w:rPr>
        <w:t>I.</w:t>
      </w:r>
      <w:r>
        <w:rPr>
          <w:i/>
          <w:spacing w:val="-10"/>
          <w:w w:val="125"/>
          <w:sz w:val="18"/>
        </w:rPr>
        <w:t> </w:t>
      </w:r>
      <w:r>
        <w:rPr>
          <w:i/>
          <w:w w:val="125"/>
          <w:sz w:val="18"/>
        </w:rPr>
        <w:t>1-től. 2</w:t>
        <w:tab/>
        <w:t>Beiktatta: 2014. évi XXXVII. törvény 161. § (13). Hatályos: 2014. IX. 16-tól. 3</w:t>
        <w:tab/>
        <w:t>Megállapította: 2015. évi CCXV. törvény 133. § (2). Hatályos: 2016. I. 1-től. 4</w:t>
        <w:tab/>
        <w:t>Beiktatta:</w:t>
      </w:r>
      <w:r>
        <w:rPr>
          <w:i/>
          <w:spacing w:val="-5"/>
          <w:w w:val="125"/>
          <w:sz w:val="18"/>
        </w:rPr>
        <w:t> </w:t>
      </w:r>
      <w:r>
        <w:rPr>
          <w:i/>
          <w:w w:val="125"/>
          <w:sz w:val="18"/>
        </w:rPr>
        <w:t>2015.</w:t>
      </w:r>
      <w:r>
        <w:rPr>
          <w:i/>
          <w:spacing w:val="-5"/>
          <w:w w:val="125"/>
          <w:sz w:val="18"/>
        </w:rPr>
        <w:t> </w:t>
      </w:r>
      <w:r>
        <w:rPr>
          <w:i/>
          <w:w w:val="125"/>
          <w:sz w:val="18"/>
        </w:rPr>
        <w:t>évi</w:t>
      </w:r>
      <w:r>
        <w:rPr>
          <w:i/>
          <w:spacing w:val="-4"/>
          <w:w w:val="125"/>
          <w:sz w:val="18"/>
        </w:rPr>
        <w:t> </w:t>
      </w:r>
      <w:r>
        <w:rPr>
          <w:i/>
          <w:w w:val="125"/>
          <w:sz w:val="18"/>
        </w:rPr>
        <w:t>CCXV.</w:t>
      </w:r>
      <w:r>
        <w:rPr>
          <w:i/>
          <w:spacing w:val="-4"/>
          <w:w w:val="125"/>
          <w:sz w:val="18"/>
        </w:rPr>
        <w:t> </w:t>
      </w:r>
      <w:r>
        <w:rPr>
          <w:i/>
          <w:w w:val="125"/>
          <w:sz w:val="18"/>
        </w:rPr>
        <w:t>törvény</w:t>
      </w:r>
      <w:r>
        <w:rPr>
          <w:i/>
          <w:spacing w:val="-4"/>
          <w:w w:val="125"/>
          <w:sz w:val="18"/>
        </w:rPr>
        <w:t> </w:t>
      </w:r>
      <w:r>
        <w:rPr>
          <w:i/>
          <w:w w:val="125"/>
          <w:sz w:val="18"/>
        </w:rPr>
        <w:t>133.</w:t>
      </w:r>
      <w:r>
        <w:rPr>
          <w:i/>
          <w:spacing w:val="-5"/>
          <w:w w:val="125"/>
          <w:sz w:val="18"/>
        </w:rPr>
        <w:t> </w:t>
      </w:r>
      <w:r>
        <w:rPr>
          <w:i/>
          <w:w w:val="125"/>
          <w:sz w:val="18"/>
        </w:rPr>
        <w:t>§</w:t>
      </w:r>
      <w:r>
        <w:rPr>
          <w:i/>
          <w:spacing w:val="-3"/>
          <w:w w:val="125"/>
          <w:sz w:val="18"/>
        </w:rPr>
        <w:t> </w:t>
      </w:r>
      <w:r>
        <w:rPr>
          <w:i/>
          <w:w w:val="125"/>
          <w:sz w:val="18"/>
        </w:rPr>
        <w:t>(3).</w:t>
      </w:r>
      <w:r>
        <w:rPr>
          <w:i/>
          <w:spacing w:val="-4"/>
          <w:w w:val="125"/>
          <w:sz w:val="18"/>
        </w:rPr>
        <w:t> </w:t>
      </w:r>
      <w:r>
        <w:rPr>
          <w:i/>
          <w:w w:val="125"/>
          <w:sz w:val="18"/>
        </w:rPr>
        <w:t>Hatályos:</w:t>
      </w:r>
      <w:r>
        <w:rPr>
          <w:i/>
          <w:spacing w:val="-4"/>
          <w:w w:val="125"/>
          <w:sz w:val="18"/>
        </w:rPr>
        <w:t> </w:t>
      </w:r>
      <w:r>
        <w:rPr>
          <w:i/>
          <w:w w:val="125"/>
          <w:sz w:val="18"/>
        </w:rPr>
        <w:t>2016.</w:t>
      </w:r>
      <w:r>
        <w:rPr>
          <w:i/>
          <w:spacing w:val="-4"/>
          <w:w w:val="125"/>
          <w:sz w:val="18"/>
        </w:rPr>
        <w:t> </w:t>
      </w:r>
      <w:r>
        <w:rPr>
          <w:i/>
          <w:w w:val="125"/>
          <w:sz w:val="18"/>
        </w:rPr>
        <w:t>I.</w:t>
      </w:r>
      <w:r>
        <w:rPr>
          <w:i/>
          <w:spacing w:val="-4"/>
          <w:w w:val="125"/>
          <w:sz w:val="18"/>
        </w:rPr>
        <w:t> </w:t>
      </w:r>
      <w:r>
        <w:rPr>
          <w:i/>
          <w:w w:val="125"/>
          <w:sz w:val="18"/>
        </w:rPr>
        <w:t>1-től.</w:t>
      </w:r>
    </w:p>
    <w:p>
      <w:pPr>
        <w:pStyle w:val="ListParagraph"/>
        <w:numPr>
          <w:ilvl w:val="0"/>
          <w:numId w:val="382"/>
        </w:numPr>
        <w:tabs>
          <w:tab w:pos="686" w:val="left" w:leader="none"/>
          <w:tab w:pos="687" w:val="left" w:leader="none"/>
        </w:tabs>
        <w:spacing w:line="195" w:lineRule="exact" w:before="0" w:after="0"/>
        <w:ind w:left="686" w:right="0" w:hanging="344"/>
        <w:jc w:val="left"/>
        <w:rPr>
          <w:i/>
          <w:sz w:val="18"/>
        </w:rPr>
      </w:pPr>
      <w:r>
        <w:rPr>
          <w:i/>
          <w:w w:val="120"/>
          <w:sz w:val="18"/>
        </w:rPr>
        <w:t>Beiktatta: 2017. évi CXLV. törvény 128. §. Hatályos: 2017. XI.</w:t>
      </w:r>
      <w:r>
        <w:rPr>
          <w:i/>
          <w:spacing w:val="45"/>
          <w:w w:val="120"/>
          <w:sz w:val="18"/>
        </w:rPr>
        <w:t> </w:t>
      </w:r>
      <w:r>
        <w:rPr>
          <w:i/>
          <w:w w:val="120"/>
          <w:sz w:val="18"/>
        </w:rPr>
        <w:t>21-től.</w:t>
      </w:r>
    </w:p>
    <w:p>
      <w:pPr>
        <w:pStyle w:val="ListParagraph"/>
        <w:numPr>
          <w:ilvl w:val="0"/>
          <w:numId w:val="382"/>
        </w:numPr>
        <w:tabs>
          <w:tab w:pos="686" w:val="left" w:leader="none"/>
          <w:tab w:pos="687" w:val="left" w:leader="none"/>
        </w:tabs>
        <w:spacing w:line="203" w:lineRule="exact" w:before="0" w:after="0"/>
        <w:ind w:left="686" w:right="0" w:hanging="344"/>
        <w:jc w:val="left"/>
        <w:rPr>
          <w:i/>
          <w:sz w:val="18"/>
        </w:rPr>
      </w:pPr>
      <w:r>
        <w:rPr>
          <w:i/>
          <w:w w:val="125"/>
          <w:sz w:val="18"/>
        </w:rPr>
        <w:t>Beiktatta: 2016. évi LIII. törvény 124. §. Hatályos: 2016. VII.</w:t>
      </w:r>
      <w:r>
        <w:rPr>
          <w:i/>
          <w:spacing w:val="-11"/>
          <w:w w:val="125"/>
          <w:sz w:val="18"/>
        </w:rPr>
        <w:t> </w:t>
      </w:r>
      <w:r>
        <w:rPr>
          <w:i/>
          <w:w w:val="125"/>
          <w:sz w:val="18"/>
        </w:rPr>
        <w:t>1-től.</w:t>
      </w:r>
    </w:p>
    <w:p>
      <w:pPr>
        <w:spacing w:after="0" w:line="203" w:lineRule="exact"/>
        <w:jc w:val="left"/>
        <w:rPr>
          <w:sz w:val="18"/>
        </w:rPr>
        <w:sectPr>
          <w:type w:val="continuous"/>
          <w:pgSz w:w="11900" w:h="16820"/>
          <w:pgMar w:top="1840" w:bottom="280" w:left="1020" w:right="1000"/>
        </w:sectPr>
      </w:pPr>
    </w:p>
    <w:p>
      <w:pPr>
        <w:pStyle w:val="ListParagraph"/>
        <w:numPr>
          <w:ilvl w:val="0"/>
          <w:numId w:val="381"/>
        </w:numPr>
        <w:tabs>
          <w:tab w:pos="845" w:val="left" w:leader="none"/>
        </w:tabs>
        <w:spacing w:line="225" w:lineRule="auto" w:before="173" w:after="0"/>
        <w:ind w:left="113" w:right="123" w:firstLine="204"/>
        <w:jc w:val="both"/>
        <w:rPr>
          <w:sz w:val="24"/>
        </w:rPr>
      </w:pPr>
      <w:r>
        <w:rPr>
          <w:w w:val="125"/>
          <w:sz w:val="24"/>
        </w:rPr>
        <w:t>a jelzálog-hitelintézetről és a jelzáloglevélről szóló törvényben meghatározott törvényi engedményezéskor ellátandó feladatokra történő felkészüléshez</w:t>
      </w:r>
    </w:p>
    <w:p>
      <w:pPr>
        <w:pStyle w:val="BodyText"/>
        <w:spacing w:line="247" w:lineRule="exact"/>
        <w:ind w:firstLine="0"/>
      </w:pPr>
      <w:r>
        <w:rPr>
          <w:w w:val="130"/>
        </w:rPr>
        <w:t>szükséges.</w:t>
      </w:r>
    </w:p>
    <w:p>
      <w:pPr>
        <w:pStyle w:val="BodyText"/>
        <w:spacing w:line="262" w:lineRule="exact"/>
        <w:ind w:left="317" w:firstLine="0"/>
      </w:pPr>
      <w:r>
        <w:rPr>
          <w:rFonts w:ascii="Arial" w:hAnsi="Arial"/>
          <w:b/>
          <w:w w:val="125"/>
        </w:rPr>
        <w:t>164/B.  §</w:t>
      </w:r>
      <w:r>
        <w:rPr>
          <w:i/>
          <w:w w:val="125"/>
          <w:position w:val="3"/>
          <w:sz w:val="18"/>
        </w:rPr>
        <w:t>1   </w:t>
      </w:r>
      <w:r>
        <w:rPr>
          <w:w w:val="125"/>
        </w:rPr>
        <w:t>(1)  A  hitelintézetnek  és  az  ellenőrző  befolyása  alatt  </w:t>
      </w:r>
      <w:r>
        <w:rPr>
          <w:spacing w:val="13"/>
          <w:w w:val="125"/>
        </w:rPr>
        <w:t> </w:t>
      </w:r>
      <w:r>
        <w:rPr>
          <w:w w:val="125"/>
        </w:rPr>
        <w:t>működő</w:t>
      </w:r>
    </w:p>
    <w:p>
      <w:pPr>
        <w:pStyle w:val="BodyText"/>
        <w:tabs>
          <w:tab w:pos="2359" w:val="left" w:leader="none"/>
          <w:tab w:pos="5243" w:val="left" w:leader="none"/>
          <w:tab w:pos="7976" w:val="left" w:leader="none"/>
        </w:tabs>
        <w:spacing w:line="225" w:lineRule="auto" w:before="12"/>
        <w:ind w:right="109" w:firstLine="0"/>
        <w:jc w:val="both"/>
      </w:pPr>
      <w:r>
        <w:rPr>
          <w:w w:val="125"/>
        </w:rPr>
        <w:t>pénzügyi</w:t>
        <w:tab/>
        <w:t>intézménynek,</w:t>
        <w:tab/>
        <w:t>pénzforgalmi</w:t>
        <w:tab/>
        <w:t>intézménynek, elektronikuspénz-kibocsátó intézménynek, befektetési vállalkozásnak, biztosítónak, ABAK-nak és ÁÉKBV-alapkezelőnek a Bszt. 117. § (1) bekezdésében, az egyes fizetési szolgáltatókról szóló 2013. évi CCXXXV. törvény 58. § (1) bekezdésében, a biztosítási tevékenységről szóló 2014. évi LXXXVIII. törvény 144. § (1) bekezdésében, valamint a kollektív befektetési formákról és kezelőikről, valamint egyes pénzügyi tárgyú törvények módosításáról szóló 2014. évi XVI. törvény 197. § (1) bekezdésében előírt titoktartási kötelezettsége, továbbá az e törvény 165. § (1) bekezdésében és a Bszt. 118. § (1) bekezdésében előírt bank- és értékpapírtitok, továbbá az egyes fizetési szolgáltatókról szóló 2013. évi CCXXXV. törvény 59. §-a szerinti fizetési</w:t>
      </w:r>
      <w:r>
        <w:rPr>
          <w:spacing w:val="27"/>
          <w:w w:val="125"/>
        </w:rPr>
        <w:t> </w:t>
      </w:r>
      <w:r>
        <w:rPr>
          <w:w w:val="125"/>
        </w:rPr>
        <w:t>titok,</w:t>
      </w:r>
      <w:r>
        <w:rPr>
          <w:spacing w:val="27"/>
          <w:w w:val="125"/>
        </w:rPr>
        <w:t> </w:t>
      </w:r>
      <w:r>
        <w:rPr>
          <w:w w:val="125"/>
        </w:rPr>
        <w:t>a</w:t>
      </w:r>
      <w:r>
        <w:rPr>
          <w:spacing w:val="27"/>
          <w:w w:val="125"/>
        </w:rPr>
        <w:t> </w:t>
      </w:r>
      <w:r>
        <w:rPr>
          <w:w w:val="125"/>
        </w:rPr>
        <w:t>biztosítási</w:t>
      </w:r>
      <w:r>
        <w:rPr>
          <w:spacing w:val="28"/>
          <w:w w:val="125"/>
        </w:rPr>
        <w:t> </w:t>
      </w:r>
      <w:r>
        <w:rPr>
          <w:w w:val="125"/>
        </w:rPr>
        <w:t>tevékenységről</w:t>
      </w:r>
      <w:r>
        <w:rPr>
          <w:spacing w:val="27"/>
          <w:w w:val="125"/>
        </w:rPr>
        <w:t> </w:t>
      </w:r>
      <w:r>
        <w:rPr>
          <w:w w:val="125"/>
        </w:rPr>
        <w:t>szóló</w:t>
      </w:r>
      <w:r>
        <w:rPr>
          <w:spacing w:val="27"/>
          <w:w w:val="125"/>
        </w:rPr>
        <w:t> </w:t>
      </w:r>
      <w:r>
        <w:rPr>
          <w:w w:val="125"/>
        </w:rPr>
        <w:t>2014.</w:t>
      </w:r>
      <w:r>
        <w:rPr>
          <w:spacing w:val="32"/>
          <w:w w:val="125"/>
        </w:rPr>
        <w:t> </w:t>
      </w:r>
      <w:r>
        <w:rPr>
          <w:w w:val="125"/>
        </w:rPr>
        <w:t>évi</w:t>
      </w:r>
      <w:r>
        <w:rPr>
          <w:spacing w:val="23"/>
          <w:w w:val="125"/>
        </w:rPr>
        <w:t> </w:t>
      </w:r>
      <w:r>
        <w:rPr>
          <w:w w:val="125"/>
        </w:rPr>
        <w:t>LXXXVIII.</w:t>
      </w:r>
      <w:r>
        <w:rPr>
          <w:spacing w:val="27"/>
          <w:w w:val="125"/>
        </w:rPr>
        <w:t> </w:t>
      </w:r>
      <w:r>
        <w:rPr>
          <w:w w:val="125"/>
        </w:rPr>
        <w:t>törvény</w:t>
      </w:r>
    </w:p>
    <w:p>
      <w:pPr>
        <w:pStyle w:val="BodyText"/>
        <w:spacing w:line="225" w:lineRule="auto" w:before="7"/>
        <w:ind w:right="112" w:firstLine="0"/>
        <w:jc w:val="both"/>
      </w:pPr>
      <w:r>
        <w:rPr>
          <w:w w:val="125"/>
        </w:rPr>
        <w:t>135. §-a szerinti biztosítási titok, a kollektív befektetési formákról és kezelőikről, valamint egyes pénzügyi tárgyú törvények módosításáról szóló 2014. évi XVI. törvény 198. §-a szerinti értékpapírtitok - ide értve a személyes adatokat is - megtartási kötelezettsége a (2) és (3) bekezdésben meghatározott feltételek teljesülése esetén - ha az ügyfél nem tett a (4) bekezdés szerinti korlátozó vagy tiltó nyilatkozatot - nem áll fenn egymás közti viszonyukban.</w:t>
      </w:r>
    </w:p>
    <w:p>
      <w:pPr>
        <w:pStyle w:val="ListParagraph"/>
        <w:numPr>
          <w:ilvl w:val="0"/>
          <w:numId w:val="383"/>
        </w:numPr>
        <w:tabs>
          <w:tab w:pos="737" w:val="left" w:leader="none"/>
        </w:tabs>
        <w:spacing w:line="225" w:lineRule="auto" w:before="3" w:after="0"/>
        <w:ind w:left="113" w:right="119" w:firstLine="204"/>
        <w:jc w:val="both"/>
        <w:rPr>
          <w:sz w:val="24"/>
        </w:rPr>
      </w:pPr>
      <w:r>
        <w:rPr>
          <w:w w:val="125"/>
          <w:sz w:val="24"/>
        </w:rPr>
        <w:t>A hitelintézet és az ellenőrző befolyása alatt működő pénzügyi intézmény, pénzforgalmi intézmény, elektronikuspénz-kibocsátó intézmény, befektetési vállalkozás,</w:t>
      </w:r>
      <w:r>
        <w:rPr>
          <w:spacing w:val="-21"/>
          <w:w w:val="125"/>
          <w:sz w:val="24"/>
        </w:rPr>
        <w:t> </w:t>
      </w:r>
      <w:r>
        <w:rPr>
          <w:w w:val="125"/>
          <w:sz w:val="24"/>
        </w:rPr>
        <w:t>biztosító,</w:t>
      </w:r>
      <w:r>
        <w:rPr>
          <w:spacing w:val="-42"/>
          <w:w w:val="125"/>
          <w:sz w:val="24"/>
        </w:rPr>
        <w:t> </w:t>
      </w:r>
      <w:r>
        <w:rPr>
          <w:w w:val="125"/>
          <w:sz w:val="24"/>
        </w:rPr>
        <w:t>ABAK</w:t>
      </w:r>
      <w:r>
        <w:rPr>
          <w:spacing w:val="-31"/>
          <w:w w:val="125"/>
          <w:sz w:val="24"/>
        </w:rPr>
        <w:t> </w:t>
      </w:r>
      <w:r>
        <w:rPr>
          <w:w w:val="125"/>
          <w:sz w:val="24"/>
        </w:rPr>
        <w:t>és</w:t>
      </w:r>
      <w:r>
        <w:rPr>
          <w:spacing w:val="-31"/>
          <w:w w:val="125"/>
          <w:sz w:val="24"/>
        </w:rPr>
        <w:t> </w:t>
      </w:r>
      <w:r>
        <w:rPr>
          <w:w w:val="125"/>
          <w:sz w:val="24"/>
        </w:rPr>
        <w:t>ÁÉKBV-alapkezelő</w:t>
      </w:r>
      <w:r>
        <w:rPr>
          <w:spacing w:val="-31"/>
          <w:w w:val="125"/>
          <w:sz w:val="24"/>
        </w:rPr>
        <w:t> </w:t>
      </w:r>
      <w:r>
        <w:rPr>
          <w:w w:val="125"/>
          <w:sz w:val="24"/>
        </w:rPr>
        <w:t>az</w:t>
      </w:r>
      <w:r>
        <w:rPr>
          <w:spacing w:val="-31"/>
          <w:w w:val="125"/>
          <w:sz w:val="24"/>
        </w:rPr>
        <w:t> </w:t>
      </w:r>
      <w:r>
        <w:rPr>
          <w:w w:val="125"/>
          <w:sz w:val="24"/>
        </w:rPr>
        <w:t>általuk</w:t>
      </w:r>
      <w:r>
        <w:rPr>
          <w:spacing w:val="-31"/>
          <w:w w:val="125"/>
          <w:sz w:val="24"/>
        </w:rPr>
        <w:t> </w:t>
      </w:r>
      <w:r>
        <w:rPr>
          <w:w w:val="125"/>
          <w:sz w:val="24"/>
        </w:rPr>
        <w:t>az</w:t>
      </w:r>
      <w:r>
        <w:rPr>
          <w:spacing w:val="-31"/>
          <w:w w:val="125"/>
          <w:sz w:val="24"/>
        </w:rPr>
        <w:t> </w:t>
      </w:r>
      <w:r>
        <w:rPr>
          <w:w w:val="125"/>
          <w:sz w:val="24"/>
        </w:rPr>
        <w:t>ügyfélről</w:t>
      </w:r>
      <w:r>
        <w:rPr>
          <w:spacing w:val="-31"/>
          <w:w w:val="125"/>
          <w:sz w:val="24"/>
        </w:rPr>
        <w:t> </w:t>
      </w:r>
      <w:r>
        <w:rPr>
          <w:w w:val="125"/>
          <w:sz w:val="24"/>
        </w:rPr>
        <w:t>kezelt személyes adatokat, bank-, értékpapír-, fizetési-, illetve biztosítási titoknak minősülő adatokat, valamint az üzleti titoknak minősülő adatokat tevékenységi körük ellátásával összefüggésben a szolgáltatásaik nyújtásához szükséges mértékben kölcsönösen megismerhetik, és a közös adatkezelésben részt vevő adatkezelők általános szerződési feltételeinek megfelelően, az egyedi szolgáltatásokhoz való hozzáférés biztosítása céljából egymásnak továbbíthatják és az így átvett adatokat az ügyfélkapcsolat létrehozásának és fennállásának időtartamában</w:t>
      </w:r>
      <w:r>
        <w:rPr>
          <w:spacing w:val="3"/>
          <w:w w:val="125"/>
          <w:sz w:val="24"/>
        </w:rPr>
        <w:t> </w:t>
      </w:r>
      <w:r>
        <w:rPr>
          <w:w w:val="125"/>
          <w:sz w:val="24"/>
        </w:rPr>
        <w:t>kezelhetik.</w:t>
      </w:r>
    </w:p>
    <w:p>
      <w:pPr>
        <w:pStyle w:val="ListParagraph"/>
        <w:numPr>
          <w:ilvl w:val="0"/>
          <w:numId w:val="383"/>
        </w:numPr>
        <w:tabs>
          <w:tab w:pos="737" w:val="left" w:leader="none"/>
        </w:tabs>
        <w:spacing w:line="225" w:lineRule="auto" w:before="7" w:after="0"/>
        <w:ind w:left="113" w:right="119" w:firstLine="204"/>
        <w:jc w:val="both"/>
        <w:rPr>
          <w:sz w:val="24"/>
        </w:rPr>
      </w:pPr>
      <w:r>
        <w:rPr>
          <w:w w:val="125"/>
          <w:sz w:val="24"/>
        </w:rPr>
        <w:t>A hitelintézet és az ellenőrző befolyása alatt működő pénzügyi intézmény, pénzforgalmi intézmény, elektronikuspénz-kibocsátó intézmény, befektetési vállalkozás, biztosító, ABAK és ÁÉKBV-alapkezelő a célhoz kötöttség elvének megfelelően - a kölcsönös adatátadáson alapuló közös adatkezelésben részt vevő adatkezelők általános szerződési feltételeinek megfelelően,  erre vonatkozó külön megállapodás nélkül is - jogosultak egymás ügyfeleivel való kapcsolatfelvételre az (1) és (2) bekezdés szerint megismert adatok felhasználásával.</w:t>
      </w:r>
    </w:p>
    <w:p>
      <w:pPr>
        <w:pStyle w:val="ListParagraph"/>
        <w:numPr>
          <w:ilvl w:val="0"/>
          <w:numId w:val="383"/>
        </w:numPr>
        <w:tabs>
          <w:tab w:pos="779" w:val="left" w:leader="none"/>
        </w:tabs>
        <w:spacing w:line="259" w:lineRule="exact" w:before="0" w:after="0"/>
        <w:ind w:left="778" w:right="0" w:hanging="461"/>
        <w:jc w:val="left"/>
        <w:rPr>
          <w:sz w:val="24"/>
        </w:rPr>
      </w:pPr>
      <w:r>
        <w:rPr>
          <w:w w:val="125"/>
          <w:sz w:val="24"/>
        </w:rPr>
        <w:t>Az ügyfél kifejezett nyilatkozatával jogosult korlátozni vagy megtiltani</w:t>
      </w:r>
      <w:r>
        <w:rPr>
          <w:spacing w:val="1"/>
          <w:w w:val="125"/>
          <w:sz w:val="24"/>
        </w:rPr>
        <w:t> </w:t>
      </w:r>
      <w:r>
        <w:rPr>
          <w:w w:val="125"/>
          <w:sz w:val="24"/>
        </w:rPr>
        <w:t>a</w:t>
      </w:r>
    </w:p>
    <w:p>
      <w:pPr>
        <w:pStyle w:val="ListParagraph"/>
        <w:numPr>
          <w:ilvl w:val="0"/>
          <w:numId w:val="384"/>
        </w:numPr>
        <w:tabs>
          <w:tab w:pos="530" w:val="left" w:leader="none"/>
        </w:tabs>
        <w:spacing w:line="268" w:lineRule="exact" w:before="0" w:after="0"/>
        <w:ind w:left="529" w:right="0" w:hanging="416"/>
        <w:jc w:val="both"/>
        <w:rPr>
          <w:sz w:val="24"/>
        </w:rPr>
      </w:pPr>
      <w:r>
        <w:rPr>
          <w:w w:val="130"/>
          <w:sz w:val="24"/>
        </w:rPr>
        <w:t>bekezdés szerinti</w:t>
      </w:r>
      <w:r>
        <w:rPr>
          <w:spacing w:val="-6"/>
          <w:w w:val="130"/>
          <w:sz w:val="24"/>
        </w:rPr>
        <w:t> </w:t>
      </w:r>
      <w:r>
        <w:rPr>
          <w:w w:val="130"/>
          <w:sz w:val="24"/>
        </w:rPr>
        <w:t>adattovábbítást.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1208;mso-wrap-distance-left:0;mso-wrap-distance-right:0" from="56.693001pt,15.49757pt" to="538.583001pt,15.4975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CXLV. törvény 129. §. Hatályos: 2017. XI.</w:t>
      </w:r>
      <w:r>
        <w:rPr>
          <w:i/>
          <w:spacing w:val="-14"/>
          <w:w w:val="125"/>
          <w:sz w:val="18"/>
        </w:rPr>
        <w:t> </w:t>
      </w:r>
      <w:r>
        <w:rPr>
          <w:i/>
          <w:w w:val="125"/>
          <w:sz w:val="18"/>
        </w:rPr>
        <w:t>21-től.</w:t>
      </w:r>
    </w:p>
    <w:p>
      <w:pPr>
        <w:spacing w:after="0"/>
        <w:jc w:val="left"/>
        <w:rPr>
          <w:sz w:val="18"/>
        </w:rPr>
        <w:sectPr>
          <w:pgSz w:w="11900" w:h="16820"/>
          <w:pgMar w:header="1104" w:footer="0" w:top="1840" w:bottom="280" w:left="1020" w:right="1000"/>
        </w:sectPr>
      </w:pPr>
    </w:p>
    <w:p>
      <w:pPr>
        <w:pStyle w:val="ListParagraph"/>
        <w:numPr>
          <w:ilvl w:val="1"/>
          <w:numId w:val="384"/>
        </w:numPr>
        <w:tabs>
          <w:tab w:pos="740" w:val="left" w:leader="none"/>
        </w:tabs>
        <w:spacing w:line="225" w:lineRule="auto" w:before="173" w:after="0"/>
        <w:ind w:left="113" w:right="109" w:firstLine="204"/>
        <w:jc w:val="both"/>
        <w:rPr>
          <w:sz w:val="24"/>
        </w:rPr>
      </w:pPr>
      <w:r>
        <w:rPr>
          <w:w w:val="125"/>
          <w:sz w:val="24"/>
        </w:rPr>
        <w:t>Az (1)-(3) bekezdésben foglaltakat a hitelintézet és az ellenőrző befolyása alatt működő pénzügyi intézménynek, pénzforgalmi intézménynek, elektronikuspénz-kibocsátó intézménynek, befektetési vállalkozásnak, biztosítónak,</w:t>
      </w:r>
      <w:r>
        <w:rPr>
          <w:spacing w:val="-23"/>
          <w:w w:val="125"/>
          <w:sz w:val="24"/>
        </w:rPr>
        <w:t> </w:t>
      </w:r>
      <w:r>
        <w:rPr>
          <w:w w:val="125"/>
          <w:sz w:val="24"/>
        </w:rPr>
        <w:t>ABAK-nak</w:t>
      </w:r>
      <w:r>
        <w:rPr>
          <w:spacing w:val="-22"/>
          <w:w w:val="125"/>
          <w:sz w:val="24"/>
        </w:rPr>
        <w:t> </w:t>
      </w:r>
      <w:r>
        <w:rPr>
          <w:w w:val="125"/>
          <w:sz w:val="24"/>
        </w:rPr>
        <w:t>és</w:t>
      </w:r>
      <w:r>
        <w:rPr>
          <w:spacing w:val="-23"/>
          <w:w w:val="125"/>
          <w:sz w:val="24"/>
        </w:rPr>
        <w:t> </w:t>
      </w:r>
      <w:r>
        <w:rPr>
          <w:w w:val="125"/>
          <w:sz w:val="24"/>
        </w:rPr>
        <w:t>ÁÉKBV-alapkezelőnek</w:t>
      </w:r>
      <w:r>
        <w:rPr>
          <w:spacing w:val="-22"/>
          <w:w w:val="125"/>
          <w:sz w:val="24"/>
        </w:rPr>
        <w:t> </w:t>
      </w:r>
      <w:r>
        <w:rPr>
          <w:w w:val="125"/>
          <w:sz w:val="24"/>
        </w:rPr>
        <w:t>nem</w:t>
      </w:r>
      <w:r>
        <w:rPr>
          <w:spacing w:val="-23"/>
          <w:w w:val="125"/>
          <w:sz w:val="24"/>
        </w:rPr>
        <w:t> </w:t>
      </w:r>
      <w:r>
        <w:rPr>
          <w:w w:val="125"/>
          <w:sz w:val="24"/>
        </w:rPr>
        <w:t>minősülő</w:t>
      </w:r>
      <w:r>
        <w:rPr>
          <w:spacing w:val="-22"/>
          <w:w w:val="125"/>
          <w:sz w:val="24"/>
        </w:rPr>
        <w:t> </w:t>
      </w:r>
      <w:r>
        <w:rPr>
          <w:w w:val="125"/>
          <w:sz w:val="24"/>
        </w:rPr>
        <w:t>vállalkozások tekintetében azzal az eltéréssel kell alkalmazni, hogy az (1) bekezdésben meghatározott adatok (1)-(3) bekezdés szerinti megismerésére és kezelésére kizárólag olyan vállalkozások esetében van lehetőség,</w:t>
      </w:r>
      <w:r>
        <w:rPr>
          <w:spacing w:val="5"/>
          <w:w w:val="125"/>
          <w:sz w:val="24"/>
        </w:rPr>
        <w:t> </w:t>
      </w:r>
      <w:r>
        <w:rPr>
          <w:w w:val="125"/>
          <w:sz w:val="24"/>
        </w:rPr>
        <w:t>amelyek</w:t>
      </w:r>
    </w:p>
    <w:p>
      <w:pPr>
        <w:pStyle w:val="ListParagraph"/>
        <w:numPr>
          <w:ilvl w:val="0"/>
          <w:numId w:val="385"/>
        </w:numPr>
        <w:tabs>
          <w:tab w:pos="773" w:val="left" w:leader="none"/>
        </w:tabs>
        <w:spacing w:line="225" w:lineRule="auto" w:before="4" w:after="0"/>
        <w:ind w:left="113" w:right="128" w:firstLine="204"/>
        <w:jc w:val="both"/>
        <w:rPr>
          <w:sz w:val="24"/>
        </w:rPr>
      </w:pPr>
      <w:r>
        <w:rPr>
          <w:w w:val="125"/>
          <w:sz w:val="24"/>
        </w:rPr>
        <w:t>készpénzkímélő digitális pénzforgalmi szolgáltatások ügyfelek általi hozzáférésének</w:t>
      </w:r>
      <w:r>
        <w:rPr>
          <w:spacing w:val="1"/>
          <w:w w:val="125"/>
          <w:sz w:val="24"/>
        </w:rPr>
        <w:t> </w:t>
      </w:r>
      <w:r>
        <w:rPr>
          <w:w w:val="125"/>
          <w:sz w:val="24"/>
        </w:rPr>
        <w:t>elősegítésével,</w:t>
      </w:r>
    </w:p>
    <w:p>
      <w:pPr>
        <w:pStyle w:val="ListParagraph"/>
        <w:numPr>
          <w:ilvl w:val="0"/>
          <w:numId w:val="385"/>
        </w:numPr>
        <w:tabs>
          <w:tab w:pos="875" w:val="left" w:leader="none"/>
        </w:tabs>
        <w:spacing w:line="225" w:lineRule="auto" w:before="1" w:after="0"/>
        <w:ind w:left="113" w:right="124" w:firstLine="204"/>
        <w:jc w:val="both"/>
        <w:rPr>
          <w:sz w:val="24"/>
        </w:rPr>
      </w:pPr>
      <w:r>
        <w:rPr>
          <w:w w:val="125"/>
          <w:sz w:val="24"/>
        </w:rPr>
        <w:t>fogyasztónak nem minősülő ügyfelek gazdálkodásának digitális megoldásokkal való támogatásával,</w:t>
      </w:r>
    </w:p>
    <w:p>
      <w:pPr>
        <w:pStyle w:val="ListParagraph"/>
        <w:numPr>
          <w:ilvl w:val="0"/>
          <w:numId w:val="385"/>
        </w:numPr>
        <w:tabs>
          <w:tab w:pos="649" w:val="left" w:leader="none"/>
        </w:tabs>
        <w:spacing w:line="225" w:lineRule="auto" w:before="1" w:after="0"/>
        <w:ind w:left="113" w:right="128" w:firstLine="204"/>
        <w:jc w:val="both"/>
        <w:rPr>
          <w:sz w:val="24"/>
        </w:rPr>
      </w:pPr>
      <w:r>
        <w:rPr>
          <w:w w:val="130"/>
          <w:sz w:val="24"/>
        </w:rPr>
        <w:t>az</w:t>
      </w:r>
      <w:r>
        <w:rPr>
          <w:spacing w:val="-27"/>
          <w:w w:val="130"/>
          <w:sz w:val="24"/>
        </w:rPr>
        <w:t> </w:t>
      </w:r>
      <w:r>
        <w:rPr>
          <w:w w:val="130"/>
          <w:sz w:val="24"/>
        </w:rPr>
        <w:t>ügyfelek</w:t>
      </w:r>
      <w:r>
        <w:rPr>
          <w:spacing w:val="-21"/>
          <w:w w:val="130"/>
          <w:sz w:val="24"/>
        </w:rPr>
        <w:t> </w:t>
      </w:r>
      <w:r>
        <w:rPr>
          <w:w w:val="130"/>
          <w:sz w:val="24"/>
        </w:rPr>
        <w:t>pénzügyi</w:t>
      </w:r>
      <w:r>
        <w:rPr>
          <w:spacing w:val="-22"/>
          <w:w w:val="130"/>
          <w:sz w:val="24"/>
        </w:rPr>
        <w:t> </w:t>
      </w:r>
      <w:r>
        <w:rPr>
          <w:w w:val="130"/>
          <w:sz w:val="24"/>
        </w:rPr>
        <w:t>tudatosságának</w:t>
      </w:r>
      <w:r>
        <w:rPr>
          <w:spacing w:val="-19"/>
          <w:w w:val="130"/>
          <w:sz w:val="24"/>
        </w:rPr>
        <w:t> </w:t>
      </w:r>
      <w:r>
        <w:rPr>
          <w:w w:val="130"/>
          <w:sz w:val="24"/>
        </w:rPr>
        <w:t>és</w:t>
      </w:r>
      <w:r>
        <w:rPr>
          <w:spacing w:val="-22"/>
          <w:w w:val="130"/>
          <w:sz w:val="24"/>
        </w:rPr>
        <w:t> </w:t>
      </w:r>
      <w:r>
        <w:rPr>
          <w:w w:val="130"/>
          <w:sz w:val="24"/>
        </w:rPr>
        <w:t>digitális</w:t>
      </w:r>
      <w:r>
        <w:rPr>
          <w:spacing w:val="-25"/>
          <w:w w:val="130"/>
          <w:sz w:val="24"/>
        </w:rPr>
        <w:t> </w:t>
      </w:r>
      <w:r>
        <w:rPr>
          <w:w w:val="130"/>
          <w:sz w:val="24"/>
        </w:rPr>
        <w:t>pénzügyi</w:t>
      </w:r>
      <w:r>
        <w:rPr>
          <w:spacing w:val="-22"/>
          <w:w w:val="130"/>
          <w:sz w:val="24"/>
        </w:rPr>
        <w:t> </w:t>
      </w:r>
      <w:r>
        <w:rPr>
          <w:w w:val="130"/>
          <w:sz w:val="24"/>
        </w:rPr>
        <w:t>megoldásokról való tájékozottságának</w:t>
      </w:r>
      <w:r>
        <w:rPr>
          <w:spacing w:val="-10"/>
          <w:w w:val="130"/>
          <w:sz w:val="24"/>
        </w:rPr>
        <w:t> </w:t>
      </w:r>
      <w:r>
        <w:rPr>
          <w:w w:val="130"/>
          <w:sz w:val="24"/>
        </w:rPr>
        <w:t>növelésével</w:t>
      </w:r>
    </w:p>
    <w:p>
      <w:pPr>
        <w:pStyle w:val="BodyText"/>
        <w:spacing w:line="225" w:lineRule="auto" w:before="1"/>
        <w:ind w:firstLine="0"/>
      </w:pPr>
      <w:r>
        <w:rPr>
          <w:w w:val="130"/>
        </w:rPr>
        <w:t>kapcsolatos tevékenységet végeznek, és az adatkezelés e tevékenységekhez kapcsolódó ügyfélkapcsolat kiépítéséhez kötődik.</w:t>
      </w:r>
    </w:p>
    <w:p>
      <w:pPr>
        <w:pStyle w:val="ListParagraph"/>
        <w:numPr>
          <w:ilvl w:val="1"/>
          <w:numId w:val="384"/>
        </w:numPr>
        <w:tabs>
          <w:tab w:pos="740" w:val="left" w:leader="none"/>
        </w:tabs>
        <w:spacing w:line="225" w:lineRule="auto" w:before="1" w:after="0"/>
        <w:ind w:left="113" w:right="126" w:firstLine="204"/>
        <w:jc w:val="both"/>
        <w:rPr>
          <w:sz w:val="24"/>
        </w:rPr>
      </w:pPr>
      <w:r>
        <w:rPr>
          <w:w w:val="130"/>
          <w:sz w:val="24"/>
        </w:rPr>
        <w:t>Az</w:t>
      </w:r>
      <w:r>
        <w:rPr>
          <w:spacing w:val="-7"/>
          <w:w w:val="130"/>
          <w:sz w:val="24"/>
        </w:rPr>
        <w:t> </w:t>
      </w:r>
      <w:r>
        <w:rPr>
          <w:w w:val="130"/>
          <w:sz w:val="24"/>
        </w:rPr>
        <w:t>(1),</w:t>
      </w:r>
      <w:r>
        <w:rPr>
          <w:spacing w:val="-23"/>
          <w:w w:val="130"/>
          <w:sz w:val="24"/>
        </w:rPr>
        <w:t> </w:t>
      </w:r>
      <w:r>
        <w:rPr>
          <w:w w:val="130"/>
          <w:sz w:val="24"/>
        </w:rPr>
        <w:t>(2)</w:t>
      </w:r>
      <w:r>
        <w:rPr>
          <w:spacing w:val="-9"/>
          <w:w w:val="130"/>
          <w:sz w:val="24"/>
        </w:rPr>
        <w:t> </w:t>
      </w:r>
      <w:r>
        <w:rPr>
          <w:w w:val="130"/>
          <w:sz w:val="24"/>
        </w:rPr>
        <w:t>és</w:t>
      </w:r>
      <w:r>
        <w:rPr>
          <w:spacing w:val="-21"/>
          <w:w w:val="130"/>
          <w:sz w:val="24"/>
        </w:rPr>
        <w:t> </w:t>
      </w:r>
      <w:r>
        <w:rPr>
          <w:w w:val="130"/>
          <w:sz w:val="24"/>
        </w:rPr>
        <w:t>(5)</w:t>
      </w:r>
      <w:r>
        <w:rPr>
          <w:spacing w:val="-15"/>
          <w:w w:val="130"/>
          <w:sz w:val="24"/>
        </w:rPr>
        <w:t> </w:t>
      </w:r>
      <w:r>
        <w:rPr>
          <w:w w:val="130"/>
          <w:sz w:val="24"/>
        </w:rPr>
        <w:t>bekezdés</w:t>
      </w:r>
      <w:r>
        <w:rPr>
          <w:spacing w:val="-16"/>
          <w:w w:val="130"/>
          <w:sz w:val="24"/>
        </w:rPr>
        <w:t> </w:t>
      </w:r>
      <w:r>
        <w:rPr>
          <w:w w:val="130"/>
          <w:sz w:val="24"/>
        </w:rPr>
        <w:t>szerinti</w:t>
      </w:r>
      <w:r>
        <w:rPr>
          <w:spacing w:val="-15"/>
          <w:w w:val="130"/>
          <w:sz w:val="24"/>
        </w:rPr>
        <w:t> </w:t>
      </w:r>
      <w:r>
        <w:rPr>
          <w:w w:val="130"/>
          <w:sz w:val="24"/>
        </w:rPr>
        <w:t>adatkezelés</w:t>
      </w:r>
      <w:r>
        <w:rPr>
          <w:spacing w:val="-15"/>
          <w:w w:val="130"/>
          <w:sz w:val="24"/>
        </w:rPr>
        <w:t> </w:t>
      </w:r>
      <w:r>
        <w:rPr>
          <w:w w:val="130"/>
          <w:sz w:val="24"/>
        </w:rPr>
        <w:t>tekintetében</w:t>
      </w:r>
      <w:r>
        <w:rPr>
          <w:spacing w:val="-15"/>
          <w:w w:val="130"/>
          <w:sz w:val="24"/>
        </w:rPr>
        <w:t> </w:t>
      </w:r>
      <w:r>
        <w:rPr>
          <w:w w:val="130"/>
          <w:sz w:val="24"/>
        </w:rPr>
        <w:t>a</w:t>
      </w:r>
      <w:r>
        <w:rPr>
          <w:spacing w:val="-16"/>
          <w:w w:val="130"/>
          <w:sz w:val="24"/>
        </w:rPr>
        <w:t> </w:t>
      </w:r>
      <w:r>
        <w:rPr>
          <w:w w:val="130"/>
          <w:sz w:val="24"/>
        </w:rPr>
        <w:t>hitelintézet és az ellenőrző befolyása alatt működő vállalkozások a megismert adatok</w:t>
      </w:r>
      <w:r>
        <w:rPr>
          <w:spacing w:val="78"/>
          <w:w w:val="130"/>
          <w:sz w:val="24"/>
        </w:rPr>
        <w:t> </w:t>
      </w:r>
      <w:r>
        <w:rPr>
          <w:w w:val="130"/>
          <w:sz w:val="24"/>
        </w:rPr>
        <w:t>tekintetében egyaránt adatkezelőnek</w:t>
      </w:r>
      <w:r>
        <w:rPr>
          <w:spacing w:val="-15"/>
          <w:w w:val="130"/>
          <w:sz w:val="24"/>
        </w:rPr>
        <w:t> </w:t>
      </w:r>
      <w:r>
        <w:rPr>
          <w:w w:val="130"/>
          <w:sz w:val="24"/>
        </w:rPr>
        <w:t>minősülnek.</w:t>
      </w:r>
    </w:p>
    <w:p>
      <w:pPr>
        <w:pStyle w:val="ListParagraph"/>
        <w:numPr>
          <w:ilvl w:val="1"/>
          <w:numId w:val="384"/>
        </w:numPr>
        <w:tabs>
          <w:tab w:pos="737" w:val="left" w:leader="none"/>
        </w:tabs>
        <w:spacing w:line="225" w:lineRule="auto" w:before="2" w:after="0"/>
        <w:ind w:left="113" w:right="119" w:firstLine="204"/>
        <w:jc w:val="both"/>
        <w:rPr>
          <w:sz w:val="24"/>
        </w:rPr>
      </w:pPr>
      <w:r>
        <w:rPr>
          <w:w w:val="125"/>
          <w:sz w:val="24"/>
        </w:rPr>
        <w:t>A hitelintézet és az ellenőrző befolyása alatt működő pénzügyi intézmény, valamint az (5) bekezdés szerinti vállalkozás az ügyféllel kötendő szerződés megkötését megelőzően köteles az ügyfél részére az e §-ban foglalt közös adatkezelés érdekében történő kölcsönös adatátadás lehetőségéről igazolható módon tájékoztatást adni. A tájékoztatásban egyértelműen fel kell hívni az ügyfél figyelmét arra, hogy az adatai e §-ban foglalt</w:t>
      </w:r>
      <w:r>
        <w:rPr>
          <w:spacing w:val="34"/>
          <w:w w:val="125"/>
          <w:sz w:val="24"/>
        </w:rPr>
        <w:t> </w:t>
      </w:r>
      <w:r>
        <w:rPr>
          <w:w w:val="125"/>
          <w:sz w:val="24"/>
        </w:rPr>
        <w:t>kezelésének lehetőségét a</w:t>
      </w:r>
    </w:p>
    <w:p>
      <w:pPr>
        <w:pStyle w:val="ListParagraph"/>
        <w:numPr>
          <w:ilvl w:val="0"/>
          <w:numId w:val="386"/>
        </w:numPr>
        <w:tabs>
          <w:tab w:pos="563" w:val="left" w:leader="none"/>
        </w:tabs>
        <w:spacing w:line="225" w:lineRule="auto" w:before="4" w:after="0"/>
        <w:ind w:left="113" w:right="126" w:firstLine="0"/>
        <w:jc w:val="left"/>
        <w:rPr>
          <w:sz w:val="24"/>
        </w:rPr>
      </w:pPr>
      <w:r>
        <w:rPr>
          <w:w w:val="130"/>
          <w:sz w:val="24"/>
        </w:rPr>
        <w:t>bekezdésben meghatározottak szerinti kifejezett nyilatkozatával</w:t>
      </w:r>
      <w:r>
        <w:rPr>
          <w:spacing w:val="-38"/>
          <w:w w:val="130"/>
          <w:sz w:val="24"/>
        </w:rPr>
        <w:t> </w:t>
      </w:r>
      <w:r>
        <w:rPr>
          <w:w w:val="130"/>
          <w:sz w:val="24"/>
        </w:rPr>
        <w:t>bármikor korlátozhatja vagy</w:t>
      </w:r>
      <w:r>
        <w:rPr>
          <w:spacing w:val="-9"/>
          <w:w w:val="130"/>
          <w:sz w:val="24"/>
        </w:rPr>
        <w:t> </w:t>
      </w:r>
      <w:r>
        <w:rPr>
          <w:w w:val="130"/>
          <w:sz w:val="24"/>
        </w:rPr>
        <w:t>megtilthatja.</w:t>
      </w:r>
    </w:p>
    <w:p>
      <w:pPr>
        <w:pStyle w:val="BodyText"/>
        <w:spacing w:before="227"/>
        <w:ind w:left="2262" w:firstLine="0"/>
      </w:pPr>
      <w:r>
        <w:rPr>
          <w:w w:val="125"/>
        </w:rPr>
        <w:t>72. Üzleti titok és banktitok közös szabályai</w:t>
      </w:r>
    </w:p>
    <w:p>
      <w:pPr>
        <w:pStyle w:val="ListParagraph"/>
        <w:numPr>
          <w:ilvl w:val="0"/>
          <w:numId w:val="387"/>
        </w:numPr>
        <w:tabs>
          <w:tab w:pos="1086" w:val="left" w:leader="none"/>
        </w:tabs>
        <w:spacing w:line="225" w:lineRule="auto" w:before="237" w:after="0"/>
        <w:ind w:left="113" w:right="127" w:firstLine="204"/>
        <w:jc w:val="both"/>
        <w:rPr>
          <w:sz w:val="24"/>
        </w:rPr>
      </w:pPr>
      <w:r>
        <w:rPr>
          <w:rFonts w:ascii="Arial" w:hAnsi="Arial"/>
          <w:b/>
          <w:w w:val="125"/>
          <w:sz w:val="24"/>
        </w:rPr>
        <w:t>§ </w:t>
      </w:r>
      <w:r>
        <w:rPr>
          <w:w w:val="125"/>
          <w:sz w:val="24"/>
        </w:rPr>
        <w:t>(1) Aki üzleti vagy banktitok birtokába jut, köteles azt időbeli korlátozás nélkül</w:t>
      </w:r>
      <w:r>
        <w:rPr>
          <w:spacing w:val="2"/>
          <w:w w:val="125"/>
          <w:sz w:val="24"/>
        </w:rPr>
        <w:t> </w:t>
      </w:r>
      <w:r>
        <w:rPr>
          <w:w w:val="125"/>
          <w:sz w:val="24"/>
        </w:rPr>
        <w:t>megtartani.</w:t>
      </w:r>
    </w:p>
    <w:p>
      <w:pPr>
        <w:pStyle w:val="ListParagraph"/>
        <w:numPr>
          <w:ilvl w:val="1"/>
          <w:numId w:val="386"/>
        </w:numPr>
        <w:tabs>
          <w:tab w:pos="799" w:val="left" w:leader="none"/>
        </w:tabs>
        <w:spacing w:line="225" w:lineRule="auto" w:before="1" w:after="0"/>
        <w:ind w:left="113" w:right="130" w:firstLine="204"/>
        <w:jc w:val="both"/>
        <w:rPr>
          <w:sz w:val="24"/>
        </w:rPr>
      </w:pPr>
      <w:r>
        <w:rPr>
          <w:w w:val="130"/>
          <w:sz w:val="24"/>
        </w:rPr>
        <w:t>A titoktartási kötelezettség alapján az üzleti vagy a banktitok körébe</w:t>
      </w:r>
      <w:r>
        <w:rPr>
          <w:spacing w:val="78"/>
          <w:w w:val="130"/>
          <w:sz w:val="24"/>
        </w:rPr>
        <w:t> </w:t>
      </w:r>
      <w:r>
        <w:rPr>
          <w:w w:val="130"/>
          <w:sz w:val="24"/>
        </w:rPr>
        <w:t>tartozó tény, információ, megoldás vagy adat, az e törvényben meghatározott kivétellel a pénzügyi intézmény, illetve az ügyfél felhatalmazása nélkül nem adható</w:t>
      </w:r>
      <w:r>
        <w:rPr>
          <w:spacing w:val="-20"/>
          <w:w w:val="130"/>
          <w:sz w:val="24"/>
        </w:rPr>
        <w:t> </w:t>
      </w:r>
      <w:r>
        <w:rPr>
          <w:w w:val="130"/>
          <w:sz w:val="24"/>
        </w:rPr>
        <w:t>ki</w:t>
      </w:r>
      <w:r>
        <w:rPr>
          <w:spacing w:val="-20"/>
          <w:w w:val="130"/>
          <w:sz w:val="24"/>
        </w:rPr>
        <w:t> </w:t>
      </w:r>
      <w:r>
        <w:rPr>
          <w:w w:val="130"/>
          <w:sz w:val="24"/>
        </w:rPr>
        <w:t>harmadik</w:t>
      </w:r>
      <w:r>
        <w:rPr>
          <w:spacing w:val="-20"/>
          <w:w w:val="130"/>
          <w:sz w:val="24"/>
        </w:rPr>
        <w:t> </w:t>
      </w:r>
      <w:r>
        <w:rPr>
          <w:w w:val="130"/>
          <w:sz w:val="24"/>
        </w:rPr>
        <w:t>személynek,</w:t>
      </w:r>
      <w:r>
        <w:rPr>
          <w:spacing w:val="-19"/>
          <w:w w:val="130"/>
          <w:sz w:val="24"/>
        </w:rPr>
        <w:t> </w:t>
      </w:r>
      <w:r>
        <w:rPr>
          <w:w w:val="130"/>
          <w:sz w:val="24"/>
        </w:rPr>
        <w:t>és</w:t>
      </w:r>
      <w:r>
        <w:rPr>
          <w:spacing w:val="-20"/>
          <w:w w:val="130"/>
          <w:sz w:val="24"/>
        </w:rPr>
        <w:t> </w:t>
      </w:r>
      <w:r>
        <w:rPr>
          <w:w w:val="130"/>
          <w:sz w:val="24"/>
        </w:rPr>
        <w:t>feladatkörön</w:t>
      </w:r>
      <w:r>
        <w:rPr>
          <w:spacing w:val="-19"/>
          <w:w w:val="130"/>
          <w:sz w:val="24"/>
        </w:rPr>
        <w:t> </w:t>
      </w:r>
      <w:r>
        <w:rPr>
          <w:w w:val="130"/>
          <w:sz w:val="24"/>
        </w:rPr>
        <w:t>kívül</w:t>
      </w:r>
      <w:r>
        <w:rPr>
          <w:spacing w:val="-20"/>
          <w:w w:val="130"/>
          <w:sz w:val="24"/>
        </w:rPr>
        <w:t> </w:t>
      </w:r>
      <w:r>
        <w:rPr>
          <w:w w:val="130"/>
          <w:sz w:val="24"/>
        </w:rPr>
        <w:t>nem</w:t>
      </w:r>
      <w:r>
        <w:rPr>
          <w:spacing w:val="-19"/>
          <w:w w:val="130"/>
          <w:sz w:val="24"/>
        </w:rPr>
        <w:t> </w:t>
      </w:r>
      <w:r>
        <w:rPr>
          <w:w w:val="130"/>
          <w:sz w:val="24"/>
        </w:rPr>
        <w:t>használható</w:t>
      </w:r>
      <w:r>
        <w:rPr>
          <w:spacing w:val="-19"/>
          <w:w w:val="130"/>
          <w:sz w:val="24"/>
        </w:rPr>
        <w:t> </w:t>
      </w:r>
      <w:r>
        <w:rPr>
          <w:w w:val="130"/>
          <w:sz w:val="24"/>
        </w:rPr>
        <w:t>fel.</w:t>
      </w:r>
    </w:p>
    <w:p>
      <w:pPr>
        <w:pStyle w:val="ListParagraph"/>
        <w:numPr>
          <w:ilvl w:val="1"/>
          <w:numId w:val="386"/>
        </w:numPr>
        <w:tabs>
          <w:tab w:pos="769" w:val="left" w:leader="none"/>
        </w:tabs>
        <w:spacing w:line="225" w:lineRule="auto" w:before="2" w:after="0"/>
        <w:ind w:left="113" w:right="119" w:firstLine="204"/>
        <w:jc w:val="both"/>
        <w:rPr>
          <w:sz w:val="24"/>
        </w:rPr>
      </w:pPr>
      <w:r>
        <w:rPr>
          <w:w w:val="125"/>
          <w:sz w:val="24"/>
        </w:rPr>
        <w:t>Aki üzleti titok vagy banktitok birtokába jut, nem használhatja fel arra, hogy annak révén saját maga vagy más személy részére közvetlen vagy közvetett módon előnyt szerezzen, továbbá, hogy a pénzügyi intézménynek vagy az intézmény ügyfeleinek hátrányt</w:t>
      </w:r>
      <w:r>
        <w:rPr>
          <w:spacing w:val="-1"/>
          <w:w w:val="125"/>
          <w:sz w:val="24"/>
        </w:rPr>
        <w:t> </w:t>
      </w:r>
      <w:r>
        <w:rPr>
          <w:w w:val="125"/>
          <w:sz w:val="24"/>
        </w:rPr>
        <w:t>okozzon.</w:t>
      </w:r>
    </w:p>
    <w:p>
      <w:pPr>
        <w:pStyle w:val="ListParagraph"/>
        <w:numPr>
          <w:ilvl w:val="1"/>
          <w:numId w:val="386"/>
        </w:numPr>
        <w:tabs>
          <w:tab w:pos="751" w:val="left" w:leader="none"/>
        </w:tabs>
        <w:spacing w:line="225" w:lineRule="auto" w:before="3" w:after="0"/>
        <w:ind w:left="113" w:right="123" w:firstLine="204"/>
        <w:jc w:val="both"/>
        <w:rPr>
          <w:sz w:val="24"/>
        </w:rPr>
      </w:pPr>
      <w:r>
        <w:rPr>
          <w:w w:val="130"/>
          <w:sz w:val="24"/>
        </w:rPr>
        <w:t>Hitelintézet jogutód nélküli megszűnése esetén a hitelintézet által kezelt üzleti vagy banktitkot tartalmazó irat a keletkezésétől számított hatvan év múlva a levéltári kutatások céljára</w:t>
      </w:r>
      <w:r>
        <w:rPr>
          <w:spacing w:val="-28"/>
          <w:w w:val="130"/>
          <w:sz w:val="24"/>
        </w:rPr>
        <w:t> </w:t>
      </w:r>
      <w:r>
        <w:rPr>
          <w:w w:val="130"/>
          <w:sz w:val="24"/>
        </w:rPr>
        <w:t>felhasználható.</w:t>
      </w:r>
    </w:p>
    <w:p>
      <w:pPr>
        <w:pStyle w:val="ListParagraph"/>
        <w:numPr>
          <w:ilvl w:val="1"/>
          <w:numId w:val="386"/>
        </w:numPr>
        <w:tabs>
          <w:tab w:pos="834" w:val="left" w:leader="none"/>
        </w:tabs>
        <w:spacing w:line="225" w:lineRule="auto" w:before="1" w:after="0"/>
        <w:ind w:left="113" w:right="118" w:firstLine="204"/>
        <w:jc w:val="both"/>
        <w:rPr>
          <w:sz w:val="24"/>
        </w:rPr>
      </w:pPr>
      <w:r>
        <w:rPr>
          <w:w w:val="125"/>
          <w:sz w:val="24"/>
        </w:rPr>
        <w:t>A fizetési rendszert működtető pénzügyi vállalkozás a pénzforgalmi szolgáltató és az ügyfél közötti pénzforgalmi szolgáltatási keretszerződés szerint rendelkezésére álló, személyes adatnak minősülő banktitkot, fizetési titkot legfeljebb a fizetési műveletből eredő követelés elévüléséig jogosult kezelni a fizetéssel kapcsolatos csalások, valamint a készpénz-helyettesítő fizetési eszközzel történő visszaélések megelőzése, vizsgálata és felderítés céljából.</w:t>
      </w:r>
    </w:p>
    <w:p>
      <w:pPr>
        <w:spacing w:after="0" w:line="225" w:lineRule="auto"/>
        <w:jc w:val="both"/>
        <w:rPr>
          <w:sz w:val="24"/>
        </w:rPr>
        <w:sectPr>
          <w:pgSz w:w="11900" w:h="16820"/>
          <w:pgMar w:header="1104" w:footer="0" w:top="1840" w:bottom="280" w:left="1020" w:right="1000"/>
        </w:sectPr>
      </w:pPr>
    </w:p>
    <w:p>
      <w:pPr>
        <w:pStyle w:val="ListParagraph"/>
        <w:numPr>
          <w:ilvl w:val="0"/>
          <w:numId w:val="387"/>
        </w:numPr>
        <w:tabs>
          <w:tab w:pos="1012" w:val="left" w:leader="none"/>
        </w:tabs>
        <w:spacing w:line="225" w:lineRule="auto" w:before="172" w:after="0"/>
        <w:ind w:left="113" w:right="118" w:firstLine="204"/>
        <w:jc w:val="both"/>
        <w:rPr>
          <w:sz w:val="24"/>
        </w:rPr>
      </w:pPr>
      <w:r>
        <w:rPr>
          <w:rFonts w:ascii="Arial" w:hAnsi="Arial"/>
          <w:b/>
          <w:w w:val="125"/>
          <w:sz w:val="24"/>
        </w:rPr>
        <w:t>§ </w:t>
      </w:r>
      <w:r>
        <w:rPr>
          <w:w w:val="125"/>
          <w:sz w:val="24"/>
        </w:rPr>
        <w:t>Nem lehet üzleti titokra hivatkozással visszatartani az információt a közérdekű adatok nyilvánosságára és a közérdekből nyilvános adatra vonatkozó, külön törvényben meghatározott adatszolgáltatási és tájékoztatási kötelezettség esetén.</w:t>
      </w:r>
    </w:p>
    <w:p>
      <w:pPr>
        <w:spacing w:line="257" w:lineRule="exact" w:before="0"/>
        <w:ind w:left="513" w:right="0" w:firstLine="0"/>
        <w:jc w:val="left"/>
        <w:rPr>
          <w:i/>
          <w:sz w:val="18"/>
        </w:rPr>
      </w:pPr>
      <w:r>
        <w:rPr/>
        <w:drawing>
          <wp:anchor distT="0" distB="0" distL="0" distR="0" allowOverlap="1" layoutInCell="1" locked="0" behindDoc="0" simplePos="0" relativeHeight="3304">
            <wp:simplePos x="0" y="0"/>
            <wp:positionH relativeFrom="page">
              <wp:posOffset>745401</wp:posOffset>
            </wp:positionH>
            <wp:positionV relativeFrom="paragraph">
              <wp:posOffset>15498</wp:posOffset>
            </wp:positionV>
            <wp:extent cx="228600" cy="16510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228600" cy="165100"/>
                    </a:xfrm>
                    <a:prstGeom prst="rect">
                      <a:avLst/>
                    </a:prstGeom>
                  </pic:spPr>
                </pic:pic>
              </a:graphicData>
            </a:graphic>
          </wp:anchor>
        </w:drawing>
      </w:r>
      <w:r>
        <w:rPr>
          <w:rFonts w:ascii="Arial" w:hAnsi="Arial"/>
          <w:b/>
          <w:w w:val="120"/>
          <w:sz w:val="24"/>
        </w:rPr>
        <w:t>166/A. §</w:t>
      </w:r>
      <w:r>
        <w:rPr>
          <w:i/>
          <w:w w:val="120"/>
          <w:position w:val="3"/>
          <w:sz w:val="18"/>
        </w:rPr>
        <w:t>1 </w:t>
      </w:r>
      <w:r>
        <w:rPr>
          <w:w w:val="120"/>
          <w:sz w:val="24"/>
        </w:rPr>
        <w:t>(1)</w:t>
      </w:r>
      <w:r>
        <w:rPr>
          <w:i/>
          <w:w w:val="120"/>
          <w:position w:val="3"/>
          <w:sz w:val="18"/>
        </w:rPr>
        <w:t>2</w:t>
      </w:r>
    </w:p>
    <w:p>
      <w:pPr>
        <w:pStyle w:val="ListParagraph"/>
        <w:numPr>
          <w:ilvl w:val="0"/>
          <w:numId w:val="388"/>
        </w:numPr>
        <w:tabs>
          <w:tab w:pos="865" w:val="left" w:leader="none"/>
        </w:tabs>
        <w:spacing w:line="225" w:lineRule="auto" w:before="5" w:after="0"/>
        <w:ind w:left="113" w:right="127" w:firstLine="204"/>
        <w:jc w:val="both"/>
        <w:rPr>
          <w:sz w:val="24"/>
        </w:rPr>
      </w:pPr>
      <w:r>
        <w:rPr>
          <w:w w:val="125"/>
          <w:sz w:val="24"/>
        </w:rPr>
        <w:t>A pénzügyi intézmény a létre nem jött szolgáltatási szerződéssel kapcsolatos banktitkot képező ügyféladatokat, személyes adatokat addig kezelheti, ameddig a szerződés létrejöttének meghiúsulásával kapcsolatban igény érvényesíthető.</w:t>
      </w:r>
    </w:p>
    <w:p>
      <w:pPr>
        <w:pStyle w:val="ListParagraph"/>
        <w:numPr>
          <w:ilvl w:val="0"/>
          <w:numId w:val="388"/>
        </w:numPr>
        <w:tabs>
          <w:tab w:pos="876" w:val="left" w:leader="none"/>
        </w:tabs>
        <w:spacing w:line="225" w:lineRule="auto" w:before="2" w:after="0"/>
        <w:ind w:left="113" w:right="132" w:firstLine="204"/>
        <w:jc w:val="both"/>
        <w:rPr>
          <w:sz w:val="24"/>
        </w:rPr>
      </w:pPr>
      <w:r>
        <w:rPr>
          <w:w w:val="125"/>
          <w:sz w:val="24"/>
        </w:rPr>
        <w:t>Az igényérvényesítés szempontjából - törvény eltérő rendelkezése hiányában - a Ptk.-ban meghatározott általános elévülési idő az</w:t>
      </w:r>
      <w:r>
        <w:rPr>
          <w:spacing w:val="41"/>
          <w:w w:val="125"/>
          <w:sz w:val="24"/>
        </w:rPr>
        <w:t> </w:t>
      </w:r>
      <w:r>
        <w:rPr>
          <w:w w:val="125"/>
          <w:sz w:val="24"/>
        </w:rPr>
        <w:t>irányadó.</w:t>
      </w:r>
    </w:p>
    <w:p>
      <w:pPr>
        <w:pStyle w:val="BodyText"/>
        <w:tabs>
          <w:tab w:pos="1486" w:val="left" w:leader="none"/>
          <w:tab w:pos="2023" w:val="left" w:leader="none"/>
          <w:tab w:pos="2652" w:val="left" w:leader="none"/>
          <w:tab w:pos="3113" w:val="left" w:leader="none"/>
          <w:tab w:pos="5070" w:val="left" w:leader="none"/>
          <w:tab w:pos="6615" w:val="left" w:leader="none"/>
          <w:tab w:pos="7450" w:val="left" w:leader="none"/>
          <w:tab w:pos="9204" w:val="left" w:leader="none"/>
        </w:tabs>
        <w:spacing w:line="250" w:lineRule="exact"/>
        <w:ind w:left="317" w:firstLine="0"/>
      </w:pPr>
      <w:r>
        <w:rPr>
          <w:rFonts w:ascii="Arial" w:hAnsi="Arial"/>
          <w:b/>
          <w:w w:val="125"/>
        </w:rPr>
        <w:t>166/B.</w:t>
        <w:tab/>
        <w:t>§</w:t>
      </w:r>
      <w:r>
        <w:rPr>
          <w:i/>
          <w:w w:val="125"/>
          <w:position w:val="3"/>
          <w:sz w:val="18"/>
        </w:rPr>
        <w:t>3</w:t>
        <w:tab/>
      </w:r>
      <w:r>
        <w:rPr>
          <w:w w:val="125"/>
        </w:rPr>
        <w:t>(1)</w:t>
        <w:tab/>
        <w:t>A</w:t>
        <w:tab/>
        <w:t>hitelintézetek</w:t>
        <w:tab/>
        <w:t>jogosultak</w:t>
        <w:tab/>
        <w:t>akár</w:t>
        <w:tab/>
        <w:t>közvetlenül,</w:t>
        <w:tab/>
        <w:t>akár</w:t>
      </w:r>
    </w:p>
    <w:p>
      <w:pPr>
        <w:pStyle w:val="BodyText"/>
        <w:spacing w:line="225" w:lineRule="auto" w:before="12"/>
        <w:ind w:right="126" w:firstLine="0"/>
        <w:jc w:val="both"/>
      </w:pPr>
      <w:r>
        <w:rPr>
          <w:w w:val="125"/>
        </w:rPr>
        <w:t>érdek-képviseleti vagy egyéb szervezet közreműködésével - az általuk kezelt, üzleti titoknak minősülő, személyes adatokat nem tartalmazó adatok felhasználásával - olyan összesített  adatokat  tartalmazó  adatbázis létrehozására és működtetésére, amelynek célja az egyes pénzügyi vagy kiegészítő pénzügyi szolgáltatások tekintetében - az igények, illetve a vállalt kockázatok pontosabb felmérésének biztosításával - a fogyasztók hatékonyabb kiszolgálásának javítása, az ilyen szolgáltatások fejlődésének előmozdítása, versenyképesség javítása, feltéve, ha az adatbázis létrehozása és</w:t>
      </w:r>
      <w:r>
        <w:rPr>
          <w:spacing w:val="22"/>
          <w:w w:val="125"/>
        </w:rPr>
        <w:t> </w:t>
      </w:r>
      <w:r>
        <w:rPr>
          <w:w w:val="125"/>
        </w:rPr>
        <w:t>működtetése</w:t>
      </w:r>
    </w:p>
    <w:p>
      <w:pPr>
        <w:pStyle w:val="ListParagraph"/>
        <w:numPr>
          <w:ilvl w:val="0"/>
          <w:numId w:val="389"/>
        </w:numPr>
        <w:tabs>
          <w:tab w:pos="631" w:val="left" w:leader="none"/>
        </w:tabs>
        <w:spacing w:line="259" w:lineRule="exact" w:before="0" w:after="0"/>
        <w:ind w:left="630" w:right="0" w:hanging="313"/>
        <w:jc w:val="left"/>
        <w:rPr>
          <w:sz w:val="24"/>
        </w:rPr>
      </w:pPr>
      <w:r>
        <w:rPr>
          <w:w w:val="130"/>
          <w:sz w:val="24"/>
        </w:rPr>
        <w:t>e célok eléréséhez szükséges mértéket nem haladja</w:t>
      </w:r>
      <w:r>
        <w:rPr>
          <w:spacing w:val="-36"/>
          <w:w w:val="130"/>
          <w:sz w:val="24"/>
        </w:rPr>
        <w:t> </w:t>
      </w:r>
      <w:r>
        <w:rPr>
          <w:w w:val="130"/>
          <w:sz w:val="24"/>
        </w:rPr>
        <w:t>meg,</w:t>
      </w:r>
    </w:p>
    <w:p>
      <w:pPr>
        <w:pStyle w:val="ListParagraph"/>
        <w:numPr>
          <w:ilvl w:val="0"/>
          <w:numId w:val="389"/>
        </w:numPr>
        <w:tabs>
          <w:tab w:pos="793" w:val="left" w:leader="none"/>
        </w:tabs>
        <w:spacing w:line="225" w:lineRule="auto" w:before="5" w:after="0"/>
        <w:ind w:left="113" w:right="129" w:firstLine="204"/>
        <w:jc w:val="both"/>
        <w:rPr>
          <w:sz w:val="24"/>
        </w:rPr>
      </w:pPr>
      <w:r>
        <w:rPr>
          <w:w w:val="125"/>
          <w:sz w:val="24"/>
        </w:rPr>
        <w:t>nem teszi lehetővé a hitelintézetek szolgáltatásai közötti verseny megakadályozását vagy korlátozását, vagy hogy ilyen hatást fejtsen ki</w:t>
      </w:r>
      <w:r>
        <w:rPr>
          <w:spacing w:val="30"/>
          <w:w w:val="125"/>
          <w:sz w:val="24"/>
        </w:rPr>
        <w:t> </w:t>
      </w:r>
      <w:r>
        <w:rPr>
          <w:w w:val="125"/>
          <w:sz w:val="24"/>
        </w:rPr>
        <w:t>és</w:t>
      </w:r>
    </w:p>
    <w:p>
      <w:pPr>
        <w:pStyle w:val="ListParagraph"/>
        <w:numPr>
          <w:ilvl w:val="0"/>
          <w:numId w:val="389"/>
        </w:numPr>
        <w:tabs>
          <w:tab w:pos="899" w:val="left" w:leader="none"/>
        </w:tabs>
        <w:spacing w:line="225" w:lineRule="auto" w:before="1" w:after="0"/>
        <w:ind w:left="113" w:right="127" w:firstLine="204"/>
        <w:jc w:val="both"/>
        <w:rPr>
          <w:sz w:val="24"/>
        </w:rPr>
      </w:pPr>
      <w:r>
        <w:rPr>
          <w:w w:val="130"/>
          <w:sz w:val="24"/>
        </w:rPr>
        <w:t>nem eredményezhet egyes hitelintézet-specifikus adatok más hitelintézetek általi</w:t>
      </w:r>
      <w:r>
        <w:rPr>
          <w:spacing w:val="-7"/>
          <w:w w:val="130"/>
          <w:sz w:val="24"/>
        </w:rPr>
        <w:t> </w:t>
      </w:r>
      <w:r>
        <w:rPr>
          <w:w w:val="130"/>
          <w:sz w:val="24"/>
        </w:rPr>
        <w:t>felhasználását.</w:t>
      </w:r>
    </w:p>
    <w:p>
      <w:pPr>
        <w:pStyle w:val="BodyText"/>
        <w:spacing w:line="225" w:lineRule="auto" w:before="2"/>
        <w:ind w:right="122"/>
        <w:jc w:val="both"/>
      </w:pPr>
      <w:r>
        <w:rPr>
          <w:w w:val="125"/>
        </w:rPr>
        <w:t>(2) Az (1) bekezdésben meghatározott adatbázisból származó adatok felhasználása során a hitelintézetek a saját  döntéseiknek  megfelelően, szabadon és önállóan - más piaci szereplőtől függetlenül - hozzák meg üzleti döntéseiket.</w:t>
      </w:r>
    </w:p>
    <w:p>
      <w:pPr>
        <w:pStyle w:val="BodyText"/>
        <w:spacing w:before="1"/>
        <w:ind w:left="0" w:firstLine="0"/>
        <w:rPr>
          <w:sz w:val="11"/>
        </w:rPr>
      </w:pPr>
    </w:p>
    <w:p>
      <w:pPr>
        <w:pStyle w:val="Heading2"/>
        <w:numPr>
          <w:ilvl w:val="0"/>
          <w:numId w:val="321"/>
        </w:numPr>
        <w:tabs>
          <w:tab w:pos="4684" w:val="left" w:leader="none"/>
        </w:tabs>
        <w:spacing w:line="240" w:lineRule="auto" w:before="105" w:after="0"/>
        <w:ind w:left="4683" w:right="0" w:hanging="464"/>
        <w:jc w:val="left"/>
      </w:pPr>
      <w:r>
        <w:rPr>
          <w:w w:val="110"/>
        </w:rPr>
        <w:t>Fejezet</w:t>
      </w:r>
    </w:p>
    <w:p>
      <w:pPr>
        <w:pStyle w:val="BodyText"/>
        <w:spacing w:before="1"/>
        <w:ind w:left="0" w:firstLine="0"/>
        <w:rPr>
          <w:rFonts w:ascii="Georgia-BoldItalic"/>
          <w:b/>
          <w:i/>
          <w:sz w:val="41"/>
        </w:rPr>
      </w:pPr>
    </w:p>
    <w:p>
      <w:pPr>
        <w:spacing w:before="0"/>
        <w:ind w:left="2645" w:right="0" w:firstLine="0"/>
        <w:jc w:val="left"/>
        <w:rPr>
          <w:rFonts w:ascii="Georgia-BoldItalic" w:hAnsi="Georgia-BoldItalic"/>
          <w:b/>
          <w:i/>
          <w:sz w:val="24"/>
        </w:rPr>
      </w:pPr>
      <w:r>
        <w:rPr>
          <w:rFonts w:ascii="Georgia-BoldItalic" w:hAnsi="Georgia-BoldItalic"/>
          <w:b/>
          <w:i/>
          <w:w w:val="105"/>
          <w:sz w:val="24"/>
        </w:rPr>
        <w:t>Pénzügyi intézmények felügyelete</w:t>
      </w:r>
    </w:p>
    <w:p>
      <w:pPr>
        <w:pStyle w:val="BodyText"/>
        <w:spacing w:before="9"/>
        <w:ind w:left="0" w:firstLine="0"/>
        <w:rPr>
          <w:rFonts w:ascii="Georgia-BoldItalic"/>
          <w:b/>
          <w:i/>
          <w:sz w:val="40"/>
        </w:rPr>
      </w:pPr>
    </w:p>
    <w:p>
      <w:pPr>
        <w:pStyle w:val="BodyText"/>
        <w:ind w:left="3698" w:firstLine="0"/>
      </w:pPr>
      <w:r>
        <w:rPr>
          <w:w w:val="125"/>
        </w:rPr>
        <w:t>73. Adatszolgáltatás</w:t>
      </w:r>
    </w:p>
    <w:p>
      <w:pPr>
        <w:pStyle w:val="ListParagraph"/>
        <w:numPr>
          <w:ilvl w:val="0"/>
          <w:numId w:val="387"/>
        </w:numPr>
        <w:tabs>
          <w:tab w:pos="1072" w:val="left" w:leader="none"/>
        </w:tabs>
        <w:spacing w:line="225" w:lineRule="auto" w:before="237" w:after="0"/>
        <w:ind w:left="113" w:right="130" w:firstLine="204"/>
        <w:jc w:val="left"/>
        <w:rPr>
          <w:sz w:val="24"/>
        </w:rPr>
      </w:pPr>
      <w:r>
        <w:rPr>
          <w:rFonts w:ascii="Arial" w:hAnsi="Arial"/>
          <w:b/>
          <w:w w:val="120"/>
          <w:sz w:val="24"/>
        </w:rPr>
        <w:t>§ </w:t>
      </w:r>
      <w:r>
        <w:rPr>
          <w:w w:val="120"/>
          <w:sz w:val="24"/>
        </w:rPr>
        <w:t>(1) A hitelintézet igazgatósága a Felügyeletnek haladéktalanul  - </w:t>
      </w:r>
      <w:r>
        <w:rPr>
          <w:spacing w:val="72"/>
          <w:w w:val="120"/>
          <w:sz w:val="24"/>
        </w:rPr>
        <w:t> </w:t>
      </w:r>
      <w:r>
        <w:rPr>
          <w:w w:val="120"/>
          <w:sz w:val="24"/>
        </w:rPr>
        <w:t>írásban - bejelenti,</w:t>
      </w:r>
      <w:r>
        <w:rPr>
          <w:spacing w:val="14"/>
          <w:w w:val="120"/>
          <w:sz w:val="24"/>
        </w:rPr>
        <w:t> </w:t>
      </w:r>
      <w:r>
        <w:rPr>
          <w:w w:val="120"/>
          <w:sz w:val="24"/>
        </w:rPr>
        <w:t>ha</w:t>
      </w:r>
    </w:p>
    <w:p>
      <w:pPr>
        <w:pStyle w:val="ListParagraph"/>
        <w:numPr>
          <w:ilvl w:val="0"/>
          <w:numId w:val="390"/>
        </w:numPr>
        <w:tabs>
          <w:tab w:pos="631" w:val="left" w:leader="none"/>
        </w:tabs>
        <w:spacing w:line="256" w:lineRule="exact" w:before="0" w:after="0"/>
        <w:ind w:left="630" w:right="0" w:hanging="313"/>
        <w:jc w:val="left"/>
        <w:rPr>
          <w:sz w:val="24"/>
        </w:rPr>
      </w:pPr>
      <w:r>
        <w:rPr>
          <w:w w:val="125"/>
          <w:sz w:val="24"/>
        </w:rPr>
        <w:t>az azonnali fizetésképtelenség (illikviditás) veszélye következett</w:t>
      </w:r>
      <w:r>
        <w:rPr>
          <w:spacing w:val="6"/>
          <w:w w:val="125"/>
          <w:sz w:val="24"/>
        </w:rPr>
        <w:t> </w:t>
      </w:r>
      <w:r>
        <w:rPr>
          <w:w w:val="125"/>
          <w:sz w:val="24"/>
        </w:rPr>
        <w:t>be,</w:t>
      </w:r>
    </w:p>
    <w:p>
      <w:pPr>
        <w:pStyle w:val="ListParagraph"/>
        <w:numPr>
          <w:ilvl w:val="0"/>
          <w:numId w:val="390"/>
        </w:numPr>
        <w:tabs>
          <w:tab w:pos="885" w:val="left" w:leader="none"/>
          <w:tab w:pos="886" w:val="left" w:leader="none"/>
          <w:tab w:pos="1349" w:val="left" w:leader="none"/>
          <w:tab w:pos="3051" w:val="left" w:leader="none"/>
          <w:tab w:pos="4956" w:val="left" w:leader="none"/>
          <w:tab w:pos="5926" w:val="left" w:leader="none"/>
          <w:tab w:pos="6965" w:val="left" w:leader="none"/>
          <w:tab w:pos="9035" w:val="left" w:leader="none"/>
          <w:tab w:pos="9436" w:val="left" w:leader="none"/>
        </w:tabs>
        <w:spacing w:line="225" w:lineRule="auto" w:before="5" w:after="0"/>
        <w:ind w:left="113" w:right="134" w:firstLine="204"/>
        <w:jc w:val="left"/>
        <w:rPr>
          <w:sz w:val="24"/>
        </w:rPr>
      </w:pPr>
      <w:r>
        <w:rPr>
          <w:w w:val="125"/>
          <w:sz w:val="24"/>
        </w:rPr>
        <w:t>a</w:t>
        <w:tab/>
        <w:t>hitelintézet</w:t>
        <w:tab/>
        <w:t>tevékenységi</w:t>
        <w:tab/>
        <w:t>körét</w:t>
        <w:tab/>
        <w:t>érintő</w:t>
        <w:tab/>
        <w:t>veszélyhelyzet</w:t>
        <w:tab/>
        <w:t>-</w:t>
        <w:tab/>
      </w:r>
      <w:r>
        <w:rPr>
          <w:spacing w:val="-6"/>
          <w:w w:val="125"/>
          <w:sz w:val="24"/>
        </w:rPr>
        <w:t>pl. </w:t>
      </w:r>
      <w:r>
        <w:rPr>
          <w:w w:val="125"/>
          <w:sz w:val="24"/>
        </w:rPr>
        <w:t>fizetésképtelenség (inszolvencia) - alakul</w:t>
      </w:r>
      <w:r>
        <w:rPr>
          <w:spacing w:val="1"/>
          <w:w w:val="125"/>
          <w:sz w:val="24"/>
        </w:rPr>
        <w:t> </w:t>
      </w:r>
      <w:r>
        <w:rPr>
          <w:w w:val="125"/>
          <w:sz w:val="24"/>
        </w:rPr>
        <w:t>ki,</w:t>
      </w:r>
    </w:p>
    <w:p>
      <w:pPr>
        <w:pStyle w:val="ListParagraph"/>
        <w:numPr>
          <w:ilvl w:val="0"/>
          <w:numId w:val="390"/>
        </w:numPr>
        <w:tabs>
          <w:tab w:pos="694" w:val="left" w:leader="none"/>
        </w:tabs>
        <w:spacing w:line="225" w:lineRule="auto" w:before="1" w:after="0"/>
        <w:ind w:left="113" w:right="129" w:firstLine="204"/>
        <w:jc w:val="left"/>
        <w:rPr>
          <w:sz w:val="24"/>
        </w:rPr>
      </w:pPr>
      <w:r>
        <w:rPr>
          <w:w w:val="125"/>
          <w:sz w:val="24"/>
        </w:rPr>
        <w:t>szavatoló tőkéje huszonöt százalékot elérő vagy meghaladó összegben csökkent,</w:t>
      </w:r>
    </w:p>
    <w:p>
      <w:pPr>
        <w:pStyle w:val="ListParagraph"/>
        <w:numPr>
          <w:ilvl w:val="0"/>
          <w:numId w:val="390"/>
        </w:numPr>
        <w:tabs>
          <w:tab w:pos="653" w:val="left" w:leader="none"/>
        </w:tabs>
        <w:spacing w:line="256" w:lineRule="exact" w:before="0" w:after="0"/>
        <w:ind w:left="652" w:right="0" w:hanging="335"/>
        <w:jc w:val="left"/>
        <w:rPr>
          <w:sz w:val="24"/>
        </w:rPr>
      </w:pPr>
      <w:r>
        <w:rPr>
          <w:w w:val="130"/>
          <w:sz w:val="24"/>
        </w:rPr>
        <w:t>fizetéseit megszüntette,</w:t>
      </w:r>
      <w:r>
        <w:rPr>
          <w:spacing w:val="-18"/>
          <w:w w:val="130"/>
          <w:sz w:val="24"/>
        </w:rPr>
        <w:t> </w:t>
      </w:r>
      <w:r>
        <w:rPr>
          <w:w w:val="130"/>
          <w:sz w:val="24"/>
        </w:rPr>
        <w:t>vagy</w:t>
      </w:r>
    </w:p>
    <w:p>
      <w:pPr>
        <w:pStyle w:val="ListParagraph"/>
        <w:numPr>
          <w:ilvl w:val="0"/>
          <w:numId w:val="390"/>
        </w:numPr>
        <w:tabs>
          <w:tab w:pos="629" w:val="left" w:leader="none"/>
        </w:tabs>
        <w:spacing w:line="260" w:lineRule="exact" w:before="0" w:after="0"/>
        <w:ind w:left="628" w:right="0" w:hanging="311"/>
        <w:jc w:val="left"/>
        <w:rPr>
          <w:sz w:val="24"/>
        </w:rPr>
      </w:pPr>
      <w:r>
        <w:rPr>
          <w:w w:val="125"/>
          <w:sz w:val="24"/>
        </w:rPr>
        <w:t>működését - pénzügyi szolgáltatási tevékenységét -</w:t>
      </w:r>
      <w:r>
        <w:rPr>
          <w:spacing w:val="28"/>
          <w:w w:val="125"/>
          <w:sz w:val="24"/>
        </w:rPr>
        <w:t> </w:t>
      </w:r>
      <w:r>
        <w:rPr>
          <w:w w:val="125"/>
          <w:sz w:val="24"/>
        </w:rPr>
        <w:t>megszüntette.</w:t>
      </w:r>
    </w:p>
    <w:p>
      <w:pPr>
        <w:pStyle w:val="ListParagraph"/>
        <w:numPr>
          <w:ilvl w:val="0"/>
          <w:numId w:val="391"/>
        </w:numPr>
        <w:tabs>
          <w:tab w:pos="817" w:val="left" w:leader="none"/>
        </w:tabs>
        <w:spacing w:line="225" w:lineRule="auto" w:before="6" w:after="0"/>
        <w:ind w:left="113" w:right="132" w:firstLine="204"/>
        <w:jc w:val="left"/>
        <w:rPr>
          <w:sz w:val="24"/>
        </w:rPr>
      </w:pPr>
      <w:r>
        <w:rPr>
          <w:w w:val="125"/>
          <w:sz w:val="24"/>
        </w:rPr>
        <w:t>A hitelintézet igazgatósága a Felügyeletnek két munkanapon belül - írásban - bejelenti</w:t>
      </w:r>
    </w:p>
    <w:p>
      <w:pPr>
        <w:pStyle w:val="BodyText"/>
        <w:ind w:left="0" w:firstLine="0"/>
        <w:rPr>
          <w:sz w:val="26"/>
        </w:rPr>
      </w:pPr>
      <w:r>
        <w:rPr/>
        <w:pict>
          <v:line style="position:absolute;mso-position-horizontal-relative:page;mso-position-vertical-relative:paragraph;z-index:1232;mso-wrap-distance-left:0;mso-wrap-distance-right:0" from="56.693001pt,17.170286pt" to="538.583001pt,17.170286pt" stroked="true" strokeweight=".5pt" strokecolor="#000000">
            <v:stroke dashstyle="solid"/>
            <w10:wrap type="topAndBottom"/>
          </v:line>
        </w:pict>
      </w:r>
    </w:p>
    <w:p>
      <w:pPr>
        <w:pStyle w:val="ListParagraph"/>
        <w:numPr>
          <w:ilvl w:val="0"/>
          <w:numId w:val="392"/>
        </w:numPr>
        <w:tabs>
          <w:tab w:pos="686" w:val="left" w:leader="none"/>
          <w:tab w:pos="687" w:val="left" w:leader="none"/>
        </w:tabs>
        <w:spacing w:line="203" w:lineRule="exact" w:before="44" w:after="0"/>
        <w:ind w:left="686" w:right="0" w:hanging="344"/>
        <w:jc w:val="left"/>
        <w:rPr>
          <w:i/>
          <w:sz w:val="18"/>
        </w:rPr>
      </w:pPr>
      <w:r>
        <w:rPr>
          <w:i/>
          <w:w w:val="120"/>
          <w:sz w:val="18"/>
        </w:rPr>
        <w:t>Beiktatta: 2015. évi LXXXV. törvény 212. §. Hatályos: 2015. VII.</w:t>
      </w:r>
      <w:r>
        <w:rPr>
          <w:i/>
          <w:spacing w:val="45"/>
          <w:w w:val="120"/>
          <w:sz w:val="18"/>
        </w:rPr>
        <w:t> </w:t>
      </w:r>
      <w:r>
        <w:rPr>
          <w:i/>
          <w:w w:val="120"/>
          <w:sz w:val="18"/>
        </w:rPr>
        <w:t>7-től.</w:t>
      </w:r>
    </w:p>
    <w:p>
      <w:pPr>
        <w:pStyle w:val="ListParagraph"/>
        <w:numPr>
          <w:ilvl w:val="0"/>
          <w:numId w:val="39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9"/>
          <w:w w:val="120"/>
          <w:sz w:val="18"/>
        </w:rPr>
        <w:t> </w:t>
      </w:r>
      <w:r>
        <w:rPr>
          <w:i/>
          <w:w w:val="120"/>
          <w:sz w:val="18"/>
        </w:rPr>
        <w:t>2019.</w:t>
      </w:r>
      <w:r>
        <w:rPr>
          <w:i/>
          <w:spacing w:val="7"/>
          <w:w w:val="120"/>
          <w:sz w:val="18"/>
        </w:rPr>
        <w:t> </w:t>
      </w:r>
      <w:r>
        <w:rPr>
          <w:i/>
          <w:w w:val="120"/>
          <w:sz w:val="18"/>
        </w:rPr>
        <w:t>évi</w:t>
      </w:r>
      <w:r>
        <w:rPr>
          <w:i/>
          <w:spacing w:val="7"/>
          <w:w w:val="120"/>
          <w:sz w:val="18"/>
        </w:rPr>
        <w:t> </w:t>
      </w:r>
      <w:r>
        <w:rPr>
          <w:i/>
          <w:w w:val="120"/>
          <w:sz w:val="18"/>
        </w:rPr>
        <w:t>XXXIV.</w:t>
      </w:r>
      <w:r>
        <w:rPr>
          <w:i/>
          <w:spacing w:val="7"/>
          <w:w w:val="120"/>
          <w:sz w:val="18"/>
        </w:rPr>
        <w:t> </w:t>
      </w:r>
      <w:r>
        <w:rPr>
          <w:i/>
          <w:w w:val="120"/>
          <w:sz w:val="18"/>
        </w:rPr>
        <w:t>törvény</w:t>
      </w:r>
      <w:r>
        <w:rPr>
          <w:i/>
          <w:spacing w:val="8"/>
          <w:w w:val="120"/>
          <w:sz w:val="18"/>
        </w:rPr>
        <w:t> </w:t>
      </w:r>
      <w:r>
        <w:rPr>
          <w:i/>
          <w:w w:val="120"/>
          <w:sz w:val="18"/>
        </w:rPr>
        <w:t>134.</w:t>
      </w:r>
      <w:r>
        <w:rPr>
          <w:i/>
          <w:spacing w:val="7"/>
          <w:w w:val="120"/>
          <w:sz w:val="18"/>
        </w:rPr>
        <w:t> </w:t>
      </w:r>
      <w:r>
        <w:rPr>
          <w:i/>
          <w:w w:val="120"/>
          <w:sz w:val="18"/>
        </w:rPr>
        <w:t>§.</w:t>
      </w:r>
      <w:r>
        <w:rPr>
          <w:i/>
          <w:spacing w:val="8"/>
          <w:w w:val="120"/>
          <w:sz w:val="18"/>
        </w:rPr>
        <w:t> </w:t>
      </w:r>
      <w:r>
        <w:rPr>
          <w:i/>
          <w:w w:val="120"/>
          <w:sz w:val="18"/>
        </w:rPr>
        <w:t>Hatálytalan:</w:t>
      </w:r>
      <w:r>
        <w:rPr>
          <w:i/>
          <w:spacing w:val="9"/>
          <w:w w:val="120"/>
          <w:sz w:val="18"/>
        </w:rPr>
        <w:t> </w:t>
      </w:r>
      <w:r>
        <w:rPr>
          <w:i/>
          <w:w w:val="120"/>
          <w:sz w:val="18"/>
        </w:rPr>
        <w:t>2019.</w:t>
      </w:r>
      <w:r>
        <w:rPr>
          <w:i/>
          <w:spacing w:val="7"/>
          <w:w w:val="120"/>
          <w:sz w:val="18"/>
        </w:rPr>
        <w:t> </w:t>
      </w:r>
      <w:r>
        <w:rPr>
          <w:i/>
          <w:w w:val="120"/>
          <w:sz w:val="18"/>
        </w:rPr>
        <w:t>IV.</w:t>
      </w:r>
      <w:r>
        <w:rPr>
          <w:i/>
          <w:spacing w:val="9"/>
          <w:w w:val="120"/>
          <w:sz w:val="18"/>
        </w:rPr>
        <w:t> </w:t>
      </w:r>
      <w:r>
        <w:rPr>
          <w:i/>
          <w:w w:val="120"/>
          <w:sz w:val="18"/>
        </w:rPr>
        <w:t>26-tól.</w:t>
      </w:r>
    </w:p>
    <w:p>
      <w:pPr>
        <w:pStyle w:val="ListParagraph"/>
        <w:numPr>
          <w:ilvl w:val="0"/>
          <w:numId w:val="392"/>
        </w:numPr>
        <w:tabs>
          <w:tab w:pos="686" w:val="left" w:leader="none"/>
          <w:tab w:pos="687" w:val="left" w:leader="none"/>
        </w:tabs>
        <w:spacing w:line="203" w:lineRule="exact" w:before="0" w:after="0"/>
        <w:ind w:left="686" w:right="0" w:hanging="344"/>
        <w:jc w:val="left"/>
        <w:rPr>
          <w:i/>
          <w:sz w:val="18"/>
        </w:rPr>
      </w:pPr>
      <w:r>
        <w:rPr>
          <w:i/>
          <w:w w:val="120"/>
          <w:sz w:val="18"/>
        </w:rPr>
        <w:t>Beiktatta: 2015. évi LXXXV. törvény 212. §. Hatályos: 2015. VII.</w:t>
      </w:r>
      <w:r>
        <w:rPr>
          <w:i/>
          <w:spacing w:val="4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393"/>
        </w:numPr>
        <w:tabs>
          <w:tab w:pos="631" w:val="left" w:leader="none"/>
        </w:tabs>
        <w:spacing w:line="268" w:lineRule="exact" w:before="159" w:after="0"/>
        <w:ind w:left="630" w:right="0" w:hanging="313"/>
        <w:jc w:val="left"/>
        <w:rPr>
          <w:sz w:val="24"/>
        </w:rPr>
      </w:pPr>
      <w:r>
        <w:rPr>
          <w:w w:val="130"/>
          <w:sz w:val="24"/>
        </w:rPr>
        <w:t>a jegyzett tőke felemelését vagy</w:t>
      </w:r>
      <w:r>
        <w:rPr>
          <w:spacing w:val="-26"/>
          <w:w w:val="130"/>
          <w:sz w:val="24"/>
        </w:rPr>
        <w:t> </w:t>
      </w:r>
      <w:r>
        <w:rPr>
          <w:w w:val="130"/>
          <w:sz w:val="24"/>
        </w:rPr>
        <w:t>leszállítását,</w:t>
      </w:r>
    </w:p>
    <w:p>
      <w:pPr>
        <w:pStyle w:val="ListParagraph"/>
        <w:numPr>
          <w:ilvl w:val="0"/>
          <w:numId w:val="393"/>
        </w:numPr>
        <w:tabs>
          <w:tab w:pos="766" w:val="left" w:leader="none"/>
          <w:tab w:pos="767" w:val="left" w:leader="none"/>
          <w:tab w:pos="1236" w:val="left" w:leader="none"/>
          <w:tab w:pos="2132" w:val="left" w:leader="none"/>
          <w:tab w:pos="3506" w:val="left" w:leader="none"/>
          <w:tab w:pos="4929" w:val="left" w:leader="none"/>
          <w:tab w:pos="6227" w:val="left" w:leader="none"/>
          <w:tab w:pos="7950" w:val="left" w:leader="none"/>
        </w:tabs>
        <w:spacing w:line="225" w:lineRule="auto" w:before="6" w:after="0"/>
        <w:ind w:left="113" w:right="129" w:firstLine="204"/>
        <w:jc w:val="left"/>
        <w:rPr>
          <w:sz w:val="24"/>
        </w:rPr>
      </w:pPr>
      <w:r>
        <w:rPr>
          <w:w w:val="130"/>
          <w:sz w:val="24"/>
        </w:rPr>
        <w:t>az</w:t>
        <w:tab/>
        <w:t>egyes</w:t>
        <w:tab/>
        <w:t>pénzügyi,</w:t>
        <w:tab/>
        <w:t>kiegészítő</w:t>
        <w:tab/>
        <w:t>pénzügyi</w:t>
        <w:tab/>
        <w:t>szolgáltatási</w:t>
        <w:tab/>
      </w:r>
      <w:r>
        <w:rPr>
          <w:spacing w:val="-1"/>
          <w:w w:val="125"/>
          <w:sz w:val="24"/>
        </w:rPr>
        <w:t>tevékenységek </w:t>
      </w:r>
      <w:r>
        <w:rPr>
          <w:w w:val="130"/>
          <w:sz w:val="24"/>
        </w:rPr>
        <w:t>szüneteltetését, korlátozását,</w:t>
      </w:r>
      <w:r>
        <w:rPr>
          <w:spacing w:val="-6"/>
          <w:w w:val="130"/>
          <w:sz w:val="24"/>
        </w:rPr>
        <w:t> </w:t>
      </w:r>
      <w:r>
        <w:rPr>
          <w:w w:val="130"/>
          <w:sz w:val="24"/>
        </w:rPr>
        <w:t>megszüntetését.</w:t>
      </w:r>
    </w:p>
    <w:p>
      <w:pPr>
        <w:pStyle w:val="ListParagraph"/>
        <w:numPr>
          <w:ilvl w:val="0"/>
          <w:numId w:val="391"/>
        </w:numPr>
        <w:tabs>
          <w:tab w:pos="766" w:val="left" w:leader="none"/>
        </w:tabs>
        <w:spacing w:line="225" w:lineRule="auto" w:before="1" w:after="0"/>
        <w:ind w:left="113" w:right="128" w:firstLine="204"/>
        <w:jc w:val="both"/>
        <w:rPr>
          <w:sz w:val="24"/>
        </w:rPr>
      </w:pPr>
      <w:r>
        <w:rPr>
          <w:w w:val="125"/>
          <w:sz w:val="24"/>
        </w:rPr>
        <w:t>Fióktelep formájában működő hitelintézet esetén az (1) és (2) bekezdés szerinti bejelentést a fióktelep vezető állású személye teszi meg, valamint a Felügyeletnek haladéktalanul - írásban - bejelenti azt is,</w:t>
      </w:r>
      <w:r>
        <w:rPr>
          <w:spacing w:val="24"/>
          <w:w w:val="125"/>
          <w:sz w:val="24"/>
        </w:rPr>
        <w:t> </w:t>
      </w:r>
      <w:r>
        <w:rPr>
          <w:w w:val="125"/>
          <w:sz w:val="24"/>
        </w:rPr>
        <w:t>ha</w:t>
      </w:r>
    </w:p>
    <w:p>
      <w:pPr>
        <w:pStyle w:val="ListParagraph"/>
        <w:numPr>
          <w:ilvl w:val="0"/>
          <w:numId w:val="394"/>
        </w:numPr>
        <w:tabs>
          <w:tab w:pos="631" w:val="left" w:leader="none"/>
        </w:tabs>
        <w:spacing w:line="256" w:lineRule="exact" w:before="0" w:after="0"/>
        <w:ind w:left="630" w:right="0" w:hanging="313"/>
        <w:jc w:val="left"/>
        <w:rPr>
          <w:sz w:val="24"/>
        </w:rPr>
      </w:pPr>
      <w:r>
        <w:rPr>
          <w:w w:val="130"/>
          <w:sz w:val="24"/>
        </w:rPr>
        <w:t>eszközfenntartási mutatója száz százalék alá</w:t>
      </w:r>
      <w:r>
        <w:rPr>
          <w:spacing w:val="-33"/>
          <w:w w:val="130"/>
          <w:sz w:val="24"/>
        </w:rPr>
        <w:t> </w:t>
      </w:r>
      <w:r>
        <w:rPr>
          <w:w w:val="130"/>
          <w:sz w:val="24"/>
        </w:rPr>
        <w:t>csökkent,</w:t>
      </w:r>
    </w:p>
    <w:p>
      <w:pPr>
        <w:pStyle w:val="ListParagraph"/>
        <w:numPr>
          <w:ilvl w:val="0"/>
          <w:numId w:val="394"/>
        </w:numPr>
        <w:tabs>
          <w:tab w:pos="694" w:val="left" w:leader="none"/>
        </w:tabs>
        <w:spacing w:line="225" w:lineRule="auto" w:before="5" w:after="0"/>
        <w:ind w:left="113" w:right="127" w:firstLine="204"/>
        <w:jc w:val="left"/>
        <w:rPr>
          <w:sz w:val="24"/>
        </w:rPr>
      </w:pPr>
      <w:r>
        <w:rPr>
          <w:w w:val="130"/>
          <w:sz w:val="24"/>
        </w:rPr>
        <w:t>a külföldi hitelintézet vagy annak bármely államban működő fióktelepe fizetésképtelenné vált,</w:t>
      </w:r>
      <w:r>
        <w:rPr>
          <w:spacing w:val="-8"/>
          <w:w w:val="130"/>
          <w:sz w:val="24"/>
        </w:rPr>
        <w:t> </w:t>
      </w:r>
      <w:r>
        <w:rPr>
          <w:w w:val="130"/>
          <w:sz w:val="24"/>
        </w:rPr>
        <w:t>vagy</w:t>
      </w:r>
    </w:p>
    <w:p>
      <w:pPr>
        <w:pStyle w:val="ListParagraph"/>
        <w:numPr>
          <w:ilvl w:val="0"/>
          <w:numId w:val="394"/>
        </w:numPr>
        <w:tabs>
          <w:tab w:pos="547" w:val="left" w:leader="none"/>
          <w:tab w:pos="895" w:val="left" w:leader="none"/>
          <w:tab w:pos="1245" w:val="left" w:leader="none"/>
          <w:tab w:pos="2380" w:val="left" w:leader="none"/>
          <w:tab w:pos="4478" w:val="left" w:leader="none"/>
          <w:tab w:pos="5265" w:val="left" w:leader="none"/>
          <w:tab w:pos="6227" w:val="left" w:leader="none"/>
          <w:tab w:pos="7441" w:val="left" w:leader="none"/>
          <w:tab w:pos="8796" w:val="left" w:leader="none"/>
        </w:tabs>
        <w:spacing w:line="250" w:lineRule="exact" w:before="0" w:after="0"/>
        <w:ind w:left="546" w:right="0" w:hanging="229"/>
        <w:jc w:val="left"/>
        <w:rPr>
          <w:sz w:val="24"/>
        </w:rPr>
      </w:pPr>
      <w:r>
        <w:rPr>
          <w:i/>
          <w:w w:val="125"/>
          <w:position w:val="3"/>
          <w:sz w:val="18"/>
        </w:rPr>
        <w:t>1</w:t>
        <w:tab/>
      </w:r>
      <w:r>
        <w:rPr>
          <w:w w:val="125"/>
          <w:sz w:val="24"/>
        </w:rPr>
        <w:t>a</w:t>
        <w:tab/>
        <w:t>külföldi</w:t>
        <w:tab/>
        <w:t>hitelintézetével</w:t>
        <w:tab/>
        <w:t>vagy</w:t>
        <w:tab/>
        <w:t>annak</w:t>
        <w:tab/>
        <w:t>bármely</w:t>
        <w:tab/>
        <w:t>államban</w:t>
        <w:tab/>
        <w:t>működő</w:t>
      </w:r>
    </w:p>
    <w:p>
      <w:pPr>
        <w:pStyle w:val="BodyText"/>
        <w:spacing w:line="225" w:lineRule="auto" w:before="12"/>
        <w:ind w:right="128" w:firstLine="0"/>
        <w:jc w:val="both"/>
      </w:pPr>
      <w:r>
        <w:rPr>
          <w:w w:val="125"/>
        </w:rPr>
        <w:t>hitelintézet leányvállalatával, fióktelepével szemben az illetékes felügyeleti hatóság olyan intézkedést, illetve szankciót alkalmazott, amely a külföldi hitelintézet vagy a fióktelep fizetésképtelenné válásának elkerülését szolgálta.</w:t>
      </w:r>
    </w:p>
    <w:p>
      <w:pPr>
        <w:pStyle w:val="ListParagraph"/>
        <w:numPr>
          <w:ilvl w:val="0"/>
          <w:numId w:val="391"/>
        </w:numPr>
        <w:tabs>
          <w:tab w:pos="659" w:val="left" w:leader="none"/>
          <w:tab w:pos="1052" w:val="left" w:leader="none"/>
          <w:tab w:pos="1505" w:val="left" w:leader="none"/>
          <w:tab w:pos="2951" w:val="left" w:leader="none"/>
          <w:tab w:pos="4306" w:val="left" w:leader="none"/>
          <w:tab w:pos="5893" w:val="left" w:leader="none"/>
          <w:tab w:pos="6442" w:val="left" w:leader="none"/>
          <w:tab w:pos="7416" w:val="left" w:leader="none"/>
          <w:tab w:pos="8848" w:val="left" w:leader="none"/>
        </w:tabs>
        <w:spacing w:line="250" w:lineRule="exact" w:before="0" w:after="0"/>
        <w:ind w:left="658" w:right="0" w:hanging="341"/>
        <w:jc w:val="left"/>
        <w:rPr>
          <w:sz w:val="24"/>
        </w:rPr>
      </w:pPr>
      <w:r>
        <w:rPr>
          <w:i/>
          <w:w w:val="125"/>
          <w:position w:val="3"/>
          <w:sz w:val="18"/>
        </w:rPr>
        <w:t>2</w:t>
        <w:tab/>
      </w:r>
      <w:r>
        <w:rPr>
          <w:w w:val="125"/>
          <w:sz w:val="24"/>
        </w:rPr>
        <w:t>A</w:t>
        <w:tab/>
        <w:t>működési</w:t>
        <w:tab/>
        <w:t>kockázat</w:t>
        <w:tab/>
        <w:t>kivételével</w:t>
        <w:tab/>
        <w:t>az</w:t>
        <w:tab/>
        <w:t>egyes</w:t>
        <w:tab/>
        <w:t>kockázati</w:t>
        <w:tab/>
        <w:t>típusok</w:t>
      </w:r>
    </w:p>
    <w:p>
      <w:pPr>
        <w:pStyle w:val="BodyText"/>
        <w:spacing w:line="225" w:lineRule="auto" w:before="12"/>
        <w:ind w:right="125" w:firstLine="0"/>
        <w:jc w:val="both"/>
      </w:pPr>
      <w:r>
        <w:rPr>
          <w:w w:val="130"/>
        </w:rPr>
        <w:t>tőkekövetelmény számítására belső módszert alkalmazó hitelintézetek</w:t>
      </w:r>
      <w:r>
        <w:rPr>
          <w:spacing w:val="-49"/>
          <w:w w:val="130"/>
        </w:rPr>
        <w:t> </w:t>
      </w:r>
      <w:r>
        <w:rPr>
          <w:w w:val="130"/>
        </w:rPr>
        <w:t>évente legalább</w:t>
      </w:r>
      <w:r>
        <w:rPr>
          <w:spacing w:val="-15"/>
          <w:w w:val="130"/>
        </w:rPr>
        <w:t> </w:t>
      </w:r>
      <w:r>
        <w:rPr>
          <w:w w:val="130"/>
        </w:rPr>
        <w:t>egyszer</w:t>
      </w:r>
      <w:r>
        <w:rPr>
          <w:spacing w:val="-14"/>
          <w:w w:val="130"/>
        </w:rPr>
        <w:t> </w:t>
      </w:r>
      <w:r>
        <w:rPr>
          <w:w w:val="130"/>
        </w:rPr>
        <w:t>megküldik</w:t>
      </w:r>
      <w:r>
        <w:rPr>
          <w:spacing w:val="-14"/>
          <w:w w:val="130"/>
        </w:rPr>
        <w:t> </w:t>
      </w:r>
      <w:r>
        <w:rPr>
          <w:w w:val="130"/>
        </w:rPr>
        <w:t>a</w:t>
      </w:r>
      <w:r>
        <w:rPr>
          <w:spacing w:val="-8"/>
          <w:w w:val="130"/>
        </w:rPr>
        <w:t> </w:t>
      </w:r>
      <w:r>
        <w:rPr>
          <w:w w:val="130"/>
        </w:rPr>
        <w:t>Felügyelet</w:t>
      </w:r>
      <w:r>
        <w:rPr>
          <w:spacing w:val="-21"/>
          <w:w w:val="130"/>
        </w:rPr>
        <w:t> </w:t>
      </w:r>
      <w:r>
        <w:rPr>
          <w:w w:val="130"/>
        </w:rPr>
        <w:t>számára</w:t>
      </w:r>
      <w:r>
        <w:rPr>
          <w:spacing w:val="-14"/>
          <w:w w:val="130"/>
        </w:rPr>
        <w:t> </w:t>
      </w:r>
      <w:r>
        <w:rPr>
          <w:w w:val="130"/>
        </w:rPr>
        <w:t>a</w:t>
      </w:r>
      <w:r>
        <w:rPr>
          <w:spacing w:val="-14"/>
          <w:w w:val="130"/>
        </w:rPr>
        <w:t> </w:t>
      </w:r>
      <w:r>
        <w:rPr>
          <w:w w:val="130"/>
        </w:rPr>
        <w:t>kialakított</w:t>
      </w:r>
      <w:r>
        <w:rPr>
          <w:spacing w:val="-15"/>
          <w:w w:val="130"/>
        </w:rPr>
        <w:t> </w:t>
      </w:r>
      <w:r>
        <w:rPr>
          <w:w w:val="130"/>
        </w:rPr>
        <w:t>referenciaérték portfóliókra</w:t>
      </w:r>
      <w:r>
        <w:rPr>
          <w:spacing w:val="-26"/>
          <w:w w:val="130"/>
        </w:rPr>
        <w:t> </w:t>
      </w:r>
      <w:r>
        <w:rPr>
          <w:w w:val="130"/>
        </w:rPr>
        <w:t>a</w:t>
      </w:r>
      <w:r>
        <w:rPr>
          <w:spacing w:val="-25"/>
          <w:w w:val="130"/>
        </w:rPr>
        <w:t> </w:t>
      </w:r>
      <w:r>
        <w:rPr>
          <w:w w:val="130"/>
        </w:rPr>
        <w:t>belső</w:t>
      </w:r>
      <w:r>
        <w:rPr>
          <w:spacing w:val="-18"/>
          <w:w w:val="130"/>
        </w:rPr>
        <w:t> </w:t>
      </w:r>
      <w:r>
        <w:rPr>
          <w:w w:val="130"/>
        </w:rPr>
        <w:t>módszerük</w:t>
      </w:r>
      <w:r>
        <w:rPr>
          <w:spacing w:val="-32"/>
          <w:w w:val="130"/>
        </w:rPr>
        <w:t> </w:t>
      </w:r>
      <w:r>
        <w:rPr>
          <w:w w:val="130"/>
        </w:rPr>
        <w:t>által</w:t>
      </w:r>
      <w:r>
        <w:rPr>
          <w:spacing w:val="-25"/>
          <w:w w:val="130"/>
        </w:rPr>
        <w:t> </w:t>
      </w:r>
      <w:r>
        <w:rPr>
          <w:w w:val="130"/>
        </w:rPr>
        <w:t>számított</w:t>
      </w:r>
      <w:r>
        <w:rPr>
          <w:spacing w:val="-25"/>
          <w:w w:val="130"/>
        </w:rPr>
        <w:t> </w:t>
      </w:r>
      <w:r>
        <w:rPr>
          <w:w w:val="130"/>
        </w:rPr>
        <w:t>tőkekövetelmény</w:t>
      </w:r>
      <w:r>
        <w:rPr>
          <w:spacing w:val="-25"/>
          <w:w w:val="130"/>
        </w:rPr>
        <w:t> </w:t>
      </w:r>
      <w:r>
        <w:rPr>
          <w:w w:val="130"/>
        </w:rPr>
        <w:t>eredményeket és a számításra alkalmazott módszerek magyarázatát. A referenciaérték portfolióra vonatkozó adatszolgáltatás módját, annak tartalmát, valamint a beérkezett információk értékelésének módszertanát az Európai Bizottság vonatkozó rendelete határozza meg. A Felügyelet a rendeletben foglaltakhoz képest további referenciaérték portfoliókat is</w:t>
      </w:r>
      <w:r>
        <w:rPr>
          <w:spacing w:val="-29"/>
          <w:w w:val="130"/>
        </w:rPr>
        <w:t> </w:t>
      </w:r>
      <w:r>
        <w:rPr>
          <w:w w:val="130"/>
        </w:rPr>
        <w:t>meghatározhat.</w:t>
      </w:r>
    </w:p>
    <w:p>
      <w:pPr>
        <w:pStyle w:val="ListParagraph"/>
        <w:numPr>
          <w:ilvl w:val="0"/>
          <w:numId w:val="391"/>
        </w:numPr>
        <w:tabs>
          <w:tab w:pos="659" w:val="left" w:leader="none"/>
          <w:tab w:pos="996" w:val="left" w:leader="none"/>
          <w:tab w:pos="1572" w:val="left" w:leader="none"/>
          <w:tab w:pos="1939" w:val="left" w:leader="none"/>
          <w:tab w:pos="3445" w:val="left" w:leader="none"/>
          <w:tab w:pos="4034" w:val="left" w:leader="none"/>
          <w:tab w:pos="5242" w:val="left" w:leader="none"/>
          <w:tab w:pos="6065" w:val="left" w:leader="none"/>
          <w:tab w:pos="6877" w:val="left" w:leader="none"/>
          <w:tab w:pos="7244" w:val="left" w:leader="none"/>
          <w:tab w:pos="8848" w:val="left" w:leader="none"/>
          <w:tab w:pos="9608" w:val="left" w:leader="none"/>
        </w:tabs>
        <w:spacing w:line="253" w:lineRule="exact" w:before="0" w:after="0"/>
        <w:ind w:left="658" w:right="0" w:hanging="341"/>
        <w:jc w:val="left"/>
        <w:rPr>
          <w:sz w:val="24"/>
        </w:rPr>
      </w:pPr>
      <w:r>
        <w:rPr>
          <w:i/>
          <w:w w:val="130"/>
          <w:position w:val="3"/>
          <w:sz w:val="18"/>
        </w:rPr>
        <w:t>3</w:t>
        <w:tab/>
      </w:r>
      <w:r>
        <w:rPr>
          <w:w w:val="130"/>
          <w:sz w:val="24"/>
        </w:rPr>
        <w:t>Ha</w:t>
        <w:tab/>
        <w:t>a</w:t>
        <w:tab/>
        <w:t>Felügyelet</w:t>
        <w:tab/>
        <w:t>azt</w:t>
        <w:tab/>
        <w:t>állapítja</w:t>
        <w:tab/>
        <w:t>meg,</w:t>
        <w:tab/>
        <w:t>hogy</w:t>
        <w:tab/>
        <w:t>a</w:t>
        <w:tab/>
        <w:t>hitelintézet</w:t>
        <w:tab/>
        <w:t>által</w:t>
        <w:tab/>
        <w:t>a</w:t>
      </w:r>
    </w:p>
    <w:p>
      <w:pPr>
        <w:pStyle w:val="BodyText"/>
        <w:spacing w:line="225" w:lineRule="auto" w:before="12"/>
        <w:ind w:right="129" w:firstLine="0"/>
        <w:jc w:val="both"/>
      </w:pPr>
      <w:r>
        <w:rPr>
          <w:w w:val="130"/>
        </w:rPr>
        <w:t>tőkekövetelmény számításra alkalmazott belső módszer indokolatlanul jelentősen alulbecsüli a tőkekövetelmény mértékét, akkor a Felügyelet kötelezheti a hitelintézetet a belső módszer módszertanának vagy az egyes paramétereknek a megváltoztatására.</w:t>
      </w:r>
    </w:p>
    <w:p>
      <w:pPr>
        <w:pStyle w:val="ListParagraph"/>
        <w:numPr>
          <w:ilvl w:val="0"/>
          <w:numId w:val="387"/>
        </w:numPr>
        <w:tabs>
          <w:tab w:pos="1059" w:val="left" w:leader="none"/>
        </w:tabs>
        <w:spacing w:line="250" w:lineRule="exact" w:before="0" w:after="0"/>
        <w:ind w:left="1058" w:right="0" w:hanging="741"/>
        <w:jc w:val="left"/>
        <w:rPr>
          <w:sz w:val="24"/>
        </w:rPr>
      </w:pPr>
      <w:r>
        <w:rPr>
          <w:rFonts w:ascii="Arial" w:hAnsi="Arial"/>
          <w:b/>
          <w:w w:val="120"/>
          <w:sz w:val="24"/>
        </w:rPr>
        <w:t>§</w:t>
      </w:r>
      <w:r>
        <w:rPr>
          <w:i/>
          <w:w w:val="120"/>
          <w:position w:val="3"/>
          <w:sz w:val="18"/>
        </w:rPr>
        <w:t>4</w:t>
      </w:r>
      <w:r>
        <w:rPr>
          <w:i/>
          <w:spacing w:val="23"/>
          <w:w w:val="120"/>
          <w:position w:val="3"/>
          <w:sz w:val="18"/>
        </w:rPr>
        <w:t> </w:t>
      </w:r>
      <w:r>
        <w:rPr>
          <w:w w:val="120"/>
          <w:sz w:val="24"/>
        </w:rPr>
        <w:t>A</w:t>
      </w:r>
      <w:r>
        <w:rPr>
          <w:spacing w:val="49"/>
          <w:w w:val="120"/>
          <w:sz w:val="24"/>
        </w:rPr>
        <w:t> </w:t>
      </w:r>
      <w:r>
        <w:rPr>
          <w:w w:val="120"/>
          <w:sz w:val="24"/>
        </w:rPr>
        <w:t>pénzügyi</w:t>
      </w:r>
      <w:r>
        <w:rPr>
          <w:spacing w:val="18"/>
          <w:w w:val="120"/>
          <w:sz w:val="24"/>
        </w:rPr>
        <w:t> </w:t>
      </w:r>
      <w:r>
        <w:rPr>
          <w:w w:val="120"/>
          <w:sz w:val="24"/>
        </w:rPr>
        <w:t>intézmény</w:t>
      </w:r>
      <w:r>
        <w:rPr>
          <w:spacing w:val="34"/>
          <w:w w:val="120"/>
          <w:sz w:val="24"/>
        </w:rPr>
        <w:t> </w:t>
      </w:r>
      <w:r>
        <w:rPr>
          <w:w w:val="120"/>
          <w:sz w:val="24"/>
        </w:rPr>
        <w:t>és</w:t>
      </w:r>
      <w:r>
        <w:rPr>
          <w:spacing w:val="33"/>
          <w:w w:val="120"/>
          <w:sz w:val="24"/>
        </w:rPr>
        <w:t> </w:t>
      </w:r>
      <w:r>
        <w:rPr>
          <w:w w:val="120"/>
          <w:sz w:val="24"/>
        </w:rPr>
        <w:t>magyarországi</w:t>
      </w:r>
      <w:r>
        <w:rPr>
          <w:spacing w:val="34"/>
          <w:w w:val="120"/>
          <w:sz w:val="24"/>
        </w:rPr>
        <w:t> </w:t>
      </w:r>
      <w:r>
        <w:rPr>
          <w:w w:val="120"/>
          <w:sz w:val="24"/>
        </w:rPr>
        <w:t>fióktelepe,</w:t>
      </w:r>
      <w:r>
        <w:rPr>
          <w:spacing w:val="33"/>
          <w:w w:val="120"/>
          <w:sz w:val="24"/>
        </w:rPr>
        <w:t> </w:t>
      </w:r>
      <w:r>
        <w:rPr>
          <w:w w:val="120"/>
          <w:sz w:val="24"/>
        </w:rPr>
        <w:t>a</w:t>
      </w:r>
      <w:r>
        <w:rPr>
          <w:spacing w:val="34"/>
          <w:w w:val="120"/>
          <w:sz w:val="24"/>
        </w:rPr>
        <w:t> </w:t>
      </w:r>
      <w:r>
        <w:rPr>
          <w:w w:val="120"/>
          <w:sz w:val="24"/>
        </w:rPr>
        <w:t>kiegészítő</w:t>
      </w:r>
    </w:p>
    <w:p>
      <w:pPr>
        <w:pStyle w:val="BodyText"/>
        <w:spacing w:line="225" w:lineRule="auto" w:before="12"/>
        <w:ind w:right="129" w:firstLine="0"/>
        <w:jc w:val="both"/>
      </w:pPr>
      <w:r>
        <w:rPr>
          <w:w w:val="125"/>
        </w:rPr>
        <w:t>pénzügyi szolgáltatást végző egyéb jogi személy, valamint a független közvetítő - ide nem értve a 69. § (7) bekezdésében meghatározott  tevékenységet végző független közvetítőt - jogszabályban meghatározott tartalommal, módon és formában, rendszeres időközönként adatszolgáltatást teljesít a</w:t>
      </w:r>
      <w:r>
        <w:rPr>
          <w:spacing w:val="1"/>
          <w:w w:val="125"/>
        </w:rPr>
        <w:t> </w:t>
      </w:r>
      <w:r>
        <w:rPr>
          <w:w w:val="125"/>
        </w:rPr>
        <w:t>Felügyeletnek.</w:t>
      </w:r>
    </w:p>
    <w:p>
      <w:pPr>
        <w:pStyle w:val="ListParagraph"/>
        <w:numPr>
          <w:ilvl w:val="0"/>
          <w:numId w:val="387"/>
        </w:numPr>
        <w:tabs>
          <w:tab w:pos="1027" w:val="left" w:leader="none"/>
        </w:tabs>
        <w:spacing w:line="225" w:lineRule="auto" w:before="2" w:after="0"/>
        <w:ind w:left="113" w:right="130" w:firstLine="204"/>
        <w:jc w:val="both"/>
        <w:rPr>
          <w:sz w:val="24"/>
        </w:rPr>
      </w:pPr>
      <w:r>
        <w:rPr>
          <w:rFonts w:ascii="Arial" w:hAnsi="Arial"/>
          <w:b/>
          <w:w w:val="125"/>
          <w:sz w:val="24"/>
        </w:rPr>
        <w:t>§ </w:t>
      </w:r>
      <w:r>
        <w:rPr>
          <w:w w:val="125"/>
          <w:sz w:val="24"/>
        </w:rPr>
        <w:t>A pénzügyi intézmény számára a Felügyelet - határozott időre - az általa meghatározott tartalommal és rendszerességgel történő  olyan  (rendkívüli) adatszolgáltatási kötelezettséget írhat elő,</w:t>
      </w:r>
      <w:r>
        <w:rPr>
          <w:spacing w:val="24"/>
          <w:w w:val="125"/>
          <w:sz w:val="24"/>
        </w:rPr>
        <w:t> </w:t>
      </w:r>
      <w:r>
        <w:rPr>
          <w:w w:val="125"/>
          <w:sz w:val="24"/>
        </w:rPr>
        <w:t>amelyet</w:t>
      </w:r>
    </w:p>
    <w:p>
      <w:pPr>
        <w:pStyle w:val="ListParagraph"/>
        <w:numPr>
          <w:ilvl w:val="0"/>
          <w:numId w:val="395"/>
        </w:numPr>
        <w:tabs>
          <w:tab w:pos="631" w:val="left" w:leader="none"/>
        </w:tabs>
        <w:spacing w:line="256" w:lineRule="exact" w:before="0" w:after="0"/>
        <w:ind w:left="630" w:right="0" w:hanging="313"/>
        <w:jc w:val="left"/>
        <w:rPr>
          <w:sz w:val="24"/>
        </w:rPr>
      </w:pPr>
      <w:r>
        <w:rPr>
          <w:w w:val="125"/>
          <w:sz w:val="24"/>
        </w:rPr>
        <w:t>a</w:t>
      </w:r>
      <w:r>
        <w:rPr>
          <w:spacing w:val="-1"/>
          <w:w w:val="125"/>
          <w:sz w:val="24"/>
        </w:rPr>
        <w:t> </w:t>
      </w:r>
      <w:r>
        <w:rPr>
          <w:w w:val="125"/>
          <w:sz w:val="24"/>
        </w:rPr>
        <w:t>likviditás,</w:t>
      </w:r>
    </w:p>
    <w:p>
      <w:pPr>
        <w:pStyle w:val="ListParagraph"/>
        <w:numPr>
          <w:ilvl w:val="0"/>
          <w:numId w:val="395"/>
        </w:numPr>
        <w:tabs>
          <w:tab w:pos="653" w:val="left" w:leader="none"/>
        </w:tabs>
        <w:spacing w:line="260" w:lineRule="exact" w:before="0" w:after="0"/>
        <w:ind w:left="652" w:right="0" w:hanging="335"/>
        <w:jc w:val="left"/>
        <w:rPr>
          <w:sz w:val="24"/>
        </w:rPr>
      </w:pPr>
      <w:r>
        <w:rPr>
          <w:w w:val="130"/>
          <w:sz w:val="24"/>
        </w:rPr>
        <w:t>a</w:t>
      </w:r>
      <w:r>
        <w:rPr>
          <w:spacing w:val="-11"/>
          <w:w w:val="130"/>
          <w:sz w:val="24"/>
        </w:rPr>
        <w:t> </w:t>
      </w:r>
      <w:r>
        <w:rPr>
          <w:w w:val="130"/>
          <w:sz w:val="24"/>
        </w:rPr>
        <w:t>szolvencia,</w:t>
      </w:r>
    </w:p>
    <w:p>
      <w:pPr>
        <w:pStyle w:val="ListParagraph"/>
        <w:numPr>
          <w:ilvl w:val="0"/>
          <w:numId w:val="395"/>
        </w:numPr>
        <w:tabs>
          <w:tab w:pos="623" w:val="left" w:leader="none"/>
        </w:tabs>
        <w:spacing w:line="260" w:lineRule="exact" w:before="0" w:after="0"/>
        <w:ind w:left="622" w:right="0" w:hanging="305"/>
        <w:jc w:val="left"/>
        <w:rPr>
          <w:sz w:val="24"/>
        </w:rPr>
      </w:pPr>
      <w:r>
        <w:rPr>
          <w:w w:val="130"/>
          <w:sz w:val="24"/>
        </w:rPr>
        <w:t>a</w:t>
      </w:r>
      <w:r>
        <w:rPr>
          <w:spacing w:val="7"/>
          <w:w w:val="130"/>
          <w:sz w:val="24"/>
        </w:rPr>
        <w:t> </w:t>
      </w:r>
      <w:r>
        <w:rPr>
          <w:w w:val="130"/>
          <w:sz w:val="24"/>
        </w:rPr>
        <w:t>kockázatvállalás,</w:t>
      </w:r>
    </w:p>
    <w:p>
      <w:pPr>
        <w:pStyle w:val="ListParagraph"/>
        <w:numPr>
          <w:ilvl w:val="0"/>
          <w:numId w:val="395"/>
        </w:numPr>
        <w:tabs>
          <w:tab w:pos="838" w:val="left" w:leader="none"/>
          <w:tab w:pos="839" w:val="left" w:leader="none"/>
          <w:tab w:pos="1254" w:val="left" w:leader="none"/>
          <w:tab w:pos="2623" w:val="left" w:leader="none"/>
          <w:tab w:pos="3177" w:val="left" w:leader="none"/>
          <w:tab w:pos="3577" w:val="left" w:leader="none"/>
          <w:tab w:pos="5073" w:val="left" w:leader="none"/>
          <w:tab w:pos="6442" w:val="left" w:leader="none"/>
          <w:tab w:pos="8245" w:val="left" w:leader="none"/>
        </w:tabs>
        <w:spacing w:line="225" w:lineRule="auto" w:before="5" w:after="0"/>
        <w:ind w:left="113" w:right="121" w:firstLine="204"/>
        <w:jc w:val="left"/>
        <w:rPr>
          <w:sz w:val="24"/>
        </w:rPr>
      </w:pPr>
      <w:r>
        <w:rPr>
          <w:w w:val="130"/>
          <w:sz w:val="24"/>
        </w:rPr>
        <w:t>a</w:t>
        <w:tab/>
        <w:t>pénzügyi</w:t>
        <w:tab/>
        <w:t>és</w:t>
        <w:tab/>
        <w:t>a</w:t>
        <w:tab/>
        <w:t>kiegészítő</w:t>
        <w:tab/>
        <w:t>pénzügyi</w:t>
        <w:tab/>
        <w:t>szolgáltatási</w:t>
        <w:tab/>
      </w:r>
      <w:r>
        <w:rPr>
          <w:spacing w:val="-1"/>
          <w:w w:val="125"/>
          <w:sz w:val="24"/>
        </w:rPr>
        <w:t>tevékenység </w:t>
      </w:r>
      <w:r>
        <w:rPr>
          <w:w w:val="130"/>
          <w:sz w:val="24"/>
        </w:rPr>
        <w:t>szabályainak</w:t>
      </w:r>
      <w:r>
        <w:rPr>
          <w:spacing w:val="-3"/>
          <w:w w:val="130"/>
          <w:sz w:val="24"/>
        </w:rPr>
        <w:t> </w:t>
      </w:r>
      <w:r>
        <w:rPr>
          <w:w w:val="130"/>
          <w:sz w:val="24"/>
        </w:rPr>
        <w:t>betartása,</w:t>
      </w:r>
    </w:p>
    <w:p>
      <w:pPr>
        <w:pStyle w:val="ListParagraph"/>
        <w:numPr>
          <w:ilvl w:val="0"/>
          <w:numId w:val="395"/>
        </w:numPr>
        <w:tabs>
          <w:tab w:pos="629" w:val="left" w:leader="none"/>
        </w:tabs>
        <w:spacing w:line="256" w:lineRule="exact" w:before="0" w:after="0"/>
        <w:ind w:left="628" w:right="0" w:hanging="311"/>
        <w:jc w:val="left"/>
        <w:rPr>
          <w:sz w:val="24"/>
        </w:rPr>
      </w:pPr>
      <w:r>
        <w:rPr>
          <w:w w:val="130"/>
          <w:sz w:val="24"/>
        </w:rPr>
        <w:t>a szervezet működésének,</w:t>
      </w:r>
      <w:r>
        <w:rPr>
          <w:spacing w:val="-13"/>
          <w:w w:val="130"/>
          <w:sz w:val="24"/>
        </w:rPr>
        <w:t> </w:t>
      </w:r>
      <w:r>
        <w:rPr>
          <w:w w:val="130"/>
          <w:sz w:val="24"/>
        </w:rPr>
        <w:t>valamint</w:t>
      </w:r>
    </w:p>
    <w:p>
      <w:pPr>
        <w:pStyle w:val="ListParagraph"/>
        <w:numPr>
          <w:ilvl w:val="0"/>
          <w:numId w:val="395"/>
        </w:numPr>
        <w:tabs>
          <w:tab w:pos="577" w:val="left" w:leader="none"/>
        </w:tabs>
        <w:spacing w:line="260" w:lineRule="exact" w:before="0" w:after="0"/>
        <w:ind w:left="576" w:right="0" w:hanging="259"/>
        <w:jc w:val="left"/>
        <w:rPr>
          <w:sz w:val="24"/>
        </w:rPr>
      </w:pPr>
      <w:r>
        <w:rPr>
          <w:w w:val="130"/>
          <w:sz w:val="24"/>
        </w:rPr>
        <w:t>a belső</w:t>
      </w:r>
      <w:r>
        <w:rPr>
          <w:spacing w:val="-7"/>
          <w:w w:val="130"/>
          <w:sz w:val="24"/>
        </w:rPr>
        <w:t> </w:t>
      </w:r>
      <w:r>
        <w:rPr>
          <w:w w:val="130"/>
          <w:sz w:val="24"/>
        </w:rPr>
        <w:t>ellenőrzés</w:t>
      </w:r>
    </w:p>
    <w:p>
      <w:pPr>
        <w:pStyle w:val="BodyText"/>
        <w:spacing w:line="225" w:lineRule="auto" w:before="6"/>
        <w:ind w:right="131" w:firstLine="0"/>
        <w:jc w:val="both"/>
      </w:pPr>
      <w:r>
        <w:rPr>
          <w:w w:val="130"/>
        </w:rPr>
        <w:t>rendszeres figyelemmel kíséréséhez, ellenőrzési feladatainak ellátása érdekében szükségesnek tart.</w:t>
      </w:r>
    </w:p>
    <w:p>
      <w:pPr>
        <w:pStyle w:val="ListParagraph"/>
        <w:numPr>
          <w:ilvl w:val="0"/>
          <w:numId w:val="387"/>
        </w:numPr>
        <w:tabs>
          <w:tab w:pos="1053" w:val="left" w:leader="none"/>
        </w:tabs>
        <w:spacing w:line="225" w:lineRule="auto" w:before="0" w:after="0"/>
        <w:ind w:left="113" w:right="127" w:firstLine="204"/>
        <w:jc w:val="both"/>
        <w:rPr>
          <w:sz w:val="24"/>
        </w:rPr>
      </w:pPr>
      <w:r>
        <w:rPr>
          <w:rFonts w:ascii="Arial" w:hAnsi="Arial"/>
          <w:b/>
          <w:w w:val="125"/>
          <w:sz w:val="24"/>
        </w:rPr>
        <w:t>§ </w:t>
      </w:r>
      <w:r>
        <w:rPr>
          <w:w w:val="125"/>
          <w:sz w:val="24"/>
        </w:rPr>
        <w:t>A hitelintézet bejelenti öt munkanapon belül a Felügyeletnek, ha anyavállalata vegyes tevékenységű holding társaság vagy vegyes pénzügyi holding társaság lett vagy ezen viszony módosul, illetve</w:t>
      </w:r>
      <w:r>
        <w:rPr>
          <w:spacing w:val="13"/>
          <w:w w:val="125"/>
          <w:sz w:val="24"/>
        </w:rPr>
        <w:t> </w:t>
      </w:r>
      <w:r>
        <w:rPr>
          <w:w w:val="125"/>
          <w:sz w:val="24"/>
        </w:rPr>
        <w:t>megszűnik.</w:t>
      </w:r>
    </w:p>
    <w:p>
      <w:pPr>
        <w:pStyle w:val="BodyText"/>
        <w:spacing w:before="9"/>
        <w:ind w:left="0" w:firstLine="0"/>
        <w:rPr>
          <w:sz w:val="20"/>
        </w:rPr>
      </w:pPr>
      <w:r>
        <w:rPr/>
        <w:pict>
          <v:line style="position:absolute;mso-position-horizontal-relative:page;mso-position-vertical-relative:paragraph;z-index:1280;mso-wrap-distance-left:0;mso-wrap-distance-right:0" from="56.693001pt,14.196781pt" to="538.583001pt,14.196781pt" stroked="true" strokeweight=".5pt" strokecolor="#000000">
            <v:stroke dashstyle="solid"/>
            <w10:wrap type="topAndBottom"/>
          </v:line>
        </w:pict>
      </w:r>
    </w:p>
    <w:p>
      <w:pPr>
        <w:pStyle w:val="ListParagraph"/>
        <w:numPr>
          <w:ilvl w:val="0"/>
          <w:numId w:val="396"/>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213.</w:t>
      </w:r>
      <w:r>
        <w:rPr>
          <w:i/>
          <w:spacing w:val="-13"/>
          <w:w w:val="125"/>
          <w:sz w:val="18"/>
        </w:rPr>
        <w:t> </w:t>
      </w:r>
      <w:r>
        <w:rPr>
          <w:i/>
          <w:w w:val="125"/>
          <w:sz w:val="18"/>
        </w:rPr>
        <w:t>§</w:t>
      </w:r>
      <w:r>
        <w:rPr>
          <w:i/>
          <w:spacing w:val="-12"/>
          <w:w w:val="125"/>
          <w:sz w:val="18"/>
        </w:rPr>
        <w:t> </w:t>
      </w:r>
      <w:r>
        <w:rPr>
          <w:i/>
          <w:w w:val="125"/>
          <w:sz w:val="18"/>
        </w:rPr>
        <w:t>(1).</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9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213.</w:t>
      </w:r>
      <w:r>
        <w:rPr>
          <w:i/>
          <w:spacing w:val="-13"/>
          <w:w w:val="125"/>
          <w:sz w:val="18"/>
        </w:rPr>
        <w:t> </w:t>
      </w:r>
      <w:r>
        <w:rPr>
          <w:i/>
          <w:w w:val="125"/>
          <w:sz w:val="18"/>
        </w:rPr>
        <w:t>§</w:t>
      </w:r>
      <w:r>
        <w:rPr>
          <w:i/>
          <w:spacing w:val="-12"/>
          <w:w w:val="125"/>
          <w:sz w:val="18"/>
        </w:rPr>
        <w:t> </w:t>
      </w:r>
      <w:r>
        <w:rPr>
          <w:i/>
          <w:w w:val="125"/>
          <w:sz w:val="18"/>
        </w:rPr>
        <w:t>(2).</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9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1"/>
          <w:w w:val="125"/>
          <w:sz w:val="18"/>
        </w:rPr>
        <w:t> </w:t>
      </w:r>
      <w:r>
        <w:rPr>
          <w:i/>
          <w:w w:val="125"/>
          <w:sz w:val="18"/>
        </w:rPr>
        <w:t>törvény</w:t>
      </w:r>
      <w:r>
        <w:rPr>
          <w:i/>
          <w:spacing w:val="-13"/>
          <w:w w:val="125"/>
          <w:sz w:val="18"/>
        </w:rPr>
        <w:t> </w:t>
      </w:r>
      <w:r>
        <w:rPr>
          <w:i/>
          <w:w w:val="125"/>
          <w:sz w:val="18"/>
        </w:rPr>
        <w:t>213.</w:t>
      </w:r>
      <w:r>
        <w:rPr>
          <w:i/>
          <w:spacing w:val="-13"/>
          <w:w w:val="125"/>
          <w:sz w:val="18"/>
        </w:rPr>
        <w:t> </w:t>
      </w:r>
      <w:r>
        <w:rPr>
          <w:i/>
          <w:w w:val="125"/>
          <w:sz w:val="18"/>
        </w:rPr>
        <w:t>§</w:t>
      </w:r>
      <w:r>
        <w:rPr>
          <w:i/>
          <w:spacing w:val="-12"/>
          <w:w w:val="125"/>
          <w:sz w:val="18"/>
        </w:rPr>
        <w:t> </w:t>
      </w:r>
      <w:r>
        <w:rPr>
          <w:i/>
          <w:w w:val="125"/>
          <w:sz w:val="18"/>
        </w:rPr>
        <w:t>(2).</w:t>
      </w:r>
      <w:r>
        <w:rPr>
          <w:i/>
          <w:spacing w:val="-12"/>
          <w:w w:val="125"/>
          <w:sz w:val="18"/>
        </w:rPr>
        <w:t> </w:t>
      </w:r>
      <w:r>
        <w:rPr>
          <w:i/>
          <w:w w:val="125"/>
          <w:sz w:val="18"/>
        </w:rPr>
        <w:t>Hatályos:</w:t>
      </w:r>
      <w:r>
        <w:rPr>
          <w:i/>
          <w:spacing w:val="-12"/>
          <w:w w:val="125"/>
          <w:sz w:val="18"/>
        </w:rPr>
        <w:t> </w:t>
      </w:r>
      <w:r>
        <w:rPr>
          <w:i/>
          <w:w w:val="125"/>
          <w:sz w:val="18"/>
        </w:rPr>
        <w:t>2015.</w:t>
      </w:r>
      <w:r>
        <w:rPr>
          <w:i/>
          <w:spacing w:val="-12"/>
          <w:w w:val="125"/>
          <w:sz w:val="18"/>
        </w:rPr>
        <w:t> </w:t>
      </w:r>
      <w:r>
        <w:rPr>
          <w:i/>
          <w:w w:val="125"/>
          <w:sz w:val="18"/>
        </w:rPr>
        <w:t>VII.</w:t>
      </w:r>
      <w:r>
        <w:rPr>
          <w:i/>
          <w:spacing w:val="-12"/>
          <w:w w:val="125"/>
          <w:sz w:val="18"/>
        </w:rPr>
        <w:t> </w:t>
      </w:r>
      <w:r>
        <w:rPr>
          <w:i/>
          <w:w w:val="125"/>
          <w:sz w:val="18"/>
        </w:rPr>
        <w:t>7-től.</w:t>
      </w:r>
    </w:p>
    <w:p>
      <w:pPr>
        <w:pStyle w:val="ListParagraph"/>
        <w:numPr>
          <w:ilvl w:val="0"/>
          <w:numId w:val="396"/>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134. §. Hatályos: 2017. I.</w:t>
      </w:r>
      <w:r>
        <w:rPr>
          <w:i/>
          <w:spacing w:val="-1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87"/>
        </w:numPr>
        <w:tabs>
          <w:tab w:pos="1170" w:val="left" w:leader="none"/>
          <w:tab w:pos="1171" w:val="left" w:leader="none"/>
          <w:tab w:pos="1696" w:val="left" w:leader="none"/>
          <w:tab w:pos="2117" w:val="left" w:leader="none"/>
          <w:tab w:pos="3662" w:val="left" w:leader="none"/>
          <w:tab w:pos="4067" w:val="left" w:leader="none"/>
          <w:tab w:pos="5427" w:val="left" w:leader="none"/>
          <w:tab w:pos="7334" w:val="left" w:leader="none"/>
          <w:tab w:pos="8647" w:val="left" w:leader="none"/>
        </w:tabs>
        <w:spacing w:line="262" w:lineRule="exact" w:before="158" w:after="0"/>
        <w:ind w:left="1170" w:right="0" w:hanging="853"/>
        <w:jc w:val="left"/>
        <w:rPr>
          <w:sz w:val="24"/>
        </w:rPr>
      </w:pPr>
      <w:r>
        <w:rPr>
          <w:rFonts w:ascii="Arial" w:hAnsi="Arial"/>
          <w:b/>
          <w:w w:val="120"/>
          <w:sz w:val="24"/>
        </w:rPr>
        <w:t>§</w:t>
      </w:r>
      <w:r>
        <w:rPr>
          <w:i/>
          <w:w w:val="120"/>
          <w:position w:val="3"/>
          <w:sz w:val="18"/>
        </w:rPr>
        <w:t>1</w:t>
        <w:tab/>
      </w:r>
      <w:r>
        <w:rPr>
          <w:w w:val="120"/>
          <w:sz w:val="24"/>
        </w:rPr>
        <w:t>A</w:t>
        <w:tab/>
        <w:t>Felügyelet</w:t>
        <w:tab/>
        <w:t>a</w:t>
        <w:tab/>
        <w:t>pénzügyi</w:t>
        <w:tab/>
        <w:t>intézménytől,</w:t>
        <w:tab/>
        <w:t>valamint</w:t>
        <w:tab/>
        <w:t>pénzügyi</w:t>
      </w:r>
    </w:p>
    <w:p>
      <w:pPr>
        <w:pStyle w:val="BodyText"/>
        <w:spacing w:line="225" w:lineRule="auto" w:before="12"/>
        <w:ind w:right="129" w:firstLine="0"/>
        <w:jc w:val="both"/>
      </w:pPr>
      <w:r>
        <w:rPr>
          <w:w w:val="125"/>
        </w:rPr>
        <w:t>intézménynek nem minősülő kiegészítő pénzügyi szolgáltatást nyújtó egyéb jogi személytől közbenső beszámoló, meghatározott formájú és tagolású kimutatás, könyvvizsgálati jelentés bemutatását kérheti, továbbá a pénzügyi intézménytől, annak szerveitől valamennyi üzleti  ügyéről  felvilágosítást kérhet.</w:t>
      </w:r>
    </w:p>
    <w:p>
      <w:pPr>
        <w:pStyle w:val="BodyText"/>
        <w:spacing w:before="4"/>
        <w:ind w:left="0" w:firstLine="0"/>
        <w:rPr>
          <w:sz w:val="11"/>
        </w:rPr>
      </w:pPr>
    </w:p>
    <w:p>
      <w:pPr>
        <w:pStyle w:val="BodyText"/>
        <w:spacing w:before="99"/>
        <w:ind w:left="2027" w:firstLine="0"/>
      </w:pPr>
      <w:r>
        <w:rPr>
          <w:w w:val="125"/>
        </w:rPr>
        <w:t>74. A hitelintézetek összevont alapú felügyelete</w:t>
      </w:r>
    </w:p>
    <w:p>
      <w:pPr>
        <w:pStyle w:val="ListParagraph"/>
        <w:numPr>
          <w:ilvl w:val="0"/>
          <w:numId w:val="387"/>
        </w:numPr>
        <w:tabs>
          <w:tab w:pos="1043" w:val="left" w:leader="none"/>
        </w:tabs>
        <w:spacing w:line="225" w:lineRule="auto" w:before="237" w:after="0"/>
        <w:ind w:left="113" w:right="133" w:firstLine="204"/>
        <w:jc w:val="both"/>
        <w:rPr>
          <w:sz w:val="24"/>
        </w:rPr>
      </w:pPr>
      <w:r>
        <w:rPr>
          <w:rFonts w:ascii="Arial" w:hAnsi="Arial"/>
          <w:b/>
          <w:w w:val="120"/>
          <w:sz w:val="24"/>
        </w:rPr>
        <w:t>§ </w:t>
      </w:r>
      <w:r>
        <w:rPr>
          <w:w w:val="120"/>
          <w:sz w:val="24"/>
        </w:rPr>
        <w:t>(1) A Felügyelet látja el a Magyarországon bejegyzett hitelintézet összevont alapú</w:t>
      </w:r>
      <w:r>
        <w:rPr>
          <w:spacing w:val="11"/>
          <w:w w:val="120"/>
          <w:sz w:val="24"/>
        </w:rPr>
        <w:t> </w:t>
      </w:r>
      <w:r>
        <w:rPr>
          <w:w w:val="120"/>
          <w:sz w:val="24"/>
        </w:rPr>
        <w:t>felügyeletét.</w:t>
      </w:r>
    </w:p>
    <w:p>
      <w:pPr>
        <w:pStyle w:val="ListParagraph"/>
        <w:numPr>
          <w:ilvl w:val="0"/>
          <w:numId w:val="397"/>
        </w:numPr>
        <w:tabs>
          <w:tab w:pos="787" w:val="left" w:leader="none"/>
        </w:tabs>
        <w:spacing w:line="225" w:lineRule="auto" w:before="1" w:after="0"/>
        <w:ind w:left="113" w:right="117" w:firstLine="204"/>
        <w:jc w:val="both"/>
        <w:rPr>
          <w:sz w:val="24"/>
        </w:rPr>
      </w:pPr>
      <w:r>
        <w:rPr>
          <w:w w:val="125"/>
          <w:sz w:val="24"/>
        </w:rPr>
        <w:t>Ha valamely hitelintézet anyavállalata befektetési vállalkozás, illetve a befektetési vállalkozás részesedési viszonnyal rendelkezik hitelintézetben és a hitelintézet nem tartozik az (1) bekezdésben meghatározott összevont alapú felügyelet alá, akkor a Bszt. összevont alapú felügyeletre vonatkozó szabályai alkalmazandóak.</w:t>
      </w:r>
    </w:p>
    <w:p>
      <w:pPr>
        <w:pStyle w:val="ListParagraph"/>
        <w:numPr>
          <w:ilvl w:val="0"/>
          <w:numId w:val="397"/>
        </w:numPr>
        <w:tabs>
          <w:tab w:pos="831" w:val="left" w:leader="none"/>
        </w:tabs>
        <w:spacing w:line="225" w:lineRule="auto" w:before="3" w:after="0"/>
        <w:ind w:left="113" w:right="131" w:firstLine="204"/>
        <w:jc w:val="both"/>
        <w:rPr>
          <w:sz w:val="24"/>
        </w:rPr>
      </w:pPr>
      <w:r>
        <w:rPr>
          <w:w w:val="125"/>
          <w:sz w:val="24"/>
        </w:rPr>
        <w:t>A Felügyelet nem vizsgálja a pénzügyi holding társaság, a külföldi hitelintézet, pénzügyi holding társaság és vegyes tevékenységű  holding társaság prudens működését egyedi</w:t>
      </w:r>
      <w:r>
        <w:rPr>
          <w:spacing w:val="10"/>
          <w:w w:val="125"/>
          <w:sz w:val="24"/>
        </w:rPr>
        <w:t> </w:t>
      </w:r>
      <w:r>
        <w:rPr>
          <w:w w:val="125"/>
          <w:sz w:val="24"/>
        </w:rPr>
        <w:t>alapon.</w:t>
      </w:r>
    </w:p>
    <w:p>
      <w:pPr>
        <w:pStyle w:val="ListParagraph"/>
        <w:numPr>
          <w:ilvl w:val="0"/>
          <w:numId w:val="397"/>
        </w:numPr>
        <w:tabs>
          <w:tab w:pos="757" w:val="left" w:leader="none"/>
        </w:tabs>
        <w:spacing w:line="225" w:lineRule="auto" w:before="1" w:after="0"/>
        <w:ind w:left="113" w:right="127" w:firstLine="204"/>
        <w:jc w:val="both"/>
        <w:rPr>
          <w:sz w:val="24"/>
        </w:rPr>
      </w:pPr>
      <w:r>
        <w:rPr>
          <w:w w:val="130"/>
          <w:sz w:val="24"/>
        </w:rPr>
        <w:t>Ha</w:t>
      </w:r>
      <w:r>
        <w:rPr>
          <w:spacing w:val="-17"/>
          <w:w w:val="130"/>
          <w:sz w:val="24"/>
        </w:rPr>
        <w:t> </w:t>
      </w:r>
      <w:r>
        <w:rPr>
          <w:w w:val="130"/>
          <w:sz w:val="24"/>
        </w:rPr>
        <w:t>a</w:t>
      </w:r>
      <w:r>
        <w:rPr>
          <w:spacing w:val="-17"/>
          <w:w w:val="130"/>
          <w:sz w:val="24"/>
        </w:rPr>
        <w:t> </w:t>
      </w:r>
      <w:r>
        <w:rPr>
          <w:w w:val="130"/>
          <w:sz w:val="24"/>
        </w:rPr>
        <w:t>Felügyelet</w:t>
      </w:r>
      <w:r>
        <w:rPr>
          <w:spacing w:val="-17"/>
          <w:w w:val="130"/>
          <w:sz w:val="24"/>
        </w:rPr>
        <w:t> </w:t>
      </w:r>
      <w:r>
        <w:rPr>
          <w:w w:val="130"/>
          <w:sz w:val="24"/>
        </w:rPr>
        <w:t>dokumentumok</w:t>
      </w:r>
      <w:r>
        <w:rPr>
          <w:spacing w:val="-16"/>
          <w:w w:val="130"/>
          <w:sz w:val="24"/>
        </w:rPr>
        <w:t> </w:t>
      </w:r>
      <w:r>
        <w:rPr>
          <w:w w:val="130"/>
          <w:sz w:val="24"/>
        </w:rPr>
        <w:t>vagy</w:t>
      </w:r>
      <w:r>
        <w:rPr>
          <w:spacing w:val="-17"/>
          <w:w w:val="130"/>
          <w:sz w:val="24"/>
        </w:rPr>
        <w:t> </w:t>
      </w:r>
      <w:r>
        <w:rPr>
          <w:w w:val="130"/>
          <w:sz w:val="24"/>
        </w:rPr>
        <w:t>helyszíni</w:t>
      </w:r>
      <w:r>
        <w:rPr>
          <w:spacing w:val="-17"/>
          <w:w w:val="130"/>
          <w:sz w:val="24"/>
        </w:rPr>
        <w:t> </w:t>
      </w:r>
      <w:r>
        <w:rPr>
          <w:w w:val="130"/>
          <w:sz w:val="24"/>
        </w:rPr>
        <w:t>ellenőrzés</w:t>
      </w:r>
      <w:r>
        <w:rPr>
          <w:spacing w:val="-17"/>
          <w:w w:val="130"/>
          <w:sz w:val="24"/>
        </w:rPr>
        <w:t> </w:t>
      </w:r>
      <w:r>
        <w:rPr>
          <w:w w:val="130"/>
          <w:sz w:val="24"/>
        </w:rPr>
        <w:t>alapján</w:t>
      </w:r>
      <w:r>
        <w:rPr>
          <w:spacing w:val="-17"/>
          <w:w w:val="130"/>
          <w:sz w:val="24"/>
        </w:rPr>
        <w:t> </w:t>
      </w:r>
      <w:r>
        <w:rPr>
          <w:w w:val="130"/>
          <w:sz w:val="24"/>
        </w:rPr>
        <w:t>szoros kapcsolatot állapít meg, összevont alapú felügyelet alá tartozónak minősíthet valamely magyarországi bejegyzésű hitelintézetet, és meghatározhatja, hogy valamely vállalkozásra az összevont</w:t>
      </w:r>
      <w:r>
        <w:rPr>
          <w:spacing w:val="-62"/>
          <w:w w:val="130"/>
          <w:sz w:val="24"/>
        </w:rPr>
        <w:t> </w:t>
      </w:r>
      <w:r>
        <w:rPr>
          <w:w w:val="130"/>
          <w:sz w:val="24"/>
        </w:rPr>
        <w:t>alapú felügyelet kiterjed.</w:t>
      </w:r>
    </w:p>
    <w:p>
      <w:pPr>
        <w:pStyle w:val="ListParagraph"/>
        <w:numPr>
          <w:ilvl w:val="0"/>
          <w:numId w:val="397"/>
        </w:numPr>
        <w:tabs>
          <w:tab w:pos="812" w:val="left" w:leader="none"/>
        </w:tabs>
        <w:spacing w:line="225" w:lineRule="auto" w:before="3" w:after="0"/>
        <w:ind w:left="113" w:right="124" w:firstLine="204"/>
        <w:jc w:val="both"/>
        <w:rPr>
          <w:sz w:val="24"/>
        </w:rPr>
      </w:pPr>
      <w:r>
        <w:rPr>
          <w:w w:val="125"/>
          <w:sz w:val="24"/>
        </w:rPr>
        <w:t>Az olyan hitelintézet, pénzügyi vállalkozás, befektetési vállalkozás és járulékos vállalkozás, amelyben az összevont alapú felügyelet alá tartozó hitelintézet vagy a pénzügyi holding társaság ellenőrző befolyással vagy részesedési viszonnyal rendelkezik - ha jogszabály másként nem rendelkezik -, az összevont alapú felügyelet alá tartozó hitelintézet vagy a pénzügyi holding társaság részére az összevont alapú felügyelet érdekében szükséges minden adatot és információt átad. Ezen egyedi adatot és információt az összevont alapú felügyelet alá tartozó hitelintézet vagy a pénzügyi holding társaság elkülönítetten - az adatvédelmi előírások betartásával -</w:t>
      </w:r>
      <w:r>
        <w:rPr>
          <w:spacing w:val="14"/>
          <w:w w:val="125"/>
          <w:sz w:val="24"/>
        </w:rPr>
        <w:t> </w:t>
      </w:r>
      <w:r>
        <w:rPr>
          <w:w w:val="125"/>
          <w:sz w:val="24"/>
        </w:rPr>
        <w:t>kezeli.</w:t>
      </w:r>
    </w:p>
    <w:p>
      <w:pPr>
        <w:pStyle w:val="ListParagraph"/>
        <w:numPr>
          <w:ilvl w:val="0"/>
          <w:numId w:val="397"/>
        </w:numPr>
        <w:tabs>
          <w:tab w:pos="736" w:val="left" w:leader="none"/>
        </w:tabs>
        <w:spacing w:line="225" w:lineRule="auto" w:before="5" w:after="0"/>
        <w:ind w:left="113" w:right="117" w:firstLine="204"/>
        <w:jc w:val="both"/>
        <w:rPr>
          <w:sz w:val="24"/>
        </w:rPr>
      </w:pPr>
      <w:r>
        <w:rPr>
          <w:w w:val="125"/>
          <w:sz w:val="24"/>
        </w:rPr>
        <w:t>Az olyan hitelintézettől, pénzügyi vállalkozástól, befektetési vállalkozástól </w:t>
      </w:r>
      <w:r>
        <w:rPr>
          <w:w w:val="130"/>
          <w:sz w:val="24"/>
        </w:rPr>
        <w:t>és</w:t>
      </w:r>
      <w:r>
        <w:rPr>
          <w:spacing w:val="-21"/>
          <w:w w:val="130"/>
          <w:sz w:val="24"/>
        </w:rPr>
        <w:t> </w:t>
      </w:r>
      <w:r>
        <w:rPr>
          <w:w w:val="130"/>
          <w:sz w:val="24"/>
        </w:rPr>
        <w:t>járulékos</w:t>
      </w:r>
      <w:r>
        <w:rPr>
          <w:spacing w:val="-21"/>
          <w:w w:val="130"/>
          <w:sz w:val="24"/>
        </w:rPr>
        <w:t> </w:t>
      </w:r>
      <w:r>
        <w:rPr>
          <w:w w:val="130"/>
          <w:sz w:val="24"/>
        </w:rPr>
        <w:t>vállalkozástól,</w:t>
      </w:r>
      <w:r>
        <w:rPr>
          <w:spacing w:val="-21"/>
          <w:w w:val="130"/>
          <w:sz w:val="24"/>
        </w:rPr>
        <w:t> </w:t>
      </w:r>
      <w:r>
        <w:rPr>
          <w:w w:val="130"/>
          <w:sz w:val="24"/>
        </w:rPr>
        <w:t>amelyben</w:t>
      </w:r>
      <w:r>
        <w:rPr>
          <w:spacing w:val="-20"/>
          <w:w w:val="130"/>
          <w:sz w:val="24"/>
        </w:rPr>
        <w:t> </w:t>
      </w:r>
      <w:r>
        <w:rPr>
          <w:w w:val="130"/>
          <w:sz w:val="24"/>
        </w:rPr>
        <w:t>az</w:t>
      </w:r>
      <w:r>
        <w:rPr>
          <w:spacing w:val="-21"/>
          <w:w w:val="130"/>
          <w:sz w:val="24"/>
        </w:rPr>
        <w:t> </w:t>
      </w:r>
      <w:r>
        <w:rPr>
          <w:w w:val="130"/>
          <w:sz w:val="24"/>
        </w:rPr>
        <w:t>összevont</w:t>
      </w:r>
      <w:r>
        <w:rPr>
          <w:spacing w:val="-21"/>
          <w:w w:val="130"/>
          <w:sz w:val="24"/>
        </w:rPr>
        <w:t> </w:t>
      </w:r>
      <w:r>
        <w:rPr>
          <w:w w:val="130"/>
          <w:sz w:val="24"/>
        </w:rPr>
        <w:t>alapú</w:t>
      </w:r>
      <w:r>
        <w:rPr>
          <w:spacing w:val="-15"/>
          <w:w w:val="130"/>
          <w:sz w:val="24"/>
        </w:rPr>
        <w:t> </w:t>
      </w:r>
      <w:r>
        <w:rPr>
          <w:w w:val="130"/>
          <w:sz w:val="24"/>
        </w:rPr>
        <w:t>felügyelet</w:t>
      </w:r>
      <w:r>
        <w:rPr>
          <w:spacing w:val="-26"/>
          <w:w w:val="130"/>
          <w:sz w:val="24"/>
        </w:rPr>
        <w:t> </w:t>
      </w:r>
      <w:r>
        <w:rPr>
          <w:w w:val="130"/>
          <w:sz w:val="24"/>
        </w:rPr>
        <w:t>alá</w:t>
      </w:r>
      <w:r>
        <w:rPr>
          <w:spacing w:val="-21"/>
          <w:w w:val="130"/>
          <w:sz w:val="24"/>
        </w:rPr>
        <w:t> </w:t>
      </w:r>
      <w:r>
        <w:rPr>
          <w:w w:val="130"/>
          <w:sz w:val="24"/>
        </w:rPr>
        <w:t>tartozó hitelintézet vagy a pénzügyi holding társaság ellenőrző befolyással vagy részesedési viszonnyal rendelkezik, a Felügyelet közvetlenül is kérhet az összevont</w:t>
      </w:r>
      <w:r>
        <w:rPr>
          <w:spacing w:val="-22"/>
          <w:w w:val="130"/>
          <w:sz w:val="24"/>
        </w:rPr>
        <w:t> </w:t>
      </w:r>
      <w:r>
        <w:rPr>
          <w:w w:val="130"/>
          <w:sz w:val="24"/>
        </w:rPr>
        <w:t>alapú</w:t>
      </w:r>
      <w:r>
        <w:rPr>
          <w:spacing w:val="-23"/>
          <w:w w:val="130"/>
          <w:sz w:val="24"/>
        </w:rPr>
        <w:t> </w:t>
      </w:r>
      <w:r>
        <w:rPr>
          <w:w w:val="130"/>
          <w:sz w:val="24"/>
        </w:rPr>
        <w:t>felügyelet</w:t>
      </w:r>
      <w:r>
        <w:rPr>
          <w:spacing w:val="-22"/>
          <w:w w:val="130"/>
          <w:sz w:val="24"/>
        </w:rPr>
        <w:t> </w:t>
      </w:r>
      <w:r>
        <w:rPr>
          <w:w w:val="130"/>
          <w:sz w:val="24"/>
        </w:rPr>
        <w:t>érdekében</w:t>
      </w:r>
      <w:r>
        <w:rPr>
          <w:spacing w:val="-22"/>
          <w:w w:val="130"/>
          <w:sz w:val="24"/>
        </w:rPr>
        <w:t> </w:t>
      </w:r>
      <w:r>
        <w:rPr>
          <w:w w:val="130"/>
          <w:sz w:val="24"/>
        </w:rPr>
        <w:t>szükségessé</w:t>
      </w:r>
      <w:r>
        <w:rPr>
          <w:spacing w:val="-22"/>
          <w:w w:val="130"/>
          <w:sz w:val="24"/>
        </w:rPr>
        <w:t> </w:t>
      </w:r>
      <w:r>
        <w:rPr>
          <w:w w:val="130"/>
          <w:sz w:val="24"/>
        </w:rPr>
        <w:t>váló</w:t>
      </w:r>
      <w:r>
        <w:rPr>
          <w:spacing w:val="-22"/>
          <w:w w:val="130"/>
          <w:sz w:val="24"/>
        </w:rPr>
        <w:t> </w:t>
      </w:r>
      <w:r>
        <w:rPr>
          <w:w w:val="130"/>
          <w:sz w:val="24"/>
        </w:rPr>
        <w:t>adatot</w:t>
      </w:r>
      <w:r>
        <w:rPr>
          <w:spacing w:val="-23"/>
          <w:w w:val="130"/>
          <w:sz w:val="24"/>
        </w:rPr>
        <w:t> </w:t>
      </w:r>
      <w:r>
        <w:rPr>
          <w:w w:val="130"/>
          <w:sz w:val="24"/>
        </w:rPr>
        <w:t>és</w:t>
      </w:r>
      <w:r>
        <w:rPr>
          <w:spacing w:val="-22"/>
          <w:w w:val="130"/>
          <w:sz w:val="24"/>
        </w:rPr>
        <w:t> </w:t>
      </w:r>
      <w:r>
        <w:rPr>
          <w:w w:val="130"/>
          <w:sz w:val="24"/>
        </w:rPr>
        <w:t>információt.</w:t>
      </w:r>
    </w:p>
    <w:p>
      <w:pPr>
        <w:pStyle w:val="ListParagraph"/>
        <w:numPr>
          <w:ilvl w:val="0"/>
          <w:numId w:val="397"/>
        </w:numPr>
        <w:tabs>
          <w:tab w:pos="809" w:val="left" w:leader="none"/>
        </w:tabs>
        <w:spacing w:line="225" w:lineRule="auto" w:before="3" w:after="0"/>
        <w:ind w:left="113" w:right="130" w:firstLine="204"/>
        <w:jc w:val="both"/>
        <w:rPr>
          <w:sz w:val="24"/>
        </w:rPr>
      </w:pPr>
      <w:r>
        <w:rPr>
          <w:w w:val="125"/>
          <w:sz w:val="24"/>
        </w:rPr>
        <w:t>A Felügyelet az összevont alapú felügyelettel kapcsolatban felmerülő feladatai ellátása érdekében közvetlenül vagy az  összevont  alapú  felügyelet alá tartozó hitelintézeten keresztül közvetve adatot</w:t>
      </w:r>
      <w:r>
        <w:rPr>
          <w:spacing w:val="27"/>
          <w:w w:val="125"/>
          <w:sz w:val="24"/>
        </w:rPr>
        <w:t> </w:t>
      </w:r>
      <w:r>
        <w:rPr>
          <w:w w:val="125"/>
          <w:sz w:val="24"/>
        </w:rPr>
        <w:t>kérhet</w:t>
      </w:r>
    </w:p>
    <w:p>
      <w:pPr>
        <w:pStyle w:val="ListParagraph"/>
        <w:numPr>
          <w:ilvl w:val="0"/>
          <w:numId w:val="398"/>
        </w:numPr>
        <w:tabs>
          <w:tab w:pos="825" w:val="left" w:leader="none"/>
        </w:tabs>
        <w:spacing w:line="225" w:lineRule="auto" w:before="2" w:after="0"/>
        <w:ind w:left="113" w:right="124" w:firstLine="204"/>
        <w:jc w:val="both"/>
        <w:rPr>
          <w:sz w:val="24"/>
        </w:rPr>
      </w:pPr>
      <w:r>
        <w:rPr>
          <w:w w:val="130"/>
          <w:sz w:val="24"/>
        </w:rPr>
        <w:t>az összevont alapú felügyelet alá tartozó hitelintézettel szoros kapcsolatban álló</w:t>
      </w:r>
      <w:r>
        <w:rPr>
          <w:spacing w:val="-9"/>
          <w:w w:val="130"/>
          <w:sz w:val="24"/>
        </w:rPr>
        <w:t> </w:t>
      </w:r>
      <w:r>
        <w:rPr>
          <w:w w:val="130"/>
          <w:sz w:val="24"/>
        </w:rPr>
        <w:t>személytől,</w:t>
      </w:r>
    </w:p>
    <w:p>
      <w:pPr>
        <w:pStyle w:val="ListParagraph"/>
        <w:numPr>
          <w:ilvl w:val="0"/>
          <w:numId w:val="398"/>
        </w:numPr>
        <w:tabs>
          <w:tab w:pos="645" w:val="left" w:leader="none"/>
        </w:tabs>
        <w:spacing w:line="225" w:lineRule="auto" w:before="1" w:after="0"/>
        <w:ind w:left="113" w:right="124" w:firstLine="204"/>
        <w:jc w:val="both"/>
        <w:rPr>
          <w:sz w:val="24"/>
        </w:rPr>
      </w:pPr>
      <w:r>
        <w:rPr>
          <w:w w:val="125"/>
          <w:sz w:val="24"/>
        </w:rPr>
        <w:t>az összevont alapú felügyelet alá tartozó hitelintézet anyavállalatával vagy a hitelintézetben részesedési viszonnyal rendelkező személlyel más szoros kapcsolatban álló személytől,</w:t>
      </w:r>
      <w:r>
        <w:rPr>
          <w:spacing w:val="2"/>
          <w:w w:val="125"/>
          <w:sz w:val="24"/>
        </w:rPr>
        <w:t> </w:t>
      </w:r>
      <w:r>
        <w:rPr>
          <w:w w:val="125"/>
          <w:sz w:val="24"/>
        </w:rPr>
        <w:t>és</w:t>
      </w:r>
    </w:p>
    <w:p>
      <w:pPr>
        <w:pStyle w:val="ListParagraph"/>
        <w:numPr>
          <w:ilvl w:val="0"/>
          <w:numId w:val="398"/>
        </w:numPr>
        <w:tabs>
          <w:tab w:pos="700" w:val="left" w:leader="none"/>
        </w:tabs>
        <w:spacing w:line="225" w:lineRule="auto" w:before="2" w:after="0"/>
        <w:ind w:left="113" w:right="121" w:firstLine="204"/>
        <w:jc w:val="both"/>
        <w:rPr>
          <w:sz w:val="24"/>
        </w:rPr>
      </w:pPr>
      <w:r>
        <w:rPr>
          <w:w w:val="125"/>
          <w:sz w:val="24"/>
        </w:rPr>
        <w:t>az 575/2013/EU rendelet 19. cikke alapján mentesített hitelintézettől, pénzügyi vállalkozástól, befektetési vállalkozástól vagy járulékos vállalkozástól.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5"/>
        <w:ind w:left="0" w:firstLine="0"/>
        <w:rPr>
          <w:sz w:val="16"/>
        </w:rPr>
      </w:pPr>
      <w:r>
        <w:rPr/>
        <w:pict>
          <v:line style="position:absolute;mso-position-horizontal-relative:page;mso-position-vertical-relative:paragraph;z-index:1304;mso-wrap-distance-left:0;mso-wrap-distance-right:0" from="56.693001pt,11.694166pt" to="538.583001pt,11.69416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CLXXVIII. törvény 43. §</w:t>
      </w:r>
      <w:r>
        <w:rPr>
          <w:i/>
          <w:spacing w:val="-7"/>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ListParagraph"/>
        <w:numPr>
          <w:ilvl w:val="0"/>
          <w:numId w:val="397"/>
        </w:numPr>
        <w:tabs>
          <w:tab w:pos="855" w:val="left" w:leader="none"/>
        </w:tabs>
        <w:spacing w:line="261" w:lineRule="exact" w:before="159" w:after="0"/>
        <w:ind w:left="854" w:right="0" w:hanging="341"/>
        <w:jc w:val="left"/>
        <w:rPr>
          <w:sz w:val="24"/>
        </w:rPr>
      </w:pPr>
      <w:r>
        <w:rPr/>
        <w:drawing>
          <wp:anchor distT="0" distB="0" distL="0" distR="0" allowOverlap="1" layoutInCell="1" locked="0" behindDoc="0" simplePos="0" relativeHeight="3400">
            <wp:simplePos x="0" y="0"/>
            <wp:positionH relativeFrom="page">
              <wp:posOffset>745401</wp:posOffset>
            </wp:positionH>
            <wp:positionV relativeFrom="paragraph">
              <wp:posOffset>123522</wp:posOffset>
            </wp:positionV>
            <wp:extent cx="228600" cy="16510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 </w:t>
      </w:r>
      <w:r>
        <w:rPr>
          <w:w w:val="125"/>
          <w:sz w:val="24"/>
        </w:rPr>
        <w:t>A (7) bekezdés alapján a Felügyelet által kért adatszolgáltatás</w:t>
      </w:r>
      <w:r>
        <w:rPr>
          <w:spacing w:val="-15"/>
          <w:w w:val="125"/>
          <w:sz w:val="24"/>
        </w:rPr>
        <w:t> </w:t>
      </w:r>
      <w:r>
        <w:rPr>
          <w:w w:val="125"/>
          <w:sz w:val="24"/>
        </w:rPr>
        <w:t>csak</w:t>
      </w:r>
    </w:p>
    <w:p>
      <w:pPr>
        <w:pStyle w:val="BodyText"/>
        <w:spacing w:line="225" w:lineRule="auto" w:before="12"/>
        <w:ind w:right="133" w:firstLine="0"/>
        <w:jc w:val="both"/>
      </w:pPr>
      <w:r>
        <w:rPr>
          <w:w w:val="125"/>
        </w:rPr>
        <w:t>jogszabályban vagy az Európai Unió közvetlenül alkalmazandó jogi aktusában meghatározott esetben tagadható meg.</w:t>
      </w:r>
    </w:p>
    <w:p>
      <w:pPr>
        <w:pStyle w:val="ListParagraph"/>
        <w:numPr>
          <w:ilvl w:val="0"/>
          <w:numId w:val="397"/>
        </w:numPr>
        <w:tabs>
          <w:tab w:pos="789" w:val="left" w:leader="none"/>
        </w:tabs>
        <w:spacing w:line="225" w:lineRule="auto" w:before="1" w:after="0"/>
        <w:ind w:left="113" w:right="125" w:firstLine="204"/>
        <w:jc w:val="both"/>
        <w:rPr>
          <w:sz w:val="24"/>
        </w:rPr>
      </w:pPr>
      <w:r>
        <w:rPr>
          <w:w w:val="130"/>
          <w:sz w:val="24"/>
        </w:rPr>
        <w:t>Az összevont alapú felügyelet alá tartozó hitelintézet vagy a pénzügyi holding társaság rendelkezik az összevont alapú felügyelete érdekében szükséges adatok és információk szolgáltatására alkalmas információs</w:t>
      </w:r>
      <w:r>
        <w:rPr>
          <w:spacing w:val="78"/>
          <w:w w:val="130"/>
          <w:sz w:val="24"/>
        </w:rPr>
        <w:t> </w:t>
      </w:r>
      <w:r>
        <w:rPr>
          <w:w w:val="130"/>
          <w:sz w:val="24"/>
        </w:rPr>
        <w:t>rendszerrel, és azok megbízhatóságát biztosító informatikai és belső ellenőrzési</w:t>
      </w:r>
      <w:r>
        <w:rPr>
          <w:spacing w:val="-4"/>
          <w:w w:val="130"/>
          <w:sz w:val="24"/>
        </w:rPr>
        <w:t> </w:t>
      </w:r>
      <w:r>
        <w:rPr>
          <w:w w:val="130"/>
          <w:sz w:val="24"/>
        </w:rPr>
        <w:t>rendszerrel.</w:t>
      </w:r>
    </w:p>
    <w:p>
      <w:pPr>
        <w:pStyle w:val="ListParagraph"/>
        <w:numPr>
          <w:ilvl w:val="0"/>
          <w:numId w:val="397"/>
        </w:numPr>
        <w:tabs>
          <w:tab w:pos="926" w:val="left" w:leader="none"/>
        </w:tabs>
        <w:spacing w:line="225" w:lineRule="auto" w:before="3" w:after="0"/>
        <w:ind w:left="113" w:right="119" w:firstLine="204"/>
        <w:jc w:val="both"/>
        <w:rPr>
          <w:sz w:val="24"/>
        </w:rPr>
      </w:pPr>
      <w:r>
        <w:rPr>
          <w:w w:val="125"/>
          <w:sz w:val="24"/>
        </w:rPr>
        <w:t>Ha az összevont alapú felügyelet alá tartozó hitelintézet anyavállalata vegyes tevékenységű holding társaság, akkor a vegyes tevékenységű holding társaság és azon vállalkozások - amelyekre az összevont alapú felügyelet kiterjed - közötti ügyletek felügyelete a Felügyelet feladata.  Az  összevont alapú felügyelet alá tartozó hitelintézet rendelkezik olyan kockázatkezelési eljárással és belső ellenőrzési  rendszerrel, beleértve a számviteli politikáját és  a beszámolási rendszerét, amely alkalmas az előbb említett ügyletek meghatározására, mérésére és  ellenőrzésére,  amelyeket  a  Felügyelet ellenőriz.</w:t>
      </w:r>
    </w:p>
    <w:p>
      <w:pPr>
        <w:pStyle w:val="ListParagraph"/>
        <w:numPr>
          <w:ilvl w:val="0"/>
          <w:numId w:val="397"/>
        </w:numPr>
        <w:tabs>
          <w:tab w:pos="957" w:val="left" w:leader="none"/>
        </w:tabs>
        <w:spacing w:line="225" w:lineRule="auto" w:before="6" w:after="0"/>
        <w:ind w:left="113" w:right="125" w:firstLine="204"/>
        <w:jc w:val="both"/>
        <w:rPr>
          <w:sz w:val="24"/>
        </w:rPr>
      </w:pPr>
      <w:r>
        <w:rPr>
          <w:w w:val="130"/>
          <w:sz w:val="24"/>
        </w:rPr>
        <w:t>Az összevont alapú felügyelet alá tartozó hitelintézet és a pénzügyi</w:t>
      </w:r>
      <w:r>
        <w:rPr>
          <w:spacing w:val="78"/>
          <w:w w:val="130"/>
          <w:sz w:val="24"/>
        </w:rPr>
        <w:t> </w:t>
      </w:r>
      <w:r>
        <w:rPr>
          <w:w w:val="130"/>
          <w:sz w:val="24"/>
        </w:rPr>
        <w:t>holding társaság haladéktalanul bejelenti az 575/2013/EU rendeletben, valamint a (7) bekezdésben meghatározott szoros kapcsolat létrejöttét, módosulását vagy</w:t>
      </w:r>
      <w:r>
        <w:rPr>
          <w:spacing w:val="-9"/>
          <w:w w:val="130"/>
          <w:sz w:val="24"/>
        </w:rPr>
        <w:t> </w:t>
      </w:r>
      <w:r>
        <w:rPr>
          <w:w w:val="130"/>
          <w:sz w:val="24"/>
        </w:rPr>
        <w:t>megszűnését.</w:t>
      </w:r>
    </w:p>
    <w:p>
      <w:pPr>
        <w:pStyle w:val="ListParagraph"/>
        <w:numPr>
          <w:ilvl w:val="0"/>
          <w:numId w:val="397"/>
        </w:numPr>
        <w:tabs>
          <w:tab w:pos="924" w:val="left" w:leader="none"/>
        </w:tabs>
        <w:spacing w:line="225" w:lineRule="auto" w:before="2" w:after="0"/>
        <w:ind w:left="113" w:right="128" w:firstLine="204"/>
        <w:jc w:val="both"/>
        <w:rPr>
          <w:sz w:val="24"/>
        </w:rPr>
      </w:pPr>
      <w:r>
        <w:rPr>
          <w:w w:val="130"/>
          <w:sz w:val="24"/>
        </w:rPr>
        <w:t>A (11) bekezdés szerinti bejelentési kötelezettségnek a magyarországi bejegyzésű hitelintézet külföldi pénzügyi holding társaság anyavállalata az összevont</w:t>
      </w:r>
      <w:r>
        <w:rPr>
          <w:spacing w:val="-13"/>
          <w:w w:val="130"/>
          <w:sz w:val="24"/>
        </w:rPr>
        <w:t> </w:t>
      </w:r>
      <w:r>
        <w:rPr>
          <w:w w:val="130"/>
          <w:sz w:val="24"/>
        </w:rPr>
        <w:t>alapú</w:t>
      </w:r>
      <w:r>
        <w:rPr>
          <w:spacing w:val="-13"/>
          <w:w w:val="130"/>
          <w:sz w:val="24"/>
        </w:rPr>
        <w:t> </w:t>
      </w:r>
      <w:r>
        <w:rPr>
          <w:w w:val="130"/>
          <w:sz w:val="24"/>
        </w:rPr>
        <w:t>felügyelet</w:t>
      </w:r>
      <w:r>
        <w:rPr>
          <w:spacing w:val="-13"/>
          <w:w w:val="130"/>
          <w:sz w:val="24"/>
        </w:rPr>
        <w:t> </w:t>
      </w:r>
      <w:r>
        <w:rPr>
          <w:w w:val="130"/>
          <w:sz w:val="24"/>
        </w:rPr>
        <w:t>alá</w:t>
      </w:r>
      <w:r>
        <w:rPr>
          <w:spacing w:val="-13"/>
          <w:w w:val="130"/>
          <w:sz w:val="24"/>
        </w:rPr>
        <w:t> </w:t>
      </w:r>
      <w:r>
        <w:rPr>
          <w:w w:val="130"/>
          <w:sz w:val="24"/>
        </w:rPr>
        <w:t>tartozó</w:t>
      </w:r>
      <w:r>
        <w:rPr>
          <w:spacing w:val="-13"/>
          <w:w w:val="130"/>
          <w:sz w:val="24"/>
        </w:rPr>
        <w:t> </w:t>
      </w:r>
      <w:r>
        <w:rPr>
          <w:w w:val="130"/>
          <w:sz w:val="24"/>
        </w:rPr>
        <w:t>hitelintézetén</w:t>
      </w:r>
      <w:r>
        <w:rPr>
          <w:spacing w:val="-2"/>
          <w:w w:val="130"/>
          <w:sz w:val="24"/>
        </w:rPr>
        <w:t> </w:t>
      </w:r>
      <w:r>
        <w:rPr>
          <w:w w:val="130"/>
          <w:sz w:val="24"/>
        </w:rPr>
        <w:t>keresztül</w:t>
      </w:r>
      <w:r>
        <w:rPr>
          <w:spacing w:val="-25"/>
          <w:w w:val="130"/>
          <w:sz w:val="24"/>
        </w:rPr>
        <w:t> </w:t>
      </w:r>
      <w:r>
        <w:rPr>
          <w:w w:val="130"/>
          <w:sz w:val="24"/>
        </w:rPr>
        <w:t>is</w:t>
      </w:r>
      <w:r>
        <w:rPr>
          <w:spacing w:val="-13"/>
          <w:w w:val="130"/>
          <w:sz w:val="24"/>
        </w:rPr>
        <w:t> </w:t>
      </w:r>
      <w:r>
        <w:rPr>
          <w:w w:val="130"/>
          <w:sz w:val="24"/>
        </w:rPr>
        <w:t>eleget tehet.</w:t>
      </w:r>
    </w:p>
    <w:p>
      <w:pPr>
        <w:pStyle w:val="ListParagraph"/>
        <w:numPr>
          <w:ilvl w:val="0"/>
          <w:numId w:val="387"/>
        </w:numPr>
        <w:tabs>
          <w:tab w:pos="1023" w:val="left" w:leader="none"/>
        </w:tabs>
        <w:spacing w:line="225" w:lineRule="auto" w:before="1" w:after="0"/>
        <w:ind w:left="113" w:right="129" w:firstLine="204"/>
        <w:jc w:val="both"/>
        <w:rPr>
          <w:sz w:val="24"/>
        </w:rPr>
      </w:pPr>
      <w:r>
        <w:rPr>
          <w:rFonts w:ascii="Arial" w:hAnsi="Arial"/>
          <w:b/>
          <w:w w:val="125"/>
          <w:sz w:val="24"/>
        </w:rPr>
        <w:t>§ </w:t>
      </w:r>
      <w:r>
        <w:rPr>
          <w:w w:val="125"/>
          <w:sz w:val="24"/>
        </w:rPr>
        <w:t>(1) Egy EU-szintű hitelintézeti anyavállalat és annak leányvállalatai vagy egy EU-szintű pénzügyi holding társaság anyavállalat és annak leányvállalatai vagy egy EU-szintű vegyes pénzügyi holding társaság anyavállalat és annak</w:t>
      </w:r>
      <w:r>
        <w:rPr>
          <w:spacing w:val="1"/>
          <w:w w:val="125"/>
          <w:sz w:val="24"/>
        </w:rPr>
        <w:t> </w:t>
      </w:r>
      <w:r>
        <w:rPr>
          <w:w w:val="125"/>
          <w:sz w:val="24"/>
        </w:rPr>
        <w:t>leányvállalatai</w:t>
      </w:r>
    </w:p>
    <w:p>
      <w:pPr>
        <w:pStyle w:val="ListParagraph"/>
        <w:numPr>
          <w:ilvl w:val="0"/>
          <w:numId w:val="399"/>
        </w:numPr>
        <w:tabs>
          <w:tab w:pos="631" w:val="left" w:leader="none"/>
        </w:tabs>
        <w:spacing w:line="257" w:lineRule="exact" w:before="0" w:after="0"/>
        <w:ind w:left="630" w:right="0" w:hanging="313"/>
        <w:jc w:val="left"/>
        <w:rPr>
          <w:sz w:val="24"/>
        </w:rPr>
      </w:pPr>
      <w:r>
        <w:rPr>
          <w:w w:val="130"/>
          <w:sz w:val="24"/>
        </w:rPr>
        <w:t>a belső tőkemegfelelés értékelési</w:t>
      </w:r>
      <w:r>
        <w:rPr>
          <w:spacing w:val="-21"/>
          <w:w w:val="130"/>
          <w:sz w:val="24"/>
        </w:rPr>
        <w:t> </w:t>
      </w:r>
      <w:r>
        <w:rPr>
          <w:w w:val="130"/>
          <w:sz w:val="24"/>
        </w:rPr>
        <w:t>folyamat,</w:t>
      </w:r>
    </w:p>
    <w:p>
      <w:pPr>
        <w:pStyle w:val="ListParagraph"/>
        <w:numPr>
          <w:ilvl w:val="0"/>
          <w:numId w:val="399"/>
        </w:numPr>
        <w:tabs>
          <w:tab w:pos="653" w:val="left" w:leader="none"/>
        </w:tabs>
        <w:spacing w:line="260" w:lineRule="exact" w:before="0" w:after="0"/>
        <w:ind w:left="652" w:right="0" w:hanging="335"/>
        <w:jc w:val="left"/>
        <w:rPr>
          <w:sz w:val="24"/>
        </w:rPr>
      </w:pPr>
      <w:r>
        <w:rPr>
          <w:w w:val="125"/>
          <w:sz w:val="24"/>
        </w:rPr>
        <w:t>a likviditási</w:t>
      </w:r>
      <w:r>
        <w:rPr>
          <w:spacing w:val="-11"/>
          <w:w w:val="125"/>
          <w:sz w:val="24"/>
        </w:rPr>
        <w:t> </w:t>
      </w:r>
      <w:r>
        <w:rPr>
          <w:w w:val="125"/>
          <w:sz w:val="24"/>
        </w:rPr>
        <w:t>kockázat,</w:t>
      </w:r>
    </w:p>
    <w:p>
      <w:pPr>
        <w:pStyle w:val="ListParagraph"/>
        <w:numPr>
          <w:ilvl w:val="0"/>
          <w:numId w:val="399"/>
        </w:numPr>
        <w:tabs>
          <w:tab w:pos="623" w:val="left" w:leader="none"/>
        </w:tabs>
        <w:spacing w:line="260" w:lineRule="exact" w:before="0" w:after="0"/>
        <w:ind w:left="622" w:right="0" w:hanging="305"/>
        <w:jc w:val="left"/>
        <w:rPr>
          <w:sz w:val="24"/>
        </w:rPr>
      </w:pPr>
      <w:r>
        <w:rPr>
          <w:w w:val="125"/>
          <w:sz w:val="24"/>
        </w:rPr>
        <w:t>a felügyeleti</w:t>
      </w:r>
      <w:r>
        <w:rPr>
          <w:spacing w:val="9"/>
          <w:w w:val="125"/>
          <w:sz w:val="24"/>
        </w:rPr>
        <w:t> </w:t>
      </w:r>
      <w:r>
        <w:rPr>
          <w:w w:val="125"/>
          <w:sz w:val="24"/>
        </w:rPr>
        <w:t>felülvizsgálat,</w:t>
      </w:r>
    </w:p>
    <w:p>
      <w:pPr>
        <w:pStyle w:val="ListParagraph"/>
        <w:numPr>
          <w:ilvl w:val="0"/>
          <w:numId w:val="399"/>
        </w:numPr>
        <w:tabs>
          <w:tab w:pos="653" w:val="left" w:leader="none"/>
        </w:tabs>
        <w:spacing w:line="260" w:lineRule="exact" w:before="0" w:after="0"/>
        <w:ind w:left="652" w:right="0" w:hanging="335"/>
        <w:jc w:val="left"/>
        <w:rPr>
          <w:sz w:val="24"/>
        </w:rPr>
      </w:pPr>
      <w:r>
        <w:rPr>
          <w:w w:val="125"/>
          <w:sz w:val="24"/>
        </w:rPr>
        <w:t>a 79. § (2) bekezdése szerinti többlettőke-követelmény</w:t>
      </w:r>
      <w:r>
        <w:rPr>
          <w:spacing w:val="-8"/>
          <w:w w:val="125"/>
          <w:sz w:val="24"/>
        </w:rPr>
        <w:t> </w:t>
      </w:r>
      <w:r>
        <w:rPr>
          <w:w w:val="125"/>
          <w:sz w:val="24"/>
        </w:rPr>
        <w:t>vagy</w:t>
      </w:r>
    </w:p>
    <w:p>
      <w:pPr>
        <w:pStyle w:val="ListParagraph"/>
        <w:numPr>
          <w:ilvl w:val="0"/>
          <w:numId w:val="399"/>
        </w:numPr>
        <w:tabs>
          <w:tab w:pos="629" w:val="left" w:leader="none"/>
        </w:tabs>
        <w:spacing w:line="260" w:lineRule="exact" w:before="0" w:after="0"/>
        <w:ind w:left="628" w:right="0" w:hanging="311"/>
        <w:jc w:val="left"/>
        <w:rPr>
          <w:sz w:val="24"/>
        </w:rPr>
      </w:pPr>
      <w:r>
        <w:rPr>
          <w:w w:val="125"/>
          <w:sz w:val="24"/>
        </w:rPr>
        <w:t>az intézményspecifikus likviditási követelmények</w:t>
      </w:r>
      <w:r>
        <w:rPr>
          <w:spacing w:val="-10"/>
          <w:w w:val="125"/>
          <w:sz w:val="24"/>
        </w:rPr>
        <w:t> </w:t>
      </w:r>
      <w:r>
        <w:rPr>
          <w:w w:val="125"/>
          <w:sz w:val="24"/>
        </w:rPr>
        <w:t>teljesítése</w:t>
      </w:r>
    </w:p>
    <w:p>
      <w:pPr>
        <w:pStyle w:val="BodyText"/>
        <w:spacing w:line="225" w:lineRule="auto" w:before="5"/>
        <w:ind w:right="112" w:firstLine="0"/>
        <w:jc w:val="both"/>
      </w:pPr>
      <w:r>
        <w:rPr>
          <w:w w:val="125"/>
        </w:rPr>
        <w:t>tekintetében a Felügyelet és az EU-szintű hitelintézeti anyavállalatnak vagy az EU-szintű pénzügyi holding társaság anyavállalatnak, vagy az EU-szintű  vegyes pénzügyi holding társaság anyavállalatnak  székhelye  szerinti EGT-állam illetékes felügyeleti hatóságai együttesen járnak el  (a  továbbiakban: többoldalú</w:t>
      </w:r>
      <w:r>
        <w:rPr>
          <w:spacing w:val="1"/>
          <w:w w:val="125"/>
        </w:rPr>
        <w:t> </w:t>
      </w:r>
      <w:r>
        <w:rPr>
          <w:w w:val="125"/>
        </w:rPr>
        <w:t>eljárás).</w:t>
      </w:r>
    </w:p>
    <w:p>
      <w:pPr>
        <w:pStyle w:val="ListParagraph"/>
        <w:numPr>
          <w:ilvl w:val="0"/>
          <w:numId w:val="400"/>
        </w:numPr>
        <w:tabs>
          <w:tab w:pos="854" w:val="left" w:leader="none"/>
        </w:tabs>
        <w:spacing w:line="225" w:lineRule="auto" w:before="3" w:after="0"/>
        <w:ind w:left="113" w:right="128" w:firstLine="204"/>
        <w:jc w:val="both"/>
        <w:rPr>
          <w:sz w:val="24"/>
        </w:rPr>
      </w:pPr>
      <w:r>
        <w:rPr>
          <w:w w:val="125"/>
          <w:sz w:val="24"/>
        </w:rPr>
        <w:t>Ha a Felügyelet látja el az EU-szintű hitelintézeti anyavállalat, az EU-szintű pénzügyi holding társaság anyavállalat vagy az EU-szintű vegyes pénzügyi holding társaság anyavállalat leányvállalati hitelintézet felügyeletét, akkor</w:t>
      </w:r>
      <w:r>
        <w:rPr>
          <w:spacing w:val="13"/>
          <w:w w:val="125"/>
          <w:sz w:val="24"/>
        </w:rPr>
        <w:t> </w:t>
      </w:r>
      <w:r>
        <w:rPr>
          <w:w w:val="125"/>
          <w:sz w:val="24"/>
        </w:rPr>
        <w:t>az</w:t>
      </w:r>
      <w:r>
        <w:rPr>
          <w:spacing w:val="14"/>
          <w:w w:val="125"/>
          <w:sz w:val="24"/>
        </w:rPr>
        <w:t> </w:t>
      </w:r>
      <w:r>
        <w:rPr>
          <w:w w:val="125"/>
          <w:sz w:val="24"/>
        </w:rPr>
        <w:t>(1)</w:t>
      </w:r>
      <w:r>
        <w:rPr>
          <w:spacing w:val="15"/>
          <w:w w:val="125"/>
          <w:sz w:val="24"/>
        </w:rPr>
        <w:t> </w:t>
      </w:r>
      <w:r>
        <w:rPr>
          <w:w w:val="125"/>
          <w:sz w:val="24"/>
        </w:rPr>
        <w:t>bekezdésben</w:t>
      </w:r>
      <w:r>
        <w:rPr>
          <w:spacing w:val="15"/>
          <w:w w:val="125"/>
          <w:sz w:val="24"/>
        </w:rPr>
        <w:t> </w:t>
      </w:r>
      <w:r>
        <w:rPr>
          <w:w w:val="125"/>
          <w:sz w:val="24"/>
        </w:rPr>
        <w:t>meghatározott</w:t>
      </w:r>
      <w:r>
        <w:rPr>
          <w:spacing w:val="14"/>
          <w:w w:val="125"/>
          <w:sz w:val="24"/>
        </w:rPr>
        <w:t> </w:t>
      </w:r>
      <w:r>
        <w:rPr>
          <w:w w:val="125"/>
          <w:sz w:val="24"/>
        </w:rPr>
        <w:t>eljárás</w:t>
      </w:r>
      <w:r>
        <w:rPr>
          <w:spacing w:val="13"/>
          <w:w w:val="125"/>
          <w:sz w:val="24"/>
        </w:rPr>
        <w:t> </w:t>
      </w:r>
      <w:r>
        <w:rPr>
          <w:w w:val="125"/>
          <w:sz w:val="24"/>
        </w:rPr>
        <w:t>megkezdésekor</w:t>
      </w:r>
      <w:r>
        <w:rPr>
          <w:spacing w:val="14"/>
          <w:w w:val="125"/>
          <w:sz w:val="24"/>
        </w:rPr>
        <w:t> </w:t>
      </w:r>
      <w:r>
        <w:rPr>
          <w:w w:val="125"/>
          <w:sz w:val="24"/>
        </w:rPr>
        <w:t>a</w:t>
      </w:r>
      <w:r>
        <w:rPr>
          <w:spacing w:val="14"/>
          <w:w w:val="125"/>
          <w:sz w:val="24"/>
        </w:rPr>
        <w:t> </w:t>
      </w:r>
      <w:r>
        <w:rPr>
          <w:w w:val="125"/>
          <w:sz w:val="24"/>
        </w:rPr>
        <w:t>Felügyelet</w:t>
      </w:r>
    </w:p>
    <w:p>
      <w:pPr>
        <w:pStyle w:val="ListParagraph"/>
        <w:numPr>
          <w:ilvl w:val="0"/>
          <w:numId w:val="401"/>
        </w:numPr>
        <w:tabs>
          <w:tab w:pos="658" w:val="left" w:leader="none"/>
        </w:tabs>
        <w:spacing w:line="225" w:lineRule="auto" w:before="2" w:after="0"/>
        <w:ind w:left="113" w:right="121" w:firstLine="204"/>
        <w:jc w:val="both"/>
        <w:rPr>
          <w:sz w:val="24"/>
        </w:rPr>
      </w:pPr>
      <w:r>
        <w:rPr>
          <w:w w:val="125"/>
          <w:sz w:val="24"/>
        </w:rPr>
        <w:t>haladéktalanul továbbítja a szükséges információkat és dokumentumokat azon EGT-állam illetékes felügyeleti hatóságai részére, amelyben székhellyel rendelkező vállalkozásokra kiterjed az EU-szintű hitelintézeti anyavállalatnak, az EU-szintű pénzügyi holding társaság anyavállalatnak vagy az EU-szintű vegyes pénzügyi holding társaság anyavállalatnak az összevont alapú felügyelete,</w:t>
      </w:r>
      <w:r>
        <w:rPr>
          <w:spacing w:val="1"/>
          <w:w w:val="125"/>
          <w:sz w:val="24"/>
        </w:rPr>
        <w:t> </w:t>
      </w:r>
      <w:r>
        <w:rPr>
          <w:w w:val="125"/>
          <w:sz w:val="24"/>
        </w:rPr>
        <w:t>és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13"/>
        </w:rPr>
      </w:pPr>
      <w:r>
        <w:rPr/>
        <w:pict>
          <v:line style="position:absolute;mso-position-horizontal-relative:page;mso-position-vertical-relative:paragraph;z-index:1328;mso-wrap-distance-left:0;mso-wrap-distance-right:0" from="56.693001pt,9.818356pt" to="538.583001pt,9.81835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2019. évi XXXIV. törvény 133. §</w:t>
      </w:r>
      <w:r>
        <w:rPr>
          <w:i/>
          <w:spacing w:val="-6"/>
          <w:w w:val="125"/>
          <w:sz w:val="18"/>
        </w:rPr>
        <w:t> </w:t>
      </w:r>
      <w:r>
        <w:rPr>
          <w:i/>
          <w:w w:val="125"/>
          <w:sz w:val="18"/>
        </w:rPr>
        <w:t>c).</w:t>
      </w:r>
    </w:p>
    <w:p>
      <w:pPr>
        <w:spacing w:after="0"/>
        <w:jc w:val="left"/>
        <w:rPr>
          <w:sz w:val="18"/>
        </w:rPr>
        <w:sectPr>
          <w:pgSz w:w="11900" w:h="16820"/>
          <w:pgMar w:header="1104" w:footer="0" w:top="1840" w:bottom="280" w:left="1020" w:right="1000"/>
        </w:sectPr>
      </w:pPr>
    </w:p>
    <w:p>
      <w:pPr>
        <w:pStyle w:val="ListParagraph"/>
        <w:numPr>
          <w:ilvl w:val="0"/>
          <w:numId w:val="401"/>
        </w:numPr>
        <w:tabs>
          <w:tab w:pos="714" w:val="left" w:leader="none"/>
        </w:tabs>
        <w:spacing w:line="225" w:lineRule="auto" w:before="173" w:after="0"/>
        <w:ind w:left="113" w:right="121" w:firstLine="204"/>
        <w:jc w:val="both"/>
        <w:rPr>
          <w:sz w:val="24"/>
        </w:rPr>
      </w:pPr>
      <w:r>
        <w:rPr>
          <w:w w:val="130"/>
          <w:sz w:val="24"/>
        </w:rPr>
        <w:t>ezzel egyidejűleg tájékoztatja az </w:t>
      </w:r>
      <w:r>
        <w:rPr>
          <w:i/>
          <w:w w:val="130"/>
          <w:sz w:val="24"/>
        </w:rPr>
        <w:t>a) </w:t>
      </w:r>
      <w:r>
        <w:rPr>
          <w:w w:val="130"/>
          <w:sz w:val="24"/>
        </w:rPr>
        <w:t>pontban meghatározott EGT-állam illetékes felügyeleti hatóságait a határozat-tervezetre vonatkozó vélemény, elemzés</w:t>
      </w:r>
      <w:r>
        <w:rPr>
          <w:spacing w:val="-12"/>
          <w:w w:val="130"/>
          <w:sz w:val="24"/>
        </w:rPr>
        <w:t> </w:t>
      </w:r>
      <w:r>
        <w:rPr>
          <w:w w:val="130"/>
          <w:sz w:val="24"/>
        </w:rPr>
        <w:t>és</w:t>
      </w:r>
      <w:r>
        <w:rPr>
          <w:spacing w:val="-11"/>
          <w:w w:val="130"/>
          <w:sz w:val="24"/>
        </w:rPr>
        <w:t> </w:t>
      </w:r>
      <w:r>
        <w:rPr>
          <w:w w:val="130"/>
          <w:sz w:val="24"/>
        </w:rPr>
        <w:t>fenntartás</w:t>
      </w:r>
      <w:r>
        <w:rPr>
          <w:spacing w:val="-11"/>
          <w:w w:val="130"/>
          <w:sz w:val="24"/>
        </w:rPr>
        <w:t> </w:t>
      </w:r>
      <w:r>
        <w:rPr>
          <w:w w:val="130"/>
          <w:sz w:val="24"/>
        </w:rPr>
        <w:t>MNB</w:t>
      </w:r>
      <w:r>
        <w:rPr>
          <w:spacing w:val="-11"/>
          <w:w w:val="130"/>
          <w:sz w:val="24"/>
        </w:rPr>
        <w:t> </w:t>
      </w:r>
      <w:r>
        <w:rPr>
          <w:w w:val="130"/>
          <w:sz w:val="24"/>
        </w:rPr>
        <w:t>részére</w:t>
      </w:r>
      <w:r>
        <w:rPr>
          <w:spacing w:val="-10"/>
          <w:w w:val="130"/>
          <w:sz w:val="24"/>
        </w:rPr>
        <w:t> </w:t>
      </w:r>
      <w:r>
        <w:rPr>
          <w:w w:val="130"/>
          <w:sz w:val="24"/>
        </w:rPr>
        <w:t>történő</w:t>
      </w:r>
      <w:r>
        <w:rPr>
          <w:spacing w:val="-12"/>
          <w:w w:val="130"/>
          <w:sz w:val="24"/>
        </w:rPr>
        <w:t> </w:t>
      </w:r>
      <w:r>
        <w:rPr>
          <w:w w:val="130"/>
          <w:sz w:val="24"/>
        </w:rPr>
        <w:t>megküldésének</w:t>
      </w:r>
      <w:r>
        <w:rPr>
          <w:spacing w:val="-11"/>
          <w:w w:val="130"/>
          <w:sz w:val="24"/>
        </w:rPr>
        <w:t> </w:t>
      </w:r>
      <w:r>
        <w:rPr>
          <w:w w:val="130"/>
          <w:sz w:val="24"/>
        </w:rPr>
        <w:t>határidejéről.</w:t>
      </w:r>
    </w:p>
    <w:p>
      <w:pPr>
        <w:pStyle w:val="ListParagraph"/>
        <w:numPr>
          <w:ilvl w:val="0"/>
          <w:numId w:val="400"/>
        </w:numPr>
        <w:tabs>
          <w:tab w:pos="866" w:val="left" w:leader="none"/>
        </w:tabs>
        <w:spacing w:line="225" w:lineRule="auto" w:before="1" w:after="0"/>
        <w:ind w:left="113" w:right="133" w:firstLine="204"/>
        <w:jc w:val="both"/>
        <w:rPr>
          <w:sz w:val="24"/>
        </w:rPr>
      </w:pPr>
      <w:r>
        <w:rPr>
          <w:w w:val="130"/>
          <w:sz w:val="24"/>
        </w:rPr>
        <w:t>A Felügyelet a többoldalú eljárás keretében csak valamennyi, az eljárásban</w:t>
      </w:r>
      <w:r>
        <w:rPr>
          <w:spacing w:val="-9"/>
          <w:w w:val="130"/>
          <w:sz w:val="24"/>
        </w:rPr>
        <w:t> </w:t>
      </w:r>
      <w:r>
        <w:rPr>
          <w:w w:val="130"/>
          <w:sz w:val="24"/>
        </w:rPr>
        <w:t>részt</w:t>
      </w:r>
      <w:r>
        <w:rPr>
          <w:spacing w:val="-9"/>
          <w:w w:val="130"/>
          <w:sz w:val="24"/>
        </w:rPr>
        <w:t> </w:t>
      </w:r>
      <w:r>
        <w:rPr>
          <w:w w:val="130"/>
          <w:sz w:val="24"/>
        </w:rPr>
        <w:t>vevő</w:t>
      </w:r>
      <w:r>
        <w:rPr>
          <w:spacing w:val="-9"/>
          <w:w w:val="130"/>
          <w:sz w:val="24"/>
        </w:rPr>
        <w:t> </w:t>
      </w:r>
      <w:r>
        <w:rPr>
          <w:w w:val="130"/>
          <w:sz w:val="24"/>
        </w:rPr>
        <w:t>EGT-állam</w:t>
      </w:r>
      <w:r>
        <w:rPr>
          <w:spacing w:val="-9"/>
          <w:w w:val="130"/>
          <w:sz w:val="24"/>
        </w:rPr>
        <w:t> </w:t>
      </w:r>
      <w:r>
        <w:rPr>
          <w:w w:val="130"/>
          <w:sz w:val="24"/>
        </w:rPr>
        <w:t>illetékes</w:t>
      </w:r>
      <w:r>
        <w:rPr>
          <w:spacing w:val="-8"/>
          <w:w w:val="130"/>
          <w:sz w:val="24"/>
        </w:rPr>
        <w:t> </w:t>
      </w:r>
      <w:r>
        <w:rPr>
          <w:w w:val="130"/>
          <w:sz w:val="24"/>
        </w:rPr>
        <w:t>felügyeleti</w:t>
      </w:r>
      <w:r>
        <w:rPr>
          <w:spacing w:val="-2"/>
          <w:w w:val="130"/>
          <w:sz w:val="24"/>
        </w:rPr>
        <w:t> </w:t>
      </w:r>
      <w:r>
        <w:rPr>
          <w:w w:val="130"/>
          <w:sz w:val="24"/>
        </w:rPr>
        <w:t>hatósága</w:t>
      </w:r>
      <w:r>
        <w:rPr>
          <w:spacing w:val="-16"/>
          <w:w w:val="130"/>
          <w:sz w:val="24"/>
        </w:rPr>
        <w:t> </w:t>
      </w:r>
      <w:r>
        <w:rPr>
          <w:w w:val="130"/>
          <w:sz w:val="24"/>
        </w:rPr>
        <w:t>egyetértésével hozhat érvényes határozatot (a továbbiakban: többoldalú eljárás keretében</w:t>
      </w:r>
      <w:r>
        <w:rPr>
          <w:spacing w:val="78"/>
          <w:w w:val="130"/>
          <w:sz w:val="24"/>
        </w:rPr>
        <w:t> </w:t>
      </w:r>
      <w:r>
        <w:rPr>
          <w:w w:val="130"/>
          <w:sz w:val="24"/>
        </w:rPr>
        <w:t>hozott határozat), amely határozat meghozatalának</w:t>
      </w:r>
      <w:r>
        <w:rPr>
          <w:spacing w:val="-28"/>
          <w:w w:val="130"/>
          <w:sz w:val="24"/>
        </w:rPr>
        <w:t> </w:t>
      </w:r>
      <w:r>
        <w:rPr>
          <w:w w:val="130"/>
          <w:sz w:val="24"/>
        </w:rPr>
        <w:t>határideje</w:t>
      </w:r>
    </w:p>
    <w:p>
      <w:pPr>
        <w:pStyle w:val="ListParagraph"/>
        <w:numPr>
          <w:ilvl w:val="0"/>
          <w:numId w:val="402"/>
        </w:numPr>
        <w:tabs>
          <w:tab w:pos="696" w:val="left" w:leader="none"/>
        </w:tabs>
        <w:spacing w:line="225" w:lineRule="auto" w:before="3" w:after="0"/>
        <w:ind w:left="113" w:right="123" w:firstLine="204"/>
        <w:jc w:val="both"/>
        <w:rPr>
          <w:sz w:val="24"/>
        </w:rPr>
      </w:pPr>
      <w:r>
        <w:rPr>
          <w:w w:val="130"/>
          <w:sz w:val="24"/>
        </w:rPr>
        <w:t>az (1) bekezdés </w:t>
      </w:r>
      <w:r>
        <w:rPr>
          <w:i/>
          <w:w w:val="130"/>
          <w:sz w:val="24"/>
        </w:rPr>
        <w:t>a)</w:t>
      </w:r>
      <w:r>
        <w:rPr>
          <w:w w:val="130"/>
          <w:sz w:val="24"/>
        </w:rPr>
        <w:t>, </w:t>
      </w:r>
      <w:r>
        <w:rPr>
          <w:i/>
          <w:w w:val="130"/>
          <w:sz w:val="24"/>
        </w:rPr>
        <w:t>c) </w:t>
      </w:r>
      <w:r>
        <w:rPr>
          <w:w w:val="130"/>
          <w:sz w:val="24"/>
        </w:rPr>
        <w:t>és </w:t>
      </w:r>
      <w:r>
        <w:rPr>
          <w:i/>
          <w:w w:val="130"/>
          <w:sz w:val="24"/>
        </w:rPr>
        <w:t>d) </w:t>
      </w:r>
      <w:r>
        <w:rPr>
          <w:w w:val="130"/>
          <w:sz w:val="24"/>
        </w:rPr>
        <w:t>pontja tekintetében a hiánytalan kérelem beérkezését követően a Felügyelet által elkészített összevont alapú kockázatértékelési jelentésnek (amely kiterjed arra is, hogy a csoport szavatoló tőkéje összevont alapon megfelel-e a csoport pénzügyi</w:t>
      </w:r>
      <w:r>
        <w:rPr>
          <w:spacing w:val="-50"/>
          <w:w w:val="130"/>
          <w:sz w:val="24"/>
        </w:rPr>
        <w:t> </w:t>
      </w:r>
      <w:r>
        <w:rPr>
          <w:w w:val="130"/>
          <w:sz w:val="24"/>
        </w:rPr>
        <w:t>helyzetének és kockázati jellemzőinek) az eljárásban résztvevő illetékes felügyeleti hatóságok részére történő továbbításától számított négy</w:t>
      </w:r>
      <w:r>
        <w:rPr>
          <w:spacing w:val="-35"/>
          <w:w w:val="130"/>
          <w:sz w:val="24"/>
        </w:rPr>
        <w:t> </w:t>
      </w:r>
      <w:r>
        <w:rPr>
          <w:w w:val="130"/>
          <w:sz w:val="24"/>
        </w:rPr>
        <w:t>hónap,</w:t>
      </w:r>
    </w:p>
    <w:p>
      <w:pPr>
        <w:pStyle w:val="ListParagraph"/>
        <w:numPr>
          <w:ilvl w:val="0"/>
          <w:numId w:val="402"/>
        </w:numPr>
        <w:tabs>
          <w:tab w:pos="746" w:val="left" w:leader="none"/>
        </w:tabs>
        <w:spacing w:line="225" w:lineRule="auto" w:before="3" w:after="0"/>
        <w:ind w:left="113" w:right="117" w:firstLine="204"/>
        <w:jc w:val="both"/>
        <w:rPr>
          <w:sz w:val="24"/>
        </w:rPr>
      </w:pPr>
      <w:r>
        <w:rPr>
          <w:w w:val="125"/>
          <w:sz w:val="24"/>
        </w:rPr>
        <w:t>az (1) bekezdés </w:t>
      </w:r>
      <w:r>
        <w:rPr>
          <w:i/>
          <w:w w:val="125"/>
          <w:sz w:val="24"/>
        </w:rPr>
        <w:t>b) </w:t>
      </w:r>
      <w:r>
        <w:rPr>
          <w:w w:val="125"/>
          <w:sz w:val="24"/>
        </w:rPr>
        <w:t>és </w:t>
      </w:r>
      <w:r>
        <w:rPr>
          <w:i/>
          <w:w w:val="125"/>
          <w:sz w:val="24"/>
        </w:rPr>
        <w:t>e) </w:t>
      </w:r>
      <w:r>
        <w:rPr>
          <w:w w:val="125"/>
          <w:sz w:val="24"/>
        </w:rPr>
        <w:t>pontja tekintetében a hiánytalan kérelem beérkezését követően a Felügyelet által elkészített összevont alapú likviditási kockázat-elemzési jelentésnek (amely kiterjed a likviditási felügyelethez kapcsolódó jelentős problémák kezelésére szolgáló intézkedésekre, ideértve a kockázatkezeléssel vagy az intézményspecifikus likviditási követelmények szükségességével kapcsolatos intézkedéseket is) az eljárásban résztvevő felügyeleti hatóságok részére történő továbbításától számított egy</w:t>
      </w:r>
      <w:r>
        <w:rPr>
          <w:spacing w:val="8"/>
          <w:w w:val="125"/>
          <w:sz w:val="24"/>
        </w:rPr>
        <w:t> </w:t>
      </w:r>
      <w:r>
        <w:rPr>
          <w:w w:val="125"/>
          <w:sz w:val="24"/>
        </w:rPr>
        <w:t>hónap.</w:t>
      </w:r>
    </w:p>
    <w:p>
      <w:pPr>
        <w:pStyle w:val="ListParagraph"/>
        <w:numPr>
          <w:ilvl w:val="0"/>
          <w:numId w:val="400"/>
        </w:numPr>
        <w:tabs>
          <w:tab w:pos="829" w:val="left" w:leader="none"/>
        </w:tabs>
        <w:spacing w:line="225" w:lineRule="auto" w:before="4" w:after="0"/>
        <w:ind w:left="113" w:right="124" w:firstLine="204"/>
        <w:jc w:val="both"/>
        <w:rPr>
          <w:sz w:val="24"/>
        </w:rPr>
      </w:pPr>
      <w:r>
        <w:rPr>
          <w:w w:val="130"/>
          <w:sz w:val="24"/>
        </w:rPr>
        <w:t>Ha az eljárásban résztvevő EGT-állam illetékes felügyeleti hatósága egyetértésének hiánya miatt a többoldalú eljárás eredménytelen, akkor a (3) bekezdésben rögzített határidőn belül az eljárásban résztvevő bármelyik EGT-állam illetékes felügyeleti hatósága kérésére a Felügyelet az EBH-val a többoldalú eljárás eredménytelensége vonatkozásában egyeztetést köteles folytatni vagy saját kezdeményezésére egyeztetést</w:t>
      </w:r>
      <w:r>
        <w:rPr>
          <w:spacing w:val="-39"/>
          <w:w w:val="130"/>
          <w:sz w:val="24"/>
        </w:rPr>
        <w:t> </w:t>
      </w:r>
      <w:r>
        <w:rPr>
          <w:w w:val="130"/>
          <w:sz w:val="24"/>
        </w:rPr>
        <w:t>folytathat.</w:t>
      </w:r>
    </w:p>
    <w:p>
      <w:pPr>
        <w:pStyle w:val="ListParagraph"/>
        <w:numPr>
          <w:ilvl w:val="0"/>
          <w:numId w:val="400"/>
        </w:numPr>
        <w:tabs>
          <w:tab w:pos="956" w:val="left" w:leader="none"/>
        </w:tabs>
        <w:spacing w:line="225" w:lineRule="auto" w:before="4" w:after="0"/>
        <w:ind w:left="113" w:right="131" w:firstLine="204"/>
        <w:jc w:val="both"/>
        <w:rPr>
          <w:sz w:val="24"/>
        </w:rPr>
      </w:pPr>
      <w:r>
        <w:rPr>
          <w:w w:val="130"/>
          <w:sz w:val="24"/>
        </w:rPr>
        <w:t>Ha az eljárásban részt vevő EGT-állam felügyeleti hatósága egyetértésének hiánya miatt a többoldalú eljárás eredménytelen, a Felügyelet a többoldalú eljárás lezárultát követő tíz munkanapon belül, az eljárásban részt vevő valamennyi EGT-állam illetékes felügyeleti hatóságának a többoldalú eljárás során adott véleményére, elemzésére és fenntartására figyelemmel hozza meg a</w:t>
      </w:r>
      <w:r>
        <w:rPr>
          <w:spacing w:val="-18"/>
          <w:w w:val="130"/>
          <w:sz w:val="24"/>
        </w:rPr>
        <w:t> </w:t>
      </w:r>
      <w:r>
        <w:rPr>
          <w:w w:val="130"/>
          <w:sz w:val="24"/>
        </w:rPr>
        <w:t>határozatát.</w:t>
      </w:r>
    </w:p>
    <w:p>
      <w:pPr>
        <w:pStyle w:val="ListParagraph"/>
        <w:numPr>
          <w:ilvl w:val="0"/>
          <w:numId w:val="400"/>
        </w:numPr>
        <w:tabs>
          <w:tab w:pos="774" w:val="left" w:leader="none"/>
        </w:tabs>
        <w:spacing w:line="225" w:lineRule="auto" w:before="3" w:after="0"/>
        <w:ind w:left="113" w:right="125" w:firstLine="204"/>
        <w:jc w:val="both"/>
        <w:rPr>
          <w:sz w:val="24"/>
        </w:rPr>
      </w:pPr>
      <w:r>
        <w:rPr>
          <w:w w:val="130"/>
          <w:sz w:val="24"/>
        </w:rPr>
        <w:t>Ha a Felügyelet a (4) bekezdés szerinti egyeztetést folytat az EBH-val, akkor a (3) bekezdéstől eltérően az eljárás határideje az EBH-nak az európai felügyeleti hatóság (Európai Bankhatóság) létrehozásáról, a 716/2009/EK</w:t>
      </w:r>
      <w:r>
        <w:rPr>
          <w:spacing w:val="78"/>
          <w:w w:val="130"/>
          <w:sz w:val="24"/>
        </w:rPr>
        <w:t> </w:t>
      </w:r>
      <w:r>
        <w:rPr>
          <w:w w:val="130"/>
          <w:sz w:val="24"/>
        </w:rPr>
        <w:t>határozat módosításáról és a 2009/78/EK bizottsági határozat hatályon kívül helyezéséről szóló</w:t>
      </w:r>
      <w:r>
        <w:rPr>
          <w:spacing w:val="-58"/>
          <w:w w:val="130"/>
          <w:sz w:val="24"/>
        </w:rPr>
        <w:t> </w:t>
      </w:r>
      <w:r>
        <w:rPr>
          <w:w w:val="130"/>
          <w:sz w:val="24"/>
        </w:rPr>
        <w:t>2010. november 24-i 1093/2010/EU európai parlamenti és tanácsi rendelet 19. cikk (3) bekezdése szerinti határozatnak a Felügyelet részére történő átadását követő tíz munkanap múlva jár</w:t>
      </w:r>
      <w:r>
        <w:rPr>
          <w:spacing w:val="-40"/>
          <w:w w:val="130"/>
          <w:sz w:val="24"/>
        </w:rPr>
        <w:t> </w:t>
      </w:r>
      <w:r>
        <w:rPr>
          <w:w w:val="130"/>
          <w:sz w:val="24"/>
        </w:rPr>
        <w:t>le.</w:t>
      </w:r>
    </w:p>
    <w:p>
      <w:pPr>
        <w:pStyle w:val="ListParagraph"/>
        <w:numPr>
          <w:ilvl w:val="0"/>
          <w:numId w:val="400"/>
        </w:numPr>
        <w:tabs>
          <w:tab w:pos="837" w:val="left" w:leader="none"/>
        </w:tabs>
        <w:spacing w:line="225" w:lineRule="auto" w:before="4" w:after="0"/>
        <w:ind w:left="113" w:right="125" w:firstLine="204"/>
        <w:jc w:val="both"/>
        <w:rPr>
          <w:sz w:val="24"/>
        </w:rPr>
      </w:pPr>
      <w:r>
        <w:rPr>
          <w:w w:val="130"/>
          <w:sz w:val="24"/>
        </w:rPr>
        <w:t>A Felügyelet a (6) bekezdés szerinti egyeztetést követően az EBH határozatát a határozatának meghozatalakor figyelembe veszi. Ha a Felügyelet a határozatában jelentősen eltér az EBH határozatától, akkor a</w:t>
      </w:r>
      <w:r>
        <w:rPr>
          <w:spacing w:val="78"/>
          <w:w w:val="130"/>
          <w:sz w:val="24"/>
        </w:rPr>
        <w:t> </w:t>
      </w:r>
      <w:r>
        <w:rPr>
          <w:w w:val="130"/>
          <w:sz w:val="24"/>
        </w:rPr>
        <w:t>határozatában az eltérést</w:t>
      </w:r>
      <w:r>
        <w:rPr>
          <w:spacing w:val="-10"/>
          <w:w w:val="130"/>
          <w:sz w:val="24"/>
        </w:rPr>
        <w:t> </w:t>
      </w:r>
      <w:r>
        <w:rPr>
          <w:w w:val="130"/>
          <w:sz w:val="24"/>
        </w:rPr>
        <w:t>indokolja.</w:t>
      </w:r>
    </w:p>
    <w:p>
      <w:pPr>
        <w:pStyle w:val="ListParagraph"/>
        <w:numPr>
          <w:ilvl w:val="0"/>
          <w:numId w:val="400"/>
        </w:numPr>
        <w:tabs>
          <w:tab w:pos="811" w:val="left" w:leader="none"/>
        </w:tabs>
        <w:spacing w:line="225" w:lineRule="auto" w:before="3" w:after="0"/>
        <w:ind w:left="113" w:right="134" w:firstLine="204"/>
        <w:jc w:val="both"/>
        <w:rPr>
          <w:sz w:val="24"/>
        </w:rPr>
      </w:pPr>
      <w:r>
        <w:rPr>
          <w:w w:val="125"/>
          <w:sz w:val="24"/>
        </w:rPr>
        <w:t>A Felügyelet a részletes indokolást is tartalmazó határozatát közli a többoldalú eljárásban részt vevő valamennyi EGT-állam illetékes felügyeleti hatósággal és az összevont alapú felügyelet alá tartozó</w:t>
      </w:r>
      <w:r>
        <w:rPr>
          <w:spacing w:val="51"/>
          <w:w w:val="125"/>
          <w:sz w:val="24"/>
        </w:rPr>
        <w:t> </w:t>
      </w:r>
      <w:r>
        <w:rPr>
          <w:w w:val="125"/>
          <w:sz w:val="24"/>
        </w:rPr>
        <w:t>anyavállalattal.</w:t>
      </w:r>
    </w:p>
    <w:p>
      <w:pPr>
        <w:spacing w:after="0" w:line="225" w:lineRule="auto"/>
        <w:jc w:val="both"/>
        <w:rPr>
          <w:sz w:val="24"/>
        </w:rPr>
        <w:sectPr>
          <w:pgSz w:w="11900" w:h="16820"/>
          <w:pgMar w:header="1104" w:footer="0" w:top="1840" w:bottom="280" w:left="1020" w:right="1000"/>
        </w:sectPr>
      </w:pPr>
    </w:p>
    <w:p>
      <w:pPr>
        <w:pStyle w:val="ListParagraph"/>
        <w:numPr>
          <w:ilvl w:val="0"/>
          <w:numId w:val="400"/>
        </w:numPr>
        <w:tabs>
          <w:tab w:pos="870" w:val="left" w:leader="none"/>
        </w:tabs>
        <w:spacing w:line="225" w:lineRule="auto" w:before="173" w:after="0"/>
        <w:ind w:left="113" w:right="124" w:firstLine="204"/>
        <w:jc w:val="both"/>
        <w:rPr>
          <w:sz w:val="24"/>
        </w:rPr>
      </w:pPr>
      <w:r>
        <w:rPr>
          <w:w w:val="130"/>
          <w:sz w:val="24"/>
        </w:rPr>
        <w:t>Ha az eljárás lefolytatására másik EGT-állam illetékes felügyeleti hatósága jogosult, és az EU-szintű hitelintézeti anyavállalat, EU-szintű pénzügyi holding társaság anyavállalat vagy EU-szintű vegyes pénzügyi holding társaság anyavállalat leányvállalati hitelintézetét a Felügyelet felügyeli, akkor a Felügyelet az eljárásra jogosult EGT-állam illetékes felügyeleti hatósága által meghatározott határidőn belül megküldi a véleményét,</w:t>
      </w:r>
      <w:r>
        <w:rPr>
          <w:spacing w:val="-4"/>
          <w:w w:val="130"/>
          <w:sz w:val="24"/>
        </w:rPr>
        <w:t> </w:t>
      </w:r>
      <w:r>
        <w:rPr>
          <w:w w:val="130"/>
          <w:sz w:val="24"/>
        </w:rPr>
        <w:t>fenntartását.</w:t>
      </w:r>
    </w:p>
    <w:p>
      <w:pPr>
        <w:pStyle w:val="ListParagraph"/>
        <w:numPr>
          <w:ilvl w:val="0"/>
          <w:numId w:val="400"/>
        </w:numPr>
        <w:tabs>
          <w:tab w:pos="927" w:val="left" w:leader="none"/>
        </w:tabs>
        <w:spacing w:line="225" w:lineRule="auto" w:before="4" w:after="0"/>
        <w:ind w:left="113" w:right="128" w:firstLine="204"/>
        <w:jc w:val="both"/>
        <w:rPr>
          <w:sz w:val="24"/>
        </w:rPr>
      </w:pPr>
      <w:r>
        <w:rPr>
          <w:w w:val="125"/>
          <w:sz w:val="24"/>
        </w:rPr>
        <w:t>Ha az EU-szintű hitelintézeti anyavállalat, EU-szintű pénzügyi holding társaság anyavállalat vagy EU-szintű vegyes pénzügyi holding társaság anyavállalat székhelye szerinti EGT-állam illetékes felügyeleti hatósága az (1) bekezdés szerinti eljárást  követően  döntést  hozott,  határozata Magyarországon közvetlenül alkalmazandó és végrehajtható. A Felügyelet az EGT-állam illetékes felügyeleti hatósága határozatának tényét magyar nyelven a honlapján közzéteszi. A Felügyelet hatáskörébe tartozó  szervezet tekintetében a más EGT-állam illetékes felügyeleti hatósága által hozott határozatban foglaltak végrehajtására, teljesítésének ellenőrzésére, az  ellenőrzés alapján hozható intézkedésre a Felügyelet  által  hozott  határozatokra vonatkozó magyar jogszabályok</w:t>
      </w:r>
      <w:r>
        <w:rPr>
          <w:spacing w:val="21"/>
          <w:w w:val="125"/>
          <w:sz w:val="24"/>
        </w:rPr>
        <w:t> </w:t>
      </w:r>
      <w:r>
        <w:rPr>
          <w:w w:val="125"/>
          <w:sz w:val="24"/>
        </w:rPr>
        <w:t>alkalmazandóak.</w:t>
      </w:r>
    </w:p>
    <w:p>
      <w:pPr>
        <w:pStyle w:val="ListParagraph"/>
        <w:numPr>
          <w:ilvl w:val="0"/>
          <w:numId w:val="400"/>
        </w:numPr>
        <w:tabs>
          <w:tab w:pos="996" w:val="left" w:leader="none"/>
        </w:tabs>
        <w:spacing w:line="225" w:lineRule="auto" w:before="6" w:after="0"/>
        <w:ind w:left="113" w:right="126" w:firstLine="204"/>
        <w:jc w:val="both"/>
        <w:rPr>
          <w:sz w:val="24"/>
        </w:rPr>
      </w:pPr>
      <w:r>
        <w:rPr>
          <w:w w:val="125"/>
          <w:sz w:val="24"/>
        </w:rPr>
        <w:t>A Felügyelet a (3) bekezdés szerinti határozat megváltoztatásának szükségességét</w:t>
      </w:r>
    </w:p>
    <w:p>
      <w:pPr>
        <w:pStyle w:val="ListParagraph"/>
        <w:numPr>
          <w:ilvl w:val="0"/>
          <w:numId w:val="403"/>
        </w:numPr>
        <w:tabs>
          <w:tab w:pos="631" w:val="left" w:leader="none"/>
        </w:tabs>
        <w:spacing w:line="256" w:lineRule="exact" w:before="0" w:after="0"/>
        <w:ind w:left="630" w:right="0" w:hanging="313"/>
        <w:jc w:val="left"/>
        <w:rPr>
          <w:sz w:val="24"/>
        </w:rPr>
      </w:pPr>
      <w:r>
        <w:rPr>
          <w:w w:val="125"/>
          <w:sz w:val="24"/>
        </w:rPr>
        <w:t>legalább évente egyszer</w:t>
      </w:r>
      <w:r>
        <w:rPr>
          <w:spacing w:val="1"/>
          <w:w w:val="125"/>
          <w:sz w:val="24"/>
        </w:rPr>
        <w:t> </w:t>
      </w:r>
      <w:r>
        <w:rPr>
          <w:w w:val="125"/>
          <w:sz w:val="24"/>
        </w:rPr>
        <w:t>vagy</w:t>
      </w:r>
    </w:p>
    <w:p>
      <w:pPr>
        <w:pStyle w:val="ListParagraph"/>
        <w:numPr>
          <w:ilvl w:val="0"/>
          <w:numId w:val="403"/>
        </w:numPr>
        <w:tabs>
          <w:tab w:pos="758" w:val="left" w:leader="none"/>
        </w:tabs>
        <w:spacing w:line="225" w:lineRule="auto" w:before="6" w:after="0"/>
        <w:ind w:left="113" w:right="126" w:firstLine="204"/>
        <w:jc w:val="both"/>
        <w:rPr>
          <w:sz w:val="24"/>
        </w:rPr>
      </w:pPr>
      <w:r>
        <w:rPr>
          <w:w w:val="125"/>
          <w:sz w:val="24"/>
        </w:rPr>
        <w:t>az összevont alapú felügyelet alá tartozó anyavállalat, leányvállalat illetékes felügyeleti hatósága az (1) bekezdés </w:t>
      </w:r>
      <w:r>
        <w:rPr>
          <w:i/>
          <w:w w:val="125"/>
          <w:sz w:val="24"/>
        </w:rPr>
        <w:t>d) </w:t>
      </w:r>
      <w:r>
        <w:rPr>
          <w:w w:val="125"/>
          <w:sz w:val="24"/>
        </w:rPr>
        <w:t>vagy  </w:t>
      </w:r>
      <w:r>
        <w:rPr>
          <w:i/>
          <w:w w:val="125"/>
          <w:sz w:val="24"/>
        </w:rPr>
        <w:t>e)  </w:t>
      </w:r>
      <w:r>
        <w:rPr>
          <w:w w:val="125"/>
          <w:sz w:val="24"/>
        </w:rPr>
        <w:t>pontja vonatkozásában írásban, indokolással ellátott</w:t>
      </w:r>
      <w:r>
        <w:rPr>
          <w:spacing w:val="13"/>
          <w:w w:val="125"/>
          <w:sz w:val="24"/>
        </w:rPr>
        <w:t> </w:t>
      </w:r>
      <w:r>
        <w:rPr>
          <w:w w:val="125"/>
          <w:sz w:val="24"/>
        </w:rPr>
        <w:t>kérelmére</w:t>
      </w:r>
    </w:p>
    <w:p>
      <w:pPr>
        <w:pStyle w:val="BodyText"/>
        <w:spacing w:line="225" w:lineRule="auto" w:before="1"/>
        <w:ind w:right="126" w:firstLine="0"/>
        <w:jc w:val="both"/>
      </w:pPr>
      <w:r>
        <w:rPr>
          <w:w w:val="125"/>
        </w:rPr>
        <w:t>megvizsgálja azzal, hogy az eljárásban részt vehet a </w:t>
      </w:r>
      <w:r>
        <w:rPr>
          <w:i/>
          <w:w w:val="125"/>
        </w:rPr>
        <w:t>b) </w:t>
      </w:r>
      <w:r>
        <w:rPr>
          <w:w w:val="125"/>
        </w:rPr>
        <w:t>pont szerinti illetékes felügyeleti hatóság.</w:t>
      </w:r>
    </w:p>
    <w:p>
      <w:pPr>
        <w:pStyle w:val="BodyText"/>
        <w:spacing w:before="228"/>
        <w:ind w:left="2371" w:firstLine="0"/>
      </w:pPr>
      <w:r>
        <w:rPr>
          <w:w w:val="125"/>
        </w:rPr>
        <w:t>75. Összevont alapú felügyeleti ellenőrzés</w:t>
      </w:r>
    </w:p>
    <w:p>
      <w:pPr>
        <w:pStyle w:val="ListParagraph"/>
        <w:numPr>
          <w:ilvl w:val="0"/>
          <w:numId w:val="387"/>
        </w:numPr>
        <w:tabs>
          <w:tab w:pos="987" w:val="left" w:leader="none"/>
        </w:tabs>
        <w:spacing w:line="225" w:lineRule="auto" w:before="236" w:after="0"/>
        <w:ind w:left="113" w:right="119" w:firstLine="204"/>
        <w:jc w:val="both"/>
        <w:rPr>
          <w:sz w:val="24"/>
        </w:rPr>
      </w:pPr>
      <w:r>
        <w:rPr>
          <w:rFonts w:ascii="Arial" w:hAnsi="Arial"/>
          <w:b/>
          <w:w w:val="125"/>
          <w:sz w:val="24"/>
        </w:rPr>
        <w:t>§ </w:t>
      </w:r>
      <w:r>
        <w:rPr>
          <w:w w:val="125"/>
          <w:sz w:val="24"/>
        </w:rPr>
        <w:t>(1) Az 575/2013/EU rendelet alapján az összevont alapú felügyelet alá tartozó és az olyan vállalkozások - amelyekre az összevont alapú felügyelet kiterjed - körében a Felügyelet jogosult helyszínen kívül vagy helyszínen ellenőrizni a 172. §-ban foglalt és az 575/2013/EU rendelet összevont alapú felügyeletére vonatkozó rendelkezések</w:t>
      </w:r>
      <w:r>
        <w:rPr>
          <w:spacing w:val="10"/>
          <w:w w:val="125"/>
          <w:sz w:val="24"/>
        </w:rPr>
        <w:t> </w:t>
      </w:r>
      <w:r>
        <w:rPr>
          <w:w w:val="125"/>
          <w:sz w:val="24"/>
        </w:rPr>
        <w:t>betartását.</w:t>
      </w:r>
    </w:p>
    <w:p>
      <w:pPr>
        <w:pStyle w:val="ListParagraph"/>
        <w:numPr>
          <w:ilvl w:val="0"/>
          <w:numId w:val="404"/>
        </w:numPr>
        <w:tabs>
          <w:tab w:pos="747" w:val="left" w:leader="none"/>
        </w:tabs>
        <w:spacing w:line="257" w:lineRule="exact" w:before="0" w:after="0"/>
        <w:ind w:left="746" w:right="0" w:hanging="429"/>
        <w:jc w:val="left"/>
        <w:rPr>
          <w:sz w:val="24"/>
        </w:rPr>
      </w:pPr>
      <w:r>
        <w:rPr>
          <w:w w:val="125"/>
          <w:sz w:val="24"/>
        </w:rPr>
        <w:t>A</w:t>
      </w:r>
      <w:r>
        <w:rPr>
          <w:spacing w:val="17"/>
          <w:w w:val="125"/>
          <w:sz w:val="24"/>
        </w:rPr>
        <w:t> </w:t>
      </w:r>
      <w:r>
        <w:rPr>
          <w:w w:val="125"/>
          <w:sz w:val="24"/>
        </w:rPr>
        <w:t>172.</w:t>
      </w:r>
      <w:r>
        <w:rPr>
          <w:spacing w:val="17"/>
          <w:w w:val="125"/>
          <w:sz w:val="24"/>
        </w:rPr>
        <w:t> </w:t>
      </w:r>
      <w:r>
        <w:rPr>
          <w:w w:val="125"/>
          <w:sz w:val="24"/>
        </w:rPr>
        <w:t>§</w:t>
      </w:r>
      <w:r>
        <w:rPr>
          <w:spacing w:val="17"/>
          <w:w w:val="125"/>
          <w:sz w:val="24"/>
        </w:rPr>
        <w:t> </w:t>
      </w:r>
      <w:r>
        <w:rPr>
          <w:w w:val="125"/>
          <w:sz w:val="24"/>
        </w:rPr>
        <w:t>(7)</w:t>
      </w:r>
      <w:r>
        <w:rPr>
          <w:spacing w:val="17"/>
          <w:w w:val="125"/>
          <w:sz w:val="24"/>
        </w:rPr>
        <w:t> </w:t>
      </w:r>
      <w:r>
        <w:rPr>
          <w:w w:val="125"/>
          <w:sz w:val="24"/>
        </w:rPr>
        <w:t>bekezdésben</w:t>
      </w:r>
      <w:r>
        <w:rPr>
          <w:spacing w:val="17"/>
          <w:w w:val="125"/>
          <w:sz w:val="24"/>
        </w:rPr>
        <w:t> </w:t>
      </w:r>
      <w:r>
        <w:rPr>
          <w:w w:val="125"/>
          <w:sz w:val="24"/>
        </w:rPr>
        <w:t>meghatározott</w:t>
      </w:r>
      <w:r>
        <w:rPr>
          <w:spacing w:val="17"/>
          <w:w w:val="125"/>
          <w:sz w:val="24"/>
        </w:rPr>
        <w:t> </w:t>
      </w:r>
      <w:r>
        <w:rPr>
          <w:w w:val="125"/>
          <w:sz w:val="24"/>
        </w:rPr>
        <w:t>személyek</w:t>
      </w:r>
      <w:r>
        <w:rPr>
          <w:spacing w:val="17"/>
          <w:w w:val="125"/>
          <w:sz w:val="24"/>
        </w:rPr>
        <w:t> </w:t>
      </w:r>
      <w:r>
        <w:rPr>
          <w:w w:val="125"/>
          <w:sz w:val="24"/>
        </w:rPr>
        <w:t>körében</w:t>
      </w:r>
      <w:r>
        <w:rPr>
          <w:spacing w:val="16"/>
          <w:w w:val="125"/>
          <w:sz w:val="24"/>
        </w:rPr>
        <w:t> </w:t>
      </w:r>
      <w:r>
        <w:rPr>
          <w:w w:val="125"/>
          <w:sz w:val="24"/>
        </w:rPr>
        <w:t>a</w:t>
      </w:r>
      <w:r>
        <w:rPr>
          <w:spacing w:val="17"/>
          <w:w w:val="125"/>
          <w:sz w:val="24"/>
        </w:rPr>
        <w:t> </w:t>
      </w:r>
      <w:r>
        <w:rPr>
          <w:w w:val="125"/>
          <w:sz w:val="24"/>
        </w:rPr>
        <w:t>Felügyelet</w:t>
      </w:r>
    </w:p>
    <w:p>
      <w:pPr>
        <w:pStyle w:val="ListParagraph"/>
        <w:numPr>
          <w:ilvl w:val="0"/>
          <w:numId w:val="6"/>
        </w:numPr>
        <w:tabs>
          <w:tab w:pos="428" w:val="left" w:leader="none"/>
        </w:tabs>
        <w:spacing w:line="225" w:lineRule="auto" w:before="6" w:after="0"/>
        <w:ind w:left="113" w:right="121" w:firstLine="0"/>
        <w:jc w:val="both"/>
        <w:rPr>
          <w:sz w:val="24"/>
        </w:rPr>
      </w:pPr>
      <w:r>
        <w:rPr>
          <w:w w:val="125"/>
          <w:sz w:val="24"/>
        </w:rPr>
        <w:t>helyszínen kívül vagy helyszínen - ellenőrizheti az összevont alapú felügyelettel kapcsolatban felmerülő feladatok ellátása érdekében átadott jelentések, adatok, információk</w:t>
      </w:r>
      <w:r>
        <w:rPr>
          <w:spacing w:val="5"/>
          <w:w w:val="125"/>
          <w:sz w:val="24"/>
        </w:rPr>
        <w:t> </w:t>
      </w:r>
      <w:r>
        <w:rPr>
          <w:w w:val="125"/>
          <w:sz w:val="24"/>
        </w:rPr>
        <w:t>hitelességét.</w:t>
      </w:r>
    </w:p>
    <w:p>
      <w:pPr>
        <w:pStyle w:val="ListParagraph"/>
        <w:numPr>
          <w:ilvl w:val="0"/>
          <w:numId w:val="404"/>
        </w:numPr>
        <w:tabs>
          <w:tab w:pos="806" w:val="left" w:leader="none"/>
        </w:tabs>
        <w:spacing w:line="225" w:lineRule="auto" w:before="2" w:after="0"/>
        <w:ind w:left="113" w:right="126" w:firstLine="204"/>
        <w:jc w:val="both"/>
        <w:rPr>
          <w:sz w:val="24"/>
        </w:rPr>
      </w:pPr>
      <w:r>
        <w:rPr>
          <w:w w:val="125"/>
          <w:sz w:val="24"/>
        </w:rPr>
        <w:t>A Felügyelet - harmadik ország felügyeleti hatóságának kérésére - a viszonosság mérlegelése alapján vagy érvényben  lévő  felügyeleti megállapodás esetén, az összevont alapú felügyeleti feladatok ellátásához szükséges jelentéseket, adatokat és információkat harmadik ország felügyeleti hatóságának átadhatja, ha a külföldi felügyeleti hatóság megfelelő, a magyar szabályozással legalább egyenértékű jogi védelmet képes biztosítani a részére nyújtott információk</w:t>
      </w:r>
      <w:r>
        <w:rPr>
          <w:spacing w:val="1"/>
          <w:w w:val="125"/>
          <w:sz w:val="24"/>
        </w:rPr>
        <w:t> </w:t>
      </w:r>
      <w:r>
        <w:rPr>
          <w:w w:val="125"/>
          <w:sz w:val="24"/>
        </w:rPr>
        <w:t>kezeléséhez.</w:t>
      </w:r>
    </w:p>
    <w:p>
      <w:pPr>
        <w:pStyle w:val="ListParagraph"/>
        <w:numPr>
          <w:ilvl w:val="0"/>
          <w:numId w:val="404"/>
        </w:numPr>
        <w:tabs>
          <w:tab w:pos="757" w:val="left" w:leader="none"/>
        </w:tabs>
        <w:spacing w:line="225" w:lineRule="auto" w:before="4" w:after="0"/>
        <w:ind w:left="113" w:right="127" w:firstLine="204"/>
        <w:jc w:val="both"/>
        <w:rPr>
          <w:sz w:val="24"/>
        </w:rPr>
      </w:pPr>
      <w:r>
        <w:rPr>
          <w:w w:val="130"/>
          <w:sz w:val="24"/>
        </w:rPr>
        <w:t>Az (1) és (2) bekezdés szerinti ellenőrzést a Felügyelet harmadik ország felügyeleti hatóságának kérésére is végezhet, valamint a viszonosság mérlegelése alapján vagy érvényben lévő felügyeleti megállapodás esetén hozzájárulhat,</w:t>
      </w:r>
      <w:r>
        <w:rPr>
          <w:spacing w:val="-14"/>
          <w:w w:val="130"/>
          <w:sz w:val="24"/>
        </w:rPr>
        <w:t> </w:t>
      </w:r>
      <w:r>
        <w:rPr>
          <w:w w:val="130"/>
          <w:sz w:val="24"/>
        </w:rPr>
        <w:t>hogy</w:t>
      </w:r>
      <w:r>
        <w:rPr>
          <w:spacing w:val="-13"/>
          <w:w w:val="130"/>
          <w:sz w:val="24"/>
        </w:rPr>
        <w:t> </w:t>
      </w:r>
      <w:r>
        <w:rPr>
          <w:w w:val="130"/>
          <w:sz w:val="24"/>
        </w:rPr>
        <w:t>az</w:t>
      </w:r>
      <w:r>
        <w:rPr>
          <w:spacing w:val="-14"/>
          <w:w w:val="130"/>
          <w:sz w:val="24"/>
        </w:rPr>
        <w:t> </w:t>
      </w:r>
      <w:r>
        <w:rPr>
          <w:w w:val="130"/>
          <w:sz w:val="24"/>
        </w:rPr>
        <w:t>ellenőrzésben</w:t>
      </w:r>
      <w:r>
        <w:rPr>
          <w:spacing w:val="-13"/>
          <w:w w:val="130"/>
          <w:sz w:val="24"/>
        </w:rPr>
        <w:t> </w:t>
      </w:r>
      <w:r>
        <w:rPr>
          <w:w w:val="130"/>
          <w:sz w:val="24"/>
        </w:rPr>
        <w:t>a</w:t>
      </w:r>
      <w:r>
        <w:rPr>
          <w:spacing w:val="-13"/>
          <w:w w:val="130"/>
          <w:sz w:val="24"/>
        </w:rPr>
        <w:t> </w:t>
      </w:r>
      <w:r>
        <w:rPr>
          <w:w w:val="130"/>
          <w:sz w:val="24"/>
        </w:rPr>
        <w:t>hozzájárulást</w:t>
      </w:r>
      <w:r>
        <w:rPr>
          <w:spacing w:val="-14"/>
          <w:w w:val="130"/>
          <w:sz w:val="24"/>
        </w:rPr>
        <w:t> </w:t>
      </w:r>
      <w:r>
        <w:rPr>
          <w:w w:val="130"/>
          <w:sz w:val="24"/>
        </w:rPr>
        <w:t>kérő</w:t>
      </w:r>
      <w:r>
        <w:rPr>
          <w:spacing w:val="-13"/>
          <w:w w:val="130"/>
          <w:sz w:val="24"/>
        </w:rPr>
        <w:t> </w:t>
      </w:r>
      <w:r>
        <w:rPr>
          <w:w w:val="130"/>
          <w:sz w:val="24"/>
        </w:rPr>
        <w:t>felügyeleti</w:t>
      </w:r>
      <w:r>
        <w:rPr>
          <w:spacing w:val="-13"/>
          <w:w w:val="130"/>
          <w:sz w:val="24"/>
        </w:rPr>
        <w:t> </w:t>
      </w:r>
      <w:r>
        <w:rPr>
          <w:w w:val="130"/>
          <w:sz w:val="24"/>
        </w:rPr>
        <w:t>hatóság, illetve</w:t>
      </w:r>
      <w:r>
        <w:rPr>
          <w:spacing w:val="-22"/>
          <w:w w:val="130"/>
          <w:sz w:val="24"/>
        </w:rPr>
        <w:t> </w:t>
      </w:r>
      <w:r>
        <w:rPr>
          <w:w w:val="130"/>
          <w:sz w:val="24"/>
        </w:rPr>
        <w:t>egy</w:t>
      </w:r>
      <w:r>
        <w:rPr>
          <w:spacing w:val="-10"/>
          <w:w w:val="130"/>
          <w:sz w:val="24"/>
        </w:rPr>
        <w:t> </w:t>
      </w:r>
      <w:r>
        <w:rPr>
          <w:w w:val="130"/>
          <w:sz w:val="24"/>
        </w:rPr>
        <w:t>általa</w:t>
      </w:r>
      <w:r>
        <w:rPr>
          <w:spacing w:val="-34"/>
          <w:w w:val="130"/>
          <w:sz w:val="24"/>
        </w:rPr>
        <w:t> </w:t>
      </w:r>
      <w:r>
        <w:rPr>
          <w:w w:val="130"/>
          <w:sz w:val="24"/>
        </w:rPr>
        <w:t>kijelölt</w:t>
      </w:r>
      <w:r>
        <w:rPr>
          <w:spacing w:val="-21"/>
          <w:w w:val="130"/>
          <w:sz w:val="24"/>
        </w:rPr>
        <w:t> </w:t>
      </w:r>
      <w:r>
        <w:rPr>
          <w:w w:val="130"/>
          <w:sz w:val="24"/>
        </w:rPr>
        <w:t>könyvvizsgáló</w:t>
      </w:r>
      <w:r>
        <w:rPr>
          <w:spacing w:val="-22"/>
          <w:w w:val="130"/>
          <w:sz w:val="24"/>
        </w:rPr>
        <w:t> </w:t>
      </w:r>
      <w:r>
        <w:rPr>
          <w:w w:val="130"/>
          <w:sz w:val="24"/>
        </w:rPr>
        <w:t>vagy</w:t>
      </w:r>
      <w:r>
        <w:rPr>
          <w:spacing w:val="-22"/>
          <w:w w:val="130"/>
          <w:sz w:val="24"/>
        </w:rPr>
        <w:t> </w:t>
      </w:r>
      <w:r>
        <w:rPr>
          <w:w w:val="130"/>
          <w:sz w:val="24"/>
        </w:rPr>
        <w:t>egyéb</w:t>
      </w:r>
      <w:r>
        <w:rPr>
          <w:spacing w:val="-20"/>
          <w:w w:val="130"/>
          <w:sz w:val="24"/>
        </w:rPr>
        <w:t> </w:t>
      </w:r>
      <w:r>
        <w:rPr>
          <w:w w:val="130"/>
          <w:sz w:val="24"/>
        </w:rPr>
        <w:t>szakértő</w:t>
      </w:r>
      <w:r>
        <w:rPr>
          <w:spacing w:val="-22"/>
          <w:w w:val="130"/>
          <w:sz w:val="24"/>
        </w:rPr>
        <w:t> </w:t>
      </w:r>
      <w:r>
        <w:rPr>
          <w:w w:val="130"/>
          <w:sz w:val="24"/>
        </w:rPr>
        <w:t>résztvegyen.</w:t>
      </w:r>
    </w:p>
    <w:p>
      <w:pPr>
        <w:spacing w:after="0" w:line="225" w:lineRule="auto"/>
        <w:jc w:val="both"/>
        <w:rPr>
          <w:sz w:val="24"/>
        </w:rPr>
        <w:sectPr>
          <w:pgSz w:w="11900" w:h="16820"/>
          <w:pgMar w:header="1104" w:footer="0" w:top="1840" w:bottom="280" w:left="1020" w:right="1000"/>
        </w:sectPr>
      </w:pPr>
    </w:p>
    <w:p>
      <w:pPr>
        <w:pStyle w:val="ListParagraph"/>
        <w:numPr>
          <w:ilvl w:val="0"/>
          <w:numId w:val="404"/>
        </w:numPr>
        <w:tabs>
          <w:tab w:pos="739" w:val="left" w:leader="none"/>
        </w:tabs>
        <w:spacing w:line="225" w:lineRule="auto" w:before="173" w:after="0"/>
        <w:ind w:left="113" w:right="120" w:firstLine="204"/>
        <w:jc w:val="both"/>
        <w:rPr>
          <w:sz w:val="24"/>
        </w:rPr>
      </w:pPr>
      <w:r>
        <w:rPr>
          <w:w w:val="125"/>
          <w:sz w:val="24"/>
        </w:rPr>
        <w:t>Ha a hitelintézet anyavállalata harmadik országbeli hitelintézet, pénzügyi holding társaság vagy vegyes pénzügyi holding társaság, akkor az összevont alapú felügyelet ellátása érdekében a Felügyelet megvizsgálja, hogy  a harmadik ország jogrendje megfelel-e az Európai Parlament és a Tanács 2013/36/EU irányelvében foglalt, az összevont alapú felügyeletre vonatkozó szabályoknak. A Felügyelet a vizsgálat során egyeztet az EBH-val. Az egyeztetést követően a Felügyelet dönt a jogrend</w:t>
      </w:r>
      <w:r>
        <w:rPr>
          <w:spacing w:val="50"/>
          <w:w w:val="125"/>
          <w:sz w:val="24"/>
        </w:rPr>
        <w:t> </w:t>
      </w:r>
      <w:r>
        <w:rPr>
          <w:w w:val="125"/>
          <w:sz w:val="24"/>
        </w:rPr>
        <w:t>megfelelőségéről.</w:t>
      </w:r>
    </w:p>
    <w:p>
      <w:pPr>
        <w:pStyle w:val="ListParagraph"/>
        <w:numPr>
          <w:ilvl w:val="0"/>
          <w:numId w:val="404"/>
        </w:numPr>
        <w:tabs>
          <w:tab w:pos="736" w:val="left" w:leader="none"/>
        </w:tabs>
        <w:spacing w:line="225" w:lineRule="auto" w:before="4" w:after="0"/>
        <w:ind w:left="113" w:right="124" w:firstLine="204"/>
        <w:jc w:val="both"/>
        <w:rPr>
          <w:sz w:val="24"/>
        </w:rPr>
      </w:pPr>
      <w:r>
        <w:rPr>
          <w:w w:val="130"/>
          <w:sz w:val="24"/>
        </w:rPr>
        <w:t>Ha</w:t>
      </w:r>
      <w:r>
        <w:rPr>
          <w:spacing w:val="-16"/>
          <w:w w:val="130"/>
          <w:sz w:val="24"/>
        </w:rPr>
        <w:t> </w:t>
      </w:r>
      <w:r>
        <w:rPr>
          <w:w w:val="130"/>
          <w:sz w:val="24"/>
        </w:rPr>
        <w:t>a</w:t>
      </w:r>
      <w:r>
        <w:rPr>
          <w:spacing w:val="-16"/>
          <w:w w:val="130"/>
          <w:sz w:val="24"/>
        </w:rPr>
        <w:t> </w:t>
      </w:r>
      <w:r>
        <w:rPr>
          <w:w w:val="130"/>
          <w:sz w:val="24"/>
        </w:rPr>
        <w:t>harmadik</w:t>
      </w:r>
      <w:r>
        <w:rPr>
          <w:spacing w:val="-16"/>
          <w:w w:val="130"/>
          <w:sz w:val="24"/>
        </w:rPr>
        <w:t> </w:t>
      </w:r>
      <w:r>
        <w:rPr>
          <w:w w:val="130"/>
          <w:sz w:val="24"/>
        </w:rPr>
        <w:t>ország</w:t>
      </w:r>
      <w:r>
        <w:rPr>
          <w:spacing w:val="-15"/>
          <w:w w:val="130"/>
          <w:sz w:val="24"/>
        </w:rPr>
        <w:t> </w:t>
      </w:r>
      <w:r>
        <w:rPr>
          <w:w w:val="130"/>
          <w:sz w:val="24"/>
        </w:rPr>
        <w:t>jogrendje</w:t>
      </w:r>
      <w:r>
        <w:rPr>
          <w:spacing w:val="-16"/>
          <w:w w:val="130"/>
          <w:sz w:val="24"/>
        </w:rPr>
        <w:t> </w:t>
      </w:r>
      <w:r>
        <w:rPr>
          <w:w w:val="130"/>
          <w:sz w:val="24"/>
        </w:rPr>
        <w:t>nem</w:t>
      </w:r>
      <w:r>
        <w:rPr>
          <w:spacing w:val="-16"/>
          <w:w w:val="130"/>
          <w:sz w:val="24"/>
        </w:rPr>
        <w:t> </w:t>
      </w:r>
      <w:r>
        <w:rPr>
          <w:w w:val="130"/>
          <w:sz w:val="24"/>
        </w:rPr>
        <w:t>felel</w:t>
      </w:r>
      <w:r>
        <w:rPr>
          <w:spacing w:val="-2"/>
          <w:w w:val="130"/>
          <w:sz w:val="24"/>
        </w:rPr>
        <w:t> </w:t>
      </w:r>
      <w:r>
        <w:rPr>
          <w:w w:val="130"/>
          <w:sz w:val="24"/>
        </w:rPr>
        <w:t>meg</w:t>
      </w:r>
      <w:r>
        <w:rPr>
          <w:spacing w:val="-29"/>
          <w:w w:val="130"/>
          <w:sz w:val="24"/>
        </w:rPr>
        <w:t> </w:t>
      </w:r>
      <w:r>
        <w:rPr>
          <w:w w:val="130"/>
          <w:sz w:val="24"/>
        </w:rPr>
        <w:t>az</w:t>
      </w:r>
      <w:r>
        <w:rPr>
          <w:spacing w:val="-16"/>
          <w:w w:val="130"/>
          <w:sz w:val="24"/>
        </w:rPr>
        <w:t> </w:t>
      </w:r>
      <w:r>
        <w:rPr>
          <w:w w:val="130"/>
          <w:sz w:val="24"/>
        </w:rPr>
        <w:t>Európai</w:t>
      </w:r>
      <w:r>
        <w:rPr>
          <w:spacing w:val="-15"/>
          <w:w w:val="130"/>
          <w:sz w:val="24"/>
        </w:rPr>
        <w:t> </w:t>
      </w:r>
      <w:r>
        <w:rPr>
          <w:w w:val="130"/>
          <w:sz w:val="24"/>
        </w:rPr>
        <w:t>Parlament</w:t>
      </w:r>
      <w:r>
        <w:rPr>
          <w:spacing w:val="-16"/>
          <w:w w:val="130"/>
          <w:sz w:val="24"/>
        </w:rPr>
        <w:t> </w:t>
      </w:r>
      <w:r>
        <w:rPr>
          <w:w w:val="130"/>
          <w:sz w:val="24"/>
        </w:rPr>
        <w:t>és</w:t>
      </w:r>
      <w:r>
        <w:rPr>
          <w:spacing w:val="-16"/>
          <w:w w:val="130"/>
          <w:sz w:val="24"/>
        </w:rPr>
        <w:t> </w:t>
      </w:r>
      <w:r>
        <w:rPr>
          <w:w w:val="130"/>
          <w:sz w:val="24"/>
        </w:rPr>
        <w:t>a Tanács 2013/36/EU irányelvében foglalt, az összevont alapú felügyeletre vonatkozó szabályoknak, akkor a Felügyelet látja el az összevont alapú felügyeleti feladatokat, és ennek érdekében minden lehetséges intézkedést megtesz.</w:t>
      </w:r>
    </w:p>
    <w:p>
      <w:pPr>
        <w:pStyle w:val="ListParagraph"/>
        <w:numPr>
          <w:ilvl w:val="0"/>
          <w:numId w:val="404"/>
        </w:numPr>
        <w:tabs>
          <w:tab w:pos="843" w:val="left" w:leader="none"/>
        </w:tabs>
        <w:spacing w:line="225" w:lineRule="auto" w:before="3" w:after="0"/>
        <w:ind w:left="113" w:right="122" w:firstLine="204"/>
        <w:jc w:val="both"/>
        <w:rPr>
          <w:sz w:val="24"/>
        </w:rPr>
      </w:pPr>
      <w:r>
        <w:rPr>
          <w:w w:val="130"/>
          <w:sz w:val="24"/>
        </w:rPr>
        <w:t>A (6) bekezdésben meghatározott esetben a Felügyelet egyeztet a harmadik országbeli hitelintézet, pénzügyi holding társaság vagy vegyes pénzügyi</w:t>
      </w:r>
      <w:r>
        <w:rPr>
          <w:spacing w:val="-29"/>
          <w:w w:val="130"/>
          <w:sz w:val="24"/>
        </w:rPr>
        <w:t> </w:t>
      </w:r>
      <w:r>
        <w:rPr>
          <w:w w:val="130"/>
          <w:sz w:val="24"/>
        </w:rPr>
        <w:t>holding</w:t>
      </w:r>
      <w:r>
        <w:rPr>
          <w:spacing w:val="-28"/>
          <w:w w:val="130"/>
          <w:sz w:val="24"/>
        </w:rPr>
        <w:t> </w:t>
      </w:r>
      <w:r>
        <w:rPr>
          <w:w w:val="130"/>
          <w:sz w:val="24"/>
        </w:rPr>
        <w:t>társaság</w:t>
      </w:r>
      <w:r>
        <w:rPr>
          <w:spacing w:val="-29"/>
          <w:w w:val="130"/>
          <w:sz w:val="24"/>
        </w:rPr>
        <w:t> </w:t>
      </w:r>
      <w:r>
        <w:rPr>
          <w:w w:val="130"/>
          <w:sz w:val="24"/>
        </w:rPr>
        <w:t>székhelye</w:t>
      </w:r>
      <w:r>
        <w:rPr>
          <w:spacing w:val="-28"/>
          <w:w w:val="130"/>
          <w:sz w:val="24"/>
        </w:rPr>
        <w:t> </w:t>
      </w:r>
      <w:r>
        <w:rPr>
          <w:w w:val="130"/>
          <w:sz w:val="24"/>
        </w:rPr>
        <w:t>szerinti</w:t>
      </w:r>
      <w:r>
        <w:rPr>
          <w:spacing w:val="-24"/>
          <w:w w:val="130"/>
          <w:sz w:val="24"/>
        </w:rPr>
        <w:t> </w:t>
      </w:r>
      <w:r>
        <w:rPr>
          <w:w w:val="130"/>
          <w:sz w:val="24"/>
        </w:rPr>
        <w:t>illetékes</w:t>
      </w:r>
      <w:r>
        <w:rPr>
          <w:spacing w:val="-33"/>
          <w:w w:val="130"/>
          <w:sz w:val="24"/>
        </w:rPr>
        <w:t> </w:t>
      </w:r>
      <w:r>
        <w:rPr>
          <w:w w:val="130"/>
          <w:sz w:val="24"/>
        </w:rPr>
        <w:t>felügyeleti</w:t>
      </w:r>
      <w:r>
        <w:rPr>
          <w:spacing w:val="-29"/>
          <w:w w:val="130"/>
          <w:sz w:val="24"/>
        </w:rPr>
        <w:t> </w:t>
      </w:r>
      <w:r>
        <w:rPr>
          <w:w w:val="130"/>
          <w:sz w:val="24"/>
        </w:rPr>
        <w:t>hatóságával.</w:t>
      </w:r>
    </w:p>
    <w:p>
      <w:pPr>
        <w:pStyle w:val="ListParagraph"/>
        <w:numPr>
          <w:ilvl w:val="0"/>
          <w:numId w:val="387"/>
        </w:numPr>
        <w:tabs>
          <w:tab w:pos="1146" w:val="left" w:leader="none"/>
        </w:tabs>
        <w:spacing w:line="225" w:lineRule="auto" w:before="0" w:after="0"/>
        <w:ind w:left="113" w:right="121" w:firstLine="204"/>
        <w:jc w:val="both"/>
        <w:rPr>
          <w:sz w:val="24"/>
        </w:rPr>
      </w:pPr>
      <w:r>
        <w:rPr>
          <w:rFonts w:ascii="Arial" w:hAnsi="Arial"/>
          <w:b/>
          <w:w w:val="125"/>
          <w:sz w:val="24"/>
        </w:rPr>
        <w:t>§ </w:t>
      </w:r>
      <w:r>
        <w:rPr>
          <w:w w:val="125"/>
          <w:sz w:val="24"/>
        </w:rPr>
        <w:t>(1) Ha a hitelintézet tagállami anyavállalat vagy EU-szintű anyavállalat, akkor az összevont alapú felügyeletet a  hitelintézetet  engedélyező EGT-állam illetékes felügyeleti hatósága látja el.</w:t>
      </w:r>
    </w:p>
    <w:p>
      <w:pPr>
        <w:pStyle w:val="ListParagraph"/>
        <w:numPr>
          <w:ilvl w:val="0"/>
          <w:numId w:val="405"/>
        </w:numPr>
        <w:tabs>
          <w:tab w:pos="836" w:val="left" w:leader="none"/>
        </w:tabs>
        <w:spacing w:line="225" w:lineRule="auto" w:before="2" w:after="0"/>
        <w:ind w:left="113" w:right="121" w:firstLine="204"/>
        <w:jc w:val="both"/>
        <w:rPr>
          <w:sz w:val="24"/>
        </w:rPr>
      </w:pPr>
      <w:r>
        <w:rPr>
          <w:w w:val="125"/>
          <w:sz w:val="24"/>
        </w:rPr>
        <w:t>Ha a hitelintézet anyavállalata tagállami pénzügyi holding társaság anyavállalat vagy EU-szintű pénzügyi holding társaság anyavállalat, vagy tagállami vegyes pénzügyi holding társaság anyavállalat, vagy EU-szintű vegyes pénzügyi holding társaság anyavállalat, akkor az összevont alapú felügyeletet a hitelintézetet engedélyező EGT-állam illetékes felügyeleti hatósága látja el. Ha a Felügyelet látja el az összevont  alapú  felügyeletet, akkor a pénzügyi holding társaság anyavállalatot és a vegyes pénzügyi holding társaság anyavállalatot bejelenti az Európai  Bizottságnak,  valamint  tájékoztatja a többi EGT-állam illetékes felügyeleti</w:t>
      </w:r>
      <w:r>
        <w:rPr>
          <w:spacing w:val="5"/>
          <w:w w:val="125"/>
          <w:sz w:val="24"/>
        </w:rPr>
        <w:t> </w:t>
      </w:r>
      <w:r>
        <w:rPr>
          <w:w w:val="125"/>
          <w:sz w:val="24"/>
        </w:rPr>
        <w:t>hatóságát.</w:t>
      </w:r>
    </w:p>
    <w:p>
      <w:pPr>
        <w:pStyle w:val="ListParagraph"/>
        <w:numPr>
          <w:ilvl w:val="0"/>
          <w:numId w:val="405"/>
        </w:numPr>
        <w:tabs>
          <w:tab w:pos="831" w:val="left" w:leader="none"/>
        </w:tabs>
        <w:spacing w:line="225" w:lineRule="auto" w:before="5" w:after="0"/>
        <w:ind w:left="113" w:right="127" w:firstLine="204"/>
        <w:jc w:val="both"/>
        <w:rPr>
          <w:sz w:val="24"/>
        </w:rPr>
      </w:pPr>
      <w:r>
        <w:rPr>
          <w:w w:val="125"/>
          <w:sz w:val="24"/>
        </w:rPr>
        <w:t>Ha egy magyarországi székhelyű hitelintézet és egy más EGT-állam hitelintézete ugyanazon tagállami pénzügyi holding társaság anyavállalat vagy tagállami vegyes pénzügyi holding társaság anyavállalat, EU-szintű pénzügyi holding társaság vagy EU-szintű vegyes pénzügyi  holding  társaság anyavállalat leányvállalata - a (4) bekezdésben foglalt kivétellel -, az összevont alapú felügyeletet azon EGT-állam illetékes felügyeleti hatósága látja el, amelyben a pénzügyi holding társaságot vagy vegyes pénzügyi holding társaságot bejegyezték.</w:t>
      </w:r>
    </w:p>
    <w:p>
      <w:pPr>
        <w:pStyle w:val="ListParagraph"/>
        <w:numPr>
          <w:ilvl w:val="0"/>
          <w:numId w:val="405"/>
        </w:numPr>
        <w:tabs>
          <w:tab w:pos="831" w:val="left" w:leader="none"/>
        </w:tabs>
        <w:spacing w:line="225" w:lineRule="auto" w:before="5" w:after="0"/>
        <w:ind w:left="113" w:right="127" w:firstLine="204"/>
        <w:jc w:val="both"/>
        <w:rPr>
          <w:sz w:val="24"/>
        </w:rPr>
      </w:pPr>
      <w:r>
        <w:rPr>
          <w:w w:val="125"/>
          <w:sz w:val="24"/>
        </w:rPr>
        <w:t>Ha egy magyarországi székhelyű hitelintézet és egy más EGT-állam hitelintézete</w:t>
      </w:r>
    </w:p>
    <w:p>
      <w:pPr>
        <w:pStyle w:val="ListParagraph"/>
        <w:numPr>
          <w:ilvl w:val="0"/>
          <w:numId w:val="406"/>
        </w:numPr>
        <w:tabs>
          <w:tab w:pos="734" w:val="left" w:leader="none"/>
        </w:tabs>
        <w:spacing w:line="225" w:lineRule="auto" w:before="1" w:after="0"/>
        <w:ind w:left="113" w:right="130" w:firstLine="204"/>
        <w:jc w:val="both"/>
        <w:rPr>
          <w:sz w:val="24"/>
        </w:rPr>
      </w:pPr>
      <w:r>
        <w:rPr>
          <w:w w:val="125"/>
          <w:sz w:val="24"/>
        </w:rPr>
        <w:t>ugyanazon pénzügyi holding társaság vagy vegyes pénzügyi holding társaság leányvállalata, de egyikük székhelye sem abban a EGT-államban található, amelyben a pénzügyi holding társaság vagy vegyes pénzügyi holding társaság székhelye,</w:t>
      </w:r>
      <w:r>
        <w:rPr>
          <w:spacing w:val="2"/>
          <w:w w:val="125"/>
          <w:sz w:val="24"/>
        </w:rPr>
        <w:t> </w:t>
      </w:r>
      <w:r>
        <w:rPr>
          <w:w w:val="125"/>
          <w:sz w:val="24"/>
        </w:rPr>
        <w:t>vagy</w:t>
      </w:r>
    </w:p>
    <w:p>
      <w:pPr>
        <w:pStyle w:val="ListParagraph"/>
        <w:numPr>
          <w:ilvl w:val="0"/>
          <w:numId w:val="406"/>
        </w:numPr>
        <w:tabs>
          <w:tab w:pos="763" w:val="left" w:leader="none"/>
        </w:tabs>
        <w:spacing w:line="225" w:lineRule="auto" w:before="2" w:after="0"/>
        <w:ind w:left="113" w:right="132" w:firstLine="204"/>
        <w:jc w:val="both"/>
        <w:rPr>
          <w:sz w:val="24"/>
        </w:rPr>
      </w:pPr>
      <w:r>
        <w:rPr>
          <w:w w:val="125"/>
          <w:sz w:val="24"/>
        </w:rPr>
        <w:t>több olyan pénzügyi holding társaság leányvállalata, amelyeknek a székhelye különböző EGT-államban található, és ezen EGT-államok mindegyikében engedélyeztek hitelintézeti</w:t>
      </w:r>
      <w:r>
        <w:rPr>
          <w:spacing w:val="5"/>
          <w:w w:val="125"/>
          <w:sz w:val="24"/>
        </w:rPr>
        <w:t> </w:t>
      </w:r>
      <w:r>
        <w:rPr>
          <w:w w:val="125"/>
          <w:sz w:val="24"/>
        </w:rPr>
        <w:t>leányvállalatot,</w:t>
      </w:r>
    </w:p>
    <w:p>
      <w:pPr>
        <w:pStyle w:val="BodyText"/>
        <w:spacing w:line="225" w:lineRule="auto" w:before="2"/>
        <w:ind w:firstLine="0"/>
      </w:pPr>
      <w:r>
        <w:rPr>
          <w:w w:val="125"/>
        </w:rPr>
        <w:t>az összevont alapú felügyelet a legnagyobb mérlegfőösszeggel rendelkező hitelintézet felügyeletét ellátó hatóság feladatát képezi.</w:t>
      </w:r>
    </w:p>
    <w:p>
      <w:pPr>
        <w:pStyle w:val="ListParagraph"/>
        <w:numPr>
          <w:ilvl w:val="0"/>
          <w:numId w:val="405"/>
        </w:numPr>
        <w:tabs>
          <w:tab w:pos="875" w:val="left" w:leader="none"/>
        </w:tabs>
        <w:spacing w:line="225" w:lineRule="auto" w:before="1" w:after="0"/>
        <w:ind w:left="113" w:right="124" w:firstLine="204"/>
        <w:jc w:val="both"/>
        <w:rPr>
          <w:sz w:val="24"/>
        </w:rPr>
      </w:pPr>
      <w:r>
        <w:rPr>
          <w:w w:val="130"/>
          <w:sz w:val="24"/>
        </w:rPr>
        <w:t>A (2)-(4) bekezdésben meghatározottaktól a felügyeleti hatóságok eltérhetnek, de ebben az esetben a megállapodás előtt a tagállami pénzügyi holding társaság anyavállalat, EU-szintű pénzügyi holding társaság anyavállalat, tagállami vegyes pénzügyi holding társaság anyavállalat vagy EU-szintű</w:t>
      </w:r>
      <w:r>
        <w:rPr>
          <w:spacing w:val="-22"/>
          <w:w w:val="130"/>
          <w:sz w:val="24"/>
        </w:rPr>
        <w:t> </w:t>
      </w:r>
      <w:r>
        <w:rPr>
          <w:w w:val="130"/>
          <w:sz w:val="24"/>
        </w:rPr>
        <w:t>vegyes</w:t>
      </w:r>
      <w:r>
        <w:rPr>
          <w:spacing w:val="-22"/>
          <w:w w:val="130"/>
          <w:sz w:val="24"/>
        </w:rPr>
        <w:t> </w:t>
      </w:r>
      <w:r>
        <w:rPr>
          <w:w w:val="130"/>
          <w:sz w:val="24"/>
        </w:rPr>
        <w:t>pénzügyi</w:t>
      </w:r>
      <w:r>
        <w:rPr>
          <w:spacing w:val="-22"/>
          <w:w w:val="130"/>
          <w:sz w:val="24"/>
        </w:rPr>
        <w:t> </w:t>
      </w:r>
      <w:r>
        <w:rPr>
          <w:w w:val="130"/>
          <w:sz w:val="24"/>
        </w:rPr>
        <w:t>holding</w:t>
      </w:r>
      <w:r>
        <w:rPr>
          <w:spacing w:val="-18"/>
          <w:w w:val="130"/>
          <w:sz w:val="24"/>
        </w:rPr>
        <w:t> </w:t>
      </w:r>
      <w:r>
        <w:rPr>
          <w:w w:val="130"/>
          <w:sz w:val="24"/>
        </w:rPr>
        <w:t>társaság</w:t>
      </w:r>
      <w:r>
        <w:rPr>
          <w:spacing w:val="-24"/>
          <w:w w:val="130"/>
          <w:sz w:val="24"/>
        </w:rPr>
        <w:t> </w:t>
      </w:r>
      <w:r>
        <w:rPr>
          <w:w w:val="130"/>
          <w:sz w:val="24"/>
        </w:rPr>
        <w:t>anyavállalat</w:t>
      </w:r>
      <w:r>
        <w:rPr>
          <w:spacing w:val="-22"/>
          <w:w w:val="130"/>
          <w:sz w:val="24"/>
        </w:rPr>
        <w:t> </w:t>
      </w:r>
      <w:r>
        <w:rPr>
          <w:w w:val="130"/>
          <w:sz w:val="24"/>
        </w:rPr>
        <w:t>véleményét</w:t>
      </w:r>
      <w:r>
        <w:rPr>
          <w:spacing w:val="-11"/>
          <w:w w:val="130"/>
          <w:sz w:val="24"/>
        </w:rPr>
        <w:t> </w:t>
      </w:r>
      <w:r>
        <w:rPr>
          <w:w w:val="130"/>
          <w:sz w:val="24"/>
        </w:rPr>
        <w:t>is</w:t>
      </w:r>
      <w:r>
        <w:rPr>
          <w:spacing w:val="-32"/>
          <w:w w:val="130"/>
          <w:sz w:val="24"/>
        </w:rPr>
        <w:t> </w:t>
      </w:r>
      <w:r>
        <w:rPr>
          <w:w w:val="130"/>
          <w:sz w:val="24"/>
        </w:rPr>
        <w:t>ki</w:t>
      </w:r>
      <w:r>
        <w:rPr>
          <w:spacing w:val="-22"/>
          <w:w w:val="130"/>
          <w:sz w:val="24"/>
        </w:rPr>
        <w:t> </w:t>
      </w:r>
      <w:r>
        <w:rPr>
          <w:w w:val="130"/>
          <w:sz w:val="24"/>
        </w:rPr>
        <w:t>kell kérni.</w:t>
      </w:r>
    </w:p>
    <w:p>
      <w:pPr>
        <w:spacing w:after="0" w:line="225" w:lineRule="auto"/>
        <w:jc w:val="both"/>
        <w:rPr>
          <w:sz w:val="24"/>
        </w:rPr>
        <w:sectPr>
          <w:pgSz w:w="11900" w:h="16820"/>
          <w:pgMar w:header="1104" w:footer="0" w:top="1840" w:bottom="280" w:left="1020" w:right="1000"/>
        </w:sectPr>
      </w:pPr>
    </w:p>
    <w:p>
      <w:pPr>
        <w:pStyle w:val="ListParagraph"/>
        <w:numPr>
          <w:ilvl w:val="0"/>
          <w:numId w:val="405"/>
        </w:numPr>
        <w:tabs>
          <w:tab w:pos="788" w:val="left" w:leader="none"/>
        </w:tabs>
        <w:spacing w:line="225" w:lineRule="auto" w:before="173" w:after="0"/>
        <w:ind w:left="113" w:right="119" w:firstLine="204"/>
        <w:jc w:val="both"/>
        <w:rPr>
          <w:sz w:val="24"/>
        </w:rPr>
      </w:pPr>
      <w:r>
        <w:rPr>
          <w:w w:val="125"/>
          <w:sz w:val="24"/>
        </w:rPr>
        <w:t>A (4)-(5) bekezdés alapján kötött megállapodásnak az összevont alapú felügyeleti célok elérése érdekében biztosítania kell a megfelelő információáramlást és a felügyeleti hatóságok között szükséges együttműködést.</w:t>
      </w:r>
    </w:p>
    <w:p>
      <w:pPr>
        <w:pStyle w:val="ListParagraph"/>
        <w:numPr>
          <w:ilvl w:val="0"/>
          <w:numId w:val="405"/>
        </w:numPr>
        <w:tabs>
          <w:tab w:pos="810" w:val="left" w:leader="none"/>
        </w:tabs>
        <w:spacing w:line="225" w:lineRule="auto" w:before="2" w:after="0"/>
        <w:ind w:left="113" w:right="123" w:firstLine="204"/>
        <w:jc w:val="both"/>
        <w:rPr>
          <w:sz w:val="24"/>
        </w:rPr>
      </w:pPr>
      <w:r>
        <w:rPr>
          <w:w w:val="125"/>
          <w:sz w:val="24"/>
        </w:rPr>
        <w:t>Ha az összevont alapú felügyeletet nem az anyavállalatnak minősülő pénzügyi intézmény felügyeleti hatósága látja el, az anyavállalat felügyeleti hatósága az összevont alapú felügyelet érdekében szükséges információkat az összevont alapú felügyeletet ellátó felügyeleti hatóság számára</w:t>
      </w:r>
      <w:r>
        <w:rPr>
          <w:spacing w:val="53"/>
          <w:w w:val="125"/>
          <w:sz w:val="24"/>
        </w:rPr>
        <w:t> </w:t>
      </w:r>
      <w:r>
        <w:rPr>
          <w:w w:val="125"/>
          <w:sz w:val="24"/>
        </w:rPr>
        <w:t>megadja.</w:t>
      </w:r>
    </w:p>
    <w:p>
      <w:pPr>
        <w:pStyle w:val="ListParagraph"/>
        <w:numPr>
          <w:ilvl w:val="0"/>
          <w:numId w:val="387"/>
        </w:numPr>
        <w:tabs>
          <w:tab w:pos="1051" w:val="left" w:leader="none"/>
        </w:tabs>
        <w:spacing w:line="225" w:lineRule="auto" w:before="1" w:after="0"/>
        <w:ind w:left="113" w:right="127" w:firstLine="204"/>
        <w:jc w:val="both"/>
        <w:rPr>
          <w:sz w:val="24"/>
        </w:rPr>
      </w:pPr>
      <w:r>
        <w:rPr>
          <w:rFonts w:ascii="Arial" w:hAnsi="Arial"/>
          <w:b/>
          <w:w w:val="125"/>
          <w:sz w:val="24"/>
        </w:rPr>
        <w:t>§ </w:t>
      </w:r>
      <w:r>
        <w:rPr>
          <w:w w:val="125"/>
          <w:sz w:val="24"/>
        </w:rPr>
        <w:t>(1) A Felügyelet az összevont alapú felügyeleti feladatok ellátása érdekében más EGT-állam illetékes felügyeleti hatóságával szorosan együttműködik.</w:t>
      </w:r>
    </w:p>
    <w:p>
      <w:pPr>
        <w:pStyle w:val="ListParagraph"/>
        <w:numPr>
          <w:ilvl w:val="0"/>
          <w:numId w:val="407"/>
        </w:numPr>
        <w:tabs>
          <w:tab w:pos="659" w:val="left" w:leader="none"/>
          <w:tab w:pos="973" w:val="left" w:leader="none"/>
          <w:tab w:pos="1347" w:val="left" w:leader="none"/>
          <w:tab w:pos="2830" w:val="left" w:leader="none"/>
          <w:tab w:pos="3300" w:val="left" w:leader="none"/>
          <w:tab w:pos="4691" w:val="left" w:leader="none"/>
          <w:tab w:pos="5562" w:val="left" w:leader="none"/>
          <w:tab w:pos="7048" w:val="left" w:leader="none"/>
          <w:tab w:pos="8382" w:val="left" w:leader="none"/>
        </w:tabs>
        <w:spacing w:line="250" w:lineRule="exact" w:before="0" w:after="0"/>
        <w:ind w:left="658" w:right="0" w:hanging="341"/>
        <w:jc w:val="left"/>
        <w:rPr>
          <w:sz w:val="24"/>
        </w:rPr>
      </w:pPr>
      <w:r>
        <w:rPr>
          <w:i/>
          <w:w w:val="125"/>
          <w:position w:val="3"/>
          <w:sz w:val="18"/>
        </w:rPr>
        <w:t>1</w:t>
        <w:tab/>
      </w:r>
      <w:r>
        <w:rPr>
          <w:w w:val="125"/>
          <w:sz w:val="24"/>
        </w:rPr>
        <w:t>A</w:t>
        <w:tab/>
        <w:t>Felügyelet</w:t>
        <w:tab/>
        <w:t>az</w:t>
        <w:tab/>
        <w:t>összevont</w:t>
        <w:tab/>
        <w:t>alapú</w:t>
        <w:tab/>
        <w:t>felügyeleti</w:t>
        <w:tab/>
        <w:t>feladatok</w:t>
        <w:tab/>
        <w:t>ellátásához</w:t>
      </w:r>
    </w:p>
    <w:p>
      <w:pPr>
        <w:pStyle w:val="BodyText"/>
        <w:spacing w:line="225" w:lineRule="auto" w:before="12"/>
        <w:ind w:firstLine="0"/>
      </w:pPr>
      <w:r>
        <w:rPr>
          <w:w w:val="130"/>
        </w:rPr>
        <w:t>szükséges jelentéseket, adatokat és információkat más EGT-állam illetékes felügyeleti hatóságának és szanálási hatóságának átadhatja.</w:t>
      </w:r>
    </w:p>
    <w:p>
      <w:pPr>
        <w:pStyle w:val="ListParagraph"/>
        <w:numPr>
          <w:ilvl w:val="0"/>
          <w:numId w:val="407"/>
        </w:numPr>
        <w:tabs>
          <w:tab w:pos="829" w:val="left" w:leader="none"/>
        </w:tabs>
        <w:spacing w:line="225" w:lineRule="auto" w:before="1" w:after="0"/>
        <w:ind w:left="113" w:right="130" w:firstLine="204"/>
        <w:jc w:val="both"/>
        <w:rPr>
          <w:sz w:val="24"/>
        </w:rPr>
      </w:pPr>
      <w:r>
        <w:rPr>
          <w:w w:val="130"/>
          <w:sz w:val="24"/>
        </w:rPr>
        <w:t>Összevont alapú felügyeleti ellenőrzést a Felügyelet más EGT-állam illetékes</w:t>
      </w:r>
      <w:r>
        <w:rPr>
          <w:spacing w:val="-22"/>
          <w:w w:val="130"/>
          <w:sz w:val="24"/>
        </w:rPr>
        <w:t> </w:t>
      </w:r>
      <w:r>
        <w:rPr>
          <w:w w:val="130"/>
          <w:sz w:val="24"/>
        </w:rPr>
        <w:t>felügyeleti</w:t>
      </w:r>
      <w:r>
        <w:rPr>
          <w:spacing w:val="-21"/>
          <w:w w:val="130"/>
          <w:sz w:val="24"/>
        </w:rPr>
        <w:t> </w:t>
      </w:r>
      <w:r>
        <w:rPr>
          <w:w w:val="130"/>
          <w:sz w:val="24"/>
        </w:rPr>
        <w:t>hatóságának</w:t>
      </w:r>
      <w:r>
        <w:rPr>
          <w:spacing w:val="-21"/>
          <w:w w:val="130"/>
          <w:sz w:val="24"/>
        </w:rPr>
        <w:t> </w:t>
      </w:r>
      <w:r>
        <w:rPr>
          <w:w w:val="130"/>
          <w:sz w:val="24"/>
        </w:rPr>
        <w:t>kérésére</w:t>
      </w:r>
      <w:r>
        <w:rPr>
          <w:spacing w:val="-22"/>
          <w:w w:val="130"/>
          <w:sz w:val="24"/>
        </w:rPr>
        <w:t> </w:t>
      </w:r>
      <w:r>
        <w:rPr>
          <w:w w:val="130"/>
          <w:sz w:val="24"/>
        </w:rPr>
        <w:t>is</w:t>
      </w:r>
      <w:r>
        <w:rPr>
          <w:spacing w:val="-21"/>
          <w:w w:val="130"/>
          <w:sz w:val="24"/>
        </w:rPr>
        <w:t> </w:t>
      </w:r>
      <w:r>
        <w:rPr>
          <w:w w:val="130"/>
          <w:sz w:val="24"/>
        </w:rPr>
        <w:t>végezhet,</w:t>
      </w:r>
      <w:r>
        <w:rPr>
          <w:spacing w:val="-21"/>
          <w:w w:val="130"/>
          <w:sz w:val="24"/>
        </w:rPr>
        <w:t> </w:t>
      </w:r>
      <w:r>
        <w:rPr>
          <w:w w:val="130"/>
          <w:sz w:val="24"/>
        </w:rPr>
        <w:t>valamint</w:t>
      </w:r>
      <w:r>
        <w:rPr>
          <w:spacing w:val="-22"/>
          <w:w w:val="130"/>
          <w:sz w:val="24"/>
        </w:rPr>
        <w:t> </w:t>
      </w:r>
      <w:r>
        <w:rPr>
          <w:w w:val="130"/>
          <w:sz w:val="24"/>
        </w:rPr>
        <w:t>hozzájárulhat, hogy</w:t>
      </w:r>
      <w:r>
        <w:rPr>
          <w:spacing w:val="-27"/>
          <w:w w:val="130"/>
          <w:sz w:val="24"/>
        </w:rPr>
        <w:t> </w:t>
      </w:r>
      <w:r>
        <w:rPr>
          <w:w w:val="130"/>
          <w:sz w:val="24"/>
        </w:rPr>
        <w:t>az</w:t>
      </w:r>
      <w:r>
        <w:rPr>
          <w:spacing w:val="-27"/>
          <w:w w:val="130"/>
          <w:sz w:val="24"/>
        </w:rPr>
        <w:t> </w:t>
      </w:r>
      <w:r>
        <w:rPr>
          <w:w w:val="130"/>
          <w:sz w:val="24"/>
        </w:rPr>
        <w:t>ellenőrzésben</w:t>
      </w:r>
      <w:r>
        <w:rPr>
          <w:spacing w:val="-27"/>
          <w:w w:val="130"/>
          <w:sz w:val="24"/>
        </w:rPr>
        <w:t> </w:t>
      </w:r>
      <w:r>
        <w:rPr>
          <w:w w:val="130"/>
          <w:sz w:val="24"/>
        </w:rPr>
        <w:t>a</w:t>
      </w:r>
      <w:r>
        <w:rPr>
          <w:spacing w:val="-27"/>
          <w:w w:val="130"/>
          <w:sz w:val="24"/>
        </w:rPr>
        <w:t> </w:t>
      </w:r>
      <w:r>
        <w:rPr>
          <w:w w:val="130"/>
          <w:sz w:val="24"/>
        </w:rPr>
        <w:t>hozzájárulást</w:t>
      </w:r>
      <w:r>
        <w:rPr>
          <w:spacing w:val="-27"/>
          <w:w w:val="130"/>
          <w:sz w:val="24"/>
        </w:rPr>
        <w:t> </w:t>
      </w:r>
      <w:r>
        <w:rPr>
          <w:w w:val="130"/>
          <w:sz w:val="24"/>
        </w:rPr>
        <w:t>kérő</w:t>
      </w:r>
      <w:r>
        <w:rPr>
          <w:spacing w:val="-27"/>
          <w:w w:val="130"/>
          <w:sz w:val="24"/>
        </w:rPr>
        <w:t> </w:t>
      </w:r>
      <w:r>
        <w:rPr>
          <w:w w:val="130"/>
          <w:sz w:val="24"/>
        </w:rPr>
        <w:t>illetékes</w:t>
      </w:r>
      <w:r>
        <w:rPr>
          <w:spacing w:val="-27"/>
          <w:w w:val="130"/>
          <w:sz w:val="24"/>
        </w:rPr>
        <w:t> </w:t>
      </w:r>
      <w:r>
        <w:rPr>
          <w:w w:val="130"/>
          <w:sz w:val="24"/>
        </w:rPr>
        <w:t>felügyeleti</w:t>
      </w:r>
      <w:r>
        <w:rPr>
          <w:spacing w:val="-27"/>
          <w:w w:val="130"/>
          <w:sz w:val="24"/>
        </w:rPr>
        <w:t> </w:t>
      </w:r>
      <w:r>
        <w:rPr>
          <w:w w:val="130"/>
          <w:sz w:val="24"/>
        </w:rPr>
        <w:t>hatóság,</w:t>
      </w:r>
      <w:r>
        <w:rPr>
          <w:spacing w:val="-27"/>
          <w:w w:val="130"/>
          <w:sz w:val="24"/>
        </w:rPr>
        <w:t> </w:t>
      </w:r>
      <w:r>
        <w:rPr>
          <w:w w:val="130"/>
          <w:sz w:val="24"/>
        </w:rPr>
        <w:t>illetve egy</w:t>
      </w:r>
      <w:r>
        <w:rPr>
          <w:spacing w:val="-8"/>
          <w:w w:val="130"/>
          <w:sz w:val="24"/>
        </w:rPr>
        <w:t> </w:t>
      </w:r>
      <w:r>
        <w:rPr>
          <w:w w:val="130"/>
          <w:sz w:val="24"/>
        </w:rPr>
        <w:t>általa</w:t>
      </w:r>
      <w:r>
        <w:rPr>
          <w:spacing w:val="-20"/>
          <w:w w:val="130"/>
          <w:sz w:val="24"/>
        </w:rPr>
        <w:t> </w:t>
      </w:r>
      <w:r>
        <w:rPr>
          <w:w w:val="130"/>
          <w:sz w:val="24"/>
        </w:rPr>
        <w:t>kijelölt</w:t>
      </w:r>
      <w:r>
        <w:rPr>
          <w:spacing w:val="-13"/>
          <w:w w:val="130"/>
          <w:sz w:val="24"/>
        </w:rPr>
        <w:t> </w:t>
      </w:r>
      <w:r>
        <w:rPr>
          <w:w w:val="130"/>
          <w:sz w:val="24"/>
        </w:rPr>
        <w:t>könyvvizsgáló</w:t>
      </w:r>
      <w:r>
        <w:rPr>
          <w:spacing w:val="-14"/>
          <w:w w:val="130"/>
          <w:sz w:val="24"/>
        </w:rPr>
        <w:t> </w:t>
      </w:r>
      <w:r>
        <w:rPr>
          <w:w w:val="130"/>
          <w:sz w:val="24"/>
        </w:rPr>
        <w:t>vagy</w:t>
      </w:r>
      <w:r>
        <w:rPr>
          <w:spacing w:val="-14"/>
          <w:w w:val="130"/>
          <w:sz w:val="24"/>
        </w:rPr>
        <w:t> </w:t>
      </w:r>
      <w:r>
        <w:rPr>
          <w:w w:val="130"/>
          <w:sz w:val="24"/>
        </w:rPr>
        <w:t>egyéb</w:t>
      </w:r>
      <w:r>
        <w:rPr>
          <w:spacing w:val="-14"/>
          <w:w w:val="130"/>
          <w:sz w:val="24"/>
        </w:rPr>
        <w:t> </w:t>
      </w:r>
      <w:r>
        <w:rPr>
          <w:w w:val="130"/>
          <w:sz w:val="24"/>
        </w:rPr>
        <w:t>szakértő</w:t>
      </w:r>
      <w:r>
        <w:rPr>
          <w:spacing w:val="-13"/>
          <w:w w:val="130"/>
          <w:sz w:val="24"/>
        </w:rPr>
        <w:t> </w:t>
      </w:r>
      <w:r>
        <w:rPr>
          <w:w w:val="130"/>
          <w:sz w:val="24"/>
        </w:rPr>
        <w:t>résztvegyen.</w:t>
      </w:r>
    </w:p>
    <w:p>
      <w:pPr>
        <w:pStyle w:val="ListParagraph"/>
        <w:numPr>
          <w:ilvl w:val="0"/>
          <w:numId w:val="407"/>
        </w:numPr>
        <w:tabs>
          <w:tab w:pos="856" w:val="left" w:leader="none"/>
        </w:tabs>
        <w:spacing w:line="225" w:lineRule="auto" w:before="2" w:after="0"/>
        <w:ind w:left="113" w:right="126" w:firstLine="204"/>
        <w:jc w:val="both"/>
        <w:rPr>
          <w:sz w:val="24"/>
        </w:rPr>
      </w:pPr>
      <w:r>
        <w:rPr>
          <w:w w:val="130"/>
          <w:sz w:val="24"/>
        </w:rPr>
        <w:t>Ha a Felügyelet az összevont alapú felügyeletet ellátó felügyeleti hatóság, akkor az (1) és (2) bekezdésben rögzítetteken kívül az EGT-állam illetékes felügyeleti hatóságokkal történő együttműködése kiterjed a felügyeleti tevékenységek tervezésére és</w:t>
      </w:r>
      <w:r>
        <w:rPr>
          <w:spacing w:val="-25"/>
          <w:w w:val="130"/>
          <w:sz w:val="24"/>
        </w:rPr>
        <w:t> </w:t>
      </w:r>
      <w:r>
        <w:rPr>
          <w:w w:val="130"/>
          <w:sz w:val="24"/>
        </w:rPr>
        <w:t>összehangolására</w:t>
      </w:r>
    </w:p>
    <w:p>
      <w:pPr>
        <w:pStyle w:val="ListParagraph"/>
        <w:numPr>
          <w:ilvl w:val="0"/>
          <w:numId w:val="408"/>
        </w:numPr>
        <w:tabs>
          <w:tab w:pos="714" w:val="left" w:leader="none"/>
        </w:tabs>
        <w:spacing w:line="225" w:lineRule="auto" w:before="3" w:after="0"/>
        <w:ind w:left="113" w:right="123" w:firstLine="204"/>
        <w:jc w:val="both"/>
        <w:rPr>
          <w:sz w:val="24"/>
        </w:rPr>
      </w:pPr>
      <w:r>
        <w:rPr>
          <w:w w:val="130"/>
          <w:sz w:val="24"/>
        </w:rPr>
        <w:t>a rendes működés során, ideértve a vállalatirányítási rendszerre és a kockázatkezelési követelményre vonatkozó rendelkezések teljesítésének ellenőrzését, a hitelintézetek belső tőkemegfelelési folyamatának értékelését, a felügyeleti felülvizsgálatot, a nyilvánosságra hozatali követelmények teljesítésének ellenőrzését, valamint a hitelintézettel szemben alkalmazott intézkedéseket,</w:t>
      </w:r>
    </w:p>
    <w:p>
      <w:pPr>
        <w:pStyle w:val="ListParagraph"/>
        <w:numPr>
          <w:ilvl w:val="0"/>
          <w:numId w:val="408"/>
        </w:numPr>
        <w:tabs>
          <w:tab w:pos="886" w:val="left" w:leader="none"/>
        </w:tabs>
        <w:spacing w:line="225" w:lineRule="auto" w:before="3" w:after="0"/>
        <w:ind w:left="113" w:right="127" w:firstLine="204"/>
        <w:jc w:val="both"/>
        <w:rPr>
          <w:sz w:val="24"/>
        </w:rPr>
      </w:pPr>
      <w:r>
        <w:rPr>
          <w:w w:val="130"/>
          <w:sz w:val="24"/>
        </w:rPr>
        <w:t>szükség esetén az illetékes központi bankok bevonásával a válsághelyzetekre való felkészülés és a válsághelyzetek során, ideértve a hitelintézetek működésében és a pénzügyi piacokon zajló kedvezőtlen folyamatokat</w:t>
      </w:r>
      <w:r>
        <w:rPr>
          <w:spacing w:val="-3"/>
          <w:w w:val="130"/>
          <w:sz w:val="24"/>
        </w:rPr>
        <w:t> </w:t>
      </w:r>
      <w:r>
        <w:rPr>
          <w:w w:val="130"/>
          <w:sz w:val="24"/>
        </w:rPr>
        <w:t>is.</w:t>
      </w:r>
    </w:p>
    <w:p>
      <w:pPr>
        <w:pStyle w:val="ListParagraph"/>
        <w:numPr>
          <w:ilvl w:val="0"/>
          <w:numId w:val="407"/>
        </w:numPr>
        <w:tabs>
          <w:tab w:pos="773" w:val="left" w:leader="none"/>
        </w:tabs>
        <w:spacing w:line="225" w:lineRule="auto" w:before="2" w:after="0"/>
        <w:ind w:left="113" w:right="133" w:firstLine="204"/>
        <w:jc w:val="both"/>
        <w:rPr>
          <w:sz w:val="24"/>
        </w:rPr>
      </w:pPr>
      <w:r>
        <w:rPr>
          <w:w w:val="125"/>
          <w:sz w:val="24"/>
        </w:rPr>
        <w:t>A Felügyelet - a 200-204. §-ra is tekintettel - minden olyan információt megad az EGT-állam illetékes felügyeleti hatóságának,</w:t>
      </w:r>
      <w:r>
        <w:rPr>
          <w:spacing w:val="-3"/>
          <w:w w:val="125"/>
          <w:sz w:val="24"/>
        </w:rPr>
        <w:t> </w:t>
      </w:r>
      <w:r>
        <w:rPr>
          <w:w w:val="125"/>
          <w:sz w:val="24"/>
        </w:rPr>
        <w:t>amely</w:t>
      </w:r>
    </w:p>
    <w:p>
      <w:pPr>
        <w:pStyle w:val="ListParagraph"/>
        <w:numPr>
          <w:ilvl w:val="0"/>
          <w:numId w:val="409"/>
        </w:numPr>
        <w:tabs>
          <w:tab w:pos="686" w:val="left" w:leader="none"/>
        </w:tabs>
        <w:spacing w:line="225" w:lineRule="auto" w:before="2" w:after="0"/>
        <w:ind w:left="113" w:right="126" w:firstLine="204"/>
        <w:jc w:val="both"/>
        <w:rPr>
          <w:sz w:val="24"/>
        </w:rPr>
      </w:pPr>
      <w:r>
        <w:rPr>
          <w:w w:val="130"/>
          <w:sz w:val="24"/>
        </w:rPr>
        <w:t>az összevont felügyelet alá tartozó hitelintézet tulajdonosi és irányítási szerkezetének feltárását, valamint a hitelintézet illetékes felügyeleti hatóságának azonosítását</w:t>
      </w:r>
      <w:r>
        <w:rPr>
          <w:spacing w:val="-8"/>
          <w:w w:val="130"/>
          <w:sz w:val="24"/>
        </w:rPr>
        <w:t> </w:t>
      </w:r>
      <w:r>
        <w:rPr>
          <w:w w:val="130"/>
          <w:sz w:val="24"/>
        </w:rPr>
        <w:t>szolgálja,</w:t>
      </w:r>
    </w:p>
    <w:p>
      <w:pPr>
        <w:pStyle w:val="ListParagraph"/>
        <w:numPr>
          <w:ilvl w:val="0"/>
          <w:numId w:val="409"/>
        </w:numPr>
        <w:tabs>
          <w:tab w:pos="690" w:val="left" w:leader="none"/>
        </w:tabs>
        <w:spacing w:line="225" w:lineRule="auto" w:before="1" w:after="0"/>
        <w:ind w:left="113" w:right="114" w:firstLine="204"/>
        <w:jc w:val="both"/>
        <w:rPr>
          <w:sz w:val="24"/>
        </w:rPr>
      </w:pPr>
      <w:r>
        <w:rPr>
          <w:w w:val="130"/>
          <w:sz w:val="24"/>
        </w:rPr>
        <w:t>az összevont felügyelet alá tartozó hitelintézettől származó információk gyűjtésére és ellenőrzésére vonatkozó eljárásokat</w:t>
      </w:r>
      <w:r>
        <w:rPr>
          <w:spacing w:val="-34"/>
          <w:w w:val="130"/>
          <w:sz w:val="24"/>
        </w:rPr>
        <w:t> </w:t>
      </w:r>
      <w:r>
        <w:rPr>
          <w:w w:val="130"/>
          <w:sz w:val="24"/>
        </w:rPr>
        <w:t>tartalmazza,</w:t>
      </w:r>
    </w:p>
    <w:p>
      <w:pPr>
        <w:pStyle w:val="ListParagraph"/>
        <w:numPr>
          <w:ilvl w:val="0"/>
          <w:numId w:val="409"/>
        </w:numPr>
        <w:tabs>
          <w:tab w:pos="739" w:val="left" w:leader="none"/>
        </w:tabs>
        <w:spacing w:line="225" w:lineRule="auto" w:before="2" w:after="0"/>
        <w:ind w:left="113" w:right="122" w:firstLine="204"/>
        <w:jc w:val="both"/>
        <w:rPr>
          <w:sz w:val="24"/>
        </w:rPr>
      </w:pPr>
      <w:r>
        <w:rPr>
          <w:w w:val="130"/>
          <w:sz w:val="24"/>
        </w:rPr>
        <w:t>olyan, az összevont felügyelet alá tartozó hitelintézetet, befektetési vállalkozást, pénzügyi vállalkozást, befektetési alapkezelő társaságot vagy járulékos vállalkozást érintő válsághelyzetre utal, amely súlyosan érinti a hitelintézetet,</w:t>
      </w:r>
    </w:p>
    <w:p>
      <w:pPr>
        <w:pStyle w:val="ListParagraph"/>
        <w:numPr>
          <w:ilvl w:val="0"/>
          <w:numId w:val="409"/>
        </w:numPr>
        <w:tabs>
          <w:tab w:pos="719" w:val="left" w:leader="none"/>
        </w:tabs>
        <w:spacing w:line="225" w:lineRule="auto" w:before="2" w:after="0"/>
        <w:ind w:left="113" w:right="130" w:firstLine="204"/>
        <w:jc w:val="both"/>
        <w:rPr>
          <w:sz w:val="24"/>
        </w:rPr>
      </w:pPr>
      <w:r>
        <w:rPr>
          <w:w w:val="130"/>
          <w:sz w:val="24"/>
        </w:rPr>
        <w:t>a felügyeleti felülvizsgálat keretében előírt többlet-tőkekövetelményre, valamint</w:t>
      </w:r>
      <w:r>
        <w:rPr>
          <w:spacing w:val="-26"/>
          <w:w w:val="130"/>
          <w:sz w:val="24"/>
        </w:rPr>
        <w:t> </w:t>
      </w:r>
      <w:r>
        <w:rPr>
          <w:w w:val="130"/>
          <w:sz w:val="24"/>
        </w:rPr>
        <w:t>a</w:t>
      </w:r>
      <w:r>
        <w:rPr>
          <w:spacing w:val="-25"/>
          <w:w w:val="130"/>
          <w:sz w:val="24"/>
        </w:rPr>
        <w:t> </w:t>
      </w:r>
      <w:r>
        <w:rPr>
          <w:w w:val="130"/>
          <w:sz w:val="24"/>
        </w:rPr>
        <w:t>működési</w:t>
      </w:r>
      <w:r>
        <w:rPr>
          <w:spacing w:val="-25"/>
          <w:w w:val="130"/>
          <w:sz w:val="24"/>
        </w:rPr>
        <w:t> </w:t>
      </w:r>
      <w:r>
        <w:rPr>
          <w:w w:val="130"/>
          <w:sz w:val="24"/>
        </w:rPr>
        <w:t>kockázat</w:t>
      </w:r>
      <w:r>
        <w:rPr>
          <w:spacing w:val="-25"/>
          <w:w w:val="130"/>
          <w:sz w:val="24"/>
        </w:rPr>
        <w:t> </w:t>
      </w:r>
      <w:r>
        <w:rPr>
          <w:w w:val="130"/>
          <w:sz w:val="24"/>
        </w:rPr>
        <w:t>tőkekövetelményének</w:t>
      </w:r>
      <w:r>
        <w:rPr>
          <w:spacing w:val="-26"/>
          <w:w w:val="130"/>
          <w:sz w:val="24"/>
        </w:rPr>
        <w:t> </w:t>
      </w:r>
      <w:r>
        <w:rPr>
          <w:w w:val="130"/>
          <w:sz w:val="24"/>
        </w:rPr>
        <w:t>fejlett</w:t>
      </w:r>
      <w:r>
        <w:rPr>
          <w:spacing w:val="-25"/>
          <w:w w:val="130"/>
          <w:sz w:val="24"/>
        </w:rPr>
        <w:t> </w:t>
      </w:r>
      <w:r>
        <w:rPr>
          <w:w w:val="130"/>
          <w:sz w:val="24"/>
        </w:rPr>
        <w:t>mérési</w:t>
      </w:r>
      <w:r>
        <w:rPr>
          <w:spacing w:val="-25"/>
          <w:w w:val="130"/>
          <w:sz w:val="24"/>
        </w:rPr>
        <w:t> </w:t>
      </w:r>
      <w:r>
        <w:rPr>
          <w:w w:val="130"/>
          <w:sz w:val="24"/>
        </w:rPr>
        <w:t>módszerrel történő számításának korlátozására vonatkozik,</w:t>
      </w:r>
      <w:r>
        <w:rPr>
          <w:spacing w:val="-13"/>
          <w:w w:val="130"/>
          <w:sz w:val="24"/>
        </w:rPr>
        <w:t> </w:t>
      </w:r>
      <w:r>
        <w:rPr>
          <w:w w:val="130"/>
          <w:sz w:val="24"/>
        </w:rPr>
        <w:t>és</w:t>
      </w:r>
    </w:p>
    <w:p>
      <w:pPr>
        <w:pStyle w:val="ListParagraph"/>
        <w:numPr>
          <w:ilvl w:val="0"/>
          <w:numId w:val="409"/>
        </w:numPr>
        <w:tabs>
          <w:tab w:pos="736" w:val="left" w:leader="none"/>
        </w:tabs>
        <w:spacing w:line="225" w:lineRule="auto" w:before="2" w:after="0"/>
        <w:ind w:left="113" w:right="129" w:firstLine="204"/>
        <w:jc w:val="both"/>
        <w:rPr>
          <w:sz w:val="24"/>
        </w:rPr>
      </w:pPr>
      <w:r>
        <w:rPr>
          <w:w w:val="130"/>
          <w:sz w:val="24"/>
        </w:rPr>
        <w:t>befolyásolja a másik EGT-állam illetékes hatóságának felügyelete alá tartozó</w:t>
      </w:r>
      <w:r>
        <w:rPr>
          <w:spacing w:val="-14"/>
          <w:w w:val="130"/>
          <w:sz w:val="24"/>
        </w:rPr>
        <w:t> </w:t>
      </w:r>
      <w:r>
        <w:rPr>
          <w:w w:val="130"/>
          <w:sz w:val="24"/>
        </w:rPr>
        <w:t>hitelintézet</w:t>
      </w:r>
      <w:r>
        <w:rPr>
          <w:spacing w:val="-13"/>
          <w:w w:val="130"/>
          <w:sz w:val="24"/>
        </w:rPr>
        <w:t> </w:t>
      </w:r>
      <w:r>
        <w:rPr>
          <w:w w:val="130"/>
          <w:sz w:val="24"/>
        </w:rPr>
        <w:t>vagy</w:t>
      </w:r>
      <w:r>
        <w:rPr>
          <w:spacing w:val="-14"/>
          <w:w w:val="130"/>
          <w:sz w:val="24"/>
        </w:rPr>
        <w:t> </w:t>
      </w:r>
      <w:r>
        <w:rPr>
          <w:w w:val="130"/>
          <w:sz w:val="24"/>
        </w:rPr>
        <w:t>pénzügyi</w:t>
      </w:r>
      <w:r>
        <w:rPr>
          <w:spacing w:val="-13"/>
          <w:w w:val="130"/>
          <w:sz w:val="24"/>
        </w:rPr>
        <w:t> </w:t>
      </w:r>
      <w:r>
        <w:rPr>
          <w:w w:val="130"/>
          <w:sz w:val="24"/>
        </w:rPr>
        <w:t>vállalkozás</w:t>
      </w:r>
      <w:r>
        <w:rPr>
          <w:spacing w:val="-14"/>
          <w:w w:val="130"/>
          <w:sz w:val="24"/>
        </w:rPr>
        <w:t> </w:t>
      </w:r>
      <w:r>
        <w:rPr>
          <w:w w:val="130"/>
          <w:sz w:val="24"/>
        </w:rPr>
        <w:t>prudenciális</w:t>
      </w:r>
      <w:r>
        <w:rPr>
          <w:spacing w:val="-13"/>
          <w:w w:val="130"/>
          <w:sz w:val="24"/>
        </w:rPr>
        <w:t> </w:t>
      </w:r>
      <w:r>
        <w:rPr>
          <w:w w:val="130"/>
          <w:sz w:val="24"/>
        </w:rPr>
        <w:t>helyzetét,</w:t>
      </w:r>
    </w:p>
    <w:p>
      <w:pPr>
        <w:pStyle w:val="ListParagraph"/>
        <w:numPr>
          <w:ilvl w:val="0"/>
          <w:numId w:val="409"/>
        </w:numPr>
        <w:tabs>
          <w:tab w:pos="504" w:val="left" w:leader="none"/>
        </w:tabs>
        <w:spacing w:line="249" w:lineRule="exact" w:before="0" w:after="0"/>
        <w:ind w:left="503" w:right="0" w:hanging="186"/>
        <w:jc w:val="left"/>
        <w:rPr>
          <w:sz w:val="24"/>
        </w:rPr>
      </w:pPr>
      <w:r>
        <w:rPr>
          <w:i/>
          <w:w w:val="130"/>
          <w:position w:val="3"/>
          <w:sz w:val="18"/>
        </w:rPr>
        <w:t>2 </w:t>
      </w:r>
      <w:r>
        <w:rPr>
          <w:w w:val="130"/>
          <w:sz w:val="24"/>
        </w:rPr>
        <w:t>az általa hozott jelentősebb intézkedésekre és kivételes</w:t>
      </w:r>
      <w:r>
        <w:rPr>
          <w:spacing w:val="49"/>
          <w:w w:val="130"/>
          <w:sz w:val="24"/>
        </w:rPr>
        <w:t> </w:t>
      </w:r>
      <w:r>
        <w:rPr>
          <w:w w:val="130"/>
          <w:sz w:val="24"/>
        </w:rPr>
        <w:t>intézkedésekre</w:t>
      </w:r>
    </w:p>
    <w:p>
      <w:pPr>
        <w:pStyle w:val="BodyText"/>
        <w:spacing w:line="275" w:lineRule="exact"/>
        <w:ind w:firstLine="0"/>
      </w:pPr>
      <w:r>
        <w:rPr>
          <w:w w:val="125"/>
        </w:rPr>
        <w:t>vonatkozik.</w:t>
      </w:r>
    </w:p>
    <w:p>
      <w:pPr>
        <w:pStyle w:val="BodyText"/>
        <w:ind w:left="0" w:firstLine="0"/>
        <w:rPr>
          <w:sz w:val="10"/>
        </w:rPr>
      </w:pPr>
      <w:r>
        <w:rPr/>
        <w:pict>
          <v:line style="position:absolute;mso-position-horizontal-relative:page;mso-position-vertical-relative:paragraph;z-index:1376;mso-wrap-distance-left:0;mso-wrap-distance-right:0" from="56.693001pt,7.981294pt" to="538.583001pt,7.98129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2015. évi CCXV. törvény 152. §</w:t>
      </w:r>
      <w:r>
        <w:rPr>
          <w:i/>
          <w:spacing w:val="-5"/>
          <w:w w:val="125"/>
          <w:sz w:val="18"/>
        </w:rPr>
        <w:t> </w:t>
      </w:r>
      <w:r>
        <w:rPr>
          <w:i/>
          <w:w w:val="125"/>
          <w:sz w:val="18"/>
        </w:rPr>
        <w:t>e).</w:t>
      </w:r>
    </w:p>
    <w:p>
      <w:pPr>
        <w:tabs>
          <w:tab w:pos="686" w:val="left" w:leader="none"/>
        </w:tabs>
        <w:spacing w:line="203" w:lineRule="exact" w:before="0"/>
        <w:ind w:left="342" w:right="0" w:firstLine="0"/>
        <w:jc w:val="left"/>
        <w:rPr>
          <w:i/>
          <w:sz w:val="18"/>
        </w:rPr>
      </w:pPr>
      <w:r>
        <w:rPr>
          <w:i/>
          <w:w w:val="120"/>
          <w:sz w:val="18"/>
        </w:rPr>
        <w:t>2</w:t>
        <w:tab/>
        <w:t>Beiktatta: 2017. évi CXLV. törvény 130. § (1). Hatályos: 2017. XI.</w:t>
      </w:r>
      <w:r>
        <w:rPr>
          <w:i/>
          <w:spacing w:val="52"/>
          <w:w w:val="120"/>
          <w:sz w:val="18"/>
        </w:rPr>
        <w:t> </w:t>
      </w:r>
      <w:r>
        <w:rPr>
          <w:i/>
          <w:w w:val="120"/>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407"/>
        </w:numPr>
        <w:tabs>
          <w:tab w:pos="878" w:val="left" w:leader="none"/>
        </w:tabs>
        <w:spacing w:line="225" w:lineRule="auto" w:before="173" w:after="0"/>
        <w:ind w:left="113" w:right="129" w:firstLine="204"/>
        <w:jc w:val="both"/>
        <w:rPr>
          <w:sz w:val="24"/>
        </w:rPr>
      </w:pPr>
      <w:r>
        <w:rPr>
          <w:w w:val="125"/>
          <w:sz w:val="24"/>
        </w:rPr>
        <w:t>Ha a Felügyelet egy másik EGT-államban székhellyel rendelkező EU-szintű anyavállalat, EU-szintű pénzügyi holding társaság anyavállalat vagy EU-szintű vegyes pénzügyi holding társaság anyavállalat leányvállalatát felügyeli és olyan információra van szüksége, amellyel az EU-szintű anyavállalat, EU-szintű vegyes pénzügyi holding társaság anyavállalat vagy EU-szintű pénzügyi holding társaság anyavállalat felügyeleti hatósága már rendelkezik, akkor a Felügyeletnek elsődlegesen ehhez a hatósághoz kell fordulnia.</w:t>
      </w:r>
    </w:p>
    <w:p>
      <w:pPr>
        <w:pStyle w:val="ListParagraph"/>
        <w:numPr>
          <w:ilvl w:val="0"/>
          <w:numId w:val="407"/>
        </w:numPr>
        <w:tabs>
          <w:tab w:pos="840" w:val="left" w:leader="none"/>
        </w:tabs>
        <w:spacing w:line="225" w:lineRule="auto" w:before="4" w:after="0"/>
        <w:ind w:left="113" w:right="129" w:firstLine="204"/>
        <w:jc w:val="both"/>
        <w:rPr>
          <w:sz w:val="24"/>
        </w:rPr>
      </w:pPr>
      <w:r>
        <w:rPr>
          <w:w w:val="125"/>
          <w:sz w:val="24"/>
        </w:rPr>
        <w:t>Ha a Felügyelet látja el az összevont alapú felügyelet alá tartozó hitelintézet felügyeletét, és olyan válsághelyzet áll elő - ideértve a pénzügyi piacokon zajló kedvezőtlen folyamatokat is -, amely potenciálisan veszélyezteti a pénzügyi rendszer stabilitását azon EGT-államok bármelyikében,</w:t>
      </w:r>
      <w:r>
        <w:rPr>
          <w:spacing w:val="18"/>
          <w:w w:val="125"/>
          <w:sz w:val="24"/>
        </w:rPr>
        <w:t> </w:t>
      </w:r>
      <w:r>
        <w:rPr>
          <w:w w:val="125"/>
          <w:sz w:val="24"/>
        </w:rPr>
        <w:t>amelyben</w:t>
      </w:r>
    </w:p>
    <w:p>
      <w:pPr>
        <w:pStyle w:val="ListParagraph"/>
        <w:numPr>
          <w:ilvl w:val="0"/>
          <w:numId w:val="410"/>
        </w:numPr>
        <w:tabs>
          <w:tab w:pos="783" w:val="left" w:leader="none"/>
        </w:tabs>
        <w:spacing w:line="225" w:lineRule="auto" w:before="3" w:after="0"/>
        <w:ind w:left="113" w:right="124" w:firstLine="204"/>
        <w:jc w:val="both"/>
        <w:rPr>
          <w:sz w:val="24"/>
        </w:rPr>
      </w:pPr>
      <w:r>
        <w:rPr>
          <w:w w:val="130"/>
          <w:sz w:val="24"/>
        </w:rPr>
        <w:t>az ezen hitelintézet ellenőrző befolyása alatt álló hitelintézetnek,</w:t>
      </w:r>
      <w:r>
        <w:rPr>
          <w:spacing w:val="78"/>
          <w:w w:val="130"/>
          <w:sz w:val="24"/>
        </w:rPr>
        <w:t> </w:t>
      </w:r>
      <w:r>
        <w:rPr>
          <w:w w:val="130"/>
          <w:sz w:val="24"/>
        </w:rPr>
        <w:t>befektetési vállalkozásnak, befektetési alapkezelő társaságnak és pénzügyi vállalkozásnak,</w:t>
      </w:r>
      <w:r>
        <w:rPr>
          <w:spacing w:val="-5"/>
          <w:w w:val="130"/>
          <w:sz w:val="24"/>
        </w:rPr>
        <w:t> </w:t>
      </w:r>
      <w:r>
        <w:rPr>
          <w:w w:val="130"/>
          <w:sz w:val="24"/>
        </w:rPr>
        <w:t>vagy</w:t>
      </w:r>
    </w:p>
    <w:p>
      <w:pPr>
        <w:pStyle w:val="ListParagraph"/>
        <w:numPr>
          <w:ilvl w:val="0"/>
          <w:numId w:val="410"/>
        </w:numPr>
        <w:tabs>
          <w:tab w:pos="567" w:val="left" w:leader="none"/>
          <w:tab w:pos="963" w:val="left" w:leader="none"/>
          <w:tab w:pos="1517" w:val="left" w:leader="none"/>
          <w:tab w:pos="2456" w:val="left" w:leader="none"/>
          <w:tab w:pos="4639" w:val="left" w:leader="none"/>
          <w:tab w:pos="6271" w:val="left" w:leader="none"/>
          <w:tab w:pos="8403" w:val="left" w:leader="none"/>
        </w:tabs>
        <w:spacing w:line="249" w:lineRule="exact" w:before="0" w:after="0"/>
        <w:ind w:left="566" w:right="0" w:hanging="249"/>
        <w:jc w:val="left"/>
        <w:rPr>
          <w:sz w:val="24"/>
        </w:rPr>
      </w:pPr>
      <w:r>
        <w:rPr>
          <w:i/>
          <w:w w:val="130"/>
          <w:position w:val="3"/>
          <w:sz w:val="18"/>
        </w:rPr>
        <w:t>1</w:t>
        <w:tab/>
      </w:r>
      <w:r>
        <w:rPr>
          <w:w w:val="130"/>
          <w:sz w:val="24"/>
        </w:rPr>
        <w:t>az</w:t>
        <w:tab/>
        <w:t>olyan</w:t>
        <w:tab/>
        <w:t>hitelintézetnek,</w:t>
        <w:tab/>
        <w:t>befektetési</w:t>
        <w:tab/>
        <w:t>vállalkozásnak,</w:t>
        <w:tab/>
        <w:t>befektetési</w:t>
      </w:r>
    </w:p>
    <w:p>
      <w:pPr>
        <w:pStyle w:val="BodyText"/>
        <w:spacing w:line="225" w:lineRule="auto" w:before="12"/>
        <w:ind w:right="123" w:firstLine="0"/>
        <w:jc w:val="both"/>
      </w:pPr>
      <w:r>
        <w:rPr>
          <w:w w:val="125"/>
        </w:rPr>
        <w:t>alapkezelő társaságnak és pénzügyi vállalkozásnak, amelyben részesedési viszonnyal rendelkezik, a székhelye van, vagy amely EGT-államban olyan hitelintézet létesített rendszerszinten jelentős  fióktelepet,  amelyre  a  Felügyelet összevont alapú felügyelete kiterjed, akkor a Felügyelet haladéktalanul tájékoztatja az EBH-t, az érintett EGT-állam központi kormányának a pénz- és tőkepiac felügyeletére vonatkozó jogszabályokért felelős tagját, illetékes felügyeleti hatóságát, valamint központi</w:t>
      </w:r>
      <w:r>
        <w:rPr>
          <w:spacing w:val="-39"/>
          <w:w w:val="125"/>
        </w:rPr>
        <w:t> </w:t>
      </w:r>
      <w:r>
        <w:rPr>
          <w:w w:val="125"/>
        </w:rPr>
        <w:t>bankját.</w:t>
      </w:r>
    </w:p>
    <w:p>
      <w:pPr>
        <w:pStyle w:val="ListParagraph"/>
        <w:numPr>
          <w:ilvl w:val="0"/>
          <w:numId w:val="407"/>
        </w:numPr>
        <w:tabs>
          <w:tab w:pos="659" w:val="left" w:leader="none"/>
        </w:tabs>
        <w:spacing w:line="252" w:lineRule="exact" w:before="0" w:after="0"/>
        <w:ind w:left="658" w:right="0" w:hanging="341"/>
        <w:jc w:val="left"/>
        <w:rPr>
          <w:sz w:val="24"/>
        </w:rPr>
      </w:pPr>
      <w:r>
        <w:rPr>
          <w:i/>
          <w:w w:val="125"/>
          <w:position w:val="3"/>
          <w:sz w:val="18"/>
        </w:rPr>
        <w:t>2 </w:t>
      </w:r>
      <w:r>
        <w:rPr>
          <w:w w:val="125"/>
          <w:sz w:val="24"/>
        </w:rPr>
        <w:t>A Felügyelet sürgős esetben vagy ha az egyeztetés veszélyeztetheti</w:t>
      </w:r>
      <w:r>
        <w:rPr>
          <w:spacing w:val="9"/>
          <w:w w:val="125"/>
          <w:sz w:val="24"/>
        </w:rPr>
        <w:t> </w:t>
      </w:r>
      <w:r>
        <w:rPr>
          <w:w w:val="125"/>
          <w:sz w:val="24"/>
        </w:rPr>
        <w:t>a</w:t>
      </w:r>
    </w:p>
    <w:p>
      <w:pPr>
        <w:pStyle w:val="BodyText"/>
        <w:spacing w:line="225" w:lineRule="auto" w:before="12"/>
        <w:ind w:right="116" w:firstLine="0"/>
        <w:jc w:val="both"/>
      </w:pPr>
      <w:r>
        <w:rPr>
          <w:w w:val="130"/>
        </w:rPr>
        <w:t>határozat végrehajtásának hatékonyságát, dönthet úgy, hogy a (7)</w:t>
      </w:r>
      <w:r>
        <w:rPr>
          <w:spacing w:val="78"/>
          <w:w w:val="130"/>
        </w:rPr>
        <w:t> </w:t>
      </w:r>
      <w:r>
        <w:rPr>
          <w:w w:val="130"/>
        </w:rPr>
        <w:t>bekezdésben foglalt egyeztetést nem folytatja le. Ebben az esetben a döntést követően haladéktalanul tájékoztatja a többi érintett EGT-állam illetékes felügyeleti hatóságát.</w:t>
      </w:r>
    </w:p>
    <w:p>
      <w:pPr>
        <w:pStyle w:val="BodyText"/>
        <w:spacing w:before="229"/>
        <w:ind w:left="2409" w:firstLine="0"/>
      </w:pPr>
      <w:r>
        <w:rPr>
          <w:w w:val="130"/>
        </w:rPr>
        <w:t>76. Felügyeleti felülvizsgálat és értékelés</w:t>
      </w:r>
    </w:p>
    <w:p>
      <w:pPr>
        <w:pStyle w:val="ListParagraph"/>
        <w:numPr>
          <w:ilvl w:val="0"/>
          <w:numId w:val="387"/>
        </w:numPr>
        <w:tabs>
          <w:tab w:pos="1042" w:val="left" w:leader="none"/>
        </w:tabs>
        <w:spacing w:line="225" w:lineRule="auto" w:before="236" w:after="0"/>
        <w:ind w:left="113" w:right="114" w:firstLine="204"/>
        <w:jc w:val="both"/>
        <w:rPr>
          <w:sz w:val="24"/>
        </w:rPr>
      </w:pPr>
      <w:r>
        <w:rPr>
          <w:rFonts w:ascii="Arial" w:hAnsi="Arial"/>
          <w:b/>
          <w:w w:val="125"/>
          <w:sz w:val="24"/>
        </w:rPr>
        <w:t>§ </w:t>
      </w:r>
      <w:r>
        <w:rPr>
          <w:w w:val="125"/>
          <w:sz w:val="24"/>
        </w:rPr>
        <w:t>(1) A Felügyelet felülvizsgálja és értékeli azokat a szabályzatokat, stratégiákat, eljárásokat és módszereket, amelyeket a  hitelintézet  az  e  törvény, továbbá a prudens működésre vonatkozó szabályok és az  575/2013/EU rendelet betartása érdekében</w:t>
      </w:r>
      <w:r>
        <w:rPr>
          <w:spacing w:val="13"/>
          <w:w w:val="125"/>
          <w:sz w:val="24"/>
        </w:rPr>
        <w:t> </w:t>
      </w:r>
      <w:r>
        <w:rPr>
          <w:w w:val="125"/>
          <w:sz w:val="24"/>
        </w:rPr>
        <w:t>hoz.</w:t>
      </w:r>
    </w:p>
    <w:p>
      <w:pPr>
        <w:pStyle w:val="ListParagraph"/>
        <w:numPr>
          <w:ilvl w:val="0"/>
          <w:numId w:val="411"/>
        </w:numPr>
        <w:tabs>
          <w:tab w:pos="756" w:val="left" w:leader="none"/>
        </w:tabs>
        <w:spacing w:line="225" w:lineRule="auto" w:before="2" w:after="0"/>
        <w:ind w:left="113" w:right="128" w:firstLine="204"/>
        <w:jc w:val="both"/>
        <w:rPr>
          <w:sz w:val="24"/>
        </w:rPr>
      </w:pPr>
      <w:r>
        <w:rPr>
          <w:w w:val="125"/>
          <w:sz w:val="24"/>
        </w:rPr>
        <w:t>A Felügyelet felülvizsgálja és értékeli a hitelintézet e törvény, továbbá a prudens működésre vonatkozó szabályok és az 575/2013/EU rendelet összes követelményének való megfelelését.</w:t>
      </w:r>
    </w:p>
    <w:p>
      <w:pPr>
        <w:pStyle w:val="ListParagraph"/>
        <w:numPr>
          <w:ilvl w:val="0"/>
          <w:numId w:val="411"/>
        </w:numPr>
        <w:tabs>
          <w:tab w:pos="769" w:val="left" w:leader="none"/>
        </w:tabs>
        <w:spacing w:line="225" w:lineRule="auto" w:before="2" w:after="0"/>
        <w:ind w:left="113" w:right="128" w:firstLine="204"/>
        <w:jc w:val="both"/>
        <w:rPr>
          <w:sz w:val="24"/>
        </w:rPr>
      </w:pPr>
      <w:r>
        <w:rPr>
          <w:w w:val="125"/>
          <w:sz w:val="24"/>
        </w:rPr>
        <w:t>A Felügyelet a felügyeleti felülvizsgálatot és értékelést az 575/2013/EU rendelet első rész II. címében meghatározottaknak megfelelően</w:t>
      </w:r>
      <w:r>
        <w:rPr>
          <w:spacing w:val="40"/>
          <w:w w:val="125"/>
          <w:sz w:val="24"/>
        </w:rPr>
        <w:t> </w:t>
      </w:r>
      <w:r>
        <w:rPr>
          <w:w w:val="125"/>
          <w:sz w:val="24"/>
        </w:rPr>
        <w:t>végzi.</w:t>
      </w:r>
    </w:p>
    <w:p>
      <w:pPr>
        <w:pStyle w:val="ListParagraph"/>
        <w:numPr>
          <w:ilvl w:val="0"/>
          <w:numId w:val="411"/>
        </w:numPr>
        <w:tabs>
          <w:tab w:pos="734" w:val="left" w:leader="none"/>
        </w:tabs>
        <w:spacing w:line="256" w:lineRule="exact" w:before="0" w:after="0"/>
        <w:ind w:left="733" w:right="0" w:hanging="416"/>
        <w:jc w:val="left"/>
        <w:rPr>
          <w:sz w:val="24"/>
        </w:rPr>
      </w:pPr>
      <w:r>
        <w:rPr>
          <w:w w:val="125"/>
          <w:sz w:val="24"/>
        </w:rPr>
        <w:t>A Felügyelet a felülvizsgálati és értékelési eljárás során</w:t>
      </w:r>
      <w:r>
        <w:rPr>
          <w:spacing w:val="31"/>
          <w:w w:val="125"/>
          <w:sz w:val="24"/>
        </w:rPr>
        <w:t> </w:t>
      </w:r>
      <w:r>
        <w:rPr>
          <w:w w:val="125"/>
          <w:sz w:val="24"/>
        </w:rPr>
        <w:t>értékeli:</w:t>
      </w:r>
    </w:p>
    <w:p>
      <w:pPr>
        <w:pStyle w:val="ListParagraph"/>
        <w:numPr>
          <w:ilvl w:val="0"/>
          <w:numId w:val="412"/>
        </w:numPr>
        <w:tabs>
          <w:tab w:pos="631" w:val="left" w:leader="none"/>
        </w:tabs>
        <w:spacing w:line="260" w:lineRule="exact" w:before="0" w:after="0"/>
        <w:ind w:left="630" w:right="0" w:hanging="313"/>
        <w:jc w:val="left"/>
        <w:rPr>
          <w:sz w:val="24"/>
        </w:rPr>
      </w:pPr>
      <w:r>
        <w:rPr>
          <w:w w:val="125"/>
          <w:sz w:val="24"/>
        </w:rPr>
        <w:t>azon kockázatokat, amelyeknek a hitelintézet ki van vagy ki lehet</w:t>
      </w:r>
      <w:r>
        <w:rPr>
          <w:spacing w:val="28"/>
          <w:w w:val="125"/>
          <w:sz w:val="24"/>
        </w:rPr>
        <w:t> </w:t>
      </w:r>
      <w:r>
        <w:rPr>
          <w:w w:val="125"/>
          <w:sz w:val="24"/>
        </w:rPr>
        <w:t>téve,</w:t>
      </w:r>
    </w:p>
    <w:p>
      <w:pPr>
        <w:pStyle w:val="ListParagraph"/>
        <w:numPr>
          <w:ilvl w:val="0"/>
          <w:numId w:val="412"/>
        </w:numPr>
        <w:tabs>
          <w:tab w:pos="776" w:val="left" w:leader="none"/>
        </w:tabs>
        <w:spacing w:line="225" w:lineRule="auto" w:before="6" w:after="0"/>
        <w:ind w:left="113" w:right="128" w:firstLine="204"/>
        <w:jc w:val="both"/>
        <w:rPr>
          <w:sz w:val="24"/>
        </w:rPr>
      </w:pPr>
      <w:r>
        <w:rPr>
          <w:w w:val="130"/>
          <w:sz w:val="24"/>
        </w:rPr>
        <w:t>a hitelintézet pénzügyi közvetítőrendszerre gyakorolt rendszerszintű kockázatát,</w:t>
      </w:r>
      <w:r>
        <w:rPr>
          <w:spacing w:val="-4"/>
          <w:w w:val="130"/>
          <w:sz w:val="24"/>
        </w:rPr>
        <w:t> </w:t>
      </w:r>
      <w:r>
        <w:rPr>
          <w:w w:val="130"/>
          <w:sz w:val="24"/>
        </w:rPr>
        <w:t>és</w:t>
      </w:r>
    </w:p>
    <w:p>
      <w:pPr>
        <w:pStyle w:val="ListParagraph"/>
        <w:numPr>
          <w:ilvl w:val="0"/>
          <w:numId w:val="412"/>
        </w:numPr>
        <w:tabs>
          <w:tab w:pos="777" w:val="left" w:leader="none"/>
        </w:tabs>
        <w:spacing w:line="225" w:lineRule="auto" w:before="1" w:after="0"/>
        <w:ind w:left="113" w:right="126" w:firstLine="204"/>
        <w:jc w:val="both"/>
        <w:rPr>
          <w:sz w:val="24"/>
        </w:rPr>
      </w:pPr>
      <w:r>
        <w:rPr>
          <w:w w:val="130"/>
          <w:sz w:val="24"/>
        </w:rPr>
        <w:t>azon kockázatokat, amelyeket a stressz-teszt során a hitelintézet tevékenységének jellegét, nagyságrendjét és összetettségét figyelembe véve feltártak.</w:t>
      </w:r>
    </w:p>
    <w:p>
      <w:pPr>
        <w:pStyle w:val="ListParagraph"/>
        <w:numPr>
          <w:ilvl w:val="0"/>
          <w:numId w:val="411"/>
        </w:numPr>
        <w:tabs>
          <w:tab w:pos="900" w:val="left" w:leader="none"/>
        </w:tabs>
        <w:spacing w:line="225" w:lineRule="auto" w:before="2" w:after="0"/>
        <w:ind w:left="113" w:right="127" w:firstLine="204"/>
        <w:jc w:val="both"/>
        <w:rPr>
          <w:sz w:val="24"/>
        </w:rPr>
      </w:pPr>
      <w:r>
        <w:rPr>
          <w:w w:val="125"/>
          <w:sz w:val="24"/>
        </w:rPr>
        <w:t>A felülvizsgálatnak és értékelésnek a hitel-, piaci és működési kockázatokon kívül ki kell</w:t>
      </w:r>
      <w:r>
        <w:rPr>
          <w:spacing w:val="-1"/>
          <w:w w:val="125"/>
          <w:sz w:val="24"/>
        </w:rPr>
        <w:t> </w:t>
      </w:r>
      <w:r>
        <w:rPr>
          <w:w w:val="125"/>
          <w:sz w:val="24"/>
        </w:rPr>
        <w:t>terjednie:</w:t>
      </w:r>
    </w:p>
    <w:p>
      <w:pPr>
        <w:pStyle w:val="BodyText"/>
        <w:ind w:left="0" w:firstLine="0"/>
        <w:rPr>
          <w:sz w:val="20"/>
        </w:rPr>
      </w:pPr>
    </w:p>
    <w:p>
      <w:pPr>
        <w:pStyle w:val="BodyText"/>
        <w:spacing w:before="5"/>
        <w:ind w:left="0" w:firstLine="0"/>
        <w:rPr>
          <w:sz w:val="16"/>
        </w:rPr>
      </w:pPr>
      <w:r>
        <w:rPr/>
        <w:pict>
          <v:line style="position:absolute;mso-position-horizontal-relative:page;mso-position-vertical-relative:paragraph;z-index:1400;mso-wrap-distance-left:0;mso-wrap-distance-right:0" from="56.693001pt,11.661688pt" to="538.583001pt,11.661688pt" stroked="true" strokeweight=".5pt" strokecolor="#000000">
            <v:stroke dashstyle="solid"/>
            <w10:wrap type="topAndBottom"/>
          </v:line>
        </w:pict>
      </w:r>
    </w:p>
    <w:p>
      <w:pPr>
        <w:tabs>
          <w:tab w:pos="686" w:val="left" w:leader="none"/>
        </w:tabs>
        <w:spacing w:line="232" w:lineRule="auto" w:before="49"/>
        <w:ind w:left="342" w:right="2336" w:firstLine="0"/>
        <w:jc w:val="left"/>
        <w:rPr>
          <w:i/>
          <w:sz w:val="18"/>
        </w:rPr>
      </w:pPr>
      <w:r>
        <w:rPr>
          <w:i/>
          <w:w w:val="125"/>
          <w:sz w:val="18"/>
        </w:rPr>
        <w:t>1</w:t>
        <w:tab/>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LXXXV.</w:t>
      </w:r>
      <w:r>
        <w:rPr>
          <w:i/>
          <w:spacing w:val="-11"/>
          <w:w w:val="125"/>
          <w:sz w:val="18"/>
        </w:rPr>
        <w:t> </w:t>
      </w:r>
      <w:r>
        <w:rPr>
          <w:i/>
          <w:w w:val="125"/>
          <w:sz w:val="18"/>
        </w:rPr>
        <w:t>törvény</w:t>
      </w:r>
      <w:r>
        <w:rPr>
          <w:i/>
          <w:spacing w:val="-12"/>
          <w:w w:val="125"/>
          <w:sz w:val="18"/>
        </w:rPr>
        <w:t> </w:t>
      </w:r>
      <w:r>
        <w:rPr>
          <w:i/>
          <w:w w:val="125"/>
          <w:sz w:val="18"/>
        </w:rPr>
        <w:t>214.</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1"/>
          <w:w w:val="125"/>
          <w:sz w:val="18"/>
        </w:rPr>
        <w:t> </w:t>
      </w:r>
      <w:r>
        <w:rPr>
          <w:i/>
          <w:w w:val="125"/>
          <w:sz w:val="18"/>
        </w:rPr>
        <w:t>7-től. 2</w:t>
        <w:tab/>
        <w:t>Beiktatta:</w:t>
      </w:r>
      <w:r>
        <w:rPr>
          <w:i/>
          <w:spacing w:val="-7"/>
          <w:w w:val="125"/>
          <w:sz w:val="18"/>
        </w:rPr>
        <w:t> </w:t>
      </w:r>
      <w:r>
        <w:rPr>
          <w:i/>
          <w:w w:val="125"/>
          <w:sz w:val="18"/>
        </w:rPr>
        <w:t>2017.</w:t>
      </w:r>
      <w:r>
        <w:rPr>
          <w:i/>
          <w:spacing w:val="-6"/>
          <w:w w:val="125"/>
          <w:sz w:val="18"/>
        </w:rPr>
        <w:t> </w:t>
      </w:r>
      <w:r>
        <w:rPr>
          <w:i/>
          <w:w w:val="125"/>
          <w:sz w:val="18"/>
        </w:rPr>
        <w:t>évi</w:t>
      </w:r>
      <w:r>
        <w:rPr>
          <w:i/>
          <w:spacing w:val="-6"/>
          <w:w w:val="125"/>
          <w:sz w:val="18"/>
        </w:rPr>
        <w:t> </w:t>
      </w:r>
      <w:r>
        <w:rPr>
          <w:i/>
          <w:w w:val="125"/>
          <w:sz w:val="18"/>
        </w:rPr>
        <w:t>CXLV.</w:t>
      </w:r>
      <w:r>
        <w:rPr>
          <w:i/>
          <w:spacing w:val="-6"/>
          <w:w w:val="125"/>
          <w:sz w:val="18"/>
        </w:rPr>
        <w:t> </w:t>
      </w:r>
      <w:r>
        <w:rPr>
          <w:i/>
          <w:w w:val="125"/>
          <w:sz w:val="18"/>
        </w:rPr>
        <w:t>törvény</w:t>
      </w:r>
      <w:r>
        <w:rPr>
          <w:i/>
          <w:spacing w:val="-6"/>
          <w:w w:val="125"/>
          <w:sz w:val="18"/>
        </w:rPr>
        <w:t> </w:t>
      </w:r>
      <w:r>
        <w:rPr>
          <w:i/>
          <w:w w:val="125"/>
          <w:sz w:val="18"/>
        </w:rPr>
        <w:t>130.</w:t>
      </w:r>
      <w:r>
        <w:rPr>
          <w:i/>
          <w:spacing w:val="-6"/>
          <w:w w:val="125"/>
          <w:sz w:val="18"/>
        </w:rPr>
        <w:t> </w:t>
      </w:r>
      <w:r>
        <w:rPr>
          <w:i/>
          <w:w w:val="125"/>
          <w:sz w:val="18"/>
        </w:rPr>
        <w:t>§</w:t>
      </w:r>
      <w:r>
        <w:rPr>
          <w:i/>
          <w:spacing w:val="-5"/>
          <w:w w:val="125"/>
          <w:sz w:val="18"/>
        </w:rPr>
        <w:t> </w:t>
      </w:r>
      <w:r>
        <w:rPr>
          <w:i/>
          <w:w w:val="125"/>
          <w:sz w:val="18"/>
        </w:rPr>
        <w:t>(2).</w:t>
      </w:r>
      <w:r>
        <w:rPr>
          <w:i/>
          <w:spacing w:val="-6"/>
          <w:w w:val="125"/>
          <w:sz w:val="18"/>
        </w:rPr>
        <w:t> </w:t>
      </w:r>
      <w:r>
        <w:rPr>
          <w:i/>
          <w:w w:val="125"/>
          <w:sz w:val="18"/>
        </w:rPr>
        <w:t>Hatályos:</w:t>
      </w:r>
      <w:r>
        <w:rPr>
          <w:i/>
          <w:spacing w:val="-5"/>
          <w:w w:val="125"/>
          <w:sz w:val="18"/>
        </w:rPr>
        <w:t> </w:t>
      </w:r>
      <w:r>
        <w:rPr>
          <w:i/>
          <w:w w:val="125"/>
          <w:sz w:val="18"/>
        </w:rPr>
        <w:t>2017.</w:t>
      </w:r>
      <w:r>
        <w:rPr>
          <w:i/>
          <w:spacing w:val="-6"/>
          <w:w w:val="125"/>
          <w:sz w:val="18"/>
        </w:rPr>
        <w:t> </w:t>
      </w:r>
      <w:r>
        <w:rPr>
          <w:i/>
          <w:w w:val="125"/>
          <w:sz w:val="18"/>
        </w:rPr>
        <w:t>XI.</w:t>
      </w:r>
      <w:r>
        <w:rPr>
          <w:i/>
          <w:spacing w:val="-7"/>
          <w:w w:val="125"/>
          <w:sz w:val="18"/>
        </w:rPr>
        <w:t> </w:t>
      </w:r>
      <w:r>
        <w:rPr>
          <w:i/>
          <w:w w:val="125"/>
          <w:sz w:val="18"/>
        </w:rPr>
        <w:t>21-től.</w:t>
      </w:r>
    </w:p>
    <w:p>
      <w:pPr>
        <w:spacing w:after="0" w:line="232" w:lineRule="auto"/>
        <w:jc w:val="left"/>
        <w:rPr>
          <w:sz w:val="18"/>
        </w:rPr>
        <w:sectPr>
          <w:pgSz w:w="11900" w:h="16820"/>
          <w:pgMar w:header="1104" w:footer="0" w:top="1840" w:bottom="280" w:left="1020" w:right="1000"/>
        </w:sectPr>
      </w:pPr>
    </w:p>
    <w:p>
      <w:pPr>
        <w:pStyle w:val="ListParagraph"/>
        <w:numPr>
          <w:ilvl w:val="0"/>
          <w:numId w:val="413"/>
        </w:numPr>
        <w:tabs>
          <w:tab w:pos="807" w:val="left" w:leader="none"/>
        </w:tabs>
        <w:spacing w:line="225" w:lineRule="auto" w:before="173" w:after="0"/>
        <w:ind w:left="113" w:right="121" w:firstLine="204"/>
        <w:jc w:val="both"/>
        <w:rPr>
          <w:sz w:val="24"/>
        </w:rPr>
      </w:pPr>
      <w:r>
        <w:rPr>
          <w:w w:val="130"/>
          <w:sz w:val="24"/>
        </w:rPr>
        <w:t>a belső minősítési módszert alkalmazó hitelintézet által végzett stressz-teszt</w:t>
      </w:r>
      <w:r>
        <w:rPr>
          <w:spacing w:val="-3"/>
          <w:w w:val="130"/>
          <w:sz w:val="24"/>
        </w:rPr>
        <w:t> </w:t>
      </w:r>
      <w:r>
        <w:rPr>
          <w:w w:val="130"/>
          <w:sz w:val="24"/>
        </w:rPr>
        <w:t>eredményekre,</w:t>
      </w:r>
    </w:p>
    <w:p>
      <w:pPr>
        <w:pStyle w:val="ListParagraph"/>
        <w:numPr>
          <w:ilvl w:val="0"/>
          <w:numId w:val="413"/>
        </w:numPr>
        <w:tabs>
          <w:tab w:pos="653" w:val="left" w:leader="none"/>
        </w:tabs>
        <w:spacing w:line="256" w:lineRule="exact" w:before="0" w:after="0"/>
        <w:ind w:left="652" w:right="0" w:hanging="335"/>
        <w:jc w:val="left"/>
        <w:rPr>
          <w:sz w:val="24"/>
        </w:rPr>
      </w:pPr>
      <w:r>
        <w:rPr>
          <w:w w:val="130"/>
          <w:sz w:val="24"/>
        </w:rPr>
        <w:t>a</w:t>
      </w:r>
      <w:r>
        <w:rPr>
          <w:spacing w:val="-27"/>
          <w:w w:val="130"/>
          <w:sz w:val="24"/>
        </w:rPr>
        <w:t> </w:t>
      </w:r>
      <w:r>
        <w:rPr>
          <w:w w:val="130"/>
          <w:sz w:val="24"/>
        </w:rPr>
        <w:t>108.</w:t>
      </w:r>
      <w:r>
        <w:rPr>
          <w:spacing w:val="-24"/>
          <w:w w:val="130"/>
          <w:sz w:val="24"/>
        </w:rPr>
        <w:t> </w:t>
      </w:r>
      <w:r>
        <w:rPr>
          <w:w w:val="130"/>
          <w:sz w:val="24"/>
        </w:rPr>
        <w:t>§</w:t>
      </w:r>
      <w:r>
        <w:rPr>
          <w:spacing w:val="-20"/>
          <w:w w:val="130"/>
          <w:sz w:val="24"/>
        </w:rPr>
        <w:t> </w:t>
      </w:r>
      <w:r>
        <w:rPr>
          <w:w w:val="130"/>
          <w:sz w:val="24"/>
        </w:rPr>
        <w:t>(5)</w:t>
      </w:r>
      <w:r>
        <w:rPr>
          <w:spacing w:val="-21"/>
          <w:w w:val="130"/>
          <w:sz w:val="24"/>
        </w:rPr>
        <w:t> </w:t>
      </w:r>
      <w:r>
        <w:rPr>
          <w:w w:val="130"/>
          <w:sz w:val="24"/>
        </w:rPr>
        <w:t>bekezdés</w:t>
      </w:r>
      <w:r>
        <w:rPr>
          <w:spacing w:val="-20"/>
          <w:w w:val="130"/>
          <w:sz w:val="24"/>
        </w:rPr>
        <w:t> </w:t>
      </w:r>
      <w:r>
        <w:rPr>
          <w:i/>
          <w:w w:val="130"/>
          <w:sz w:val="24"/>
        </w:rPr>
        <w:t>b)</w:t>
      </w:r>
      <w:r>
        <w:rPr>
          <w:i/>
          <w:spacing w:val="-21"/>
          <w:w w:val="130"/>
          <w:sz w:val="24"/>
        </w:rPr>
        <w:t> </w:t>
      </w:r>
      <w:r>
        <w:rPr>
          <w:w w:val="130"/>
          <w:sz w:val="24"/>
        </w:rPr>
        <w:t>pontja</w:t>
      </w:r>
      <w:r>
        <w:rPr>
          <w:spacing w:val="-21"/>
          <w:w w:val="130"/>
          <w:sz w:val="24"/>
        </w:rPr>
        <w:t> </w:t>
      </w:r>
      <w:r>
        <w:rPr>
          <w:w w:val="130"/>
          <w:sz w:val="24"/>
        </w:rPr>
        <w:t>szerinti</w:t>
      </w:r>
      <w:r>
        <w:rPr>
          <w:spacing w:val="-20"/>
          <w:w w:val="130"/>
          <w:sz w:val="24"/>
        </w:rPr>
        <w:t> </w:t>
      </w:r>
      <w:r>
        <w:rPr>
          <w:w w:val="130"/>
          <w:sz w:val="24"/>
        </w:rPr>
        <w:t>koncentrációs</w:t>
      </w:r>
      <w:r>
        <w:rPr>
          <w:spacing w:val="-14"/>
          <w:w w:val="130"/>
          <w:sz w:val="24"/>
        </w:rPr>
        <w:t> </w:t>
      </w:r>
      <w:r>
        <w:rPr>
          <w:w w:val="130"/>
          <w:sz w:val="24"/>
        </w:rPr>
        <w:t>kockázat</w:t>
      </w:r>
      <w:r>
        <w:rPr>
          <w:spacing w:val="-28"/>
          <w:w w:val="130"/>
          <w:sz w:val="24"/>
        </w:rPr>
        <w:t> </w:t>
      </w:r>
      <w:r>
        <w:rPr>
          <w:w w:val="130"/>
          <w:sz w:val="24"/>
        </w:rPr>
        <w:t>kezelésére,</w:t>
      </w:r>
    </w:p>
    <w:p>
      <w:pPr>
        <w:pStyle w:val="ListParagraph"/>
        <w:numPr>
          <w:ilvl w:val="0"/>
          <w:numId w:val="413"/>
        </w:numPr>
        <w:tabs>
          <w:tab w:pos="769" w:val="left" w:leader="none"/>
        </w:tabs>
        <w:spacing w:line="225" w:lineRule="auto" w:before="5" w:after="0"/>
        <w:ind w:left="113" w:right="129" w:firstLine="204"/>
        <w:jc w:val="both"/>
        <w:rPr>
          <w:sz w:val="24"/>
        </w:rPr>
      </w:pPr>
      <w:r>
        <w:rPr>
          <w:w w:val="125"/>
          <w:sz w:val="24"/>
        </w:rPr>
        <w:t>az elismert hitelezési kockázat-mérséklési módszerek használatával kapcsolatos - a 108. § (5) bekezdés </w:t>
      </w:r>
      <w:r>
        <w:rPr>
          <w:i/>
          <w:w w:val="125"/>
          <w:sz w:val="24"/>
        </w:rPr>
        <w:t>a) </w:t>
      </w:r>
      <w:r>
        <w:rPr>
          <w:w w:val="125"/>
          <w:sz w:val="24"/>
        </w:rPr>
        <w:t>pontja szerinti - kockázat kezelésére szolgáló eljárások és szabályzatok megbízhatóságára, megfelelőségére és alkalmazási módjára,</w:t>
      </w:r>
    </w:p>
    <w:p>
      <w:pPr>
        <w:pStyle w:val="ListParagraph"/>
        <w:numPr>
          <w:ilvl w:val="0"/>
          <w:numId w:val="413"/>
        </w:numPr>
        <w:tabs>
          <w:tab w:pos="653" w:val="left" w:leader="none"/>
        </w:tabs>
        <w:spacing w:line="225" w:lineRule="auto" w:before="2" w:after="0"/>
        <w:ind w:left="113" w:right="131" w:firstLine="204"/>
        <w:jc w:val="both"/>
        <w:rPr>
          <w:sz w:val="24"/>
        </w:rPr>
      </w:pPr>
      <w:r>
        <w:rPr>
          <w:w w:val="130"/>
          <w:sz w:val="24"/>
        </w:rPr>
        <w:t>a</w:t>
      </w:r>
      <w:r>
        <w:rPr>
          <w:spacing w:val="-22"/>
          <w:w w:val="130"/>
          <w:sz w:val="24"/>
        </w:rPr>
        <w:t> </w:t>
      </w:r>
      <w:r>
        <w:rPr>
          <w:w w:val="130"/>
          <w:sz w:val="24"/>
        </w:rPr>
        <w:t>hitelintézet</w:t>
      </w:r>
      <w:r>
        <w:rPr>
          <w:spacing w:val="-21"/>
          <w:w w:val="130"/>
          <w:sz w:val="24"/>
        </w:rPr>
        <w:t> </w:t>
      </w:r>
      <w:r>
        <w:rPr>
          <w:w w:val="130"/>
          <w:sz w:val="24"/>
        </w:rPr>
        <w:t>likviditási</w:t>
      </w:r>
      <w:r>
        <w:rPr>
          <w:spacing w:val="-22"/>
          <w:w w:val="130"/>
          <w:sz w:val="24"/>
        </w:rPr>
        <w:t> </w:t>
      </w:r>
      <w:r>
        <w:rPr>
          <w:w w:val="130"/>
          <w:sz w:val="24"/>
        </w:rPr>
        <w:t>kockázatokkal</w:t>
      </w:r>
      <w:r>
        <w:rPr>
          <w:spacing w:val="-22"/>
          <w:w w:val="130"/>
          <w:sz w:val="24"/>
        </w:rPr>
        <w:t> </w:t>
      </w:r>
      <w:r>
        <w:rPr>
          <w:w w:val="130"/>
          <w:sz w:val="24"/>
        </w:rPr>
        <w:t>szembeni</w:t>
      </w:r>
      <w:r>
        <w:rPr>
          <w:spacing w:val="-22"/>
          <w:w w:val="130"/>
          <w:sz w:val="24"/>
        </w:rPr>
        <w:t> </w:t>
      </w:r>
      <w:r>
        <w:rPr>
          <w:w w:val="130"/>
          <w:sz w:val="24"/>
        </w:rPr>
        <w:t>kitettségének</w:t>
      </w:r>
      <w:r>
        <w:rPr>
          <w:spacing w:val="-22"/>
          <w:w w:val="130"/>
          <w:sz w:val="24"/>
        </w:rPr>
        <w:t> </w:t>
      </w:r>
      <w:r>
        <w:rPr>
          <w:w w:val="130"/>
          <w:sz w:val="24"/>
        </w:rPr>
        <w:t>mértékére, e kockázatoknak a hitelintézet általi mérésére és kezelésére, ideértve az alternatív forgatókönyvek elemzését, a kockázatcsökkentő eszközök alkalmazását, a likviditási többlettartalékok mértékét, összetételét és minőségét, valamint a vészhelyzeti</w:t>
      </w:r>
      <w:r>
        <w:rPr>
          <w:spacing w:val="-22"/>
          <w:w w:val="130"/>
          <w:sz w:val="24"/>
        </w:rPr>
        <w:t> </w:t>
      </w:r>
      <w:r>
        <w:rPr>
          <w:w w:val="130"/>
          <w:sz w:val="24"/>
        </w:rPr>
        <w:t>terveket,</w:t>
      </w:r>
    </w:p>
    <w:p>
      <w:pPr>
        <w:pStyle w:val="ListParagraph"/>
        <w:numPr>
          <w:ilvl w:val="0"/>
          <w:numId w:val="413"/>
        </w:numPr>
        <w:tabs>
          <w:tab w:pos="555" w:val="left" w:leader="none"/>
          <w:tab w:pos="1125" w:val="left" w:leader="none"/>
          <w:tab w:pos="1716" w:val="left" w:leader="none"/>
          <w:tab w:pos="4500" w:val="left" w:leader="none"/>
          <w:tab w:pos="6788" w:val="left" w:leader="none"/>
          <w:tab w:pos="8288" w:val="left" w:leader="none"/>
          <w:tab w:pos="9005" w:val="left" w:leader="none"/>
        </w:tabs>
        <w:spacing w:line="251" w:lineRule="exact" w:before="0" w:after="0"/>
        <w:ind w:left="554" w:right="0" w:hanging="237"/>
        <w:jc w:val="left"/>
        <w:rPr>
          <w:sz w:val="24"/>
        </w:rPr>
      </w:pPr>
      <w:r>
        <w:rPr>
          <w:i/>
          <w:w w:val="125"/>
          <w:position w:val="3"/>
          <w:sz w:val="18"/>
        </w:rPr>
        <w:t>1</w:t>
        <w:tab/>
      </w:r>
      <w:r>
        <w:rPr>
          <w:w w:val="125"/>
          <w:sz w:val="24"/>
        </w:rPr>
        <w:t>a</w:t>
        <w:tab/>
        <w:t>kockázatmegoszlás</w:t>
        <w:tab/>
        <w:t>(diverzifikáció)</w:t>
        <w:tab/>
        <w:t>hatására</w:t>
        <w:tab/>
        <w:t>és</w:t>
        <w:tab/>
        <w:t>annak</w:t>
      </w:r>
    </w:p>
    <w:p>
      <w:pPr>
        <w:pStyle w:val="BodyText"/>
        <w:spacing w:line="267" w:lineRule="exact"/>
        <w:ind w:firstLine="0"/>
      </w:pPr>
      <w:r>
        <w:rPr>
          <w:w w:val="130"/>
        </w:rPr>
        <w:t>kockázatfelmérési rendszerben történő figyelembevételére,</w:t>
      </w:r>
    </w:p>
    <w:p>
      <w:pPr>
        <w:pStyle w:val="ListParagraph"/>
        <w:numPr>
          <w:ilvl w:val="0"/>
          <w:numId w:val="413"/>
        </w:numPr>
        <w:tabs>
          <w:tab w:pos="579" w:val="left" w:leader="none"/>
        </w:tabs>
        <w:spacing w:line="225" w:lineRule="auto" w:before="5" w:after="0"/>
        <w:ind w:left="113" w:right="138" w:firstLine="204"/>
        <w:jc w:val="both"/>
        <w:rPr>
          <w:sz w:val="24"/>
        </w:rPr>
      </w:pPr>
      <w:r>
        <w:rPr>
          <w:w w:val="125"/>
          <w:sz w:val="24"/>
        </w:rPr>
        <w:t>a piaci kockázattal kapcsolatos tőkekövetelményhez belső modell módszert használó hitelintézet által végrehajtott stressz-teszt</w:t>
      </w:r>
      <w:r>
        <w:rPr>
          <w:spacing w:val="56"/>
          <w:w w:val="125"/>
          <w:sz w:val="24"/>
        </w:rPr>
        <w:t> </w:t>
      </w:r>
      <w:r>
        <w:rPr>
          <w:w w:val="125"/>
          <w:sz w:val="24"/>
        </w:rPr>
        <w:t>eredményekre,</w:t>
      </w:r>
    </w:p>
    <w:p>
      <w:pPr>
        <w:pStyle w:val="ListParagraph"/>
        <w:numPr>
          <w:ilvl w:val="0"/>
          <w:numId w:val="413"/>
        </w:numPr>
        <w:tabs>
          <w:tab w:pos="731" w:val="left" w:leader="none"/>
        </w:tabs>
        <w:spacing w:line="225" w:lineRule="auto" w:before="1" w:after="0"/>
        <w:ind w:left="113" w:right="129" w:firstLine="204"/>
        <w:jc w:val="both"/>
        <w:rPr>
          <w:sz w:val="24"/>
        </w:rPr>
      </w:pPr>
      <w:r>
        <w:rPr>
          <w:w w:val="130"/>
          <w:sz w:val="24"/>
        </w:rPr>
        <w:t>a kitettséggel szemben felmerülő országkockázatból eredő pótlólagos</w:t>
      </w:r>
      <w:r>
        <w:rPr>
          <w:spacing w:val="78"/>
          <w:w w:val="130"/>
          <w:sz w:val="24"/>
        </w:rPr>
        <w:t> </w:t>
      </w:r>
      <w:r>
        <w:rPr>
          <w:w w:val="130"/>
          <w:sz w:val="24"/>
        </w:rPr>
        <w:t>tőkekövetelményre,</w:t>
      </w:r>
    </w:p>
    <w:p>
      <w:pPr>
        <w:pStyle w:val="ListParagraph"/>
        <w:numPr>
          <w:ilvl w:val="0"/>
          <w:numId w:val="413"/>
        </w:numPr>
        <w:tabs>
          <w:tab w:pos="834" w:val="left" w:leader="none"/>
        </w:tabs>
        <w:spacing w:line="225" w:lineRule="auto" w:before="1" w:after="0"/>
        <w:ind w:left="113" w:right="127" w:firstLine="204"/>
        <w:jc w:val="both"/>
        <w:rPr>
          <w:sz w:val="24"/>
        </w:rPr>
      </w:pPr>
      <w:r>
        <w:rPr>
          <w:w w:val="125"/>
          <w:sz w:val="24"/>
        </w:rPr>
        <w:t>egy olyan mérési vizsgálatra, amelynek keretében a Felügyelet megállapítja, hogy egy - általa megállapított mértékű - hirtelen és váratlan kamatlábváltozásnak milyen hatása lenne a szavatoló</w:t>
      </w:r>
      <w:r>
        <w:rPr>
          <w:spacing w:val="18"/>
          <w:w w:val="125"/>
          <w:sz w:val="24"/>
        </w:rPr>
        <w:t> </w:t>
      </w:r>
      <w:r>
        <w:rPr>
          <w:w w:val="125"/>
          <w:sz w:val="24"/>
        </w:rPr>
        <w:t>tőkére,</w:t>
      </w:r>
    </w:p>
    <w:p>
      <w:pPr>
        <w:pStyle w:val="ListParagraph"/>
        <w:numPr>
          <w:ilvl w:val="0"/>
          <w:numId w:val="413"/>
        </w:numPr>
        <w:tabs>
          <w:tab w:pos="667" w:val="left" w:leader="none"/>
        </w:tabs>
        <w:spacing w:line="225" w:lineRule="auto" w:before="2" w:after="0"/>
        <w:ind w:left="113" w:right="128" w:firstLine="204"/>
        <w:jc w:val="both"/>
        <w:rPr>
          <w:sz w:val="24"/>
        </w:rPr>
      </w:pPr>
      <w:r>
        <w:rPr>
          <w:w w:val="130"/>
          <w:sz w:val="24"/>
        </w:rPr>
        <w:t>arra, hogy a hitelintézet által értékpapírosított eszközökre vonatkozó szavatoló tőke mértéke megfelel-e az ügylet gazdasági tartalma által</w:t>
      </w:r>
      <w:r>
        <w:rPr>
          <w:spacing w:val="-45"/>
          <w:w w:val="130"/>
          <w:sz w:val="24"/>
        </w:rPr>
        <w:t> </w:t>
      </w:r>
      <w:r>
        <w:rPr>
          <w:w w:val="130"/>
          <w:sz w:val="24"/>
        </w:rPr>
        <w:t>indokolt mértéknek, ideértve az átadott kockázat mértékét</w:t>
      </w:r>
      <w:r>
        <w:rPr>
          <w:spacing w:val="-24"/>
          <w:w w:val="130"/>
          <w:sz w:val="24"/>
        </w:rPr>
        <w:t> </w:t>
      </w:r>
      <w:r>
        <w:rPr>
          <w:w w:val="130"/>
          <w:sz w:val="24"/>
        </w:rPr>
        <w:t>is,</w:t>
      </w:r>
    </w:p>
    <w:p>
      <w:pPr>
        <w:pStyle w:val="ListParagraph"/>
        <w:numPr>
          <w:ilvl w:val="0"/>
          <w:numId w:val="413"/>
        </w:numPr>
        <w:tabs>
          <w:tab w:pos="563" w:val="left" w:leader="none"/>
        </w:tabs>
        <w:spacing w:line="256" w:lineRule="exact" w:before="0" w:after="0"/>
        <w:ind w:left="562" w:right="0" w:hanging="245"/>
        <w:jc w:val="left"/>
        <w:rPr>
          <w:sz w:val="24"/>
        </w:rPr>
      </w:pPr>
      <w:r>
        <w:rPr>
          <w:w w:val="130"/>
          <w:sz w:val="24"/>
        </w:rPr>
        <w:t>a hitelintézet üzleti</w:t>
      </w:r>
      <w:r>
        <w:rPr>
          <w:spacing w:val="-11"/>
          <w:w w:val="130"/>
          <w:sz w:val="24"/>
        </w:rPr>
        <w:t> </w:t>
      </w:r>
      <w:r>
        <w:rPr>
          <w:w w:val="130"/>
          <w:sz w:val="24"/>
        </w:rPr>
        <w:t>modelljére,</w:t>
      </w:r>
    </w:p>
    <w:p>
      <w:pPr>
        <w:pStyle w:val="ListParagraph"/>
        <w:numPr>
          <w:ilvl w:val="0"/>
          <w:numId w:val="413"/>
        </w:numPr>
        <w:tabs>
          <w:tab w:pos="633" w:val="left" w:leader="none"/>
        </w:tabs>
        <w:spacing w:line="260" w:lineRule="exact" w:before="0" w:after="0"/>
        <w:ind w:left="632" w:right="0" w:hanging="315"/>
        <w:jc w:val="left"/>
        <w:rPr>
          <w:sz w:val="24"/>
        </w:rPr>
      </w:pPr>
      <w:r>
        <w:rPr>
          <w:w w:val="130"/>
          <w:sz w:val="24"/>
        </w:rPr>
        <w:t>a rendszerszintű</w:t>
      </w:r>
      <w:r>
        <w:rPr>
          <w:spacing w:val="-6"/>
          <w:w w:val="130"/>
          <w:sz w:val="24"/>
        </w:rPr>
        <w:t> </w:t>
      </w:r>
      <w:r>
        <w:rPr>
          <w:w w:val="130"/>
          <w:sz w:val="24"/>
        </w:rPr>
        <w:t>kockázatra,</w:t>
      </w:r>
    </w:p>
    <w:p>
      <w:pPr>
        <w:pStyle w:val="ListParagraph"/>
        <w:numPr>
          <w:ilvl w:val="0"/>
          <w:numId w:val="413"/>
        </w:numPr>
        <w:tabs>
          <w:tab w:pos="598" w:val="left" w:leader="none"/>
        </w:tabs>
        <w:spacing w:line="225" w:lineRule="auto" w:before="6" w:after="0"/>
        <w:ind w:left="113" w:right="129" w:firstLine="204"/>
        <w:jc w:val="both"/>
        <w:rPr>
          <w:sz w:val="24"/>
        </w:rPr>
      </w:pPr>
      <w:r>
        <w:rPr>
          <w:w w:val="130"/>
          <w:sz w:val="24"/>
        </w:rPr>
        <w:t>a hitelintézet túlzott tőkeáttételi kockázatnak való kitettségére, és annak kezelése céljából működtetett rendszerek, stratégiák, eljárások és mechanizmusok megfelelőségére,</w:t>
      </w:r>
      <w:r>
        <w:rPr>
          <w:spacing w:val="-12"/>
          <w:w w:val="130"/>
          <w:sz w:val="24"/>
        </w:rPr>
        <w:t> </w:t>
      </w:r>
      <w:r>
        <w:rPr>
          <w:w w:val="130"/>
          <w:sz w:val="24"/>
        </w:rPr>
        <w:t>valamint</w:t>
      </w:r>
    </w:p>
    <w:p>
      <w:pPr>
        <w:pStyle w:val="ListParagraph"/>
        <w:numPr>
          <w:ilvl w:val="0"/>
          <w:numId w:val="413"/>
        </w:numPr>
        <w:tabs>
          <w:tab w:pos="832" w:val="left" w:leader="none"/>
        </w:tabs>
        <w:spacing w:line="225" w:lineRule="auto" w:before="1" w:after="0"/>
        <w:ind w:left="113" w:right="136" w:firstLine="204"/>
        <w:jc w:val="both"/>
        <w:rPr>
          <w:sz w:val="24"/>
        </w:rPr>
      </w:pPr>
      <w:r>
        <w:rPr>
          <w:w w:val="130"/>
          <w:sz w:val="24"/>
        </w:rPr>
        <w:t>a hitelintézet vállalatirányítási rendszereire, vállalati kultúrájára és értékeire, az irányító és ellenőrző testületek feladatai ellátására irányuló képességeire.</w:t>
      </w:r>
    </w:p>
    <w:p>
      <w:pPr>
        <w:pStyle w:val="ListParagraph"/>
        <w:numPr>
          <w:ilvl w:val="0"/>
          <w:numId w:val="411"/>
        </w:numPr>
        <w:tabs>
          <w:tab w:pos="748" w:val="left" w:leader="none"/>
        </w:tabs>
        <w:spacing w:line="225" w:lineRule="auto" w:before="2" w:after="0"/>
        <w:ind w:left="113" w:right="127" w:firstLine="204"/>
        <w:jc w:val="both"/>
        <w:rPr>
          <w:sz w:val="24"/>
        </w:rPr>
      </w:pPr>
      <w:r>
        <w:rPr>
          <w:w w:val="125"/>
          <w:sz w:val="24"/>
        </w:rPr>
        <w:t>Az (5) bekezdés </w:t>
      </w:r>
      <w:r>
        <w:rPr>
          <w:i/>
          <w:w w:val="125"/>
          <w:sz w:val="24"/>
        </w:rPr>
        <w:t>d) </w:t>
      </w:r>
      <w:r>
        <w:rPr>
          <w:w w:val="125"/>
          <w:sz w:val="24"/>
        </w:rPr>
        <w:t>pontja szerinti felülvizsgálat keretében a Felügyelet a hitelintézet pénzügyi piacon betöltött szerepéhez igazodva értékeli a likviditási kockázat kezelését, valamint a likviditási kockázatot mérséklő eszközök alkalmazását ösztönözve a megbízható belső módszerek</w:t>
      </w:r>
      <w:r>
        <w:rPr>
          <w:spacing w:val="18"/>
          <w:w w:val="125"/>
          <w:sz w:val="24"/>
        </w:rPr>
        <w:t> </w:t>
      </w:r>
      <w:r>
        <w:rPr>
          <w:w w:val="125"/>
          <w:sz w:val="24"/>
        </w:rPr>
        <w:t>kifejlesztését.</w:t>
      </w:r>
    </w:p>
    <w:p>
      <w:pPr>
        <w:pStyle w:val="ListParagraph"/>
        <w:numPr>
          <w:ilvl w:val="0"/>
          <w:numId w:val="411"/>
        </w:numPr>
        <w:tabs>
          <w:tab w:pos="811" w:val="left" w:leader="none"/>
        </w:tabs>
        <w:spacing w:line="225" w:lineRule="auto" w:before="3" w:after="0"/>
        <w:ind w:left="113" w:right="124" w:firstLine="204"/>
        <w:jc w:val="both"/>
        <w:rPr>
          <w:sz w:val="24"/>
        </w:rPr>
      </w:pPr>
      <w:r>
        <w:rPr>
          <w:w w:val="125"/>
          <w:sz w:val="24"/>
        </w:rPr>
        <w:t>Az (1) és (2) bekezdés szerinti felügyeleti felülvizsgálat és értékelés alapján a Felügyeletnek meg kell határoznia, hogy a hitelintézet által alkalmazott szabályzatok, stratégiák, eljárások és módszerek, valamint a hitelintézet szavatoló tőkéje és likvid eszköze biztosítja-e a kockázatok fedezetét és megbízható</w:t>
      </w:r>
      <w:r>
        <w:rPr>
          <w:spacing w:val="4"/>
          <w:w w:val="125"/>
          <w:sz w:val="24"/>
        </w:rPr>
        <w:t> </w:t>
      </w:r>
      <w:r>
        <w:rPr>
          <w:w w:val="125"/>
          <w:sz w:val="24"/>
        </w:rPr>
        <w:t>kezelését.</w:t>
      </w:r>
    </w:p>
    <w:p>
      <w:pPr>
        <w:pStyle w:val="ListParagraph"/>
        <w:numPr>
          <w:ilvl w:val="0"/>
          <w:numId w:val="411"/>
        </w:numPr>
        <w:tabs>
          <w:tab w:pos="838" w:val="left" w:leader="none"/>
        </w:tabs>
        <w:spacing w:line="225" w:lineRule="auto" w:before="2" w:after="0"/>
        <w:ind w:left="113" w:right="129" w:firstLine="204"/>
        <w:jc w:val="both"/>
        <w:rPr>
          <w:sz w:val="24"/>
        </w:rPr>
      </w:pPr>
      <w:r>
        <w:rPr>
          <w:w w:val="125"/>
          <w:sz w:val="24"/>
        </w:rPr>
        <w:t>A Felügyelet által végzett felülvizsgálat és értékelés a kereskedési könyvet vezető hitelintézetnél arra is kiterjed, hogy a hitelintézet által  elszámolt értékvesztés, értékelési korrekció és képzett céltartalék lehetővé teszi-e a pozíciók rövid időn - legfeljebb harminc napon - belüli lezárását normális piaci körülmények</w:t>
      </w:r>
      <w:r>
        <w:rPr>
          <w:spacing w:val="1"/>
          <w:w w:val="125"/>
          <w:sz w:val="24"/>
        </w:rPr>
        <w:t> </w:t>
      </w:r>
      <w:r>
        <w:rPr>
          <w:w w:val="125"/>
          <w:sz w:val="24"/>
        </w:rPr>
        <w:t>között.</w:t>
      </w:r>
    </w:p>
    <w:p>
      <w:pPr>
        <w:pStyle w:val="ListParagraph"/>
        <w:numPr>
          <w:ilvl w:val="0"/>
          <w:numId w:val="411"/>
        </w:numPr>
        <w:tabs>
          <w:tab w:pos="894" w:val="left" w:leader="none"/>
        </w:tabs>
        <w:spacing w:line="225" w:lineRule="auto" w:before="3" w:after="0"/>
        <w:ind w:left="113" w:right="132" w:firstLine="204"/>
        <w:jc w:val="both"/>
        <w:rPr>
          <w:sz w:val="24"/>
        </w:rPr>
      </w:pPr>
      <w:r>
        <w:rPr>
          <w:w w:val="130"/>
          <w:sz w:val="24"/>
        </w:rPr>
        <w:t>A Felügyelet által végzett felülvizsgálat és értékelés kiterjed a</w:t>
      </w:r>
      <w:r>
        <w:rPr>
          <w:spacing w:val="78"/>
          <w:w w:val="130"/>
          <w:sz w:val="24"/>
        </w:rPr>
        <w:t> </w:t>
      </w:r>
      <w:r>
        <w:rPr>
          <w:w w:val="130"/>
          <w:sz w:val="24"/>
        </w:rPr>
        <w:t>hitelintézetnek a nem kereskedési könyvben nyilvántartott kitettségének a kamatkockázatára.</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1424;mso-wrap-distance-left:0;mso-wrap-distance-right:0" from="56.693001pt,8.228504pt" to="538.583001pt,8.22850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69. §. Hatályos: 2015. I.</w:t>
      </w:r>
      <w:r>
        <w:rPr>
          <w:i/>
          <w:spacing w:val="-14"/>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411"/>
        </w:numPr>
        <w:tabs>
          <w:tab w:pos="888" w:val="left" w:leader="none"/>
        </w:tabs>
        <w:spacing w:line="225" w:lineRule="auto" w:before="173" w:after="0"/>
        <w:ind w:left="113" w:right="126" w:firstLine="204"/>
        <w:jc w:val="both"/>
        <w:rPr>
          <w:sz w:val="24"/>
        </w:rPr>
      </w:pPr>
      <w:r>
        <w:rPr>
          <w:w w:val="130"/>
          <w:sz w:val="24"/>
        </w:rPr>
        <w:t>A</w:t>
      </w:r>
      <w:r>
        <w:rPr>
          <w:spacing w:val="-30"/>
          <w:w w:val="130"/>
          <w:sz w:val="24"/>
        </w:rPr>
        <w:t> </w:t>
      </w:r>
      <w:r>
        <w:rPr>
          <w:w w:val="130"/>
          <w:sz w:val="24"/>
        </w:rPr>
        <w:t>Felügyelet</w:t>
      </w:r>
      <w:r>
        <w:rPr>
          <w:spacing w:val="-22"/>
          <w:w w:val="130"/>
          <w:sz w:val="24"/>
        </w:rPr>
        <w:t> </w:t>
      </w:r>
      <w:r>
        <w:rPr>
          <w:w w:val="130"/>
          <w:sz w:val="24"/>
        </w:rPr>
        <w:t>a</w:t>
      </w:r>
      <w:r>
        <w:rPr>
          <w:spacing w:val="-35"/>
          <w:w w:val="130"/>
          <w:sz w:val="24"/>
        </w:rPr>
        <w:t> </w:t>
      </w:r>
      <w:r>
        <w:rPr>
          <w:w w:val="130"/>
          <w:sz w:val="24"/>
        </w:rPr>
        <w:t>felügyeleti</w:t>
      </w:r>
      <w:r>
        <w:rPr>
          <w:spacing w:val="-24"/>
          <w:w w:val="130"/>
          <w:sz w:val="24"/>
        </w:rPr>
        <w:t> </w:t>
      </w:r>
      <w:r>
        <w:rPr>
          <w:w w:val="130"/>
          <w:sz w:val="24"/>
        </w:rPr>
        <w:t>felülvizsgálat</w:t>
      </w:r>
      <w:r>
        <w:rPr>
          <w:spacing w:val="-38"/>
          <w:w w:val="130"/>
          <w:sz w:val="24"/>
        </w:rPr>
        <w:t> </w:t>
      </w:r>
      <w:r>
        <w:rPr>
          <w:w w:val="130"/>
          <w:sz w:val="24"/>
        </w:rPr>
        <w:t>és</w:t>
      </w:r>
      <w:r>
        <w:rPr>
          <w:spacing w:val="-31"/>
          <w:w w:val="130"/>
          <w:sz w:val="24"/>
        </w:rPr>
        <w:t> </w:t>
      </w:r>
      <w:r>
        <w:rPr>
          <w:w w:val="130"/>
          <w:sz w:val="24"/>
        </w:rPr>
        <w:t>értékelés</w:t>
      </w:r>
      <w:r>
        <w:rPr>
          <w:spacing w:val="-30"/>
          <w:w w:val="130"/>
          <w:sz w:val="24"/>
        </w:rPr>
        <w:t> </w:t>
      </w:r>
      <w:r>
        <w:rPr>
          <w:w w:val="130"/>
          <w:sz w:val="24"/>
        </w:rPr>
        <w:t>keretében</w:t>
      </w:r>
      <w:r>
        <w:rPr>
          <w:spacing w:val="-30"/>
          <w:w w:val="130"/>
          <w:sz w:val="24"/>
        </w:rPr>
        <w:t> </w:t>
      </w:r>
      <w:r>
        <w:rPr>
          <w:w w:val="130"/>
          <w:sz w:val="24"/>
        </w:rPr>
        <w:t>ellenőrzi, hogy a hitelintézet nyújtott-e burkolt támogatást értékpapírosításhoz. Ha a hitelintézet egynél többször nyújtott már az 575/2013/EU rendelet 248. cikke szerinti burkolt támogatást,</w:t>
      </w:r>
      <w:r>
        <w:rPr>
          <w:spacing w:val="78"/>
          <w:w w:val="130"/>
          <w:sz w:val="24"/>
        </w:rPr>
        <w:t> </w:t>
      </w:r>
      <w:r>
        <w:rPr>
          <w:w w:val="130"/>
          <w:sz w:val="24"/>
        </w:rPr>
        <w:t>és ezzel</w:t>
      </w:r>
      <w:r>
        <w:rPr>
          <w:spacing w:val="78"/>
          <w:w w:val="130"/>
          <w:sz w:val="24"/>
        </w:rPr>
        <w:t> </w:t>
      </w:r>
      <w:r>
        <w:rPr>
          <w:w w:val="130"/>
          <w:sz w:val="24"/>
        </w:rPr>
        <w:t>nem</w:t>
      </w:r>
      <w:r>
        <w:rPr>
          <w:spacing w:val="78"/>
          <w:w w:val="130"/>
          <w:sz w:val="24"/>
        </w:rPr>
        <w:t> </w:t>
      </w:r>
      <w:r>
        <w:rPr>
          <w:w w:val="130"/>
          <w:sz w:val="24"/>
        </w:rPr>
        <w:t>ér el jelentős kockázat-transzferálást, akkor a Felügyeletnek meg kell tennie a 185. § szerinti</w:t>
      </w:r>
      <w:r>
        <w:rPr>
          <w:spacing w:val="-3"/>
          <w:w w:val="130"/>
          <w:sz w:val="24"/>
        </w:rPr>
        <w:t> </w:t>
      </w:r>
      <w:r>
        <w:rPr>
          <w:w w:val="130"/>
          <w:sz w:val="24"/>
        </w:rPr>
        <w:t>intézkedéseket.</w:t>
      </w:r>
    </w:p>
    <w:p>
      <w:pPr>
        <w:pStyle w:val="ListParagraph"/>
        <w:numPr>
          <w:ilvl w:val="0"/>
          <w:numId w:val="411"/>
        </w:numPr>
        <w:tabs>
          <w:tab w:pos="1125" w:val="left" w:leader="none"/>
        </w:tabs>
        <w:spacing w:line="225" w:lineRule="auto" w:before="3" w:after="0"/>
        <w:ind w:left="113" w:right="122" w:firstLine="204"/>
        <w:jc w:val="both"/>
        <w:rPr>
          <w:sz w:val="24"/>
        </w:rPr>
      </w:pPr>
      <w:r>
        <w:rPr>
          <w:w w:val="130"/>
          <w:sz w:val="24"/>
        </w:rPr>
        <w:t>A felülvizsgálat és az értékelés gyakoriságát, mértékét és részletezettségét a Felügyelet a hitelintézet mérete, tevékenységének jelentősége, jellege, nagyságrendje és összetettsége alapján arányosan határozza meg azzal, hogy a felülvizsgálatot és értékelést legalább évente egyszer</w:t>
      </w:r>
      <w:r>
        <w:rPr>
          <w:spacing w:val="-4"/>
          <w:w w:val="130"/>
          <w:sz w:val="24"/>
        </w:rPr>
        <w:t> </w:t>
      </w:r>
      <w:r>
        <w:rPr>
          <w:w w:val="130"/>
          <w:sz w:val="24"/>
        </w:rPr>
        <w:t>elvégzi.</w:t>
      </w:r>
    </w:p>
    <w:p>
      <w:pPr>
        <w:pStyle w:val="ListParagraph"/>
        <w:numPr>
          <w:ilvl w:val="0"/>
          <w:numId w:val="411"/>
        </w:numPr>
        <w:tabs>
          <w:tab w:pos="812" w:val="left" w:leader="none"/>
        </w:tabs>
        <w:spacing w:line="251" w:lineRule="exact" w:before="0" w:after="0"/>
        <w:ind w:left="811" w:right="0" w:hanging="494"/>
        <w:jc w:val="left"/>
        <w:rPr>
          <w:sz w:val="24"/>
        </w:rPr>
      </w:pPr>
      <w:r>
        <w:rPr>
          <w:i/>
          <w:w w:val="130"/>
          <w:position w:val="3"/>
          <w:sz w:val="18"/>
        </w:rPr>
        <w:t>1 </w:t>
      </w:r>
      <w:r>
        <w:rPr>
          <w:w w:val="130"/>
          <w:sz w:val="24"/>
        </w:rPr>
        <w:t>Ha a Felügyelet a felügyeleti felülvizsgálat és értékelés során</w:t>
      </w:r>
      <w:r>
        <w:rPr>
          <w:spacing w:val="-28"/>
          <w:w w:val="130"/>
          <w:sz w:val="24"/>
        </w:rPr>
        <w:t> </w:t>
      </w:r>
      <w:r>
        <w:rPr>
          <w:w w:val="130"/>
          <w:sz w:val="24"/>
        </w:rPr>
        <w:t>azt</w:t>
      </w:r>
    </w:p>
    <w:p>
      <w:pPr>
        <w:pStyle w:val="BodyText"/>
        <w:spacing w:line="225" w:lineRule="auto" w:before="12"/>
        <w:ind w:right="109" w:firstLine="0"/>
        <w:jc w:val="both"/>
      </w:pPr>
      <w:r>
        <w:rPr>
          <w:w w:val="125"/>
        </w:rPr>
        <w:t>állapítja meg, hogy a hitelintézet az (5) bekezdés </w:t>
      </w:r>
      <w:r>
        <w:rPr>
          <w:i/>
          <w:w w:val="125"/>
        </w:rPr>
        <w:t>h) </w:t>
      </w:r>
      <w:r>
        <w:rPr>
          <w:w w:val="125"/>
        </w:rPr>
        <w:t>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figyelembevétele nélkül számított üzleti értékéhez viszonyítva a kamatláb hirtelen és nem várt, 200 bázispontos vagy az EBH által meghatározott egyéb változás eredményeként, akkor a Felügyelet a 185-186. §-okban foglalt intézkedést alkalmaz.</w:t>
      </w:r>
    </w:p>
    <w:p>
      <w:pPr>
        <w:pStyle w:val="ListParagraph"/>
        <w:numPr>
          <w:ilvl w:val="0"/>
          <w:numId w:val="411"/>
        </w:numPr>
        <w:tabs>
          <w:tab w:pos="900" w:val="left" w:leader="none"/>
        </w:tabs>
        <w:spacing w:line="225" w:lineRule="auto" w:before="5" w:after="0"/>
        <w:ind w:left="113" w:right="124" w:firstLine="204"/>
        <w:jc w:val="both"/>
        <w:rPr>
          <w:sz w:val="24"/>
        </w:rPr>
      </w:pPr>
      <w:r>
        <w:rPr>
          <w:w w:val="130"/>
          <w:sz w:val="24"/>
        </w:rPr>
        <w:t>Az</w:t>
      </w:r>
      <w:r>
        <w:rPr>
          <w:spacing w:val="-19"/>
          <w:w w:val="130"/>
          <w:sz w:val="24"/>
        </w:rPr>
        <w:t> </w:t>
      </w:r>
      <w:r>
        <w:rPr>
          <w:w w:val="130"/>
          <w:sz w:val="24"/>
        </w:rPr>
        <w:t>(5)</w:t>
      </w:r>
      <w:r>
        <w:rPr>
          <w:spacing w:val="-18"/>
          <w:w w:val="130"/>
          <w:sz w:val="24"/>
        </w:rPr>
        <w:t> </w:t>
      </w:r>
      <w:r>
        <w:rPr>
          <w:w w:val="130"/>
          <w:sz w:val="24"/>
        </w:rPr>
        <w:t>bekezdés</w:t>
      </w:r>
      <w:r>
        <w:rPr>
          <w:spacing w:val="-19"/>
          <w:w w:val="130"/>
          <w:sz w:val="24"/>
        </w:rPr>
        <w:t> </w:t>
      </w:r>
      <w:r>
        <w:rPr>
          <w:i/>
          <w:w w:val="130"/>
          <w:sz w:val="24"/>
        </w:rPr>
        <w:t>m)</w:t>
      </w:r>
      <w:r>
        <w:rPr>
          <w:i/>
          <w:spacing w:val="-18"/>
          <w:w w:val="130"/>
          <w:sz w:val="24"/>
        </w:rPr>
        <w:t> </w:t>
      </w:r>
      <w:r>
        <w:rPr>
          <w:w w:val="130"/>
          <w:sz w:val="24"/>
        </w:rPr>
        <w:t>pontja</w:t>
      </w:r>
      <w:r>
        <w:rPr>
          <w:spacing w:val="-15"/>
          <w:w w:val="130"/>
          <w:sz w:val="24"/>
        </w:rPr>
        <w:t> </w:t>
      </w:r>
      <w:r>
        <w:rPr>
          <w:w w:val="130"/>
          <w:sz w:val="24"/>
        </w:rPr>
        <w:t>szerinti</w:t>
      </w:r>
      <w:r>
        <w:rPr>
          <w:spacing w:val="-22"/>
          <w:w w:val="130"/>
          <w:sz w:val="24"/>
        </w:rPr>
        <w:t> </w:t>
      </w:r>
      <w:r>
        <w:rPr>
          <w:w w:val="130"/>
          <w:sz w:val="24"/>
        </w:rPr>
        <w:t>felügyeleti</w:t>
      </w:r>
      <w:r>
        <w:rPr>
          <w:spacing w:val="-18"/>
          <w:w w:val="130"/>
          <w:sz w:val="24"/>
        </w:rPr>
        <w:t> </w:t>
      </w:r>
      <w:r>
        <w:rPr>
          <w:w w:val="130"/>
          <w:sz w:val="24"/>
        </w:rPr>
        <w:t>felülvizsgálat</w:t>
      </w:r>
      <w:r>
        <w:rPr>
          <w:spacing w:val="-18"/>
          <w:w w:val="130"/>
          <w:sz w:val="24"/>
        </w:rPr>
        <w:t> </w:t>
      </w:r>
      <w:r>
        <w:rPr>
          <w:w w:val="130"/>
          <w:sz w:val="24"/>
        </w:rPr>
        <w:t>és</w:t>
      </w:r>
      <w:r>
        <w:rPr>
          <w:spacing w:val="-19"/>
          <w:w w:val="130"/>
          <w:sz w:val="24"/>
        </w:rPr>
        <w:t> </w:t>
      </w:r>
      <w:r>
        <w:rPr>
          <w:w w:val="130"/>
          <w:sz w:val="24"/>
        </w:rPr>
        <w:t>értékelés keretében a hitelintézet a Felügyelet rendelkezésére bocsátja</w:t>
      </w:r>
      <w:r>
        <w:rPr>
          <w:spacing w:val="-41"/>
          <w:w w:val="130"/>
          <w:sz w:val="24"/>
        </w:rPr>
        <w:t> </w:t>
      </w:r>
      <w:r>
        <w:rPr>
          <w:w w:val="130"/>
          <w:sz w:val="24"/>
        </w:rPr>
        <w:t>legalább</w:t>
      </w:r>
    </w:p>
    <w:p>
      <w:pPr>
        <w:pStyle w:val="ListParagraph"/>
        <w:numPr>
          <w:ilvl w:val="0"/>
          <w:numId w:val="414"/>
        </w:numPr>
        <w:tabs>
          <w:tab w:pos="648" w:val="left" w:leader="none"/>
        </w:tabs>
        <w:spacing w:line="225" w:lineRule="auto" w:before="1" w:after="0"/>
        <w:ind w:left="113" w:right="132" w:firstLine="204"/>
        <w:jc w:val="both"/>
        <w:rPr>
          <w:sz w:val="24"/>
        </w:rPr>
      </w:pPr>
      <w:r>
        <w:rPr>
          <w:w w:val="130"/>
          <w:sz w:val="24"/>
        </w:rPr>
        <w:t>a vezető és ellenőrző testület és egyéb bizottsági ülésének napirendjét és a kapcsolódó előterjesztéseket,</w:t>
      </w:r>
      <w:r>
        <w:rPr>
          <w:spacing w:val="-15"/>
          <w:w w:val="130"/>
          <w:sz w:val="24"/>
        </w:rPr>
        <w:t> </w:t>
      </w:r>
      <w:r>
        <w:rPr>
          <w:w w:val="130"/>
          <w:sz w:val="24"/>
        </w:rPr>
        <w:t>valamint</w:t>
      </w:r>
    </w:p>
    <w:p>
      <w:pPr>
        <w:pStyle w:val="ListParagraph"/>
        <w:numPr>
          <w:ilvl w:val="0"/>
          <w:numId w:val="414"/>
        </w:numPr>
        <w:tabs>
          <w:tab w:pos="779" w:val="left" w:leader="none"/>
        </w:tabs>
        <w:spacing w:line="225" w:lineRule="auto" w:before="1" w:after="0"/>
        <w:ind w:left="113" w:right="137" w:firstLine="204"/>
        <w:jc w:val="both"/>
        <w:rPr>
          <w:sz w:val="24"/>
        </w:rPr>
      </w:pPr>
      <w:r>
        <w:rPr>
          <w:w w:val="130"/>
          <w:sz w:val="24"/>
        </w:rPr>
        <w:t>a vezető testület teljesítményének belső vagy külső értékelésének eredményeit.</w:t>
      </w:r>
    </w:p>
    <w:p>
      <w:pPr>
        <w:pStyle w:val="ListParagraph"/>
        <w:numPr>
          <w:ilvl w:val="0"/>
          <w:numId w:val="411"/>
        </w:numPr>
        <w:tabs>
          <w:tab w:pos="1038" w:val="left" w:leader="none"/>
        </w:tabs>
        <w:spacing w:line="225" w:lineRule="auto" w:before="1" w:after="0"/>
        <w:ind w:left="113" w:right="130" w:firstLine="204"/>
        <w:jc w:val="both"/>
        <w:rPr>
          <w:sz w:val="24"/>
        </w:rPr>
      </w:pPr>
      <w:r>
        <w:rPr>
          <w:w w:val="125"/>
          <w:sz w:val="24"/>
        </w:rPr>
        <w:t>A felügyeleti felülvizsgálat és értékelés elősegítése érdekében a Felügyelet legalább évente felügyeleti stressz-tesztet végez az általa felügyelt hitelintézetekre</w:t>
      </w:r>
      <w:r>
        <w:rPr>
          <w:spacing w:val="1"/>
          <w:w w:val="125"/>
          <w:sz w:val="24"/>
        </w:rPr>
        <w:t> </w:t>
      </w:r>
      <w:r>
        <w:rPr>
          <w:w w:val="125"/>
          <w:sz w:val="24"/>
        </w:rPr>
        <w:t>vonatkozóan.</w:t>
      </w:r>
    </w:p>
    <w:p>
      <w:pPr>
        <w:pStyle w:val="ListParagraph"/>
        <w:numPr>
          <w:ilvl w:val="0"/>
          <w:numId w:val="411"/>
        </w:numPr>
        <w:tabs>
          <w:tab w:pos="812" w:val="left" w:leader="none"/>
        </w:tabs>
        <w:spacing w:line="250" w:lineRule="exact" w:before="0" w:after="0"/>
        <w:ind w:left="811" w:right="0" w:hanging="494"/>
        <w:jc w:val="left"/>
        <w:rPr>
          <w:sz w:val="24"/>
        </w:rPr>
      </w:pPr>
      <w:r>
        <w:rPr>
          <w:i/>
          <w:w w:val="125"/>
          <w:position w:val="3"/>
          <w:sz w:val="18"/>
        </w:rPr>
        <w:t>2 </w:t>
      </w:r>
      <w:r>
        <w:rPr>
          <w:w w:val="125"/>
          <w:sz w:val="24"/>
        </w:rPr>
        <w:t>A Felügyelet - az egyes helyreállítási tervek benyújtását követő</w:t>
      </w:r>
      <w:r>
        <w:rPr>
          <w:spacing w:val="4"/>
          <w:w w:val="125"/>
          <w:sz w:val="24"/>
        </w:rPr>
        <w:t> </w:t>
      </w:r>
      <w:r>
        <w:rPr>
          <w:w w:val="125"/>
          <w:sz w:val="24"/>
        </w:rPr>
        <w:t>hat</w:t>
      </w:r>
    </w:p>
    <w:p>
      <w:pPr>
        <w:pStyle w:val="BodyText"/>
        <w:spacing w:line="225" w:lineRule="auto" w:before="12"/>
        <w:ind w:right="121" w:firstLine="0"/>
        <w:jc w:val="both"/>
      </w:pPr>
      <w:r>
        <w:rPr>
          <w:w w:val="125"/>
        </w:rPr>
        <w:t>hónapon belül és azon EGT-állam illetékes felügyeleti hatóságával történt egyeztetést követően, amelyben a hitelintézet rendszerszinten jelentős fiókteleppel rendelkezik - felülvizsgálja és értékeli a hitelintézet helyreállítási tervét. A felülvizsgálat a 114. §-ban meghatározott feltételeken kívül kiterjed arra is, hogy a helyreállítási tervben foglaltak alapján megalapozottan valószínűsíthető, hogy</w:t>
      </w:r>
    </w:p>
    <w:p>
      <w:pPr>
        <w:pStyle w:val="ListParagraph"/>
        <w:numPr>
          <w:ilvl w:val="0"/>
          <w:numId w:val="415"/>
        </w:numPr>
        <w:tabs>
          <w:tab w:pos="717" w:val="left" w:leader="none"/>
        </w:tabs>
        <w:spacing w:line="225" w:lineRule="auto" w:before="3" w:after="0"/>
        <w:ind w:left="113" w:right="119" w:firstLine="204"/>
        <w:jc w:val="both"/>
        <w:rPr>
          <w:sz w:val="24"/>
        </w:rPr>
      </w:pPr>
      <w:r>
        <w:rPr>
          <w:w w:val="130"/>
          <w:sz w:val="24"/>
        </w:rPr>
        <w:t>végrehajtásával fenntartható vagy helyreállítható a hitelintézet vagy a</w:t>
      </w:r>
      <w:r>
        <w:rPr>
          <w:spacing w:val="78"/>
          <w:w w:val="130"/>
          <w:sz w:val="24"/>
        </w:rPr>
        <w:t> </w:t>
      </w:r>
      <w:r>
        <w:rPr>
          <w:w w:val="130"/>
          <w:sz w:val="24"/>
        </w:rPr>
        <w:t>csoport</w:t>
      </w:r>
      <w:r>
        <w:rPr>
          <w:spacing w:val="-18"/>
          <w:w w:val="130"/>
          <w:sz w:val="24"/>
        </w:rPr>
        <w:t> </w:t>
      </w:r>
      <w:r>
        <w:rPr>
          <w:w w:val="130"/>
          <w:sz w:val="24"/>
        </w:rPr>
        <w:t>életképessége</w:t>
      </w:r>
      <w:r>
        <w:rPr>
          <w:spacing w:val="-32"/>
          <w:w w:val="130"/>
          <w:sz w:val="24"/>
        </w:rPr>
        <w:t> </w:t>
      </w:r>
      <w:r>
        <w:rPr>
          <w:w w:val="130"/>
          <w:sz w:val="24"/>
        </w:rPr>
        <w:t>és</w:t>
      </w:r>
      <w:r>
        <w:rPr>
          <w:spacing w:val="-19"/>
          <w:w w:val="130"/>
          <w:sz w:val="24"/>
        </w:rPr>
        <w:t> </w:t>
      </w:r>
      <w:r>
        <w:rPr>
          <w:w w:val="130"/>
          <w:sz w:val="24"/>
        </w:rPr>
        <w:t>pénzügyi</w:t>
      </w:r>
      <w:r>
        <w:rPr>
          <w:spacing w:val="-31"/>
          <w:w w:val="130"/>
          <w:sz w:val="24"/>
        </w:rPr>
        <w:t> </w:t>
      </w:r>
      <w:r>
        <w:rPr>
          <w:w w:val="130"/>
          <w:sz w:val="24"/>
        </w:rPr>
        <w:t>helyzete,</w:t>
      </w:r>
      <w:r>
        <w:rPr>
          <w:spacing w:val="-22"/>
          <w:w w:val="130"/>
          <w:sz w:val="24"/>
        </w:rPr>
        <w:t> </w:t>
      </w:r>
      <w:r>
        <w:rPr>
          <w:w w:val="130"/>
          <w:sz w:val="24"/>
        </w:rPr>
        <w:t>alkalmas</w:t>
      </w:r>
      <w:r>
        <w:rPr>
          <w:spacing w:val="-28"/>
          <w:w w:val="130"/>
          <w:sz w:val="24"/>
        </w:rPr>
        <w:t> </w:t>
      </w:r>
      <w:r>
        <w:rPr>
          <w:w w:val="130"/>
          <w:sz w:val="24"/>
        </w:rPr>
        <w:t>a</w:t>
      </w:r>
      <w:r>
        <w:rPr>
          <w:spacing w:val="-24"/>
          <w:w w:val="130"/>
          <w:sz w:val="24"/>
        </w:rPr>
        <w:t> </w:t>
      </w:r>
      <w:r>
        <w:rPr>
          <w:w w:val="130"/>
          <w:sz w:val="24"/>
        </w:rPr>
        <w:t>hitelintézet</w:t>
      </w:r>
      <w:r>
        <w:rPr>
          <w:spacing w:val="-25"/>
          <w:w w:val="130"/>
          <w:sz w:val="24"/>
        </w:rPr>
        <w:t> </w:t>
      </w:r>
      <w:r>
        <w:rPr>
          <w:w w:val="130"/>
          <w:sz w:val="24"/>
        </w:rPr>
        <w:t>likviditását vagy fizetőképességét (szolvenciáját) súlyosan veszélyeztető állapot esetén a hitelintézet pénzügyi helyzetének stabilizálására, figyelemmel a hitelintézet által megtett és tervezett</w:t>
      </w:r>
      <w:r>
        <w:rPr>
          <w:spacing w:val="-12"/>
          <w:w w:val="130"/>
          <w:sz w:val="24"/>
        </w:rPr>
        <w:t> </w:t>
      </w:r>
      <w:r>
        <w:rPr>
          <w:w w:val="130"/>
          <w:sz w:val="24"/>
        </w:rPr>
        <w:t>lépésekre;</w:t>
      </w:r>
    </w:p>
    <w:p>
      <w:pPr>
        <w:pStyle w:val="ListParagraph"/>
        <w:numPr>
          <w:ilvl w:val="0"/>
          <w:numId w:val="415"/>
        </w:numPr>
        <w:tabs>
          <w:tab w:pos="724" w:val="left" w:leader="none"/>
        </w:tabs>
        <w:spacing w:line="225" w:lineRule="auto" w:before="3" w:after="0"/>
        <w:ind w:left="113" w:right="125" w:firstLine="204"/>
        <w:jc w:val="both"/>
        <w:rPr>
          <w:sz w:val="24"/>
        </w:rPr>
      </w:pPr>
      <w:r>
        <w:rPr>
          <w:w w:val="125"/>
          <w:sz w:val="24"/>
        </w:rPr>
        <w:t>alkalmazhatósága a vonatkozó stressz-forgatókönyvek alapján reálisan akkor is feltételezhető, ha egyidejűleg más hitelintézet is helyreállítási tervet hajt</w:t>
      </w:r>
      <w:r>
        <w:rPr>
          <w:spacing w:val="1"/>
          <w:w w:val="125"/>
          <w:sz w:val="24"/>
        </w:rPr>
        <w:t> </w:t>
      </w:r>
      <w:r>
        <w:rPr>
          <w:w w:val="125"/>
          <w:sz w:val="24"/>
        </w:rPr>
        <w:t>végre.</w:t>
      </w:r>
    </w:p>
    <w:p>
      <w:pPr>
        <w:pStyle w:val="BodyText"/>
        <w:tabs>
          <w:tab w:pos="1270" w:val="left" w:leader="none"/>
          <w:tab w:pos="1645" w:val="left" w:leader="none"/>
          <w:tab w:pos="3130" w:val="left" w:leader="none"/>
          <w:tab w:pos="3475" w:val="left" w:leader="none"/>
          <w:tab w:pos="5058" w:val="left" w:leader="none"/>
          <w:tab w:pos="5796" w:val="left" w:leader="none"/>
          <w:tab w:pos="7246" w:val="left" w:leader="none"/>
          <w:tab w:pos="9026" w:val="left" w:leader="none"/>
        </w:tabs>
        <w:spacing w:line="250" w:lineRule="exact"/>
        <w:ind w:left="317" w:firstLine="0"/>
      </w:pPr>
      <w:r>
        <w:rPr>
          <w:w w:val="125"/>
        </w:rPr>
        <w:t>(15a)</w:t>
      </w:r>
      <w:r>
        <w:rPr>
          <w:i/>
          <w:w w:val="125"/>
          <w:position w:val="3"/>
          <w:sz w:val="18"/>
        </w:rPr>
        <w:t>3</w:t>
        <w:tab/>
      </w:r>
      <w:r>
        <w:rPr>
          <w:w w:val="125"/>
        </w:rPr>
        <w:t>A</w:t>
        <w:tab/>
        <w:t>Felügyelet</w:t>
        <w:tab/>
        <w:t>a</w:t>
        <w:tab/>
        <w:t>hitelintézet</w:t>
        <w:tab/>
        <w:t>által</w:t>
        <w:tab/>
        <w:t>benyújtott</w:t>
        <w:tab/>
        <w:t>helyreállítási</w:t>
        <w:tab/>
        <w:t>tervet</w:t>
      </w:r>
    </w:p>
    <w:p>
      <w:pPr>
        <w:pStyle w:val="BodyText"/>
        <w:spacing w:line="267" w:lineRule="exact"/>
        <w:ind w:firstLine="0"/>
      </w:pPr>
      <w:r>
        <w:rPr>
          <w:w w:val="130"/>
        </w:rPr>
        <w:t>értékeli, figyelemmel a hitelintézet</w:t>
      </w:r>
    </w:p>
    <w:p>
      <w:pPr>
        <w:pStyle w:val="ListParagraph"/>
        <w:numPr>
          <w:ilvl w:val="0"/>
          <w:numId w:val="416"/>
        </w:numPr>
        <w:tabs>
          <w:tab w:pos="631" w:val="left" w:leader="none"/>
        </w:tabs>
        <w:spacing w:line="260" w:lineRule="exact" w:before="0" w:after="0"/>
        <w:ind w:left="630" w:right="0" w:hanging="313"/>
        <w:jc w:val="left"/>
        <w:rPr>
          <w:sz w:val="24"/>
        </w:rPr>
      </w:pPr>
      <w:r>
        <w:rPr>
          <w:w w:val="130"/>
          <w:sz w:val="24"/>
        </w:rPr>
        <w:t>szervezeti felépítésének</w:t>
      </w:r>
      <w:r>
        <w:rPr>
          <w:spacing w:val="-6"/>
          <w:w w:val="130"/>
          <w:sz w:val="24"/>
        </w:rPr>
        <w:t> </w:t>
      </w:r>
      <w:r>
        <w:rPr>
          <w:w w:val="130"/>
          <w:sz w:val="24"/>
        </w:rPr>
        <w:t>összetettségére,</w:t>
      </w:r>
    </w:p>
    <w:p>
      <w:pPr>
        <w:pStyle w:val="ListParagraph"/>
        <w:numPr>
          <w:ilvl w:val="0"/>
          <w:numId w:val="416"/>
        </w:numPr>
        <w:tabs>
          <w:tab w:pos="653" w:val="left" w:leader="none"/>
        </w:tabs>
        <w:spacing w:line="260" w:lineRule="exact" w:before="0" w:after="0"/>
        <w:ind w:left="652" w:right="0" w:hanging="335"/>
        <w:jc w:val="left"/>
        <w:rPr>
          <w:sz w:val="24"/>
        </w:rPr>
      </w:pPr>
      <w:r>
        <w:rPr>
          <w:w w:val="125"/>
          <w:sz w:val="24"/>
        </w:rPr>
        <w:t>kockázati profiljára,</w:t>
      </w:r>
      <w:r>
        <w:rPr>
          <w:spacing w:val="-10"/>
          <w:w w:val="125"/>
          <w:sz w:val="24"/>
        </w:rPr>
        <w:t> </w:t>
      </w:r>
      <w:r>
        <w:rPr>
          <w:w w:val="125"/>
          <w:sz w:val="24"/>
        </w:rPr>
        <w:t>valamint</w:t>
      </w:r>
    </w:p>
    <w:p>
      <w:pPr>
        <w:pStyle w:val="ListParagraph"/>
        <w:numPr>
          <w:ilvl w:val="0"/>
          <w:numId w:val="416"/>
        </w:numPr>
        <w:tabs>
          <w:tab w:pos="623" w:val="left" w:leader="none"/>
        </w:tabs>
        <w:spacing w:line="268" w:lineRule="exact" w:before="0" w:after="0"/>
        <w:ind w:left="622" w:right="0" w:hanging="305"/>
        <w:jc w:val="left"/>
        <w:rPr>
          <w:sz w:val="24"/>
        </w:rPr>
      </w:pPr>
      <w:r>
        <w:rPr>
          <w:w w:val="130"/>
          <w:sz w:val="24"/>
        </w:rPr>
        <w:t>tőkehelyzetére és finanszírozási</w:t>
      </w:r>
      <w:r>
        <w:rPr>
          <w:spacing w:val="-13"/>
          <w:w w:val="130"/>
          <w:sz w:val="24"/>
        </w:rPr>
        <w:t> </w:t>
      </w:r>
      <w:r>
        <w:rPr>
          <w:w w:val="130"/>
          <w:sz w:val="24"/>
        </w:rPr>
        <w:t>struktúrájára.</w:t>
      </w:r>
    </w:p>
    <w:p>
      <w:pPr>
        <w:pStyle w:val="BodyText"/>
        <w:spacing w:before="3"/>
        <w:ind w:left="0" w:firstLine="0"/>
        <w:rPr>
          <w:sz w:val="15"/>
        </w:rPr>
      </w:pPr>
      <w:r>
        <w:rPr/>
        <w:pict>
          <v:line style="position:absolute;mso-position-horizontal-relative:page;mso-position-vertical-relative:paragraph;z-index:1448;mso-wrap-distance-left:0;mso-wrap-distance-right:0" from="56.693001pt,10.981294pt" to="538.583001pt,10.981294pt" stroked="true" strokeweight=".5pt" strokecolor="#000000">
            <v:stroke dashstyle="solid"/>
            <w10:wrap type="topAndBottom"/>
          </v:line>
        </w:pict>
      </w:r>
    </w:p>
    <w:p>
      <w:pPr>
        <w:pStyle w:val="ListParagraph"/>
        <w:numPr>
          <w:ilvl w:val="0"/>
          <w:numId w:val="417"/>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LXXXV. törvény 215. §. Hatályos: 2015. VII.</w:t>
      </w:r>
      <w:r>
        <w:rPr>
          <w:i/>
          <w:spacing w:val="-23"/>
          <w:w w:val="125"/>
          <w:sz w:val="18"/>
        </w:rPr>
        <w:t> </w:t>
      </w:r>
      <w:r>
        <w:rPr>
          <w:i/>
          <w:w w:val="125"/>
          <w:sz w:val="18"/>
        </w:rPr>
        <w:t>7-től.</w:t>
      </w:r>
    </w:p>
    <w:p>
      <w:pPr>
        <w:pStyle w:val="ListParagraph"/>
        <w:numPr>
          <w:ilvl w:val="0"/>
          <w:numId w:val="417"/>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(14). Hatályos: 2014. IX.</w:t>
      </w:r>
      <w:r>
        <w:rPr>
          <w:i/>
          <w:spacing w:val="-32"/>
          <w:w w:val="125"/>
          <w:sz w:val="18"/>
        </w:rPr>
        <w:t> </w:t>
      </w:r>
      <w:r>
        <w:rPr>
          <w:i/>
          <w:w w:val="125"/>
          <w:sz w:val="18"/>
        </w:rPr>
        <w:t>16-tól.</w:t>
      </w:r>
    </w:p>
    <w:p>
      <w:pPr>
        <w:pStyle w:val="ListParagraph"/>
        <w:numPr>
          <w:ilvl w:val="0"/>
          <w:numId w:val="417"/>
        </w:numPr>
        <w:tabs>
          <w:tab w:pos="686" w:val="left" w:leader="none"/>
          <w:tab w:pos="687" w:val="left" w:leader="none"/>
        </w:tabs>
        <w:spacing w:line="203" w:lineRule="exact" w:before="0" w:after="0"/>
        <w:ind w:left="686" w:right="0" w:hanging="344"/>
        <w:jc w:val="left"/>
        <w:rPr>
          <w:i/>
          <w:sz w:val="18"/>
        </w:rPr>
      </w:pPr>
      <w:r>
        <w:rPr>
          <w:i/>
          <w:w w:val="120"/>
          <w:sz w:val="18"/>
        </w:rPr>
        <w:t>Beiktatta: 2018. évi CXXVI. törvény 105. § (1). Hatályos: 2018. XII.</w:t>
      </w:r>
      <w:r>
        <w:rPr>
          <w:i/>
          <w:spacing w:val="52"/>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BodyText"/>
        <w:spacing w:line="261" w:lineRule="exact" w:before="159"/>
        <w:ind w:left="317" w:firstLine="0"/>
      </w:pPr>
      <w:r>
        <w:rPr>
          <w:w w:val="125"/>
        </w:rPr>
        <w:t>(15b)</w:t>
      </w:r>
      <w:r>
        <w:rPr>
          <w:i/>
          <w:w w:val="125"/>
          <w:position w:val="3"/>
          <w:sz w:val="18"/>
        </w:rPr>
        <w:t>1 </w:t>
      </w:r>
      <w:r>
        <w:rPr>
          <w:w w:val="125"/>
        </w:rPr>
        <w:t>A Felügyelet a hitelintézet által benyújtott helyreállítási tervet a</w:t>
      </w:r>
    </w:p>
    <w:p>
      <w:pPr>
        <w:pStyle w:val="BodyText"/>
        <w:spacing w:line="225" w:lineRule="auto" w:before="12"/>
        <w:ind w:right="126" w:firstLine="0"/>
        <w:jc w:val="both"/>
      </w:pPr>
      <w:r>
        <w:rPr>
          <w:w w:val="130"/>
        </w:rPr>
        <w:t>szanálási feladatkörében eljáró MNB rendelkezésére bocsátja azzal, hogy a szanálási feladatkörében eljáró MNB által adott javaslatokat a Felügyelet megvizsgálja.</w:t>
      </w:r>
    </w:p>
    <w:p>
      <w:pPr>
        <w:pStyle w:val="ListParagraph"/>
        <w:numPr>
          <w:ilvl w:val="0"/>
          <w:numId w:val="411"/>
        </w:numPr>
        <w:tabs>
          <w:tab w:pos="812" w:val="left" w:leader="none"/>
          <w:tab w:pos="1159" w:val="left" w:leader="none"/>
          <w:tab w:pos="1745" w:val="left" w:leader="none"/>
          <w:tab w:pos="2249" w:val="left" w:leader="none"/>
          <w:tab w:pos="3605" w:val="left" w:leader="none"/>
          <w:tab w:pos="4727" w:val="left" w:leader="none"/>
          <w:tab w:pos="5105" w:val="left" w:leader="none"/>
          <w:tab w:pos="6917" w:val="left" w:leader="none"/>
          <w:tab w:pos="7646" w:val="left" w:leader="none"/>
          <w:tab w:pos="8805" w:val="left" w:leader="none"/>
          <w:tab w:pos="9606" w:val="left" w:leader="none"/>
        </w:tabs>
        <w:spacing w:line="250" w:lineRule="exact" w:before="0" w:after="0"/>
        <w:ind w:left="811" w:right="0" w:hanging="494"/>
        <w:jc w:val="left"/>
        <w:rPr>
          <w:sz w:val="24"/>
        </w:rPr>
      </w:pPr>
      <w:r>
        <w:rPr>
          <w:i/>
          <w:w w:val="130"/>
          <w:position w:val="3"/>
          <w:sz w:val="18"/>
        </w:rPr>
        <w:t>2</w:t>
        <w:tab/>
      </w:r>
      <w:r>
        <w:rPr>
          <w:w w:val="130"/>
          <w:sz w:val="24"/>
        </w:rPr>
        <w:t>Ha</w:t>
        <w:tab/>
        <w:t>az</w:t>
        <w:tab/>
        <w:t>értékelés</w:t>
        <w:tab/>
        <w:t>alapján</w:t>
        <w:tab/>
        <w:t>a</w:t>
        <w:tab/>
        <w:t>helyreállítási</w:t>
        <w:tab/>
        <w:t>terv</w:t>
        <w:tab/>
        <w:t>hiányos</w:t>
        <w:tab/>
        <w:t>vagy</w:t>
        <w:tab/>
        <w:t>a</w:t>
      </w:r>
    </w:p>
    <w:p>
      <w:pPr>
        <w:pStyle w:val="BodyText"/>
        <w:spacing w:line="225" w:lineRule="auto" w:before="12"/>
        <w:ind w:right="123" w:firstLine="0"/>
        <w:jc w:val="both"/>
      </w:pPr>
      <w:r>
        <w:rPr>
          <w:w w:val="130"/>
        </w:rPr>
        <w:t>végrehajtásának akadályai lehetnek, a Felügyelet határozatban kötelezi a hitelintézetet a helyreállítási terv két hónapon belüli átdolgozására, mely határidő egy hónappal meghosszabbítható.</w:t>
      </w:r>
    </w:p>
    <w:p>
      <w:pPr>
        <w:pStyle w:val="ListParagraph"/>
        <w:numPr>
          <w:ilvl w:val="0"/>
          <w:numId w:val="411"/>
        </w:numPr>
        <w:tabs>
          <w:tab w:pos="812" w:val="left" w:leader="none"/>
        </w:tabs>
        <w:spacing w:line="250" w:lineRule="exact" w:before="0" w:after="0"/>
        <w:ind w:left="811" w:right="0" w:hanging="494"/>
        <w:jc w:val="left"/>
        <w:rPr>
          <w:sz w:val="24"/>
        </w:rPr>
      </w:pPr>
      <w:r>
        <w:rPr>
          <w:i/>
          <w:w w:val="130"/>
          <w:position w:val="3"/>
          <w:sz w:val="18"/>
        </w:rPr>
        <w:t>3 </w:t>
      </w:r>
      <w:r>
        <w:rPr>
          <w:w w:val="130"/>
          <w:sz w:val="24"/>
        </w:rPr>
        <w:t>A (16) bekezdés szerinti határozat meghozatala előtt a</w:t>
      </w:r>
      <w:r>
        <w:rPr>
          <w:spacing w:val="-29"/>
          <w:w w:val="130"/>
          <w:sz w:val="24"/>
        </w:rPr>
        <w:t> </w:t>
      </w:r>
      <w:r>
        <w:rPr>
          <w:w w:val="130"/>
          <w:sz w:val="24"/>
        </w:rPr>
        <w:t>Felügyelet</w:t>
      </w:r>
    </w:p>
    <w:p>
      <w:pPr>
        <w:pStyle w:val="BodyText"/>
        <w:spacing w:line="225" w:lineRule="auto" w:before="12"/>
        <w:ind w:firstLine="0"/>
      </w:pPr>
      <w:r>
        <w:rPr>
          <w:w w:val="130"/>
        </w:rPr>
        <w:t>lehetőséget biztosít a hitelintézet számára, hogy a Felügyelet által feltárt hiányosságok, végrehajtási akadályok tárgyában észrevételt tegyen.</w:t>
      </w:r>
    </w:p>
    <w:p>
      <w:pPr>
        <w:pStyle w:val="ListParagraph"/>
        <w:numPr>
          <w:ilvl w:val="0"/>
          <w:numId w:val="411"/>
        </w:numPr>
        <w:tabs>
          <w:tab w:pos="812" w:val="left" w:leader="none"/>
        </w:tabs>
        <w:spacing w:line="249" w:lineRule="exact" w:before="0" w:after="0"/>
        <w:ind w:left="811" w:right="0" w:hanging="494"/>
        <w:jc w:val="left"/>
        <w:rPr>
          <w:sz w:val="24"/>
        </w:rPr>
      </w:pPr>
      <w:r>
        <w:rPr>
          <w:i/>
          <w:w w:val="130"/>
          <w:position w:val="3"/>
          <w:sz w:val="18"/>
        </w:rPr>
        <w:t>4</w:t>
      </w:r>
      <w:r>
        <w:rPr>
          <w:i/>
          <w:spacing w:val="12"/>
          <w:w w:val="130"/>
          <w:position w:val="3"/>
          <w:sz w:val="18"/>
        </w:rPr>
        <w:t> </w:t>
      </w:r>
      <w:r>
        <w:rPr>
          <w:w w:val="130"/>
          <w:sz w:val="24"/>
        </w:rPr>
        <w:t>Ha</w:t>
      </w:r>
      <w:r>
        <w:rPr>
          <w:spacing w:val="39"/>
          <w:w w:val="130"/>
          <w:sz w:val="24"/>
        </w:rPr>
        <w:t> </w:t>
      </w:r>
      <w:r>
        <w:rPr>
          <w:w w:val="130"/>
          <w:sz w:val="24"/>
        </w:rPr>
        <w:t>a</w:t>
      </w:r>
      <w:r>
        <w:rPr>
          <w:spacing w:val="46"/>
          <w:w w:val="130"/>
          <w:sz w:val="24"/>
        </w:rPr>
        <w:t> </w:t>
      </w:r>
      <w:r>
        <w:rPr>
          <w:w w:val="130"/>
          <w:sz w:val="24"/>
        </w:rPr>
        <w:t>hitelintézet</w:t>
      </w:r>
      <w:r>
        <w:rPr>
          <w:spacing w:val="45"/>
          <w:w w:val="130"/>
          <w:sz w:val="24"/>
        </w:rPr>
        <w:t> </w:t>
      </w:r>
      <w:r>
        <w:rPr>
          <w:w w:val="130"/>
          <w:sz w:val="24"/>
        </w:rPr>
        <w:t>a</w:t>
      </w:r>
      <w:r>
        <w:rPr>
          <w:spacing w:val="62"/>
          <w:w w:val="130"/>
          <w:sz w:val="24"/>
        </w:rPr>
        <w:t> </w:t>
      </w:r>
      <w:r>
        <w:rPr>
          <w:w w:val="130"/>
          <w:sz w:val="24"/>
        </w:rPr>
        <w:t>Felügyelet</w:t>
      </w:r>
      <w:r>
        <w:rPr>
          <w:spacing w:val="30"/>
          <w:w w:val="130"/>
          <w:sz w:val="24"/>
        </w:rPr>
        <w:t> </w:t>
      </w:r>
      <w:r>
        <w:rPr>
          <w:w w:val="130"/>
          <w:sz w:val="24"/>
        </w:rPr>
        <w:t>szerint</w:t>
      </w:r>
      <w:r>
        <w:rPr>
          <w:spacing w:val="45"/>
          <w:w w:val="130"/>
          <w:sz w:val="24"/>
        </w:rPr>
        <w:t> </w:t>
      </w:r>
      <w:r>
        <w:rPr>
          <w:w w:val="130"/>
          <w:sz w:val="24"/>
        </w:rPr>
        <w:t>nem</w:t>
      </w:r>
      <w:r>
        <w:rPr>
          <w:spacing w:val="46"/>
          <w:w w:val="130"/>
          <w:sz w:val="24"/>
        </w:rPr>
        <w:t> </w:t>
      </w:r>
      <w:r>
        <w:rPr>
          <w:w w:val="130"/>
          <w:sz w:val="24"/>
        </w:rPr>
        <w:t>a</w:t>
      </w:r>
      <w:r>
        <w:rPr>
          <w:spacing w:val="45"/>
          <w:w w:val="130"/>
          <w:sz w:val="24"/>
        </w:rPr>
        <w:t> </w:t>
      </w:r>
      <w:r>
        <w:rPr>
          <w:w w:val="130"/>
          <w:sz w:val="24"/>
        </w:rPr>
        <w:t>(16)</w:t>
      </w:r>
      <w:r>
        <w:rPr>
          <w:spacing w:val="46"/>
          <w:w w:val="130"/>
          <w:sz w:val="24"/>
        </w:rPr>
        <w:t> </w:t>
      </w:r>
      <w:r>
        <w:rPr>
          <w:w w:val="130"/>
          <w:sz w:val="24"/>
        </w:rPr>
        <w:t>bekezdés</w:t>
      </w:r>
      <w:r>
        <w:rPr>
          <w:spacing w:val="61"/>
          <w:w w:val="130"/>
          <w:sz w:val="24"/>
        </w:rPr>
        <w:t> </w:t>
      </w:r>
      <w:r>
        <w:rPr>
          <w:w w:val="130"/>
          <w:sz w:val="24"/>
        </w:rPr>
        <w:t>szerinti</w:t>
      </w:r>
    </w:p>
    <w:p>
      <w:pPr>
        <w:pStyle w:val="BodyText"/>
        <w:spacing w:line="225" w:lineRule="auto" w:before="12"/>
        <w:ind w:right="125" w:firstLine="0"/>
        <w:jc w:val="both"/>
      </w:pPr>
      <w:r>
        <w:rPr>
          <w:w w:val="130"/>
        </w:rPr>
        <w:t>határozatnak megfelelően dolgozta át a helyreállítási tervet, akkor a Felügyelet határozatában rögzíti az újbóli átdolgozás módját, eszközeit, elemeit és részleteit.</w:t>
      </w:r>
    </w:p>
    <w:p>
      <w:pPr>
        <w:pStyle w:val="ListParagraph"/>
        <w:numPr>
          <w:ilvl w:val="0"/>
          <w:numId w:val="387"/>
        </w:numPr>
        <w:tabs>
          <w:tab w:pos="1018" w:val="left" w:leader="none"/>
        </w:tabs>
        <w:spacing w:line="225" w:lineRule="auto" w:before="1" w:after="0"/>
        <w:ind w:left="113" w:right="121" w:firstLine="204"/>
        <w:jc w:val="both"/>
        <w:rPr>
          <w:sz w:val="24"/>
        </w:rPr>
      </w:pPr>
      <w:r>
        <w:rPr>
          <w:rFonts w:ascii="Arial" w:hAnsi="Arial"/>
          <w:b/>
          <w:w w:val="125"/>
          <w:sz w:val="24"/>
        </w:rPr>
        <w:t>§ </w:t>
      </w:r>
      <w:r>
        <w:rPr>
          <w:w w:val="125"/>
          <w:sz w:val="24"/>
        </w:rPr>
        <w:t>(1) A Felügyelet évente felügyeleti vizsgálati programot fogad el az általa felügyelt, Magyarországon bejegyzett azon hitelintézetek esetében, amelyek</w:t>
      </w:r>
    </w:p>
    <w:p>
      <w:pPr>
        <w:pStyle w:val="ListParagraph"/>
        <w:numPr>
          <w:ilvl w:val="0"/>
          <w:numId w:val="418"/>
        </w:numPr>
        <w:tabs>
          <w:tab w:pos="794" w:val="left" w:leader="none"/>
        </w:tabs>
        <w:spacing w:line="225" w:lineRule="auto" w:before="1" w:after="0"/>
        <w:ind w:left="113" w:right="129" w:firstLine="204"/>
        <w:jc w:val="both"/>
        <w:rPr>
          <w:sz w:val="24"/>
        </w:rPr>
      </w:pPr>
      <w:r>
        <w:rPr>
          <w:w w:val="130"/>
          <w:sz w:val="24"/>
        </w:rPr>
        <w:t>szolvenciáját veszélyeztető kockázatok azonosítására kerül sor az elvégzett stressz-tesztek eredményei vagy a felügyeleti felülvizsgálat és értékelési eljárás eredményei</w:t>
      </w:r>
      <w:r>
        <w:rPr>
          <w:spacing w:val="-12"/>
          <w:w w:val="130"/>
          <w:sz w:val="24"/>
        </w:rPr>
        <w:t> </w:t>
      </w:r>
      <w:r>
        <w:rPr>
          <w:w w:val="130"/>
          <w:sz w:val="24"/>
        </w:rPr>
        <w:t>alapján,</w:t>
      </w:r>
    </w:p>
    <w:p>
      <w:pPr>
        <w:pStyle w:val="ListParagraph"/>
        <w:numPr>
          <w:ilvl w:val="0"/>
          <w:numId w:val="418"/>
        </w:numPr>
        <w:tabs>
          <w:tab w:pos="667" w:val="left" w:leader="none"/>
        </w:tabs>
        <w:spacing w:line="225" w:lineRule="auto" w:before="2" w:after="0"/>
        <w:ind w:left="113" w:right="132" w:firstLine="204"/>
        <w:jc w:val="both"/>
        <w:rPr>
          <w:sz w:val="24"/>
        </w:rPr>
      </w:pPr>
      <w:r>
        <w:rPr>
          <w:w w:val="130"/>
          <w:sz w:val="24"/>
        </w:rPr>
        <w:t>megsértik az e törvény, a prudens működésre vonatkozó szabályok és az 575/2013/EU rendelet rendelkezéseit,</w:t>
      </w:r>
      <w:r>
        <w:rPr>
          <w:spacing w:val="-14"/>
          <w:w w:val="130"/>
          <w:sz w:val="24"/>
        </w:rPr>
        <w:t> </w:t>
      </w:r>
      <w:r>
        <w:rPr>
          <w:w w:val="130"/>
          <w:sz w:val="24"/>
        </w:rPr>
        <w:t>vagy</w:t>
      </w:r>
    </w:p>
    <w:p>
      <w:pPr>
        <w:pStyle w:val="ListParagraph"/>
        <w:numPr>
          <w:ilvl w:val="0"/>
          <w:numId w:val="418"/>
        </w:numPr>
        <w:tabs>
          <w:tab w:pos="623" w:val="left" w:leader="none"/>
        </w:tabs>
        <w:spacing w:line="256" w:lineRule="exact" w:before="0" w:after="0"/>
        <w:ind w:left="622" w:right="0" w:hanging="305"/>
        <w:jc w:val="left"/>
        <w:rPr>
          <w:sz w:val="24"/>
        </w:rPr>
      </w:pPr>
      <w:r>
        <w:rPr>
          <w:w w:val="130"/>
          <w:sz w:val="24"/>
        </w:rPr>
        <w:t>a pénzügyi rendszer alapján rendszerszinten</w:t>
      </w:r>
      <w:r>
        <w:rPr>
          <w:spacing w:val="-26"/>
          <w:w w:val="130"/>
          <w:sz w:val="24"/>
        </w:rPr>
        <w:t> </w:t>
      </w:r>
      <w:r>
        <w:rPr>
          <w:w w:val="130"/>
          <w:sz w:val="24"/>
        </w:rPr>
        <w:t>jelentősek.</w:t>
      </w:r>
    </w:p>
    <w:p>
      <w:pPr>
        <w:pStyle w:val="ListParagraph"/>
        <w:numPr>
          <w:ilvl w:val="0"/>
          <w:numId w:val="419"/>
        </w:numPr>
        <w:tabs>
          <w:tab w:pos="937" w:val="left" w:leader="none"/>
        </w:tabs>
        <w:spacing w:line="225" w:lineRule="auto" w:before="5" w:after="0"/>
        <w:ind w:left="113" w:right="131" w:firstLine="204"/>
        <w:jc w:val="both"/>
        <w:rPr>
          <w:sz w:val="24"/>
        </w:rPr>
      </w:pPr>
      <w:r>
        <w:rPr>
          <w:w w:val="125"/>
          <w:sz w:val="24"/>
        </w:rPr>
        <w:t>A felügyeleti vizsgálati program magában foglalja legalább a következőket:</w:t>
      </w:r>
    </w:p>
    <w:p>
      <w:pPr>
        <w:pStyle w:val="ListParagraph"/>
        <w:numPr>
          <w:ilvl w:val="0"/>
          <w:numId w:val="420"/>
        </w:numPr>
        <w:tabs>
          <w:tab w:pos="631" w:val="left" w:leader="none"/>
        </w:tabs>
        <w:spacing w:line="256" w:lineRule="exact" w:before="0" w:after="0"/>
        <w:ind w:left="630" w:right="0" w:hanging="313"/>
        <w:jc w:val="left"/>
        <w:rPr>
          <w:sz w:val="24"/>
        </w:rPr>
      </w:pPr>
      <w:r>
        <w:rPr>
          <w:w w:val="130"/>
          <w:sz w:val="24"/>
        </w:rPr>
        <w:t>a felügyeleti feladatok végrehajtásának</w:t>
      </w:r>
      <w:r>
        <w:rPr>
          <w:spacing w:val="-18"/>
          <w:w w:val="130"/>
          <w:sz w:val="24"/>
        </w:rPr>
        <w:t> </w:t>
      </w:r>
      <w:r>
        <w:rPr>
          <w:w w:val="130"/>
          <w:sz w:val="24"/>
        </w:rPr>
        <w:t>terve,</w:t>
      </w:r>
    </w:p>
    <w:p>
      <w:pPr>
        <w:pStyle w:val="ListParagraph"/>
        <w:numPr>
          <w:ilvl w:val="0"/>
          <w:numId w:val="420"/>
        </w:numPr>
        <w:tabs>
          <w:tab w:pos="653" w:val="left" w:leader="none"/>
        </w:tabs>
        <w:spacing w:line="260" w:lineRule="exact" w:before="0" w:after="0"/>
        <w:ind w:left="652" w:right="0" w:hanging="335"/>
        <w:jc w:val="left"/>
        <w:rPr>
          <w:sz w:val="24"/>
        </w:rPr>
      </w:pPr>
      <w:r>
        <w:rPr>
          <w:w w:val="130"/>
          <w:sz w:val="24"/>
        </w:rPr>
        <w:t>a</w:t>
      </w:r>
      <w:r>
        <w:rPr>
          <w:spacing w:val="-21"/>
          <w:w w:val="130"/>
          <w:sz w:val="24"/>
        </w:rPr>
        <w:t> </w:t>
      </w:r>
      <w:r>
        <w:rPr>
          <w:w w:val="130"/>
          <w:sz w:val="24"/>
        </w:rPr>
        <w:t>felügyeleti</w:t>
      </w:r>
      <w:r>
        <w:rPr>
          <w:spacing w:val="-1"/>
          <w:w w:val="130"/>
          <w:sz w:val="24"/>
        </w:rPr>
        <w:t> </w:t>
      </w:r>
      <w:r>
        <w:rPr>
          <w:w w:val="130"/>
          <w:sz w:val="24"/>
        </w:rPr>
        <w:t>feladatok</w:t>
      </w:r>
      <w:r>
        <w:rPr>
          <w:spacing w:val="-28"/>
          <w:w w:val="130"/>
          <w:sz w:val="24"/>
        </w:rPr>
        <w:t> </w:t>
      </w:r>
      <w:r>
        <w:rPr>
          <w:w w:val="130"/>
          <w:sz w:val="24"/>
        </w:rPr>
        <w:t>végrehajtásához</w:t>
      </w:r>
      <w:r>
        <w:rPr>
          <w:spacing w:val="-15"/>
          <w:w w:val="130"/>
          <w:sz w:val="24"/>
        </w:rPr>
        <w:t> </w:t>
      </w:r>
      <w:r>
        <w:rPr>
          <w:w w:val="130"/>
          <w:sz w:val="24"/>
        </w:rPr>
        <w:t>szükséges</w:t>
      </w:r>
      <w:r>
        <w:rPr>
          <w:spacing w:val="-13"/>
          <w:w w:val="130"/>
          <w:sz w:val="24"/>
        </w:rPr>
        <w:t> </w:t>
      </w:r>
      <w:r>
        <w:rPr>
          <w:w w:val="130"/>
          <w:sz w:val="24"/>
        </w:rPr>
        <w:t>források</w:t>
      </w:r>
      <w:r>
        <w:rPr>
          <w:spacing w:val="-13"/>
          <w:w w:val="130"/>
          <w:sz w:val="24"/>
        </w:rPr>
        <w:t> </w:t>
      </w:r>
      <w:r>
        <w:rPr>
          <w:w w:val="130"/>
          <w:sz w:val="24"/>
        </w:rPr>
        <w:t>elosztása,</w:t>
      </w:r>
    </w:p>
    <w:p>
      <w:pPr>
        <w:pStyle w:val="ListParagraph"/>
        <w:numPr>
          <w:ilvl w:val="0"/>
          <w:numId w:val="420"/>
        </w:numPr>
        <w:tabs>
          <w:tab w:pos="629" w:val="left" w:leader="none"/>
        </w:tabs>
        <w:spacing w:line="225" w:lineRule="auto" w:before="6" w:after="0"/>
        <w:ind w:left="113" w:right="125" w:firstLine="204"/>
        <w:jc w:val="both"/>
        <w:rPr>
          <w:sz w:val="24"/>
        </w:rPr>
      </w:pPr>
      <w:r>
        <w:rPr>
          <w:w w:val="130"/>
          <w:sz w:val="24"/>
        </w:rPr>
        <w:t>a</w:t>
      </w:r>
      <w:r>
        <w:rPr>
          <w:spacing w:val="-21"/>
          <w:w w:val="130"/>
          <w:sz w:val="24"/>
        </w:rPr>
        <w:t> </w:t>
      </w:r>
      <w:r>
        <w:rPr>
          <w:w w:val="130"/>
          <w:sz w:val="24"/>
        </w:rPr>
        <w:t>fokozott</w:t>
      </w:r>
      <w:r>
        <w:rPr>
          <w:spacing w:val="-21"/>
          <w:w w:val="130"/>
          <w:sz w:val="24"/>
        </w:rPr>
        <w:t> </w:t>
      </w:r>
      <w:r>
        <w:rPr>
          <w:w w:val="130"/>
          <w:sz w:val="24"/>
        </w:rPr>
        <w:t>felügyeletet</w:t>
      </w:r>
      <w:r>
        <w:rPr>
          <w:spacing w:val="-21"/>
          <w:w w:val="130"/>
          <w:sz w:val="24"/>
        </w:rPr>
        <w:t> </w:t>
      </w:r>
      <w:r>
        <w:rPr>
          <w:w w:val="130"/>
          <w:sz w:val="24"/>
        </w:rPr>
        <w:t>igénylő</w:t>
      </w:r>
      <w:r>
        <w:rPr>
          <w:spacing w:val="-21"/>
          <w:w w:val="130"/>
          <w:sz w:val="24"/>
        </w:rPr>
        <w:t> </w:t>
      </w:r>
      <w:r>
        <w:rPr>
          <w:w w:val="130"/>
          <w:sz w:val="24"/>
        </w:rPr>
        <w:t>hitelintézetek</w:t>
      </w:r>
      <w:r>
        <w:rPr>
          <w:spacing w:val="-21"/>
          <w:w w:val="130"/>
          <w:sz w:val="24"/>
        </w:rPr>
        <w:t> </w:t>
      </w:r>
      <w:r>
        <w:rPr>
          <w:w w:val="130"/>
          <w:sz w:val="24"/>
        </w:rPr>
        <w:t>azonosítása</w:t>
      </w:r>
      <w:r>
        <w:rPr>
          <w:spacing w:val="-21"/>
          <w:w w:val="130"/>
          <w:sz w:val="24"/>
        </w:rPr>
        <w:t> </w:t>
      </w:r>
      <w:r>
        <w:rPr>
          <w:w w:val="130"/>
          <w:sz w:val="24"/>
        </w:rPr>
        <w:t>és</w:t>
      </w:r>
      <w:r>
        <w:rPr>
          <w:spacing w:val="-21"/>
          <w:w w:val="130"/>
          <w:sz w:val="24"/>
        </w:rPr>
        <w:t> </w:t>
      </w:r>
      <w:r>
        <w:rPr>
          <w:w w:val="130"/>
          <w:sz w:val="24"/>
        </w:rPr>
        <w:t>azok</w:t>
      </w:r>
      <w:r>
        <w:rPr>
          <w:spacing w:val="-21"/>
          <w:w w:val="130"/>
          <w:sz w:val="24"/>
        </w:rPr>
        <w:t> </w:t>
      </w:r>
      <w:r>
        <w:rPr>
          <w:w w:val="130"/>
          <w:sz w:val="24"/>
        </w:rPr>
        <w:t>esetében szükséges</w:t>
      </w:r>
      <w:r>
        <w:rPr>
          <w:spacing w:val="-15"/>
          <w:w w:val="130"/>
          <w:sz w:val="24"/>
        </w:rPr>
        <w:t> </w:t>
      </w:r>
      <w:r>
        <w:rPr>
          <w:w w:val="130"/>
          <w:sz w:val="24"/>
        </w:rPr>
        <w:t>intézkedések,</w:t>
      </w:r>
      <w:r>
        <w:rPr>
          <w:spacing w:val="-15"/>
          <w:w w:val="130"/>
          <w:sz w:val="24"/>
        </w:rPr>
        <w:t> </w:t>
      </w:r>
      <w:r>
        <w:rPr>
          <w:w w:val="130"/>
          <w:sz w:val="24"/>
        </w:rPr>
        <w:t>kivételes</w:t>
      </w:r>
      <w:r>
        <w:rPr>
          <w:spacing w:val="-15"/>
          <w:w w:val="130"/>
          <w:sz w:val="24"/>
        </w:rPr>
        <w:t> </w:t>
      </w:r>
      <w:r>
        <w:rPr>
          <w:w w:val="130"/>
          <w:sz w:val="24"/>
        </w:rPr>
        <w:t>intézkedések</w:t>
      </w:r>
      <w:r>
        <w:rPr>
          <w:spacing w:val="-2"/>
          <w:w w:val="130"/>
          <w:sz w:val="24"/>
        </w:rPr>
        <w:t> </w:t>
      </w:r>
      <w:r>
        <w:rPr>
          <w:w w:val="130"/>
          <w:sz w:val="24"/>
        </w:rPr>
        <w:t>meghatározása,</w:t>
      </w:r>
      <w:r>
        <w:rPr>
          <w:spacing w:val="-27"/>
          <w:w w:val="130"/>
          <w:sz w:val="24"/>
        </w:rPr>
        <w:t> </w:t>
      </w:r>
      <w:r>
        <w:rPr>
          <w:w w:val="130"/>
          <w:sz w:val="24"/>
        </w:rPr>
        <w:t>valamint</w:t>
      </w:r>
    </w:p>
    <w:p>
      <w:pPr>
        <w:pStyle w:val="ListParagraph"/>
        <w:numPr>
          <w:ilvl w:val="0"/>
          <w:numId w:val="420"/>
        </w:numPr>
        <w:tabs>
          <w:tab w:pos="653" w:val="left" w:leader="none"/>
        </w:tabs>
        <w:spacing w:line="256" w:lineRule="exact" w:before="0" w:after="0"/>
        <w:ind w:left="652" w:right="0" w:hanging="335"/>
        <w:jc w:val="left"/>
        <w:rPr>
          <w:sz w:val="24"/>
        </w:rPr>
      </w:pPr>
      <w:r>
        <w:rPr>
          <w:w w:val="125"/>
          <w:sz w:val="24"/>
        </w:rPr>
        <w:t>helyszíni ellenőrzések</w:t>
      </w:r>
      <w:r>
        <w:rPr>
          <w:spacing w:val="-10"/>
          <w:w w:val="125"/>
          <w:sz w:val="24"/>
        </w:rPr>
        <w:t> </w:t>
      </w:r>
      <w:r>
        <w:rPr>
          <w:w w:val="125"/>
          <w:sz w:val="24"/>
        </w:rPr>
        <w:t>terve.</w:t>
      </w:r>
    </w:p>
    <w:p>
      <w:pPr>
        <w:pStyle w:val="ListParagraph"/>
        <w:numPr>
          <w:ilvl w:val="0"/>
          <w:numId w:val="419"/>
        </w:numPr>
        <w:tabs>
          <w:tab w:pos="734" w:val="left" w:leader="none"/>
        </w:tabs>
        <w:spacing w:line="260" w:lineRule="exact" w:before="0" w:after="0"/>
        <w:ind w:left="733" w:right="0" w:hanging="416"/>
        <w:jc w:val="left"/>
        <w:rPr>
          <w:sz w:val="24"/>
        </w:rPr>
      </w:pPr>
      <w:r>
        <w:rPr>
          <w:w w:val="125"/>
          <w:sz w:val="24"/>
        </w:rPr>
        <w:t>A (2) bekezdés </w:t>
      </w:r>
      <w:r>
        <w:rPr>
          <w:i/>
          <w:w w:val="125"/>
          <w:sz w:val="24"/>
        </w:rPr>
        <w:t>c) </w:t>
      </w:r>
      <w:r>
        <w:rPr>
          <w:w w:val="125"/>
          <w:sz w:val="24"/>
        </w:rPr>
        <w:t>pontja alkalmazásában a</w:t>
      </w:r>
      <w:r>
        <w:rPr>
          <w:spacing w:val="8"/>
          <w:w w:val="125"/>
          <w:sz w:val="24"/>
        </w:rPr>
        <w:t> </w:t>
      </w:r>
      <w:r>
        <w:rPr>
          <w:w w:val="125"/>
          <w:sz w:val="24"/>
        </w:rPr>
        <w:t>Felügyelet:</w:t>
      </w:r>
    </w:p>
    <w:p>
      <w:pPr>
        <w:pStyle w:val="ListParagraph"/>
        <w:numPr>
          <w:ilvl w:val="0"/>
          <w:numId w:val="421"/>
        </w:numPr>
        <w:tabs>
          <w:tab w:pos="631" w:val="left" w:leader="none"/>
        </w:tabs>
        <w:spacing w:line="260" w:lineRule="exact" w:before="0" w:after="0"/>
        <w:ind w:left="630" w:right="0" w:hanging="313"/>
        <w:jc w:val="left"/>
        <w:rPr>
          <w:sz w:val="24"/>
        </w:rPr>
      </w:pPr>
      <w:r>
        <w:rPr>
          <w:w w:val="130"/>
          <w:sz w:val="24"/>
        </w:rPr>
        <w:t>növelheti a helyszíni ellenőrzés számát vagy</w:t>
      </w:r>
      <w:r>
        <w:rPr>
          <w:spacing w:val="-55"/>
          <w:w w:val="130"/>
          <w:sz w:val="24"/>
        </w:rPr>
        <w:t> </w:t>
      </w:r>
      <w:r>
        <w:rPr>
          <w:w w:val="130"/>
          <w:sz w:val="24"/>
        </w:rPr>
        <w:t>gyakoriságát,</w:t>
      </w:r>
    </w:p>
    <w:p>
      <w:pPr>
        <w:pStyle w:val="ListParagraph"/>
        <w:numPr>
          <w:ilvl w:val="0"/>
          <w:numId w:val="421"/>
        </w:numPr>
        <w:tabs>
          <w:tab w:pos="653" w:val="left" w:leader="none"/>
        </w:tabs>
        <w:spacing w:line="260" w:lineRule="exact" w:before="0" w:after="0"/>
        <w:ind w:left="652" w:right="0" w:hanging="335"/>
        <w:jc w:val="left"/>
        <w:rPr>
          <w:sz w:val="24"/>
        </w:rPr>
      </w:pPr>
      <w:r>
        <w:rPr>
          <w:w w:val="130"/>
          <w:sz w:val="24"/>
        </w:rPr>
        <w:t>helyszíni ellenőrt rendelhet</w:t>
      </w:r>
      <w:r>
        <w:rPr>
          <w:spacing w:val="-22"/>
          <w:w w:val="130"/>
          <w:sz w:val="24"/>
        </w:rPr>
        <w:t> </w:t>
      </w:r>
      <w:r>
        <w:rPr>
          <w:w w:val="130"/>
          <w:sz w:val="24"/>
        </w:rPr>
        <w:t>ki,</w:t>
      </w:r>
    </w:p>
    <w:p>
      <w:pPr>
        <w:pStyle w:val="ListParagraph"/>
        <w:numPr>
          <w:ilvl w:val="0"/>
          <w:numId w:val="421"/>
        </w:numPr>
        <w:tabs>
          <w:tab w:pos="623" w:val="left" w:leader="none"/>
        </w:tabs>
        <w:spacing w:line="260" w:lineRule="exact" w:before="0" w:after="0"/>
        <w:ind w:left="622" w:right="0" w:hanging="305"/>
        <w:jc w:val="left"/>
        <w:rPr>
          <w:sz w:val="24"/>
        </w:rPr>
      </w:pPr>
      <w:r>
        <w:rPr>
          <w:w w:val="130"/>
          <w:sz w:val="24"/>
        </w:rPr>
        <w:t>elrendeli a kiegészítő vagy rendkívüli</w:t>
      </w:r>
      <w:r>
        <w:rPr>
          <w:spacing w:val="-36"/>
          <w:w w:val="130"/>
          <w:sz w:val="24"/>
        </w:rPr>
        <w:t> </w:t>
      </w:r>
      <w:r>
        <w:rPr>
          <w:w w:val="130"/>
          <w:sz w:val="24"/>
        </w:rPr>
        <w:t>adatszolgáltatást,</w:t>
      </w:r>
    </w:p>
    <w:p>
      <w:pPr>
        <w:pStyle w:val="ListParagraph"/>
        <w:numPr>
          <w:ilvl w:val="0"/>
          <w:numId w:val="421"/>
        </w:numPr>
        <w:tabs>
          <w:tab w:pos="793" w:val="left" w:leader="none"/>
        </w:tabs>
        <w:spacing w:line="225" w:lineRule="auto" w:before="5" w:after="0"/>
        <w:ind w:left="113" w:right="123" w:firstLine="204"/>
        <w:jc w:val="both"/>
        <w:rPr>
          <w:sz w:val="24"/>
        </w:rPr>
      </w:pPr>
      <w:r>
        <w:rPr>
          <w:w w:val="125"/>
          <w:sz w:val="24"/>
        </w:rPr>
        <w:t>177. § (11) bekezdésében rögzítettnél gyakrabban felülvizsgálja a működési, stratégiai vagy üzleti</w:t>
      </w:r>
      <w:r>
        <w:rPr>
          <w:spacing w:val="6"/>
          <w:w w:val="125"/>
          <w:sz w:val="24"/>
        </w:rPr>
        <w:t> </w:t>
      </w:r>
      <w:r>
        <w:rPr>
          <w:w w:val="125"/>
          <w:sz w:val="24"/>
        </w:rPr>
        <w:t>tervet,</w:t>
      </w:r>
    </w:p>
    <w:p>
      <w:pPr>
        <w:pStyle w:val="ListParagraph"/>
        <w:numPr>
          <w:ilvl w:val="0"/>
          <w:numId w:val="421"/>
        </w:numPr>
        <w:tabs>
          <w:tab w:pos="905" w:val="left" w:leader="none"/>
        </w:tabs>
        <w:spacing w:line="225" w:lineRule="auto" w:before="2" w:after="0"/>
        <w:ind w:left="113" w:right="133" w:firstLine="204"/>
        <w:jc w:val="both"/>
        <w:rPr>
          <w:sz w:val="24"/>
        </w:rPr>
      </w:pPr>
      <w:r>
        <w:rPr>
          <w:w w:val="125"/>
          <w:sz w:val="24"/>
        </w:rPr>
        <w:t>elvégzi a várhatóan bekövetkező kockázatokat nyomonkövető témavizsgálatokat.</w:t>
      </w:r>
    </w:p>
    <w:p>
      <w:pPr>
        <w:pStyle w:val="ListParagraph"/>
        <w:numPr>
          <w:ilvl w:val="0"/>
          <w:numId w:val="387"/>
        </w:numPr>
        <w:tabs>
          <w:tab w:pos="1038" w:val="left" w:leader="none"/>
        </w:tabs>
        <w:spacing w:line="225" w:lineRule="auto" w:before="0" w:after="0"/>
        <w:ind w:left="113" w:right="127" w:firstLine="204"/>
        <w:jc w:val="both"/>
        <w:rPr>
          <w:sz w:val="24"/>
        </w:rPr>
      </w:pPr>
      <w:r>
        <w:rPr>
          <w:rFonts w:ascii="Arial" w:hAnsi="Arial"/>
          <w:b/>
          <w:w w:val="125"/>
          <w:sz w:val="24"/>
        </w:rPr>
        <w:t>§ </w:t>
      </w:r>
      <w:r>
        <w:rPr>
          <w:w w:val="125"/>
          <w:sz w:val="24"/>
        </w:rPr>
        <w:t>(1) A Felügyelet legalább háromévente felülvizsgálja a hitelintézet által használt, a tőkekövetelmények kiszámításához engedélyezett belső módszereket, azok alkalmazásához szükséges követelmények teljesülését, a módszerek kidolgozottságát és</w:t>
      </w:r>
      <w:r>
        <w:rPr>
          <w:spacing w:val="7"/>
          <w:w w:val="125"/>
          <w:sz w:val="24"/>
        </w:rPr>
        <w:t> </w:t>
      </w:r>
      <w:r>
        <w:rPr>
          <w:w w:val="125"/>
          <w:sz w:val="24"/>
        </w:rPr>
        <w:t>naprakészségét.</w:t>
      </w:r>
    </w:p>
    <w:p>
      <w:pPr>
        <w:pStyle w:val="ListParagraph"/>
        <w:numPr>
          <w:ilvl w:val="0"/>
          <w:numId w:val="422"/>
        </w:numPr>
        <w:tabs>
          <w:tab w:pos="768" w:val="left" w:leader="none"/>
        </w:tabs>
        <w:spacing w:line="225" w:lineRule="auto" w:before="2" w:after="0"/>
        <w:ind w:left="113" w:right="128" w:firstLine="204"/>
        <w:jc w:val="both"/>
        <w:rPr>
          <w:sz w:val="24"/>
        </w:rPr>
      </w:pPr>
      <w:r>
        <w:rPr>
          <w:w w:val="130"/>
          <w:sz w:val="24"/>
        </w:rPr>
        <w:t>A Felügyelet az (1) bekezdésben meghatározott felülvizsgálat</w:t>
      </w:r>
      <w:r>
        <w:rPr>
          <w:spacing w:val="-54"/>
          <w:w w:val="130"/>
          <w:sz w:val="24"/>
        </w:rPr>
        <w:t> </w:t>
      </w:r>
      <w:r>
        <w:rPr>
          <w:w w:val="130"/>
          <w:sz w:val="24"/>
        </w:rPr>
        <w:t>keretében tekintettel van a hitelintézet üzleti tevékenységének változásaira és a belső módszerek új termékekre való</w:t>
      </w:r>
      <w:r>
        <w:rPr>
          <w:spacing w:val="-20"/>
          <w:w w:val="130"/>
          <w:sz w:val="24"/>
        </w:rPr>
        <w:t> </w:t>
      </w:r>
      <w:r>
        <w:rPr>
          <w:w w:val="130"/>
          <w:sz w:val="24"/>
        </w:rPr>
        <w:t>alkalmazására.</w:t>
      </w:r>
    </w:p>
    <w:p>
      <w:pPr>
        <w:pStyle w:val="ListParagraph"/>
        <w:numPr>
          <w:ilvl w:val="0"/>
          <w:numId w:val="422"/>
        </w:numPr>
        <w:tabs>
          <w:tab w:pos="844" w:val="left" w:leader="none"/>
        </w:tabs>
        <w:spacing w:line="225" w:lineRule="auto" w:before="2" w:after="0"/>
        <w:ind w:left="113" w:right="126" w:firstLine="204"/>
        <w:jc w:val="both"/>
        <w:rPr>
          <w:sz w:val="24"/>
        </w:rPr>
      </w:pPr>
      <w:r>
        <w:rPr>
          <w:w w:val="125"/>
          <w:sz w:val="24"/>
        </w:rPr>
        <w:t>Ha a Felügyelet súlyos hiányosságokat tár fel a hitelintézet belső módszerének kockázat-megállapításával kapcsolatban,</w:t>
      </w:r>
      <w:r>
        <w:rPr>
          <w:spacing w:val="6"/>
          <w:w w:val="125"/>
          <w:sz w:val="24"/>
        </w:rPr>
        <w:t> </w:t>
      </w:r>
      <w:r>
        <w:rPr>
          <w:w w:val="125"/>
          <w:sz w:val="24"/>
        </w:rPr>
        <w:t>akkor</w:t>
      </w:r>
    </w:p>
    <w:p>
      <w:pPr>
        <w:pStyle w:val="BodyText"/>
        <w:spacing w:before="9"/>
        <w:ind w:left="0" w:firstLine="0"/>
        <w:rPr>
          <w:sz w:val="20"/>
        </w:rPr>
      </w:pPr>
      <w:r>
        <w:rPr/>
        <w:pict>
          <v:line style="position:absolute;mso-position-horizontal-relative:page;mso-position-vertical-relative:paragraph;z-index:1472;mso-wrap-distance-left:0;mso-wrap-distance-right:0" from="56.693001pt,14.168757pt" to="538.583001pt,14.168757pt" stroked="true" strokeweight=".5pt" strokecolor="#000000">
            <v:stroke dashstyle="solid"/>
            <w10:wrap type="topAndBottom"/>
          </v:line>
        </w:pict>
      </w:r>
    </w:p>
    <w:p>
      <w:pPr>
        <w:pStyle w:val="ListParagraph"/>
        <w:numPr>
          <w:ilvl w:val="0"/>
          <w:numId w:val="423"/>
        </w:numPr>
        <w:tabs>
          <w:tab w:pos="686" w:val="left" w:leader="none"/>
          <w:tab w:pos="687" w:val="left" w:leader="none"/>
        </w:tabs>
        <w:spacing w:line="203" w:lineRule="exact" w:before="44" w:after="0"/>
        <w:ind w:left="686" w:right="0" w:hanging="344"/>
        <w:jc w:val="left"/>
        <w:rPr>
          <w:i/>
          <w:sz w:val="18"/>
        </w:rPr>
      </w:pPr>
      <w:r>
        <w:rPr>
          <w:i/>
          <w:w w:val="120"/>
          <w:sz w:val="18"/>
        </w:rPr>
        <w:t>Beiktatta: 2018. évi CXXVI. törvény 105. § (1). Hatályos: 2018. XII.</w:t>
      </w:r>
      <w:r>
        <w:rPr>
          <w:i/>
          <w:spacing w:val="52"/>
          <w:w w:val="120"/>
          <w:sz w:val="18"/>
        </w:rPr>
        <w:t> </w:t>
      </w:r>
      <w:r>
        <w:rPr>
          <w:i/>
          <w:w w:val="120"/>
          <w:sz w:val="18"/>
        </w:rPr>
        <w:t>29-től.</w:t>
      </w:r>
    </w:p>
    <w:p>
      <w:pPr>
        <w:pStyle w:val="ListParagraph"/>
        <w:numPr>
          <w:ilvl w:val="0"/>
          <w:numId w:val="423"/>
        </w:numPr>
        <w:tabs>
          <w:tab w:pos="686" w:val="left" w:leader="none"/>
          <w:tab w:pos="687" w:val="left" w:leader="none"/>
        </w:tabs>
        <w:spacing w:line="232" w:lineRule="auto" w:before="2" w:after="0"/>
        <w:ind w:left="342" w:right="1847" w:firstLine="0"/>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2"/>
          <w:w w:val="125"/>
          <w:sz w:val="18"/>
        </w:rPr>
        <w:t> </w:t>
      </w:r>
      <w:r>
        <w:rPr>
          <w:i/>
          <w:w w:val="125"/>
          <w:sz w:val="18"/>
        </w:rPr>
        <w:t>XXXVII.</w:t>
      </w:r>
      <w:r>
        <w:rPr>
          <w:i/>
          <w:spacing w:val="-11"/>
          <w:w w:val="125"/>
          <w:sz w:val="18"/>
        </w:rPr>
        <w:t> </w:t>
      </w:r>
      <w:r>
        <w:rPr>
          <w:i/>
          <w:w w:val="125"/>
          <w:sz w:val="18"/>
        </w:rPr>
        <w:t>törvény</w:t>
      </w:r>
      <w:r>
        <w:rPr>
          <w:i/>
          <w:spacing w:val="-11"/>
          <w:w w:val="125"/>
          <w:sz w:val="18"/>
        </w:rPr>
        <w:t> </w:t>
      </w:r>
      <w:r>
        <w:rPr>
          <w:i/>
          <w:w w:val="125"/>
          <w:sz w:val="18"/>
        </w:rPr>
        <w:t>161.</w:t>
      </w:r>
      <w:r>
        <w:rPr>
          <w:i/>
          <w:spacing w:val="-12"/>
          <w:w w:val="125"/>
          <w:sz w:val="18"/>
        </w:rPr>
        <w:t> </w:t>
      </w:r>
      <w:r>
        <w:rPr>
          <w:i/>
          <w:w w:val="125"/>
          <w:sz w:val="18"/>
        </w:rPr>
        <w:t>§</w:t>
      </w:r>
      <w:r>
        <w:rPr>
          <w:i/>
          <w:spacing w:val="-10"/>
          <w:w w:val="125"/>
          <w:sz w:val="18"/>
        </w:rPr>
        <w:t> </w:t>
      </w:r>
      <w:r>
        <w:rPr>
          <w:i/>
          <w:w w:val="125"/>
          <w:sz w:val="18"/>
        </w:rPr>
        <w:t>(14).</w:t>
      </w:r>
      <w:r>
        <w:rPr>
          <w:i/>
          <w:spacing w:val="-11"/>
          <w:w w:val="125"/>
          <w:sz w:val="18"/>
        </w:rPr>
        <w:t> </w:t>
      </w:r>
      <w:r>
        <w:rPr>
          <w:i/>
          <w:w w:val="125"/>
          <w:sz w:val="18"/>
        </w:rPr>
        <w:t>Hatályos:</w:t>
      </w:r>
      <w:r>
        <w:rPr>
          <w:i/>
          <w:spacing w:val="-10"/>
          <w:w w:val="125"/>
          <w:sz w:val="18"/>
        </w:rPr>
        <w:t> </w:t>
      </w:r>
      <w:r>
        <w:rPr>
          <w:i/>
          <w:w w:val="125"/>
          <w:sz w:val="18"/>
        </w:rPr>
        <w:t>2014.</w:t>
      </w:r>
      <w:r>
        <w:rPr>
          <w:i/>
          <w:spacing w:val="-12"/>
          <w:w w:val="125"/>
          <w:sz w:val="18"/>
        </w:rPr>
        <w:t> </w:t>
      </w:r>
      <w:r>
        <w:rPr>
          <w:i/>
          <w:w w:val="125"/>
          <w:sz w:val="18"/>
        </w:rPr>
        <w:t>IX.</w:t>
      </w:r>
      <w:r>
        <w:rPr>
          <w:i/>
          <w:spacing w:val="-10"/>
          <w:w w:val="125"/>
          <w:sz w:val="18"/>
        </w:rPr>
        <w:t> </w:t>
      </w:r>
      <w:r>
        <w:rPr>
          <w:i/>
          <w:w w:val="125"/>
          <w:sz w:val="18"/>
        </w:rPr>
        <w:t>16-tól. 3</w:t>
        <w:tab/>
        <w:t>Beiktatta:</w:t>
      </w:r>
      <w:r>
        <w:rPr>
          <w:i/>
          <w:spacing w:val="-6"/>
          <w:w w:val="125"/>
          <w:sz w:val="18"/>
        </w:rPr>
        <w:t> </w:t>
      </w:r>
      <w:r>
        <w:rPr>
          <w:i/>
          <w:w w:val="125"/>
          <w:sz w:val="18"/>
        </w:rPr>
        <w:t>2014.</w:t>
      </w:r>
      <w:r>
        <w:rPr>
          <w:i/>
          <w:spacing w:val="-5"/>
          <w:w w:val="125"/>
          <w:sz w:val="18"/>
        </w:rPr>
        <w:t> </w:t>
      </w:r>
      <w:r>
        <w:rPr>
          <w:i/>
          <w:w w:val="125"/>
          <w:sz w:val="18"/>
        </w:rPr>
        <w:t>évi</w:t>
      </w:r>
      <w:r>
        <w:rPr>
          <w:i/>
          <w:spacing w:val="-6"/>
          <w:w w:val="125"/>
          <w:sz w:val="18"/>
        </w:rPr>
        <w:t> </w:t>
      </w:r>
      <w:r>
        <w:rPr>
          <w:i/>
          <w:w w:val="125"/>
          <w:sz w:val="18"/>
        </w:rPr>
        <w:t>XXXVII.</w:t>
      </w:r>
      <w:r>
        <w:rPr>
          <w:i/>
          <w:spacing w:val="-5"/>
          <w:w w:val="125"/>
          <w:sz w:val="18"/>
        </w:rPr>
        <w:t> </w:t>
      </w:r>
      <w:r>
        <w:rPr>
          <w:i/>
          <w:w w:val="125"/>
          <w:sz w:val="18"/>
        </w:rPr>
        <w:t>törvény</w:t>
      </w:r>
      <w:r>
        <w:rPr>
          <w:i/>
          <w:spacing w:val="-5"/>
          <w:w w:val="125"/>
          <w:sz w:val="18"/>
        </w:rPr>
        <w:t> </w:t>
      </w:r>
      <w:r>
        <w:rPr>
          <w:i/>
          <w:w w:val="125"/>
          <w:sz w:val="18"/>
        </w:rPr>
        <w:t>161.</w:t>
      </w:r>
      <w:r>
        <w:rPr>
          <w:i/>
          <w:spacing w:val="-6"/>
          <w:w w:val="125"/>
          <w:sz w:val="18"/>
        </w:rPr>
        <w:t> </w:t>
      </w:r>
      <w:r>
        <w:rPr>
          <w:i/>
          <w:w w:val="125"/>
          <w:sz w:val="18"/>
        </w:rPr>
        <w:t>§</w:t>
      </w:r>
      <w:r>
        <w:rPr>
          <w:i/>
          <w:spacing w:val="-4"/>
          <w:w w:val="125"/>
          <w:sz w:val="18"/>
        </w:rPr>
        <w:t> </w:t>
      </w:r>
      <w:r>
        <w:rPr>
          <w:i/>
          <w:w w:val="125"/>
          <w:sz w:val="18"/>
        </w:rPr>
        <w:t>(15).</w:t>
      </w:r>
      <w:r>
        <w:rPr>
          <w:i/>
          <w:spacing w:val="-5"/>
          <w:w w:val="125"/>
          <w:sz w:val="18"/>
        </w:rPr>
        <w:t> </w:t>
      </w:r>
      <w:r>
        <w:rPr>
          <w:i/>
          <w:w w:val="125"/>
          <w:sz w:val="18"/>
        </w:rPr>
        <w:t>Hatályos:</w:t>
      </w:r>
      <w:r>
        <w:rPr>
          <w:i/>
          <w:spacing w:val="-4"/>
          <w:w w:val="125"/>
          <w:sz w:val="18"/>
        </w:rPr>
        <w:t> </w:t>
      </w:r>
      <w:r>
        <w:rPr>
          <w:i/>
          <w:w w:val="125"/>
          <w:sz w:val="18"/>
        </w:rPr>
        <w:t>2014.</w:t>
      </w:r>
      <w:r>
        <w:rPr>
          <w:i/>
          <w:spacing w:val="-6"/>
          <w:w w:val="125"/>
          <w:sz w:val="18"/>
        </w:rPr>
        <w:t> </w:t>
      </w:r>
      <w:r>
        <w:rPr>
          <w:i/>
          <w:w w:val="125"/>
          <w:sz w:val="18"/>
        </w:rPr>
        <w:t>IX.</w:t>
      </w:r>
      <w:r>
        <w:rPr>
          <w:i/>
          <w:spacing w:val="-4"/>
          <w:w w:val="125"/>
          <w:sz w:val="18"/>
        </w:rPr>
        <w:t> </w:t>
      </w:r>
      <w:r>
        <w:rPr>
          <w:i/>
          <w:w w:val="125"/>
          <w:sz w:val="18"/>
        </w:rPr>
        <w:t>16-tól.</w:t>
      </w:r>
    </w:p>
    <w:p>
      <w:pPr>
        <w:tabs>
          <w:tab w:pos="686" w:val="left" w:leader="none"/>
        </w:tabs>
        <w:spacing w:line="200" w:lineRule="exact" w:before="0"/>
        <w:ind w:left="342" w:right="0" w:firstLine="0"/>
        <w:jc w:val="left"/>
        <w:rPr>
          <w:i/>
          <w:sz w:val="18"/>
        </w:rPr>
      </w:pPr>
      <w:r>
        <w:rPr>
          <w:i/>
          <w:w w:val="120"/>
          <w:sz w:val="18"/>
        </w:rPr>
        <w:t>4</w:t>
        <w:tab/>
        <w:t>Beiktatta: 2018. évi CXXVI. törvény 105. § (2). Hatályos: 2018. XII.</w:t>
      </w:r>
      <w:r>
        <w:rPr>
          <w:i/>
          <w:spacing w:val="52"/>
          <w:w w:val="120"/>
          <w:sz w:val="18"/>
        </w:rPr>
        <w:t> </w:t>
      </w:r>
      <w:r>
        <w:rPr>
          <w:i/>
          <w:w w:val="120"/>
          <w:sz w:val="18"/>
        </w:rPr>
        <w:t>29-től.</w:t>
      </w:r>
    </w:p>
    <w:p>
      <w:pPr>
        <w:spacing w:after="0" w:line="200" w:lineRule="exact"/>
        <w:jc w:val="left"/>
        <w:rPr>
          <w:sz w:val="18"/>
        </w:rPr>
        <w:sectPr>
          <w:pgSz w:w="11900" w:h="16820"/>
          <w:pgMar w:header="1104" w:footer="0" w:top="1840" w:bottom="280" w:left="1020" w:right="1000"/>
        </w:sectPr>
      </w:pPr>
    </w:p>
    <w:p>
      <w:pPr>
        <w:pStyle w:val="ListParagraph"/>
        <w:numPr>
          <w:ilvl w:val="0"/>
          <w:numId w:val="424"/>
        </w:numPr>
        <w:tabs>
          <w:tab w:pos="631" w:val="left" w:leader="none"/>
        </w:tabs>
        <w:spacing w:line="268" w:lineRule="exact" w:before="159" w:after="0"/>
        <w:ind w:left="630" w:right="0" w:hanging="313"/>
        <w:jc w:val="left"/>
        <w:rPr>
          <w:sz w:val="24"/>
        </w:rPr>
      </w:pPr>
      <w:r>
        <w:rPr>
          <w:w w:val="130"/>
          <w:sz w:val="24"/>
        </w:rPr>
        <w:t>előírja a hitelintézet számára a módszertan korrigálását,</w:t>
      </w:r>
      <w:r>
        <w:rPr>
          <w:spacing w:val="-47"/>
          <w:w w:val="130"/>
          <w:sz w:val="24"/>
        </w:rPr>
        <w:t> </w:t>
      </w:r>
      <w:r>
        <w:rPr>
          <w:w w:val="130"/>
          <w:sz w:val="24"/>
        </w:rPr>
        <w:t>vagy</w:t>
      </w:r>
    </w:p>
    <w:p>
      <w:pPr>
        <w:pStyle w:val="ListParagraph"/>
        <w:numPr>
          <w:ilvl w:val="0"/>
          <w:numId w:val="424"/>
        </w:numPr>
        <w:tabs>
          <w:tab w:pos="769" w:val="left" w:leader="none"/>
        </w:tabs>
        <w:spacing w:line="225" w:lineRule="auto" w:before="6" w:after="0"/>
        <w:ind w:left="113" w:right="129" w:firstLine="204"/>
        <w:jc w:val="both"/>
        <w:rPr>
          <w:sz w:val="24"/>
        </w:rPr>
      </w:pPr>
      <w:r>
        <w:rPr>
          <w:w w:val="125"/>
          <w:sz w:val="24"/>
        </w:rPr>
        <w:t>meghozza a megfelelő intézkedést a hiányosság következményének enyhítése érdekében, többek között magasabb szorzótényezők, többlettőke-követelmény előírása vagy egyéb megfelelő és hatékony eszköz alkalmazása</w:t>
      </w:r>
      <w:r>
        <w:rPr>
          <w:spacing w:val="4"/>
          <w:w w:val="125"/>
          <w:sz w:val="24"/>
        </w:rPr>
        <w:t> </w:t>
      </w:r>
      <w:r>
        <w:rPr>
          <w:w w:val="125"/>
          <w:sz w:val="24"/>
        </w:rPr>
        <w:t>révén.</w:t>
      </w:r>
    </w:p>
    <w:p>
      <w:pPr>
        <w:pStyle w:val="ListParagraph"/>
        <w:numPr>
          <w:ilvl w:val="0"/>
          <w:numId w:val="422"/>
        </w:numPr>
        <w:tabs>
          <w:tab w:pos="766" w:val="left" w:leader="none"/>
        </w:tabs>
        <w:spacing w:line="225" w:lineRule="auto" w:before="2" w:after="0"/>
        <w:ind w:left="113" w:right="126" w:firstLine="204"/>
        <w:jc w:val="both"/>
        <w:rPr>
          <w:sz w:val="24"/>
        </w:rPr>
      </w:pPr>
      <w:r>
        <w:rPr>
          <w:w w:val="125"/>
          <w:sz w:val="24"/>
        </w:rPr>
        <w:t>Ha a Felügyelet megállapítja, hogy a hitelintézet által alkalmazott belső módszer már nem felel meg a rá vonatkozó követelményeknek, akkor előírja a hitelintézet számára,</w:t>
      </w:r>
      <w:r>
        <w:rPr>
          <w:spacing w:val="3"/>
          <w:w w:val="125"/>
          <w:sz w:val="24"/>
        </w:rPr>
        <w:t> </w:t>
      </w:r>
      <w:r>
        <w:rPr>
          <w:w w:val="125"/>
          <w:sz w:val="24"/>
        </w:rPr>
        <w:t>hogy</w:t>
      </w:r>
    </w:p>
    <w:p>
      <w:pPr>
        <w:pStyle w:val="ListParagraph"/>
        <w:numPr>
          <w:ilvl w:val="0"/>
          <w:numId w:val="425"/>
        </w:numPr>
        <w:tabs>
          <w:tab w:pos="631" w:val="left" w:leader="none"/>
        </w:tabs>
        <w:spacing w:line="256" w:lineRule="exact" w:before="0" w:after="0"/>
        <w:ind w:left="630" w:right="0" w:hanging="313"/>
        <w:jc w:val="left"/>
        <w:rPr>
          <w:sz w:val="24"/>
        </w:rPr>
      </w:pPr>
      <w:r>
        <w:rPr>
          <w:w w:val="125"/>
          <w:sz w:val="24"/>
        </w:rPr>
        <w:t>bizonyítsa, hogy a meg nem felelés hatásai nem jelentősek,</w:t>
      </w:r>
      <w:r>
        <w:rPr>
          <w:spacing w:val="19"/>
          <w:w w:val="125"/>
          <w:sz w:val="24"/>
        </w:rPr>
        <w:t> </w:t>
      </w:r>
      <w:r>
        <w:rPr>
          <w:w w:val="125"/>
          <w:sz w:val="24"/>
        </w:rPr>
        <w:t>vagy</w:t>
      </w:r>
    </w:p>
    <w:p>
      <w:pPr>
        <w:pStyle w:val="ListParagraph"/>
        <w:numPr>
          <w:ilvl w:val="0"/>
          <w:numId w:val="425"/>
        </w:numPr>
        <w:tabs>
          <w:tab w:pos="810" w:val="left" w:leader="none"/>
        </w:tabs>
        <w:spacing w:line="225" w:lineRule="auto" w:before="5" w:after="0"/>
        <w:ind w:left="113" w:right="131" w:firstLine="204"/>
        <w:jc w:val="both"/>
        <w:rPr>
          <w:sz w:val="24"/>
        </w:rPr>
      </w:pPr>
      <w:r>
        <w:rPr>
          <w:w w:val="130"/>
          <w:sz w:val="24"/>
        </w:rPr>
        <w:t>készítsen a megfelelés helyreállítására vonatkozó tervet határidő megjelölésével.</w:t>
      </w:r>
    </w:p>
    <w:p>
      <w:pPr>
        <w:pStyle w:val="ListParagraph"/>
        <w:numPr>
          <w:ilvl w:val="0"/>
          <w:numId w:val="422"/>
        </w:numPr>
        <w:tabs>
          <w:tab w:pos="735" w:val="left" w:leader="none"/>
        </w:tabs>
        <w:spacing w:line="225" w:lineRule="auto" w:before="2" w:after="0"/>
        <w:ind w:left="113" w:right="126" w:firstLine="204"/>
        <w:jc w:val="both"/>
        <w:rPr>
          <w:sz w:val="24"/>
        </w:rPr>
      </w:pPr>
      <w:r>
        <w:rPr>
          <w:w w:val="125"/>
          <w:sz w:val="24"/>
        </w:rPr>
        <w:t>A (4) bekezdés </w:t>
      </w:r>
      <w:r>
        <w:rPr>
          <w:i/>
          <w:w w:val="125"/>
          <w:sz w:val="24"/>
        </w:rPr>
        <w:t>b) </w:t>
      </w:r>
      <w:r>
        <w:rPr>
          <w:w w:val="125"/>
          <w:sz w:val="24"/>
        </w:rPr>
        <w:t>pontja szerinti esetben a hitelintézet módosítja a tervet, ha a Felügyelet álláspontja szerint a tervben meghatározottak alapján nem valószínűsíthető a vonatkozó követelményeknek való teljes megfelelés biztosítása vagy a kitűzött határidő nem</w:t>
      </w:r>
      <w:r>
        <w:rPr>
          <w:spacing w:val="10"/>
          <w:w w:val="125"/>
          <w:sz w:val="24"/>
        </w:rPr>
        <w:t> </w:t>
      </w:r>
      <w:r>
        <w:rPr>
          <w:w w:val="125"/>
          <w:sz w:val="24"/>
        </w:rPr>
        <w:t>megfelelő.</w:t>
      </w:r>
    </w:p>
    <w:p>
      <w:pPr>
        <w:pStyle w:val="ListParagraph"/>
        <w:numPr>
          <w:ilvl w:val="0"/>
          <w:numId w:val="422"/>
        </w:numPr>
        <w:tabs>
          <w:tab w:pos="751" w:val="left" w:leader="none"/>
        </w:tabs>
        <w:spacing w:line="225" w:lineRule="auto" w:before="2" w:after="0"/>
        <w:ind w:left="113" w:right="125" w:firstLine="204"/>
        <w:jc w:val="both"/>
        <w:rPr>
          <w:sz w:val="24"/>
        </w:rPr>
      </w:pPr>
      <w:r>
        <w:rPr>
          <w:w w:val="125"/>
          <w:sz w:val="24"/>
        </w:rPr>
        <w:t>Ha bizonyíthatóan fennáll annak veszélye, hogy a hitelintézet nem képes meghatározott határidőn belül megfelelni a követelményeknek és nem tudja kielégítően bizonyítani, hogy a meg nem felelés hatásai nem jelentősek, akkor  a Felügyelet</w:t>
      </w:r>
    </w:p>
    <w:p>
      <w:pPr>
        <w:pStyle w:val="ListParagraph"/>
        <w:numPr>
          <w:ilvl w:val="0"/>
          <w:numId w:val="426"/>
        </w:numPr>
        <w:tabs>
          <w:tab w:pos="631" w:val="left" w:leader="none"/>
        </w:tabs>
        <w:spacing w:line="257" w:lineRule="exact" w:before="0" w:after="0"/>
        <w:ind w:left="630" w:right="0" w:hanging="313"/>
        <w:jc w:val="left"/>
        <w:rPr>
          <w:sz w:val="24"/>
        </w:rPr>
      </w:pPr>
      <w:r>
        <w:rPr>
          <w:w w:val="130"/>
          <w:sz w:val="24"/>
        </w:rPr>
        <w:t>visszavonja</w:t>
      </w:r>
      <w:r>
        <w:rPr>
          <w:spacing w:val="-14"/>
          <w:w w:val="130"/>
          <w:sz w:val="24"/>
        </w:rPr>
        <w:t> </w:t>
      </w:r>
      <w:r>
        <w:rPr>
          <w:w w:val="130"/>
          <w:sz w:val="24"/>
        </w:rPr>
        <w:t>a</w:t>
      </w:r>
      <w:r>
        <w:rPr>
          <w:spacing w:val="-14"/>
          <w:w w:val="130"/>
          <w:sz w:val="24"/>
        </w:rPr>
        <w:t> </w:t>
      </w:r>
      <w:r>
        <w:rPr>
          <w:w w:val="130"/>
          <w:sz w:val="24"/>
        </w:rPr>
        <w:t>belső</w:t>
      </w:r>
      <w:r>
        <w:rPr>
          <w:spacing w:val="-7"/>
          <w:w w:val="130"/>
          <w:sz w:val="24"/>
        </w:rPr>
        <w:t> </w:t>
      </w:r>
      <w:r>
        <w:rPr>
          <w:w w:val="130"/>
          <w:sz w:val="24"/>
        </w:rPr>
        <w:t>módszer</w:t>
      </w:r>
      <w:r>
        <w:rPr>
          <w:spacing w:val="-19"/>
          <w:w w:val="130"/>
          <w:sz w:val="24"/>
        </w:rPr>
        <w:t> </w:t>
      </w:r>
      <w:r>
        <w:rPr>
          <w:w w:val="130"/>
          <w:sz w:val="24"/>
        </w:rPr>
        <w:t>alkalmazására</w:t>
      </w:r>
      <w:r>
        <w:rPr>
          <w:spacing w:val="-14"/>
          <w:w w:val="130"/>
          <w:sz w:val="24"/>
        </w:rPr>
        <w:t> </w:t>
      </w:r>
      <w:r>
        <w:rPr>
          <w:w w:val="130"/>
          <w:sz w:val="24"/>
        </w:rPr>
        <w:t>vonatkozó</w:t>
      </w:r>
      <w:r>
        <w:rPr>
          <w:spacing w:val="-14"/>
          <w:w w:val="130"/>
          <w:sz w:val="24"/>
        </w:rPr>
        <w:t> </w:t>
      </w:r>
      <w:r>
        <w:rPr>
          <w:w w:val="130"/>
          <w:sz w:val="24"/>
        </w:rPr>
        <w:t>engedélyt,</w:t>
      </w:r>
    </w:p>
    <w:p>
      <w:pPr>
        <w:pStyle w:val="ListParagraph"/>
        <w:numPr>
          <w:ilvl w:val="0"/>
          <w:numId w:val="426"/>
        </w:numPr>
        <w:tabs>
          <w:tab w:pos="731" w:val="left" w:leader="none"/>
        </w:tabs>
        <w:spacing w:line="225" w:lineRule="auto" w:before="5" w:after="0"/>
        <w:ind w:left="113" w:right="131" w:firstLine="204"/>
        <w:jc w:val="both"/>
        <w:rPr>
          <w:sz w:val="24"/>
        </w:rPr>
      </w:pPr>
      <w:r>
        <w:rPr>
          <w:w w:val="125"/>
          <w:sz w:val="24"/>
        </w:rPr>
        <w:t>korlátozza az engedélyt azokra a területekre, amelyeknél megfelel a követelményeknek vagy meghatározott határidőn belül újra megfelel a követelményeknek.</w:t>
      </w:r>
    </w:p>
    <w:p>
      <w:pPr>
        <w:pStyle w:val="ListParagraph"/>
        <w:numPr>
          <w:ilvl w:val="0"/>
          <w:numId w:val="422"/>
        </w:numPr>
        <w:tabs>
          <w:tab w:pos="767" w:val="left" w:leader="none"/>
        </w:tabs>
        <w:spacing w:line="225" w:lineRule="auto" w:before="2" w:after="0"/>
        <w:ind w:left="113" w:right="127" w:firstLine="204"/>
        <w:jc w:val="both"/>
        <w:rPr>
          <w:sz w:val="24"/>
        </w:rPr>
      </w:pPr>
      <w:r>
        <w:rPr>
          <w:w w:val="125"/>
          <w:sz w:val="24"/>
        </w:rPr>
        <w:t>Ha a piaci kockázat esetén a hitelintézet által alkalmazott belső modell alkalmazásakor a túllépések száma jelzi, hogy a belső modell nem vagy már nem kellőképpen pontos, akkor a</w:t>
      </w:r>
      <w:r>
        <w:rPr>
          <w:spacing w:val="21"/>
          <w:w w:val="125"/>
          <w:sz w:val="24"/>
        </w:rPr>
        <w:t> </w:t>
      </w:r>
      <w:r>
        <w:rPr>
          <w:w w:val="125"/>
          <w:sz w:val="24"/>
        </w:rPr>
        <w:t>Felügyelet</w:t>
      </w:r>
    </w:p>
    <w:p>
      <w:pPr>
        <w:pStyle w:val="ListParagraph"/>
        <w:numPr>
          <w:ilvl w:val="0"/>
          <w:numId w:val="427"/>
        </w:numPr>
        <w:tabs>
          <w:tab w:pos="631" w:val="left" w:leader="none"/>
        </w:tabs>
        <w:spacing w:line="256" w:lineRule="exact" w:before="0" w:after="0"/>
        <w:ind w:left="630" w:right="0" w:hanging="313"/>
        <w:jc w:val="left"/>
        <w:rPr>
          <w:sz w:val="24"/>
        </w:rPr>
      </w:pPr>
      <w:r>
        <w:rPr>
          <w:w w:val="130"/>
          <w:sz w:val="24"/>
        </w:rPr>
        <w:t>visszavonja</w:t>
      </w:r>
      <w:r>
        <w:rPr>
          <w:spacing w:val="-20"/>
          <w:w w:val="130"/>
          <w:sz w:val="24"/>
        </w:rPr>
        <w:t> </w:t>
      </w:r>
      <w:r>
        <w:rPr>
          <w:w w:val="130"/>
          <w:sz w:val="24"/>
        </w:rPr>
        <w:t>a</w:t>
      </w:r>
      <w:r>
        <w:rPr>
          <w:spacing w:val="-19"/>
          <w:w w:val="130"/>
          <w:sz w:val="24"/>
        </w:rPr>
        <w:t> </w:t>
      </w:r>
      <w:r>
        <w:rPr>
          <w:w w:val="130"/>
          <w:sz w:val="24"/>
        </w:rPr>
        <w:t>belső</w:t>
      </w:r>
      <w:r>
        <w:rPr>
          <w:spacing w:val="-13"/>
          <w:w w:val="130"/>
          <w:sz w:val="24"/>
        </w:rPr>
        <w:t> </w:t>
      </w:r>
      <w:r>
        <w:rPr>
          <w:w w:val="130"/>
          <w:sz w:val="24"/>
        </w:rPr>
        <w:t>modell</w:t>
      </w:r>
      <w:r>
        <w:rPr>
          <w:spacing w:val="-25"/>
          <w:w w:val="130"/>
          <w:sz w:val="24"/>
        </w:rPr>
        <w:t> </w:t>
      </w:r>
      <w:r>
        <w:rPr>
          <w:w w:val="130"/>
          <w:sz w:val="24"/>
        </w:rPr>
        <w:t>alkalmazására</w:t>
      </w:r>
      <w:r>
        <w:rPr>
          <w:spacing w:val="-7"/>
          <w:w w:val="130"/>
          <w:sz w:val="24"/>
        </w:rPr>
        <w:t> </w:t>
      </w:r>
      <w:r>
        <w:rPr>
          <w:w w:val="130"/>
          <w:sz w:val="24"/>
        </w:rPr>
        <w:t>vonatkozó</w:t>
      </w:r>
      <w:r>
        <w:rPr>
          <w:spacing w:val="-31"/>
          <w:w w:val="130"/>
          <w:sz w:val="24"/>
        </w:rPr>
        <w:t> </w:t>
      </w:r>
      <w:r>
        <w:rPr>
          <w:w w:val="130"/>
          <w:sz w:val="24"/>
        </w:rPr>
        <w:t>engedélyt,</w:t>
      </w:r>
      <w:r>
        <w:rPr>
          <w:spacing w:val="-19"/>
          <w:w w:val="130"/>
          <w:sz w:val="24"/>
        </w:rPr>
        <w:t> </w:t>
      </w:r>
      <w:r>
        <w:rPr>
          <w:w w:val="130"/>
          <w:sz w:val="24"/>
        </w:rPr>
        <w:t>vagy</w:t>
      </w:r>
    </w:p>
    <w:p>
      <w:pPr>
        <w:pStyle w:val="ListParagraph"/>
        <w:numPr>
          <w:ilvl w:val="0"/>
          <w:numId w:val="427"/>
        </w:numPr>
        <w:tabs>
          <w:tab w:pos="791" w:val="left" w:leader="none"/>
        </w:tabs>
        <w:spacing w:line="225" w:lineRule="auto" w:before="6" w:after="0"/>
        <w:ind w:left="113" w:right="130" w:firstLine="204"/>
        <w:jc w:val="both"/>
        <w:rPr>
          <w:sz w:val="24"/>
        </w:rPr>
      </w:pPr>
      <w:r>
        <w:rPr>
          <w:w w:val="125"/>
          <w:sz w:val="24"/>
        </w:rPr>
        <w:t>megfelelő intézkedést hoz a belső modell azonnali kiigazításának biztosítása</w:t>
      </w:r>
      <w:r>
        <w:rPr>
          <w:spacing w:val="1"/>
          <w:w w:val="125"/>
          <w:sz w:val="24"/>
        </w:rPr>
        <w:t> </w:t>
      </w:r>
      <w:r>
        <w:rPr>
          <w:w w:val="125"/>
          <w:sz w:val="24"/>
        </w:rPr>
        <w:t>érdekében.</w:t>
      </w:r>
    </w:p>
    <w:p>
      <w:pPr>
        <w:pStyle w:val="ListParagraph"/>
        <w:numPr>
          <w:ilvl w:val="0"/>
          <w:numId w:val="387"/>
        </w:numPr>
        <w:tabs>
          <w:tab w:pos="1042" w:val="left" w:leader="none"/>
        </w:tabs>
        <w:spacing w:line="225" w:lineRule="auto" w:before="0" w:after="0"/>
        <w:ind w:left="113" w:right="128" w:firstLine="204"/>
        <w:jc w:val="both"/>
        <w:rPr>
          <w:sz w:val="24"/>
        </w:rPr>
      </w:pPr>
      <w:r>
        <w:rPr>
          <w:rFonts w:ascii="Arial" w:hAnsi="Arial"/>
          <w:b/>
          <w:w w:val="125"/>
          <w:sz w:val="24"/>
        </w:rPr>
        <w:t>§ </w:t>
      </w:r>
      <w:r>
        <w:rPr>
          <w:w w:val="125"/>
          <w:sz w:val="24"/>
        </w:rPr>
        <w:t>(1) A Felügyelet hasonló vagy azonos felügyeleti felülvizsgálati és értékelési eljárást alkalmazhat azon hitelintézetek esetében,</w:t>
      </w:r>
      <w:r>
        <w:rPr>
          <w:spacing w:val="50"/>
          <w:w w:val="125"/>
          <w:sz w:val="24"/>
        </w:rPr>
        <w:t> </w:t>
      </w:r>
      <w:r>
        <w:rPr>
          <w:w w:val="125"/>
          <w:sz w:val="24"/>
        </w:rPr>
        <w:t>amelyek</w:t>
      </w:r>
    </w:p>
    <w:p>
      <w:pPr>
        <w:pStyle w:val="ListParagraph"/>
        <w:numPr>
          <w:ilvl w:val="0"/>
          <w:numId w:val="428"/>
        </w:numPr>
        <w:tabs>
          <w:tab w:pos="765" w:val="left" w:leader="none"/>
        </w:tabs>
        <w:spacing w:line="225" w:lineRule="auto" w:before="1" w:after="0"/>
        <w:ind w:left="113" w:right="127" w:firstLine="204"/>
        <w:jc w:val="both"/>
        <w:rPr>
          <w:sz w:val="24"/>
        </w:rPr>
      </w:pPr>
      <w:r>
        <w:rPr>
          <w:w w:val="130"/>
          <w:sz w:val="24"/>
        </w:rPr>
        <w:t>hasonló kockázati profillal rendelkeznek, ideértve a hasonló üzleti modelleket</w:t>
      </w:r>
      <w:r>
        <w:rPr>
          <w:spacing w:val="-15"/>
          <w:w w:val="130"/>
          <w:sz w:val="24"/>
        </w:rPr>
        <w:t> </w:t>
      </w:r>
      <w:r>
        <w:rPr>
          <w:w w:val="130"/>
          <w:sz w:val="24"/>
        </w:rPr>
        <w:t>vagy</w:t>
      </w:r>
      <w:r>
        <w:rPr>
          <w:spacing w:val="-14"/>
          <w:w w:val="130"/>
          <w:sz w:val="24"/>
        </w:rPr>
        <w:t> </w:t>
      </w:r>
      <w:r>
        <w:rPr>
          <w:w w:val="130"/>
          <w:sz w:val="24"/>
        </w:rPr>
        <w:t>a</w:t>
      </w:r>
      <w:r>
        <w:rPr>
          <w:spacing w:val="-14"/>
          <w:w w:val="130"/>
          <w:sz w:val="24"/>
        </w:rPr>
        <w:t> </w:t>
      </w:r>
      <w:r>
        <w:rPr>
          <w:w w:val="130"/>
          <w:sz w:val="24"/>
        </w:rPr>
        <w:t>hasonló</w:t>
      </w:r>
      <w:r>
        <w:rPr>
          <w:spacing w:val="-14"/>
          <w:w w:val="130"/>
          <w:sz w:val="24"/>
        </w:rPr>
        <w:t> </w:t>
      </w:r>
      <w:r>
        <w:rPr>
          <w:w w:val="130"/>
          <w:sz w:val="24"/>
        </w:rPr>
        <w:t>földrajzi</w:t>
      </w:r>
      <w:r>
        <w:rPr>
          <w:spacing w:val="-13"/>
          <w:w w:val="130"/>
          <w:sz w:val="24"/>
        </w:rPr>
        <w:t> </w:t>
      </w:r>
      <w:r>
        <w:rPr>
          <w:w w:val="130"/>
          <w:sz w:val="24"/>
        </w:rPr>
        <w:t>hely</w:t>
      </w:r>
      <w:r>
        <w:rPr>
          <w:spacing w:val="-14"/>
          <w:w w:val="130"/>
          <w:sz w:val="24"/>
        </w:rPr>
        <w:t> </w:t>
      </w:r>
      <w:r>
        <w:rPr>
          <w:w w:val="130"/>
          <w:sz w:val="24"/>
        </w:rPr>
        <w:t>szerinti</w:t>
      </w:r>
      <w:r>
        <w:rPr>
          <w:spacing w:val="-13"/>
          <w:w w:val="130"/>
          <w:sz w:val="24"/>
        </w:rPr>
        <w:t> </w:t>
      </w:r>
      <w:r>
        <w:rPr>
          <w:w w:val="130"/>
          <w:sz w:val="24"/>
        </w:rPr>
        <w:t>kitettségeket</w:t>
      </w:r>
      <w:r>
        <w:rPr>
          <w:spacing w:val="-15"/>
          <w:w w:val="130"/>
          <w:sz w:val="24"/>
        </w:rPr>
        <w:t> </w:t>
      </w:r>
      <w:r>
        <w:rPr>
          <w:w w:val="130"/>
          <w:sz w:val="24"/>
        </w:rPr>
        <w:t>is,</w:t>
      </w:r>
      <w:r>
        <w:rPr>
          <w:spacing w:val="-14"/>
          <w:w w:val="130"/>
          <w:sz w:val="24"/>
        </w:rPr>
        <w:t> </w:t>
      </w:r>
      <w:r>
        <w:rPr>
          <w:w w:val="130"/>
          <w:sz w:val="24"/>
        </w:rPr>
        <w:t>vagy</w:t>
      </w:r>
    </w:p>
    <w:p>
      <w:pPr>
        <w:pStyle w:val="ListParagraph"/>
        <w:numPr>
          <w:ilvl w:val="0"/>
          <w:numId w:val="428"/>
        </w:numPr>
        <w:tabs>
          <w:tab w:pos="653" w:val="left" w:leader="none"/>
        </w:tabs>
        <w:spacing w:line="256" w:lineRule="exact" w:before="0" w:after="0"/>
        <w:ind w:left="652" w:right="0" w:hanging="335"/>
        <w:jc w:val="left"/>
        <w:rPr>
          <w:sz w:val="24"/>
        </w:rPr>
      </w:pPr>
      <w:r>
        <w:rPr>
          <w:w w:val="130"/>
          <w:sz w:val="24"/>
        </w:rPr>
        <w:t>hasonló</w:t>
      </w:r>
      <w:r>
        <w:rPr>
          <w:spacing w:val="-28"/>
          <w:w w:val="130"/>
          <w:sz w:val="24"/>
        </w:rPr>
        <w:t> </w:t>
      </w:r>
      <w:r>
        <w:rPr>
          <w:w w:val="130"/>
          <w:sz w:val="24"/>
        </w:rPr>
        <w:t>kockázatokat</w:t>
      </w:r>
      <w:r>
        <w:rPr>
          <w:spacing w:val="-14"/>
          <w:w w:val="130"/>
          <w:sz w:val="24"/>
        </w:rPr>
        <w:t> </w:t>
      </w:r>
      <w:r>
        <w:rPr>
          <w:w w:val="130"/>
          <w:sz w:val="24"/>
        </w:rPr>
        <w:t>jelentenek</w:t>
      </w:r>
      <w:r>
        <w:rPr>
          <w:spacing w:val="-26"/>
          <w:w w:val="130"/>
          <w:sz w:val="24"/>
        </w:rPr>
        <w:t> </w:t>
      </w:r>
      <w:r>
        <w:rPr>
          <w:w w:val="130"/>
          <w:sz w:val="24"/>
        </w:rPr>
        <w:t>a</w:t>
      </w:r>
      <w:r>
        <w:rPr>
          <w:spacing w:val="-20"/>
          <w:w w:val="130"/>
          <w:sz w:val="24"/>
        </w:rPr>
        <w:t> </w:t>
      </w:r>
      <w:r>
        <w:rPr>
          <w:w w:val="130"/>
          <w:sz w:val="24"/>
        </w:rPr>
        <w:t>pénzügyi</w:t>
      </w:r>
      <w:r>
        <w:rPr>
          <w:spacing w:val="-20"/>
          <w:w w:val="130"/>
          <w:sz w:val="24"/>
        </w:rPr>
        <w:t> </w:t>
      </w:r>
      <w:r>
        <w:rPr>
          <w:w w:val="130"/>
          <w:sz w:val="24"/>
        </w:rPr>
        <w:t>közvetítőrendszer</w:t>
      </w:r>
      <w:r>
        <w:rPr>
          <w:spacing w:val="-20"/>
          <w:w w:val="130"/>
          <w:sz w:val="24"/>
        </w:rPr>
        <w:t> </w:t>
      </w:r>
      <w:r>
        <w:rPr>
          <w:w w:val="130"/>
          <w:sz w:val="24"/>
        </w:rPr>
        <w:t>számára.</w:t>
      </w:r>
    </w:p>
    <w:p>
      <w:pPr>
        <w:pStyle w:val="BodyText"/>
        <w:spacing w:line="225" w:lineRule="auto" w:before="5"/>
        <w:ind w:right="125"/>
        <w:jc w:val="both"/>
      </w:pPr>
      <w:r>
        <w:rPr>
          <w:w w:val="130"/>
        </w:rPr>
        <w:t>(2) Az (1) bekezdés szerinti hitelintézetek különösen a rendszerszintű kockázat értékelése alapján határozhatóak meg.</w:t>
      </w:r>
    </w:p>
    <w:p>
      <w:pPr>
        <w:pStyle w:val="ListParagraph"/>
        <w:numPr>
          <w:ilvl w:val="0"/>
          <w:numId w:val="387"/>
        </w:numPr>
        <w:tabs>
          <w:tab w:pos="1149" w:val="left" w:leader="none"/>
        </w:tabs>
        <w:spacing w:line="225" w:lineRule="auto" w:before="0" w:after="0"/>
        <w:ind w:left="113" w:right="132" w:firstLine="204"/>
        <w:jc w:val="both"/>
        <w:rPr>
          <w:sz w:val="24"/>
        </w:rPr>
      </w:pPr>
      <w:r>
        <w:rPr>
          <w:rFonts w:ascii="Arial" w:hAnsi="Arial"/>
          <w:b/>
          <w:w w:val="125"/>
          <w:sz w:val="24"/>
        </w:rPr>
        <w:t>§ </w:t>
      </w:r>
      <w:r>
        <w:rPr>
          <w:w w:val="125"/>
          <w:sz w:val="24"/>
        </w:rPr>
        <w:t>Az egyedi likviditási követelmények meghatározása során a Felügyelet a felügyeleti felülvizsgálati és értékelési eljárás eredményeit felhasználva figyelembe</w:t>
      </w:r>
      <w:r>
        <w:rPr>
          <w:spacing w:val="1"/>
          <w:w w:val="125"/>
          <w:sz w:val="24"/>
        </w:rPr>
        <w:t> </w:t>
      </w:r>
      <w:r>
        <w:rPr>
          <w:w w:val="125"/>
          <w:sz w:val="24"/>
        </w:rPr>
        <w:t>veszi</w:t>
      </w:r>
    </w:p>
    <w:p>
      <w:pPr>
        <w:pStyle w:val="ListParagraph"/>
        <w:numPr>
          <w:ilvl w:val="0"/>
          <w:numId w:val="429"/>
        </w:numPr>
        <w:tabs>
          <w:tab w:pos="631" w:val="left" w:leader="none"/>
        </w:tabs>
        <w:spacing w:line="256" w:lineRule="exact" w:before="0" w:after="0"/>
        <w:ind w:left="630" w:right="0" w:hanging="313"/>
        <w:jc w:val="left"/>
        <w:rPr>
          <w:sz w:val="24"/>
        </w:rPr>
      </w:pPr>
      <w:r>
        <w:rPr>
          <w:w w:val="130"/>
          <w:sz w:val="24"/>
        </w:rPr>
        <w:t>a hitelintézet üzleti</w:t>
      </w:r>
      <w:r>
        <w:rPr>
          <w:spacing w:val="-11"/>
          <w:w w:val="130"/>
          <w:sz w:val="24"/>
        </w:rPr>
        <w:t> </w:t>
      </w:r>
      <w:r>
        <w:rPr>
          <w:w w:val="130"/>
          <w:sz w:val="24"/>
        </w:rPr>
        <w:t>modelljét,</w:t>
      </w:r>
    </w:p>
    <w:p>
      <w:pPr>
        <w:pStyle w:val="ListParagraph"/>
        <w:numPr>
          <w:ilvl w:val="0"/>
          <w:numId w:val="429"/>
        </w:numPr>
        <w:tabs>
          <w:tab w:pos="795" w:val="left" w:leader="none"/>
        </w:tabs>
        <w:spacing w:line="225" w:lineRule="auto" w:before="6" w:after="0"/>
        <w:ind w:left="113" w:right="125" w:firstLine="204"/>
        <w:jc w:val="both"/>
        <w:rPr>
          <w:sz w:val="24"/>
        </w:rPr>
      </w:pPr>
      <w:r>
        <w:rPr>
          <w:w w:val="125"/>
          <w:sz w:val="24"/>
        </w:rPr>
        <w:t>a 108. § (5) bekezdés </w:t>
      </w:r>
      <w:r>
        <w:rPr>
          <w:i/>
          <w:w w:val="125"/>
          <w:sz w:val="24"/>
        </w:rPr>
        <w:t>f) </w:t>
      </w:r>
      <w:r>
        <w:rPr>
          <w:w w:val="125"/>
          <w:sz w:val="24"/>
        </w:rPr>
        <w:t>pontjában meghatározott  rendszereket, eljárásokat és</w:t>
      </w:r>
      <w:r>
        <w:rPr>
          <w:spacing w:val="1"/>
          <w:w w:val="125"/>
          <w:sz w:val="24"/>
        </w:rPr>
        <w:t> </w:t>
      </w:r>
      <w:r>
        <w:rPr>
          <w:w w:val="125"/>
          <w:sz w:val="24"/>
        </w:rPr>
        <w:t>mechanizmusokat,</w:t>
      </w:r>
    </w:p>
    <w:p>
      <w:pPr>
        <w:pStyle w:val="ListParagraph"/>
        <w:numPr>
          <w:ilvl w:val="0"/>
          <w:numId w:val="429"/>
        </w:numPr>
        <w:tabs>
          <w:tab w:pos="623" w:val="left" w:leader="none"/>
        </w:tabs>
        <w:spacing w:line="256" w:lineRule="exact" w:before="0" w:after="0"/>
        <w:ind w:left="622" w:right="0" w:hanging="305"/>
        <w:jc w:val="left"/>
        <w:rPr>
          <w:sz w:val="24"/>
        </w:rPr>
      </w:pPr>
      <w:r>
        <w:rPr>
          <w:w w:val="130"/>
          <w:sz w:val="24"/>
        </w:rPr>
        <w:t>a felügyeleti felülvizsgálat és értékelés eredményét,</w:t>
      </w:r>
      <w:r>
        <w:rPr>
          <w:spacing w:val="-53"/>
          <w:w w:val="130"/>
          <w:sz w:val="24"/>
        </w:rPr>
        <w:t> </w:t>
      </w:r>
      <w:r>
        <w:rPr>
          <w:w w:val="130"/>
          <w:sz w:val="24"/>
        </w:rPr>
        <w:t>valamint</w:t>
      </w:r>
    </w:p>
    <w:p>
      <w:pPr>
        <w:pStyle w:val="ListParagraph"/>
        <w:numPr>
          <w:ilvl w:val="0"/>
          <w:numId w:val="429"/>
        </w:numPr>
        <w:tabs>
          <w:tab w:pos="653" w:val="left" w:leader="none"/>
        </w:tabs>
        <w:spacing w:line="268" w:lineRule="exact" w:before="0" w:after="0"/>
        <w:ind w:left="652" w:right="0" w:hanging="335"/>
        <w:jc w:val="left"/>
        <w:rPr>
          <w:sz w:val="24"/>
        </w:rPr>
      </w:pPr>
      <w:r>
        <w:rPr>
          <w:w w:val="130"/>
          <w:sz w:val="24"/>
        </w:rPr>
        <w:t>a</w:t>
      </w:r>
      <w:r>
        <w:rPr>
          <w:spacing w:val="-20"/>
          <w:w w:val="130"/>
          <w:sz w:val="24"/>
        </w:rPr>
        <w:t> </w:t>
      </w:r>
      <w:r>
        <w:rPr>
          <w:w w:val="130"/>
          <w:sz w:val="24"/>
        </w:rPr>
        <w:t>Magyarországot</w:t>
      </w:r>
      <w:r>
        <w:rPr>
          <w:spacing w:val="-16"/>
          <w:w w:val="130"/>
          <w:sz w:val="24"/>
        </w:rPr>
        <w:t> </w:t>
      </w:r>
      <w:r>
        <w:rPr>
          <w:w w:val="130"/>
          <w:sz w:val="24"/>
        </w:rPr>
        <w:t>fenyegető</w:t>
      </w:r>
      <w:r>
        <w:rPr>
          <w:spacing w:val="-13"/>
          <w:w w:val="130"/>
          <w:sz w:val="24"/>
        </w:rPr>
        <w:t> </w:t>
      </w:r>
      <w:r>
        <w:rPr>
          <w:w w:val="130"/>
          <w:sz w:val="24"/>
        </w:rPr>
        <w:t>rendszerszintű</w:t>
      </w:r>
      <w:r>
        <w:rPr>
          <w:spacing w:val="-13"/>
          <w:w w:val="130"/>
          <w:sz w:val="24"/>
        </w:rPr>
        <w:t> </w:t>
      </w:r>
      <w:r>
        <w:rPr>
          <w:w w:val="130"/>
          <w:sz w:val="24"/>
        </w:rPr>
        <w:t>likviditási</w:t>
      </w:r>
      <w:r>
        <w:rPr>
          <w:spacing w:val="-14"/>
          <w:w w:val="130"/>
          <w:sz w:val="24"/>
        </w:rPr>
        <w:t> </w:t>
      </w:r>
      <w:r>
        <w:rPr>
          <w:w w:val="130"/>
          <w:sz w:val="24"/>
        </w:rPr>
        <w:t>kockázatot.</w:t>
      </w:r>
    </w:p>
    <w:p>
      <w:pPr>
        <w:pStyle w:val="BodyText"/>
        <w:spacing w:before="224"/>
        <w:ind w:left="2334" w:firstLine="0"/>
      </w:pPr>
      <w:r>
        <w:rPr>
          <w:w w:val="125"/>
        </w:rPr>
        <w:t>77. Csoportszintű felügyeleti felülvizsgálat</w:t>
      </w:r>
    </w:p>
    <w:p>
      <w:pPr>
        <w:pStyle w:val="BodyText"/>
        <w:spacing w:before="7"/>
        <w:ind w:left="0" w:firstLine="0"/>
        <w:rPr>
          <w:sz w:val="10"/>
        </w:rPr>
      </w:pPr>
    </w:p>
    <w:p>
      <w:pPr>
        <w:pStyle w:val="ListParagraph"/>
        <w:numPr>
          <w:ilvl w:val="0"/>
          <w:numId w:val="387"/>
        </w:numPr>
        <w:tabs>
          <w:tab w:pos="1049" w:val="left" w:leader="none"/>
        </w:tabs>
        <w:spacing w:line="262" w:lineRule="exact" w:before="101" w:after="0"/>
        <w:ind w:left="1048" w:right="0" w:hanging="731"/>
        <w:jc w:val="left"/>
        <w:rPr>
          <w:sz w:val="24"/>
        </w:rPr>
      </w:pPr>
      <w:r>
        <w:rPr>
          <w:rFonts w:ascii="Arial" w:hAnsi="Arial"/>
          <w:b/>
          <w:w w:val="120"/>
          <w:sz w:val="24"/>
        </w:rPr>
        <w:t>§</w:t>
      </w:r>
      <w:r>
        <w:rPr>
          <w:i/>
          <w:w w:val="120"/>
          <w:position w:val="3"/>
          <w:sz w:val="18"/>
        </w:rPr>
        <w:t>1</w:t>
      </w:r>
      <w:r>
        <w:rPr>
          <w:i/>
          <w:spacing w:val="9"/>
          <w:w w:val="120"/>
          <w:position w:val="3"/>
          <w:sz w:val="18"/>
        </w:rPr>
        <w:t> </w:t>
      </w:r>
      <w:r>
        <w:rPr>
          <w:w w:val="120"/>
          <w:sz w:val="24"/>
        </w:rPr>
        <w:t>(1)</w:t>
      </w:r>
      <w:r>
        <w:rPr>
          <w:spacing w:val="20"/>
          <w:w w:val="120"/>
          <w:sz w:val="24"/>
        </w:rPr>
        <w:t> </w:t>
      </w:r>
      <w:r>
        <w:rPr>
          <w:w w:val="120"/>
          <w:sz w:val="24"/>
        </w:rPr>
        <w:t>A</w:t>
      </w:r>
      <w:r>
        <w:rPr>
          <w:spacing w:val="20"/>
          <w:w w:val="120"/>
          <w:sz w:val="24"/>
        </w:rPr>
        <w:t> </w:t>
      </w:r>
      <w:r>
        <w:rPr>
          <w:w w:val="120"/>
          <w:sz w:val="24"/>
        </w:rPr>
        <w:t>173.</w:t>
      </w:r>
      <w:r>
        <w:rPr>
          <w:spacing w:val="19"/>
          <w:w w:val="120"/>
          <w:sz w:val="24"/>
        </w:rPr>
        <w:t> </w:t>
      </w:r>
      <w:r>
        <w:rPr>
          <w:w w:val="120"/>
          <w:sz w:val="24"/>
        </w:rPr>
        <w:t>§</w:t>
      </w:r>
      <w:r>
        <w:rPr>
          <w:spacing w:val="20"/>
          <w:w w:val="120"/>
          <w:sz w:val="24"/>
        </w:rPr>
        <w:t> </w:t>
      </w:r>
      <w:r>
        <w:rPr>
          <w:w w:val="120"/>
          <w:sz w:val="24"/>
        </w:rPr>
        <w:t>szerinti</w:t>
      </w:r>
      <w:r>
        <w:rPr>
          <w:spacing w:val="20"/>
          <w:w w:val="120"/>
          <w:sz w:val="24"/>
        </w:rPr>
        <w:t> </w:t>
      </w:r>
      <w:r>
        <w:rPr>
          <w:w w:val="120"/>
          <w:sz w:val="24"/>
        </w:rPr>
        <w:t>többoldalú</w:t>
      </w:r>
      <w:r>
        <w:rPr>
          <w:spacing w:val="19"/>
          <w:w w:val="120"/>
          <w:sz w:val="24"/>
        </w:rPr>
        <w:t> </w:t>
      </w:r>
      <w:r>
        <w:rPr>
          <w:w w:val="120"/>
          <w:sz w:val="24"/>
        </w:rPr>
        <w:t>eljárás</w:t>
      </w:r>
      <w:r>
        <w:rPr>
          <w:spacing w:val="20"/>
          <w:w w:val="120"/>
          <w:sz w:val="24"/>
        </w:rPr>
        <w:t> </w:t>
      </w:r>
      <w:r>
        <w:rPr>
          <w:w w:val="120"/>
          <w:sz w:val="24"/>
        </w:rPr>
        <w:t>keretében</w:t>
      </w:r>
      <w:r>
        <w:rPr>
          <w:spacing w:val="20"/>
          <w:w w:val="120"/>
          <w:sz w:val="24"/>
        </w:rPr>
        <w:t> </w:t>
      </w:r>
      <w:r>
        <w:rPr>
          <w:w w:val="120"/>
          <w:sz w:val="24"/>
        </w:rPr>
        <w:t>kell</w:t>
      </w:r>
      <w:r>
        <w:rPr>
          <w:spacing w:val="19"/>
          <w:w w:val="120"/>
          <w:sz w:val="24"/>
        </w:rPr>
        <w:t> </w:t>
      </w:r>
      <w:r>
        <w:rPr>
          <w:w w:val="120"/>
          <w:sz w:val="24"/>
        </w:rPr>
        <w:t>eljárni</w:t>
      </w:r>
      <w:r>
        <w:rPr>
          <w:spacing w:val="20"/>
          <w:w w:val="120"/>
          <w:sz w:val="24"/>
        </w:rPr>
        <w:t> </w:t>
      </w:r>
      <w:r>
        <w:rPr>
          <w:w w:val="120"/>
          <w:sz w:val="24"/>
        </w:rPr>
        <w:t>és</w:t>
      </w:r>
    </w:p>
    <w:p>
      <w:pPr>
        <w:pStyle w:val="BodyText"/>
        <w:spacing w:line="225" w:lineRule="auto" w:before="12"/>
        <w:ind w:firstLine="0"/>
      </w:pPr>
      <w:r>
        <w:rPr>
          <w:w w:val="125"/>
        </w:rPr>
        <w:t>többoldalú eljárás keretében hozott határozatot kell hozni az összevont alapú felügyeleti felülvizsgálat esetén is.</w:t>
      </w:r>
    </w:p>
    <w:p>
      <w:pPr>
        <w:pStyle w:val="BodyText"/>
        <w:ind w:left="0" w:firstLine="0"/>
        <w:rPr>
          <w:sz w:val="20"/>
        </w:rPr>
      </w:pPr>
    </w:p>
    <w:p>
      <w:pPr>
        <w:pStyle w:val="BodyText"/>
        <w:spacing w:before="3"/>
        <w:ind w:left="0" w:firstLine="0"/>
        <w:rPr>
          <w:sz w:val="11"/>
        </w:rPr>
      </w:pPr>
      <w:r>
        <w:rPr/>
        <w:pict>
          <v:line style="position:absolute;mso-position-horizontal-relative:page;mso-position-vertical-relative:paragraph;z-index:1496;mso-wrap-distance-left:0;mso-wrap-distance-right:0" from="56.693001pt,8.682914pt" to="538.583001pt,8.68291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XXXVII. törvény 161. § (16). Hatályos: 2014. IX.</w:t>
      </w:r>
      <w:r>
        <w:rPr>
          <w:i/>
          <w:spacing w:val="-32"/>
          <w:w w:val="125"/>
          <w:sz w:val="18"/>
        </w:rPr>
        <w:t> </w:t>
      </w:r>
      <w:r>
        <w:rPr>
          <w:i/>
          <w:w w:val="125"/>
          <w:sz w:val="18"/>
        </w:rPr>
        <w:t>16-tól.</w:t>
      </w:r>
    </w:p>
    <w:p>
      <w:pPr>
        <w:spacing w:after="0"/>
        <w:jc w:val="left"/>
        <w:rPr>
          <w:sz w:val="18"/>
        </w:rPr>
        <w:sectPr>
          <w:pgSz w:w="11900" w:h="16820"/>
          <w:pgMar w:header="1104" w:footer="0" w:top="1840" w:bottom="280" w:left="1020" w:right="1000"/>
        </w:sectPr>
      </w:pPr>
    </w:p>
    <w:p>
      <w:pPr>
        <w:pStyle w:val="BodyText"/>
        <w:tabs>
          <w:tab w:pos="1128" w:val="left" w:leader="none"/>
          <w:tab w:pos="1695" w:val="left" w:leader="none"/>
          <w:tab w:pos="2051" w:val="left" w:leader="none"/>
          <w:tab w:pos="3547" w:val="left" w:leader="none"/>
          <w:tab w:pos="4293" w:val="left" w:leader="none"/>
          <w:tab w:pos="4725" w:val="left" w:leader="none"/>
          <w:tab w:pos="5208" w:val="left" w:leader="none"/>
          <w:tab w:pos="6608" w:val="left" w:leader="none"/>
          <w:tab w:pos="8279" w:val="left" w:leader="none"/>
        </w:tabs>
        <w:spacing w:line="261" w:lineRule="exact" w:before="159"/>
        <w:ind w:left="317" w:firstLine="0"/>
      </w:pPr>
      <w:r>
        <w:rPr>
          <w:w w:val="125"/>
        </w:rPr>
        <w:t>(1a)</w:t>
      </w:r>
      <w:r>
        <w:rPr>
          <w:i/>
          <w:w w:val="125"/>
          <w:position w:val="3"/>
          <w:sz w:val="18"/>
        </w:rPr>
        <w:t>1</w:t>
        <w:tab/>
      </w:r>
      <w:r>
        <w:rPr>
          <w:w w:val="125"/>
        </w:rPr>
        <w:t>Ha</w:t>
        <w:tab/>
        <w:t>a</w:t>
        <w:tab/>
        <w:t>Felügyelet</w:t>
        <w:tab/>
        <w:t>látja</w:t>
        <w:tab/>
        <w:t>el</w:t>
        <w:tab/>
        <w:t>az</w:t>
        <w:tab/>
        <w:t>EU-szintű</w:t>
        <w:tab/>
        <w:t>hitelintézeti</w:t>
        <w:tab/>
        <w:t>anyavállalat</w:t>
      </w:r>
    </w:p>
    <w:p>
      <w:pPr>
        <w:pStyle w:val="BodyText"/>
        <w:spacing w:line="225" w:lineRule="auto" w:before="12"/>
        <w:ind w:right="123" w:firstLine="0"/>
        <w:jc w:val="both"/>
      </w:pPr>
      <w:r>
        <w:rPr>
          <w:w w:val="130"/>
        </w:rPr>
        <w:t>felügyeletét, akkor - a jogszabályok és az Európai Unió közvetlenül alkalmazandó jogi aktusai által támasztott adatkezelési és adatvédelmi követelmények betartása mellett - a helyreállítási tervet megküldi az érintett illetékes felügyeleti hatóságnak, a rendszerszinten jelentős fióktelep illetékes felügyeleti hatóságának, a szanálási feladatkörében eljáró MNB-nek és a leányvállalatok szanálási hatóságainak.</w:t>
      </w:r>
    </w:p>
    <w:p>
      <w:pPr>
        <w:pStyle w:val="ListParagraph"/>
        <w:numPr>
          <w:ilvl w:val="0"/>
          <w:numId w:val="430"/>
        </w:numPr>
        <w:tabs>
          <w:tab w:pos="889" w:val="left" w:leader="none"/>
        </w:tabs>
        <w:spacing w:line="225" w:lineRule="auto" w:before="4" w:after="0"/>
        <w:ind w:left="113" w:right="125" w:firstLine="204"/>
        <w:jc w:val="both"/>
        <w:rPr>
          <w:sz w:val="24"/>
        </w:rPr>
      </w:pPr>
      <w:r>
        <w:rPr>
          <w:w w:val="125"/>
          <w:sz w:val="24"/>
        </w:rPr>
        <w:t>A csoportszintű helyreállítási terv felülvizsgálatakor a többoldalú eljárásba azon EGT-állam illetékes felügyeleti hatóságát is be kell vonni, amelyben a csoport tagja rendszerszinten jelentős fiókteleppel</w:t>
      </w:r>
      <w:r>
        <w:rPr>
          <w:spacing w:val="9"/>
          <w:w w:val="125"/>
          <w:sz w:val="24"/>
        </w:rPr>
        <w:t> </w:t>
      </w:r>
      <w:r>
        <w:rPr>
          <w:w w:val="125"/>
          <w:sz w:val="24"/>
        </w:rPr>
        <w:t>rendelkezik.</w:t>
      </w:r>
    </w:p>
    <w:p>
      <w:pPr>
        <w:pStyle w:val="ListParagraph"/>
        <w:numPr>
          <w:ilvl w:val="0"/>
          <w:numId w:val="430"/>
        </w:numPr>
        <w:tabs>
          <w:tab w:pos="757" w:val="left" w:leader="none"/>
        </w:tabs>
        <w:spacing w:line="225" w:lineRule="auto" w:before="2" w:after="0"/>
        <w:ind w:left="113" w:right="125" w:firstLine="204"/>
        <w:jc w:val="both"/>
        <w:rPr>
          <w:sz w:val="24"/>
        </w:rPr>
      </w:pPr>
      <w:r>
        <w:rPr>
          <w:w w:val="125"/>
          <w:sz w:val="24"/>
        </w:rPr>
        <w:t>A csoportszintű helyreállítási terv felülvizsgálata arra is kiterjed, hogy a csoportszintű helyreállítási tervtől függetlenül szükséges-e a csoport egyes tagjainak külön helyreállítási tervet</w:t>
      </w:r>
      <w:r>
        <w:rPr>
          <w:spacing w:val="6"/>
          <w:w w:val="125"/>
          <w:sz w:val="24"/>
        </w:rPr>
        <w:t> </w:t>
      </w:r>
      <w:r>
        <w:rPr>
          <w:w w:val="125"/>
          <w:sz w:val="24"/>
        </w:rPr>
        <w:t>készíteni.</w:t>
      </w:r>
    </w:p>
    <w:p>
      <w:pPr>
        <w:pStyle w:val="ListParagraph"/>
        <w:numPr>
          <w:ilvl w:val="0"/>
          <w:numId w:val="430"/>
        </w:numPr>
        <w:tabs>
          <w:tab w:pos="916" w:val="left" w:leader="none"/>
        </w:tabs>
        <w:spacing w:line="225" w:lineRule="auto" w:before="1" w:after="0"/>
        <w:ind w:left="113" w:right="129" w:firstLine="204"/>
        <w:jc w:val="both"/>
        <w:rPr>
          <w:sz w:val="24"/>
        </w:rPr>
      </w:pPr>
      <w:r>
        <w:rPr>
          <w:w w:val="130"/>
          <w:sz w:val="24"/>
        </w:rPr>
        <w:t>Ha a Felügyelet látja el az EU-szintű hitelintézeti anyavállalat leányvállalati</w:t>
      </w:r>
      <w:r>
        <w:rPr>
          <w:spacing w:val="78"/>
          <w:w w:val="130"/>
          <w:sz w:val="24"/>
        </w:rPr>
        <w:t> </w:t>
      </w:r>
      <w:r>
        <w:rPr>
          <w:w w:val="130"/>
          <w:sz w:val="24"/>
        </w:rPr>
        <w:t>hitelintézetének</w:t>
      </w:r>
      <w:r>
        <w:rPr>
          <w:spacing w:val="78"/>
          <w:w w:val="130"/>
          <w:sz w:val="24"/>
        </w:rPr>
        <w:t> </w:t>
      </w:r>
      <w:r>
        <w:rPr>
          <w:w w:val="130"/>
          <w:sz w:val="24"/>
        </w:rPr>
        <w:t>felügyeletét,</w:t>
      </w:r>
      <w:r>
        <w:rPr>
          <w:spacing w:val="78"/>
          <w:w w:val="130"/>
          <w:sz w:val="24"/>
        </w:rPr>
        <w:t> </w:t>
      </w:r>
      <w:r>
        <w:rPr>
          <w:w w:val="130"/>
          <w:sz w:val="24"/>
        </w:rPr>
        <w:t>a</w:t>
      </w:r>
      <w:r>
        <w:rPr>
          <w:spacing w:val="78"/>
          <w:w w:val="130"/>
          <w:sz w:val="24"/>
        </w:rPr>
        <w:t> </w:t>
      </w:r>
      <w:r>
        <w:rPr>
          <w:w w:val="130"/>
          <w:sz w:val="24"/>
        </w:rPr>
        <w:t>többoldalú</w:t>
      </w:r>
      <w:r>
        <w:rPr>
          <w:spacing w:val="78"/>
          <w:w w:val="130"/>
          <w:sz w:val="24"/>
        </w:rPr>
        <w:t> </w:t>
      </w:r>
      <w:r>
        <w:rPr>
          <w:w w:val="130"/>
          <w:sz w:val="24"/>
        </w:rPr>
        <w:t>eljárás eredménytelensége esetén arról is dönthet, hogy a csoportszintű</w:t>
      </w:r>
      <w:r>
        <w:rPr>
          <w:spacing w:val="-55"/>
          <w:w w:val="130"/>
          <w:sz w:val="24"/>
        </w:rPr>
        <w:t> </w:t>
      </w:r>
      <w:r>
        <w:rPr>
          <w:w w:val="130"/>
          <w:sz w:val="24"/>
        </w:rPr>
        <w:t>helyreállítási tervtől függetlenül a leányvállalati hitelintézetnek egyedi helyreállítási tervet kell</w:t>
      </w:r>
      <w:r>
        <w:rPr>
          <w:spacing w:val="-4"/>
          <w:w w:val="130"/>
          <w:sz w:val="24"/>
        </w:rPr>
        <w:t> </w:t>
      </w:r>
      <w:r>
        <w:rPr>
          <w:w w:val="130"/>
          <w:sz w:val="24"/>
        </w:rPr>
        <w:t>készítenie.</w:t>
      </w:r>
    </w:p>
    <w:p>
      <w:pPr>
        <w:pStyle w:val="BodyText"/>
        <w:spacing w:line="225" w:lineRule="auto" w:before="243"/>
        <w:ind w:left="4372" w:hanging="3725"/>
      </w:pPr>
      <w:r>
        <w:rPr>
          <w:w w:val="125"/>
        </w:rPr>
        <w:t>78. Az intézkedések és a kivételes intézkedések alkalmazásának közös szabályai</w:t>
      </w:r>
    </w:p>
    <w:p>
      <w:pPr>
        <w:pStyle w:val="ListParagraph"/>
        <w:numPr>
          <w:ilvl w:val="0"/>
          <w:numId w:val="387"/>
        </w:numPr>
        <w:tabs>
          <w:tab w:pos="1082" w:val="left" w:leader="none"/>
        </w:tabs>
        <w:spacing w:line="225" w:lineRule="auto" w:before="240" w:after="0"/>
        <w:ind w:left="113" w:right="130" w:firstLine="204"/>
        <w:jc w:val="both"/>
        <w:rPr>
          <w:sz w:val="24"/>
        </w:rPr>
      </w:pPr>
      <w:r>
        <w:rPr>
          <w:rFonts w:ascii="Arial" w:hAnsi="Arial"/>
          <w:b/>
          <w:w w:val="125"/>
          <w:sz w:val="24"/>
        </w:rPr>
        <w:t>§ </w:t>
      </w:r>
      <w:r>
        <w:rPr>
          <w:w w:val="125"/>
          <w:sz w:val="24"/>
        </w:rPr>
        <w:t>(1) A Felügyelet a pénzügyi intézménnyel szemben alkalmazott intézkedés és kivételes intézkedés alkalmazása, illetve bírság kiszabása esetén  a határozattal egyidejűleg az OBA-t is értesíti, ha a határozat az OBA e törvény szerinti feladatainak ellátására kihathat, illetve a határozat meghozatalára a pénzügyi intézménynek az OBA tevékenységével összefüggő kötelezettsége megsértése miatt került</w:t>
      </w:r>
      <w:r>
        <w:rPr>
          <w:spacing w:val="4"/>
          <w:w w:val="125"/>
          <w:sz w:val="24"/>
        </w:rPr>
        <w:t> </w:t>
      </w:r>
      <w:r>
        <w:rPr>
          <w:w w:val="125"/>
          <w:sz w:val="24"/>
        </w:rPr>
        <w:t>sor.</w:t>
      </w:r>
    </w:p>
    <w:p>
      <w:pPr>
        <w:pStyle w:val="BodyText"/>
        <w:spacing w:line="225" w:lineRule="auto" w:before="4"/>
        <w:ind w:right="128"/>
        <w:jc w:val="both"/>
      </w:pPr>
      <w:r>
        <w:rPr>
          <w:w w:val="125"/>
        </w:rPr>
        <w:t>(2) A Felügyelet akkor is értesíti az OBA-t, ha a hitelintézet anyavállalatának felügyeletét ellátó hatóság tájékoztatása alapján olyan helyzet fennállását állapítja meg, amely az OBA e törvény szerinti  feladatainak  ellátására kihathat.</w:t>
      </w:r>
    </w:p>
    <w:p>
      <w:pPr>
        <w:pStyle w:val="ListParagraph"/>
        <w:numPr>
          <w:ilvl w:val="0"/>
          <w:numId w:val="387"/>
        </w:numPr>
        <w:tabs>
          <w:tab w:pos="1076" w:val="left" w:leader="none"/>
        </w:tabs>
        <w:spacing w:line="250" w:lineRule="exact" w:before="0" w:after="0"/>
        <w:ind w:left="1075" w:right="0" w:hanging="758"/>
        <w:jc w:val="left"/>
        <w:rPr>
          <w:sz w:val="24"/>
        </w:rPr>
      </w:pPr>
      <w:r>
        <w:rPr>
          <w:rFonts w:ascii="Arial" w:hAnsi="Arial"/>
          <w:b/>
          <w:w w:val="125"/>
          <w:sz w:val="24"/>
        </w:rPr>
        <w:t>§</w:t>
      </w:r>
      <w:r>
        <w:rPr>
          <w:rFonts w:ascii="Arial" w:hAnsi="Arial"/>
          <w:b/>
          <w:spacing w:val="12"/>
          <w:w w:val="125"/>
          <w:sz w:val="24"/>
        </w:rPr>
        <w:t> </w:t>
      </w:r>
      <w:r>
        <w:rPr>
          <w:w w:val="125"/>
          <w:sz w:val="24"/>
        </w:rPr>
        <w:t>(1)</w:t>
      </w:r>
      <w:r>
        <w:rPr>
          <w:i/>
          <w:w w:val="125"/>
          <w:position w:val="3"/>
          <w:sz w:val="18"/>
        </w:rPr>
        <w:t>2</w:t>
      </w:r>
      <w:r>
        <w:rPr>
          <w:i/>
          <w:spacing w:val="2"/>
          <w:w w:val="125"/>
          <w:position w:val="3"/>
          <w:sz w:val="18"/>
        </w:rPr>
        <w:t> </w:t>
      </w:r>
      <w:r>
        <w:rPr>
          <w:w w:val="125"/>
          <w:sz w:val="24"/>
        </w:rPr>
        <w:t>A</w:t>
      </w:r>
      <w:r>
        <w:rPr>
          <w:spacing w:val="20"/>
          <w:w w:val="125"/>
          <w:sz w:val="24"/>
        </w:rPr>
        <w:t> </w:t>
      </w:r>
      <w:r>
        <w:rPr>
          <w:w w:val="125"/>
          <w:sz w:val="24"/>
        </w:rPr>
        <w:t>Felügyelet</w:t>
      </w:r>
      <w:r>
        <w:rPr>
          <w:spacing w:val="20"/>
          <w:w w:val="125"/>
          <w:sz w:val="24"/>
        </w:rPr>
        <w:t> </w:t>
      </w:r>
      <w:r>
        <w:rPr>
          <w:w w:val="125"/>
          <w:sz w:val="24"/>
        </w:rPr>
        <w:t>mérlegeli</w:t>
      </w:r>
      <w:r>
        <w:rPr>
          <w:spacing w:val="20"/>
          <w:w w:val="125"/>
          <w:sz w:val="24"/>
        </w:rPr>
        <w:t> </w:t>
      </w:r>
      <w:r>
        <w:rPr>
          <w:w w:val="125"/>
          <w:sz w:val="24"/>
        </w:rPr>
        <w:t>az</w:t>
      </w:r>
      <w:r>
        <w:rPr>
          <w:spacing w:val="20"/>
          <w:w w:val="125"/>
          <w:sz w:val="24"/>
        </w:rPr>
        <w:t> </w:t>
      </w:r>
      <w:r>
        <w:rPr>
          <w:w w:val="125"/>
          <w:sz w:val="24"/>
        </w:rPr>
        <w:t>intézkedés</w:t>
      </w:r>
      <w:r>
        <w:rPr>
          <w:spacing w:val="21"/>
          <w:w w:val="125"/>
          <w:sz w:val="24"/>
        </w:rPr>
        <w:t> </w:t>
      </w:r>
      <w:r>
        <w:rPr>
          <w:w w:val="125"/>
          <w:sz w:val="24"/>
        </w:rPr>
        <w:t>szükségességét,</w:t>
      </w:r>
      <w:r>
        <w:rPr>
          <w:spacing w:val="20"/>
          <w:w w:val="125"/>
          <w:sz w:val="24"/>
        </w:rPr>
        <w:t> </w:t>
      </w:r>
      <w:r>
        <w:rPr>
          <w:w w:val="125"/>
          <w:sz w:val="24"/>
        </w:rPr>
        <w:t>ha</w:t>
      </w:r>
      <w:r>
        <w:rPr>
          <w:spacing w:val="20"/>
          <w:w w:val="125"/>
          <w:sz w:val="24"/>
        </w:rPr>
        <w:t> </w:t>
      </w:r>
      <w:r>
        <w:rPr>
          <w:w w:val="125"/>
          <w:sz w:val="24"/>
        </w:rPr>
        <w:t>a</w:t>
      </w:r>
    </w:p>
    <w:p>
      <w:pPr>
        <w:pStyle w:val="BodyText"/>
        <w:spacing w:line="225" w:lineRule="auto" w:before="12"/>
        <w:ind w:right="129" w:firstLine="0"/>
        <w:jc w:val="both"/>
      </w:pPr>
      <w:r>
        <w:rPr>
          <w:w w:val="125"/>
        </w:rPr>
        <w:t>pénzügyi intézmény, valamint a pénzügyi intézménynek nem minősülő, pénzügyi szolgáltatást, illetve kiegészítő pénzügyi szolgáltatást nyújtó egyéb jogi személy, ezek vezető állású személye vagy tulajdonosa megsérti az e törvény, az eredményes, megbízható és független  tulajdonlásra  vagy  a prudens működésre vonatkozó jogszabályok, valamint a tevékenységére vonatkozó egyéb jogszabályok előírásait, vagy tevékenységét nyilvánvalóan nem elvárható gondossággal végzi, így különösen</w:t>
      </w:r>
      <w:r>
        <w:rPr>
          <w:spacing w:val="5"/>
          <w:w w:val="125"/>
        </w:rPr>
        <w:t> </w:t>
      </w:r>
      <w:r>
        <w:rPr>
          <w:w w:val="125"/>
        </w:rPr>
        <w:t>ha</w:t>
      </w:r>
    </w:p>
    <w:p>
      <w:pPr>
        <w:pStyle w:val="ListParagraph"/>
        <w:numPr>
          <w:ilvl w:val="0"/>
          <w:numId w:val="431"/>
        </w:numPr>
        <w:tabs>
          <w:tab w:pos="678" w:val="left" w:leader="none"/>
        </w:tabs>
        <w:spacing w:line="225" w:lineRule="auto" w:before="4" w:after="0"/>
        <w:ind w:left="113" w:right="131" w:firstLine="204"/>
        <w:jc w:val="both"/>
        <w:rPr>
          <w:sz w:val="24"/>
        </w:rPr>
      </w:pPr>
      <w:r>
        <w:rPr>
          <w:w w:val="125"/>
          <w:sz w:val="24"/>
        </w:rPr>
        <w:t>döntési, eljárási szabályzatai nem felelnek meg az előírásoknak, vagy a működés során ezeket nem tartja</w:t>
      </w:r>
      <w:r>
        <w:rPr>
          <w:spacing w:val="9"/>
          <w:w w:val="125"/>
          <w:sz w:val="24"/>
        </w:rPr>
        <w:t> </w:t>
      </w:r>
      <w:r>
        <w:rPr>
          <w:w w:val="125"/>
          <w:sz w:val="24"/>
        </w:rPr>
        <w:t>be,</w:t>
      </w:r>
    </w:p>
    <w:p>
      <w:pPr>
        <w:pStyle w:val="ListParagraph"/>
        <w:numPr>
          <w:ilvl w:val="0"/>
          <w:numId w:val="431"/>
        </w:numPr>
        <w:tabs>
          <w:tab w:pos="755" w:val="left" w:leader="none"/>
        </w:tabs>
        <w:spacing w:line="225" w:lineRule="auto" w:before="1" w:after="0"/>
        <w:ind w:left="113" w:right="125" w:firstLine="204"/>
        <w:jc w:val="both"/>
        <w:rPr>
          <w:sz w:val="24"/>
        </w:rPr>
      </w:pPr>
      <w:r>
        <w:rPr>
          <w:w w:val="130"/>
          <w:sz w:val="24"/>
        </w:rPr>
        <w:t>számviteli, nyilvántartási és ellenőrzési rendszere nem felel meg a jogszabályok</w:t>
      </w:r>
      <w:r>
        <w:rPr>
          <w:spacing w:val="-4"/>
          <w:w w:val="130"/>
          <w:sz w:val="24"/>
        </w:rPr>
        <w:t> </w:t>
      </w:r>
      <w:r>
        <w:rPr>
          <w:w w:val="130"/>
          <w:sz w:val="24"/>
        </w:rPr>
        <w:t>rendelkezéseinek,</w:t>
      </w:r>
    </w:p>
    <w:p>
      <w:pPr>
        <w:pStyle w:val="ListParagraph"/>
        <w:numPr>
          <w:ilvl w:val="0"/>
          <w:numId w:val="431"/>
        </w:numPr>
        <w:tabs>
          <w:tab w:pos="654" w:val="left" w:leader="none"/>
        </w:tabs>
        <w:spacing w:line="225" w:lineRule="auto" w:before="1" w:after="0"/>
        <w:ind w:left="113" w:right="110" w:firstLine="204"/>
        <w:jc w:val="both"/>
        <w:rPr>
          <w:sz w:val="24"/>
        </w:rPr>
      </w:pPr>
      <w:r>
        <w:rPr>
          <w:w w:val="130"/>
          <w:sz w:val="24"/>
        </w:rPr>
        <w:t>határidőben nem tesz eleget a Felügyelettel, a tulajdonosaival, tagjaival, az OBA-val szemben fennálló adatszolgáltatási, jelentési vagy tájékoztatási kötelezettségének,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9"/>
        <w:ind w:left="0" w:firstLine="0"/>
        <w:rPr>
          <w:sz w:val="21"/>
        </w:rPr>
      </w:pPr>
      <w:r>
        <w:rPr/>
        <w:pict>
          <v:line style="position:absolute;mso-position-horizontal-relative:page;mso-position-vertical-relative:paragraph;z-index:1520;mso-wrap-distance-left:0;mso-wrap-distance-right:0" from="56.693001pt,14.726024pt" to="538.583001pt,14.726024pt" stroked="true" strokeweight=".5pt" strokecolor="#000000">
            <v:stroke dashstyle="solid"/>
            <w10:wrap type="topAndBottom"/>
          </v:line>
        </w:pict>
      </w:r>
    </w:p>
    <w:p>
      <w:pPr>
        <w:pStyle w:val="ListParagraph"/>
        <w:numPr>
          <w:ilvl w:val="0"/>
          <w:numId w:val="432"/>
        </w:numPr>
        <w:tabs>
          <w:tab w:pos="686" w:val="left" w:leader="none"/>
          <w:tab w:pos="687" w:val="left" w:leader="none"/>
        </w:tabs>
        <w:spacing w:line="203" w:lineRule="exact" w:before="44" w:after="0"/>
        <w:ind w:left="686" w:right="0" w:hanging="344"/>
        <w:jc w:val="left"/>
        <w:rPr>
          <w:i/>
          <w:sz w:val="18"/>
        </w:rPr>
      </w:pPr>
      <w:r>
        <w:rPr>
          <w:i/>
          <w:w w:val="125"/>
          <w:sz w:val="18"/>
        </w:rPr>
        <w:t>Beiktatta: 2018. évi CXXVI. törvény 106. §. Hatályos: 2018. XII.</w:t>
      </w:r>
      <w:r>
        <w:rPr>
          <w:i/>
          <w:spacing w:val="-17"/>
          <w:w w:val="125"/>
          <w:sz w:val="18"/>
        </w:rPr>
        <w:t> </w:t>
      </w:r>
      <w:r>
        <w:rPr>
          <w:i/>
          <w:w w:val="125"/>
          <w:sz w:val="18"/>
        </w:rPr>
        <w:t>29-től.</w:t>
      </w:r>
    </w:p>
    <w:p>
      <w:pPr>
        <w:pStyle w:val="ListParagraph"/>
        <w:numPr>
          <w:ilvl w:val="0"/>
          <w:numId w:val="432"/>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431"/>
        </w:numPr>
        <w:tabs>
          <w:tab w:pos="812" w:val="left" w:leader="none"/>
        </w:tabs>
        <w:spacing w:line="225" w:lineRule="auto" w:before="173" w:after="0"/>
        <w:ind w:left="113" w:right="119" w:firstLine="204"/>
        <w:jc w:val="both"/>
        <w:rPr>
          <w:sz w:val="24"/>
        </w:rPr>
      </w:pPr>
      <w:r>
        <w:rPr>
          <w:w w:val="130"/>
          <w:sz w:val="24"/>
        </w:rPr>
        <w:t>a könyvvizsgálójának tevékenysége nem felel meg a jogszabályi rendelkezéseknek, vagy késedelmesen, pontatlanul tájékoztatja az igazgatóságot, felügyelő bizottságot, illetve a Felügyeletet a pénzügyi</w:t>
      </w:r>
      <w:r>
        <w:rPr>
          <w:spacing w:val="78"/>
          <w:w w:val="130"/>
          <w:sz w:val="24"/>
        </w:rPr>
        <w:t> </w:t>
      </w:r>
      <w:r>
        <w:rPr>
          <w:w w:val="130"/>
          <w:sz w:val="24"/>
        </w:rPr>
        <w:t>intézménynél tapasztalt jogszabálysértésekről, hiányosságokról és egyéb - a prudens működését veszélyeztető -</w:t>
      </w:r>
      <w:r>
        <w:rPr>
          <w:spacing w:val="-25"/>
          <w:w w:val="130"/>
          <w:sz w:val="24"/>
        </w:rPr>
        <w:t> </w:t>
      </w:r>
      <w:r>
        <w:rPr>
          <w:w w:val="130"/>
          <w:sz w:val="24"/>
        </w:rPr>
        <w:t>problémákról,</w:t>
      </w:r>
    </w:p>
    <w:p>
      <w:pPr>
        <w:pStyle w:val="ListParagraph"/>
        <w:numPr>
          <w:ilvl w:val="0"/>
          <w:numId w:val="431"/>
        </w:numPr>
        <w:tabs>
          <w:tab w:pos="675" w:val="left" w:leader="none"/>
        </w:tabs>
        <w:spacing w:line="225" w:lineRule="auto" w:before="3" w:after="0"/>
        <w:ind w:left="113" w:right="131" w:firstLine="204"/>
        <w:jc w:val="both"/>
        <w:rPr>
          <w:sz w:val="24"/>
        </w:rPr>
      </w:pPr>
      <w:r>
        <w:rPr>
          <w:w w:val="130"/>
          <w:sz w:val="24"/>
        </w:rPr>
        <w:t>szavatoló tőkéje nem biztosítja a kockázatok fedezetét, vagy nem éri el hitelintézet esetében a 79. § (2) bekezdésben foglalt</w:t>
      </w:r>
      <w:r>
        <w:rPr>
          <w:spacing w:val="-48"/>
          <w:w w:val="130"/>
          <w:sz w:val="24"/>
        </w:rPr>
        <w:t> </w:t>
      </w:r>
      <w:r>
        <w:rPr>
          <w:w w:val="130"/>
          <w:sz w:val="24"/>
        </w:rPr>
        <w:t>mértéket,</w:t>
      </w:r>
    </w:p>
    <w:p>
      <w:pPr>
        <w:pStyle w:val="ListParagraph"/>
        <w:numPr>
          <w:ilvl w:val="0"/>
          <w:numId w:val="431"/>
        </w:numPr>
        <w:tabs>
          <w:tab w:pos="798" w:val="left" w:leader="none"/>
        </w:tabs>
        <w:spacing w:line="225" w:lineRule="auto" w:before="1" w:after="0"/>
        <w:ind w:left="113" w:right="134" w:firstLine="204"/>
        <w:jc w:val="both"/>
        <w:rPr>
          <w:sz w:val="24"/>
        </w:rPr>
      </w:pPr>
      <w:r>
        <w:rPr>
          <w:w w:val="130"/>
          <w:sz w:val="24"/>
        </w:rPr>
        <w:t>a kockázatvállalásra, a kockázatok megállapítására, elemzésére, értékelésére</w:t>
      </w:r>
      <w:r>
        <w:rPr>
          <w:spacing w:val="-11"/>
          <w:w w:val="130"/>
          <w:sz w:val="24"/>
        </w:rPr>
        <w:t> </w:t>
      </w:r>
      <w:r>
        <w:rPr>
          <w:w w:val="130"/>
          <w:sz w:val="24"/>
        </w:rPr>
        <w:t>és</w:t>
      </w:r>
      <w:r>
        <w:rPr>
          <w:spacing w:val="-10"/>
          <w:w w:val="130"/>
          <w:sz w:val="24"/>
        </w:rPr>
        <w:t> </w:t>
      </w:r>
      <w:r>
        <w:rPr>
          <w:w w:val="130"/>
          <w:sz w:val="24"/>
        </w:rPr>
        <w:t>behatárolására,</w:t>
      </w:r>
      <w:r>
        <w:rPr>
          <w:spacing w:val="-10"/>
          <w:w w:val="130"/>
          <w:sz w:val="24"/>
        </w:rPr>
        <w:t> </w:t>
      </w:r>
      <w:r>
        <w:rPr>
          <w:w w:val="130"/>
          <w:sz w:val="24"/>
        </w:rPr>
        <w:t>a</w:t>
      </w:r>
      <w:r>
        <w:rPr>
          <w:spacing w:val="-10"/>
          <w:w w:val="130"/>
          <w:sz w:val="24"/>
        </w:rPr>
        <w:t> </w:t>
      </w:r>
      <w:r>
        <w:rPr>
          <w:w w:val="130"/>
          <w:sz w:val="24"/>
        </w:rPr>
        <w:t>kockázatvállalás</w:t>
      </w:r>
      <w:r>
        <w:rPr>
          <w:spacing w:val="-6"/>
          <w:w w:val="130"/>
          <w:sz w:val="24"/>
        </w:rPr>
        <w:t> </w:t>
      </w:r>
      <w:r>
        <w:rPr>
          <w:w w:val="130"/>
          <w:sz w:val="24"/>
        </w:rPr>
        <w:t>ellenőrzésére,</w:t>
      </w:r>
      <w:r>
        <w:rPr>
          <w:spacing w:val="-15"/>
          <w:w w:val="130"/>
          <w:sz w:val="24"/>
        </w:rPr>
        <w:t> </w:t>
      </w:r>
      <w:r>
        <w:rPr>
          <w:w w:val="130"/>
          <w:sz w:val="24"/>
        </w:rPr>
        <w:t>a</w:t>
      </w:r>
      <w:r>
        <w:rPr>
          <w:spacing w:val="-10"/>
          <w:w w:val="130"/>
          <w:sz w:val="24"/>
        </w:rPr>
        <w:t> </w:t>
      </w:r>
      <w:r>
        <w:rPr>
          <w:w w:val="130"/>
          <w:sz w:val="24"/>
        </w:rPr>
        <w:t>kockázatok kezelésére, továbbá csökkentésére vonatkozó szabályok valamelyikét megsérti,</w:t>
      </w:r>
    </w:p>
    <w:p>
      <w:pPr>
        <w:pStyle w:val="ListParagraph"/>
        <w:numPr>
          <w:ilvl w:val="0"/>
          <w:numId w:val="431"/>
        </w:numPr>
        <w:tabs>
          <w:tab w:pos="676" w:val="left" w:leader="none"/>
        </w:tabs>
        <w:spacing w:line="225" w:lineRule="auto" w:before="2" w:after="0"/>
        <w:ind w:left="113" w:right="133" w:firstLine="204"/>
        <w:jc w:val="both"/>
        <w:rPr>
          <w:sz w:val="24"/>
        </w:rPr>
      </w:pPr>
      <w:r>
        <w:rPr>
          <w:w w:val="125"/>
          <w:sz w:val="24"/>
        </w:rPr>
        <w:t>elmulasztja az igazgatóságnak, a felügyelő bizottságnak, a közgyűlésnek (küldöttgyűlésnek) vagy az egyszemélyes tulajdonosnak a Felügyelet intézkedéseiről történő</w:t>
      </w:r>
      <w:r>
        <w:rPr>
          <w:spacing w:val="3"/>
          <w:w w:val="125"/>
          <w:sz w:val="24"/>
        </w:rPr>
        <w:t> </w:t>
      </w:r>
      <w:r>
        <w:rPr>
          <w:w w:val="125"/>
          <w:sz w:val="24"/>
        </w:rPr>
        <w:t>tájékoztatását,</w:t>
      </w:r>
    </w:p>
    <w:p>
      <w:pPr>
        <w:pStyle w:val="ListParagraph"/>
        <w:numPr>
          <w:ilvl w:val="0"/>
          <w:numId w:val="431"/>
        </w:numPr>
        <w:tabs>
          <w:tab w:pos="645" w:val="left" w:leader="none"/>
        </w:tabs>
        <w:spacing w:line="225" w:lineRule="auto" w:before="2" w:after="0"/>
        <w:ind w:left="113" w:right="125" w:firstLine="204"/>
        <w:jc w:val="both"/>
        <w:rPr>
          <w:sz w:val="24"/>
        </w:rPr>
      </w:pPr>
      <w:r>
        <w:rPr>
          <w:w w:val="130"/>
          <w:sz w:val="24"/>
        </w:rPr>
        <w:t>fennáll</w:t>
      </w:r>
      <w:r>
        <w:rPr>
          <w:spacing w:val="-23"/>
          <w:w w:val="130"/>
          <w:sz w:val="24"/>
        </w:rPr>
        <w:t> </w:t>
      </w:r>
      <w:r>
        <w:rPr>
          <w:w w:val="130"/>
          <w:sz w:val="24"/>
        </w:rPr>
        <w:t>annak</w:t>
      </w:r>
      <w:r>
        <w:rPr>
          <w:spacing w:val="-22"/>
          <w:w w:val="130"/>
          <w:sz w:val="24"/>
        </w:rPr>
        <w:t> </w:t>
      </w:r>
      <w:r>
        <w:rPr>
          <w:w w:val="130"/>
          <w:sz w:val="24"/>
        </w:rPr>
        <w:t>veszélye,</w:t>
      </w:r>
      <w:r>
        <w:rPr>
          <w:spacing w:val="-23"/>
          <w:w w:val="130"/>
          <w:sz w:val="24"/>
        </w:rPr>
        <w:t> </w:t>
      </w:r>
      <w:r>
        <w:rPr>
          <w:w w:val="130"/>
          <w:sz w:val="24"/>
        </w:rPr>
        <w:t>hogy</w:t>
      </w:r>
      <w:r>
        <w:rPr>
          <w:spacing w:val="-12"/>
          <w:w w:val="130"/>
          <w:sz w:val="24"/>
        </w:rPr>
        <w:t> </w:t>
      </w:r>
      <w:r>
        <w:rPr>
          <w:w w:val="130"/>
          <w:sz w:val="24"/>
        </w:rPr>
        <w:t>a</w:t>
      </w:r>
      <w:r>
        <w:rPr>
          <w:spacing w:val="-33"/>
          <w:w w:val="130"/>
          <w:sz w:val="24"/>
        </w:rPr>
        <w:t> </w:t>
      </w:r>
      <w:r>
        <w:rPr>
          <w:w w:val="130"/>
          <w:sz w:val="24"/>
        </w:rPr>
        <w:t>hitelintézet</w:t>
      </w:r>
      <w:r>
        <w:rPr>
          <w:spacing w:val="-16"/>
          <w:w w:val="130"/>
          <w:sz w:val="24"/>
        </w:rPr>
        <w:t> </w:t>
      </w:r>
      <w:r>
        <w:rPr>
          <w:w w:val="130"/>
          <w:sz w:val="24"/>
        </w:rPr>
        <w:t>nem</w:t>
      </w:r>
      <w:r>
        <w:rPr>
          <w:spacing w:val="-29"/>
          <w:w w:val="130"/>
          <w:sz w:val="24"/>
        </w:rPr>
        <w:t> </w:t>
      </w:r>
      <w:r>
        <w:rPr>
          <w:w w:val="130"/>
          <w:sz w:val="24"/>
        </w:rPr>
        <w:t>fogja</w:t>
      </w:r>
      <w:r>
        <w:rPr>
          <w:spacing w:val="-22"/>
          <w:w w:val="130"/>
          <w:sz w:val="24"/>
        </w:rPr>
        <w:t> </w:t>
      </w:r>
      <w:r>
        <w:rPr>
          <w:w w:val="130"/>
          <w:sz w:val="24"/>
        </w:rPr>
        <w:t>betartani</w:t>
      </w:r>
      <w:r>
        <w:rPr>
          <w:spacing w:val="-23"/>
          <w:w w:val="130"/>
          <w:sz w:val="24"/>
        </w:rPr>
        <w:t> </w:t>
      </w:r>
      <w:r>
        <w:rPr>
          <w:w w:val="130"/>
          <w:sz w:val="24"/>
        </w:rPr>
        <w:t>az</w:t>
      </w:r>
      <w:r>
        <w:rPr>
          <w:spacing w:val="-22"/>
          <w:w w:val="130"/>
          <w:sz w:val="24"/>
        </w:rPr>
        <w:t> </w:t>
      </w:r>
      <w:r>
        <w:rPr>
          <w:w w:val="130"/>
          <w:sz w:val="24"/>
        </w:rPr>
        <w:t>azonnali fizetőképességre, a likviditás minimális szintjére vagy a források és az eszközök</w:t>
      </w:r>
      <w:r>
        <w:rPr>
          <w:spacing w:val="-14"/>
          <w:w w:val="130"/>
          <w:sz w:val="24"/>
        </w:rPr>
        <w:t> </w:t>
      </w:r>
      <w:r>
        <w:rPr>
          <w:w w:val="130"/>
          <w:sz w:val="24"/>
        </w:rPr>
        <w:t>lejárati</w:t>
      </w:r>
      <w:r>
        <w:rPr>
          <w:spacing w:val="-13"/>
          <w:w w:val="130"/>
          <w:sz w:val="24"/>
        </w:rPr>
        <w:t> </w:t>
      </w:r>
      <w:r>
        <w:rPr>
          <w:w w:val="130"/>
          <w:sz w:val="24"/>
        </w:rPr>
        <w:t>összhangjának</w:t>
      </w:r>
      <w:r>
        <w:rPr>
          <w:spacing w:val="-13"/>
          <w:w w:val="130"/>
          <w:sz w:val="24"/>
        </w:rPr>
        <w:t> </w:t>
      </w:r>
      <w:r>
        <w:rPr>
          <w:w w:val="130"/>
          <w:sz w:val="24"/>
        </w:rPr>
        <w:t>biztosítására</w:t>
      </w:r>
      <w:r>
        <w:rPr>
          <w:spacing w:val="-12"/>
          <w:w w:val="130"/>
          <w:sz w:val="24"/>
        </w:rPr>
        <w:t> </w:t>
      </w:r>
      <w:r>
        <w:rPr>
          <w:w w:val="130"/>
          <w:sz w:val="24"/>
        </w:rPr>
        <w:t>vonatkozó</w:t>
      </w:r>
      <w:r>
        <w:rPr>
          <w:spacing w:val="-13"/>
          <w:w w:val="130"/>
          <w:sz w:val="24"/>
        </w:rPr>
        <w:t> </w:t>
      </w:r>
      <w:r>
        <w:rPr>
          <w:w w:val="130"/>
          <w:sz w:val="24"/>
        </w:rPr>
        <w:t>előírásokat,</w:t>
      </w:r>
    </w:p>
    <w:p>
      <w:pPr>
        <w:pStyle w:val="ListParagraph"/>
        <w:numPr>
          <w:ilvl w:val="0"/>
          <w:numId w:val="431"/>
        </w:numPr>
        <w:tabs>
          <w:tab w:pos="564" w:val="left" w:leader="none"/>
        </w:tabs>
        <w:spacing w:line="256" w:lineRule="exact" w:before="0" w:after="0"/>
        <w:ind w:left="563" w:right="0" w:hanging="246"/>
        <w:jc w:val="left"/>
        <w:rPr>
          <w:sz w:val="24"/>
        </w:rPr>
      </w:pPr>
      <w:r>
        <w:rPr>
          <w:w w:val="130"/>
          <w:sz w:val="24"/>
        </w:rPr>
        <w:t>nem tesz eleget tartalékképzési</w:t>
      </w:r>
      <w:r>
        <w:rPr>
          <w:spacing w:val="-16"/>
          <w:w w:val="130"/>
          <w:sz w:val="24"/>
        </w:rPr>
        <w:t> </w:t>
      </w:r>
      <w:r>
        <w:rPr>
          <w:w w:val="130"/>
          <w:sz w:val="24"/>
        </w:rPr>
        <w:t>kötelezettségének,</w:t>
      </w:r>
    </w:p>
    <w:p>
      <w:pPr>
        <w:pStyle w:val="ListParagraph"/>
        <w:numPr>
          <w:ilvl w:val="0"/>
          <w:numId w:val="431"/>
        </w:numPr>
        <w:tabs>
          <w:tab w:pos="563" w:val="left" w:leader="none"/>
        </w:tabs>
        <w:spacing w:line="260" w:lineRule="exact" w:before="0" w:after="0"/>
        <w:ind w:left="562" w:right="0" w:hanging="245"/>
        <w:jc w:val="left"/>
        <w:rPr>
          <w:sz w:val="24"/>
        </w:rPr>
      </w:pPr>
      <w:r>
        <w:rPr>
          <w:w w:val="130"/>
          <w:sz w:val="24"/>
        </w:rPr>
        <w:t>nem teljesíti Pmt.-ben előírt</w:t>
      </w:r>
      <w:r>
        <w:rPr>
          <w:spacing w:val="-19"/>
          <w:w w:val="130"/>
          <w:sz w:val="24"/>
        </w:rPr>
        <w:t> </w:t>
      </w:r>
      <w:r>
        <w:rPr>
          <w:w w:val="130"/>
          <w:sz w:val="24"/>
        </w:rPr>
        <w:t>kötelezettségét,</w:t>
      </w:r>
    </w:p>
    <w:p>
      <w:pPr>
        <w:pStyle w:val="ListParagraph"/>
        <w:numPr>
          <w:ilvl w:val="0"/>
          <w:numId w:val="431"/>
        </w:numPr>
        <w:tabs>
          <w:tab w:pos="764" w:val="left" w:leader="none"/>
        </w:tabs>
        <w:spacing w:line="225" w:lineRule="auto" w:before="5" w:after="0"/>
        <w:ind w:left="113" w:right="125" w:firstLine="204"/>
        <w:jc w:val="both"/>
        <w:rPr>
          <w:sz w:val="24"/>
        </w:rPr>
      </w:pPr>
      <w:r>
        <w:rPr>
          <w:w w:val="130"/>
          <w:sz w:val="24"/>
        </w:rPr>
        <w:t>a hitelintézet nem tesz eleget a 228. § (6) bekezdésében foglalt</w:t>
      </w:r>
      <w:r>
        <w:rPr>
          <w:spacing w:val="78"/>
          <w:w w:val="130"/>
          <w:sz w:val="24"/>
        </w:rPr>
        <w:t> </w:t>
      </w:r>
      <w:r>
        <w:rPr>
          <w:w w:val="130"/>
          <w:sz w:val="24"/>
        </w:rPr>
        <w:t>kötelezettségének.</w:t>
      </w:r>
    </w:p>
    <w:p>
      <w:pPr>
        <w:pStyle w:val="ListParagraph"/>
        <w:numPr>
          <w:ilvl w:val="0"/>
          <w:numId w:val="433"/>
        </w:numPr>
        <w:tabs>
          <w:tab w:pos="659" w:val="left" w:leader="none"/>
        </w:tabs>
        <w:spacing w:line="250" w:lineRule="exact" w:before="0" w:after="0"/>
        <w:ind w:left="658" w:right="0" w:hanging="341"/>
        <w:jc w:val="left"/>
        <w:rPr>
          <w:sz w:val="24"/>
        </w:rPr>
      </w:pPr>
      <w:r>
        <w:rPr>
          <w:i/>
          <w:w w:val="125"/>
          <w:position w:val="3"/>
          <w:sz w:val="18"/>
        </w:rPr>
        <w:t>1 </w:t>
      </w:r>
      <w:r>
        <w:rPr>
          <w:w w:val="125"/>
          <w:sz w:val="24"/>
        </w:rPr>
        <w:t>A Felügyelet e törvény, a pénzügyi intézmény, valamint a</w:t>
      </w:r>
      <w:r>
        <w:rPr>
          <w:spacing w:val="44"/>
          <w:w w:val="125"/>
          <w:sz w:val="24"/>
        </w:rPr>
        <w:t> </w:t>
      </w:r>
      <w:r>
        <w:rPr>
          <w:w w:val="125"/>
          <w:sz w:val="24"/>
        </w:rPr>
        <w:t>pénzügyi</w:t>
      </w:r>
    </w:p>
    <w:p>
      <w:pPr>
        <w:pStyle w:val="BodyText"/>
        <w:spacing w:line="225" w:lineRule="auto" w:before="12"/>
        <w:ind w:right="128" w:firstLine="0"/>
        <w:jc w:val="both"/>
      </w:pPr>
      <w:r>
        <w:rPr>
          <w:w w:val="125"/>
        </w:rPr>
        <w:t>intézménynek nem minősülő kiegészítő pénzügyi szolgáltatást nyújtó egyéb jogi személy prudens működésére vonatkozó jogszabályok, tevékenységre vonatkozó jogszabályok előírásainak jelentős megsértése esetén - a rendelkezésére álló adatokat és információkat mérlegelve - megteszi a szükséges intézkedést, ha a pénzügyi intézmény, a pénzügyi  intézménynek nem minősülő pénzügyi szolgáltatást, illetve kiegészítő pénzügyi szolgáltatást nyújtó egyéb jogi személy</w:t>
      </w:r>
    </w:p>
    <w:p>
      <w:pPr>
        <w:pStyle w:val="ListParagraph"/>
        <w:numPr>
          <w:ilvl w:val="0"/>
          <w:numId w:val="434"/>
        </w:numPr>
        <w:tabs>
          <w:tab w:pos="713" w:val="left" w:leader="none"/>
        </w:tabs>
        <w:spacing w:line="225" w:lineRule="auto" w:before="4" w:after="0"/>
        <w:ind w:left="113" w:right="130" w:firstLine="204"/>
        <w:jc w:val="both"/>
        <w:rPr>
          <w:sz w:val="24"/>
        </w:rPr>
      </w:pPr>
      <w:r>
        <w:rPr>
          <w:w w:val="130"/>
          <w:sz w:val="24"/>
        </w:rPr>
        <w:t>jogszabály által tiltott vagy részére nem engedélyezett tevékenységet végez,</w:t>
      </w:r>
    </w:p>
    <w:p>
      <w:pPr>
        <w:pStyle w:val="ListParagraph"/>
        <w:numPr>
          <w:ilvl w:val="0"/>
          <w:numId w:val="434"/>
        </w:numPr>
        <w:tabs>
          <w:tab w:pos="655" w:val="left" w:leader="none"/>
        </w:tabs>
        <w:spacing w:line="225" w:lineRule="auto" w:before="1" w:after="0"/>
        <w:ind w:left="113" w:right="129" w:firstLine="204"/>
        <w:jc w:val="both"/>
        <w:rPr>
          <w:sz w:val="24"/>
        </w:rPr>
      </w:pPr>
      <w:r>
        <w:rPr>
          <w:w w:val="130"/>
          <w:sz w:val="24"/>
        </w:rPr>
        <w:t>működése</w:t>
      </w:r>
      <w:r>
        <w:rPr>
          <w:spacing w:val="-16"/>
          <w:w w:val="130"/>
          <w:sz w:val="24"/>
        </w:rPr>
        <w:t> </w:t>
      </w:r>
      <w:r>
        <w:rPr>
          <w:w w:val="130"/>
          <w:sz w:val="24"/>
        </w:rPr>
        <w:t>során</w:t>
      </w:r>
      <w:r>
        <w:rPr>
          <w:spacing w:val="-15"/>
          <w:w w:val="130"/>
          <w:sz w:val="24"/>
        </w:rPr>
        <w:t> </w:t>
      </w:r>
      <w:r>
        <w:rPr>
          <w:w w:val="130"/>
          <w:sz w:val="24"/>
        </w:rPr>
        <w:t>nem</w:t>
      </w:r>
      <w:r>
        <w:rPr>
          <w:spacing w:val="-15"/>
          <w:w w:val="130"/>
          <w:sz w:val="24"/>
        </w:rPr>
        <w:t> </w:t>
      </w:r>
      <w:r>
        <w:rPr>
          <w:w w:val="130"/>
          <w:sz w:val="24"/>
        </w:rPr>
        <w:t>tud</w:t>
      </w:r>
      <w:r>
        <w:rPr>
          <w:spacing w:val="-16"/>
          <w:w w:val="130"/>
          <w:sz w:val="24"/>
        </w:rPr>
        <w:t> </w:t>
      </w:r>
      <w:r>
        <w:rPr>
          <w:w w:val="130"/>
          <w:sz w:val="24"/>
        </w:rPr>
        <w:t>folyamatosan</w:t>
      </w:r>
      <w:r>
        <w:rPr>
          <w:spacing w:val="-15"/>
          <w:w w:val="130"/>
          <w:sz w:val="24"/>
        </w:rPr>
        <w:t> </w:t>
      </w:r>
      <w:r>
        <w:rPr>
          <w:w w:val="130"/>
          <w:sz w:val="24"/>
        </w:rPr>
        <w:t>megfelelni</w:t>
      </w:r>
      <w:r>
        <w:rPr>
          <w:spacing w:val="-17"/>
          <w:w w:val="130"/>
          <w:sz w:val="24"/>
        </w:rPr>
        <w:t> </w:t>
      </w:r>
      <w:r>
        <w:rPr>
          <w:w w:val="130"/>
          <w:sz w:val="24"/>
        </w:rPr>
        <w:t>egyes,</w:t>
      </w:r>
      <w:r>
        <w:rPr>
          <w:spacing w:val="-16"/>
          <w:w w:val="130"/>
          <w:sz w:val="24"/>
        </w:rPr>
        <w:t> </w:t>
      </w:r>
      <w:r>
        <w:rPr>
          <w:w w:val="130"/>
          <w:sz w:val="24"/>
        </w:rPr>
        <w:t>az</w:t>
      </w:r>
      <w:r>
        <w:rPr>
          <w:spacing w:val="-15"/>
          <w:w w:val="130"/>
          <w:sz w:val="24"/>
        </w:rPr>
        <w:t> </w:t>
      </w:r>
      <w:r>
        <w:rPr>
          <w:w w:val="130"/>
          <w:sz w:val="24"/>
        </w:rPr>
        <w:t>e</w:t>
      </w:r>
      <w:r>
        <w:rPr>
          <w:spacing w:val="-16"/>
          <w:w w:val="130"/>
          <w:sz w:val="24"/>
        </w:rPr>
        <w:t> </w:t>
      </w:r>
      <w:r>
        <w:rPr>
          <w:w w:val="130"/>
          <w:sz w:val="24"/>
        </w:rPr>
        <w:t>törvényben meghatározott engedélyezési</w:t>
      </w:r>
      <w:r>
        <w:rPr>
          <w:spacing w:val="-10"/>
          <w:w w:val="130"/>
          <w:sz w:val="24"/>
        </w:rPr>
        <w:t> </w:t>
      </w:r>
      <w:r>
        <w:rPr>
          <w:w w:val="130"/>
          <w:sz w:val="24"/>
        </w:rPr>
        <w:t>feltételeknek,</w:t>
      </w:r>
    </w:p>
    <w:p>
      <w:pPr>
        <w:pStyle w:val="ListParagraph"/>
        <w:numPr>
          <w:ilvl w:val="0"/>
          <w:numId w:val="434"/>
        </w:numPr>
        <w:tabs>
          <w:tab w:pos="669" w:val="left" w:leader="none"/>
        </w:tabs>
        <w:spacing w:line="225" w:lineRule="auto" w:before="1" w:after="0"/>
        <w:ind w:left="113" w:right="125" w:firstLine="204"/>
        <w:jc w:val="both"/>
        <w:rPr>
          <w:sz w:val="24"/>
        </w:rPr>
      </w:pPr>
      <w:r>
        <w:rPr>
          <w:w w:val="125"/>
          <w:sz w:val="24"/>
        </w:rPr>
        <w:t>osztalékot kíván fizetni vagy fizet olyan helyzetben, ha szavatoló tőkéje nem éri el a 79. § (2) bekezdésben rögzített tőkekövetelményt, illetve az adott évben általános tartalékát nem képezte</w:t>
      </w:r>
      <w:r>
        <w:rPr>
          <w:spacing w:val="12"/>
          <w:w w:val="125"/>
          <w:sz w:val="24"/>
        </w:rPr>
        <w:t> </w:t>
      </w:r>
      <w:r>
        <w:rPr>
          <w:w w:val="125"/>
          <w:sz w:val="24"/>
        </w:rPr>
        <w:t>meg,</w:t>
      </w:r>
    </w:p>
    <w:p>
      <w:pPr>
        <w:pStyle w:val="ListParagraph"/>
        <w:numPr>
          <w:ilvl w:val="0"/>
          <w:numId w:val="434"/>
        </w:numPr>
        <w:tabs>
          <w:tab w:pos="658" w:val="left" w:leader="none"/>
        </w:tabs>
        <w:spacing w:line="225" w:lineRule="auto" w:before="2" w:after="0"/>
        <w:ind w:left="113" w:right="129" w:firstLine="204"/>
        <w:jc w:val="both"/>
        <w:rPr>
          <w:sz w:val="24"/>
        </w:rPr>
      </w:pPr>
      <w:r>
        <w:rPr>
          <w:w w:val="130"/>
          <w:sz w:val="24"/>
        </w:rPr>
        <w:t>nem</w:t>
      </w:r>
      <w:r>
        <w:rPr>
          <w:spacing w:val="-11"/>
          <w:w w:val="130"/>
          <w:sz w:val="24"/>
        </w:rPr>
        <w:t> </w:t>
      </w:r>
      <w:r>
        <w:rPr>
          <w:w w:val="130"/>
          <w:sz w:val="24"/>
        </w:rPr>
        <w:t>rendelkezik</w:t>
      </w:r>
      <w:r>
        <w:rPr>
          <w:spacing w:val="-10"/>
          <w:w w:val="130"/>
          <w:sz w:val="24"/>
        </w:rPr>
        <w:t> </w:t>
      </w:r>
      <w:r>
        <w:rPr>
          <w:w w:val="130"/>
          <w:sz w:val="24"/>
        </w:rPr>
        <w:t>elégséges</w:t>
      </w:r>
      <w:r>
        <w:rPr>
          <w:spacing w:val="-11"/>
          <w:w w:val="130"/>
          <w:sz w:val="24"/>
        </w:rPr>
        <w:t> </w:t>
      </w:r>
      <w:r>
        <w:rPr>
          <w:w w:val="130"/>
          <w:sz w:val="24"/>
        </w:rPr>
        <w:t>céltartalékkal,</w:t>
      </w:r>
      <w:r>
        <w:rPr>
          <w:spacing w:val="-11"/>
          <w:w w:val="130"/>
          <w:sz w:val="24"/>
        </w:rPr>
        <w:t> </w:t>
      </w:r>
      <w:r>
        <w:rPr>
          <w:w w:val="130"/>
          <w:sz w:val="24"/>
        </w:rPr>
        <w:t>illetve</w:t>
      </w:r>
      <w:r>
        <w:rPr>
          <w:spacing w:val="-11"/>
          <w:w w:val="130"/>
          <w:sz w:val="24"/>
        </w:rPr>
        <w:t> </w:t>
      </w:r>
      <w:r>
        <w:rPr>
          <w:w w:val="130"/>
          <w:sz w:val="24"/>
        </w:rPr>
        <w:t>eszközei</w:t>
      </w:r>
      <w:r>
        <w:rPr>
          <w:spacing w:val="-11"/>
          <w:w w:val="130"/>
          <w:sz w:val="24"/>
        </w:rPr>
        <w:t> </w:t>
      </w:r>
      <w:r>
        <w:rPr>
          <w:w w:val="130"/>
          <w:sz w:val="24"/>
        </w:rPr>
        <w:t>értékelése</w:t>
      </w:r>
      <w:r>
        <w:rPr>
          <w:spacing w:val="-11"/>
          <w:w w:val="130"/>
          <w:sz w:val="24"/>
        </w:rPr>
        <w:t> </w:t>
      </w:r>
      <w:r>
        <w:rPr>
          <w:w w:val="130"/>
          <w:sz w:val="24"/>
        </w:rPr>
        <w:t>nem megfelelő és emiatt szavatoló tőkéjét csökkentenie kell az el nem számolt</w:t>
      </w:r>
      <w:r>
        <w:rPr>
          <w:spacing w:val="78"/>
          <w:w w:val="130"/>
          <w:sz w:val="24"/>
        </w:rPr>
        <w:t> </w:t>
      </w:r>
      <w:r>
        <w:rPr>
          <w:w w:val="130"/>
          <w:sz w:val="24"/>
        </w:rPr>
        <w:t>céltartalékképzés, illetve értékvesztés</w:t>
      </w:r>
      <w:r>
        <w:rPr>
          <w:spacing w:val="-16"/>
          <w:w w:val="130"/>
          <w:sz w:val="24"/>
        </w:rPr>
        <w:t> </w:t>
      </w:r>
      <w:r>
        <w:rPr>
          <w:w w:val="130"/>
          <w:sz w:val="24"/>
        </w:rPr>
        <w:t>összegével,</w:t>
      </w:r>
    </w:p>
    <w:p>
      <w:pPr>
        <w:pStyle w:val="ListParagraph"/>
        <w:numPr>
          <w:ilvl w:val="0"/>
          <w:numId w:val="434"/>
        </w:numPr>
        <w:tabs>
          <w:tab w:pos="695" w:val="left" w:leader="none"/>
        </w:tabs>
        <w:spacing w:line="225" w:lineRule="auto" w:before="2" w:after="0"/>
        <w:ind w:left="113" w:right="123" w:firstLine="204"/>
        <w:jc w:val="both"/>
        <w:rPr>
          <w:sz w:val="24"/>
        </w:rPr>
      </w:pPr>
      <w:r>
        <w:rPr>
          <w:w w:val="125"/>
          <w:sz w:val="24"/>
        </w:rPr>
        <w:t>a kockázatvállalásra vonatkozó szabályokat rendszeresen vagy jelentős mértékben megsérti (így például a megfelelő gondosság és  körültekintés  nélkül vállal kockázatokat),</w:t>
      </w:r>
    </w:p>
    <w:p>
      <w:pPr>
        <w:pStyle w:val="ListParagraph"/>
        <w:numPr>
          <w:ilvl w:val="0"/>
          <w:numId w:val="434"/>
        </w:numPr>
        <w:tabs>
          <w:tab w:pos="593" w:val="left" w:leader="none"/>
        </w:tabs>
        <w:spacing w:line="225" w:lineRule="auto" w:before="1" w:after="0"/>
        <w:ind w:left="113" w:right="136" w:firstLine="204"/>
        <w:jc w:val="both"/>
        <w:rPr>
          <w:sz w:val="24"/>
        </w:rPr>
      </w:pPr>
      <w:r>
        <w:rPr>
          <w:w w:val="125"/>
          <w:sz w:val="24"/>
        </w:rPr>
        <w:t>nem tud eleget tenni, vagy határidőben - ismétlődően - nem tesz eleget, a Felügyelettel, a tulajdonosaival, a tagjaival, az OBA-val szemben fennálló adatszolgáltatási, jelentési vagy tájékoztatási</w:t>
      </w:r>
      <w:r>
        <w:rPr>
          <w:spacing w:val="24"/>
          <w:w w:val="125"/>
          <w:sz w:val="24"/>
        </w:rPr>
        <w:t> </w:t>
      </w:r>
      <w:r>
        <w:rPr>
          <w:w w:val="125"/>
          <w:sz w:val="24"/>
        </w:rPr>
        <w:t>kötelezettségének,</w:t>
      </w:r>
    </w:p>
    <w:p>
      <w:pPr>
        <w:pStyle w:val="ListParagraph"/>
        <w:numPr>
          <w:ilvl w:val="0"/>
          <w:numId w:val="434"/>
        </w:numPr>
        <w:tabs>
          <w:tab w:pos="772" w:val="left" w:leader="none"/>
        </w:tabs>
        <w:spacing w:line="225" w:lineRule="auto" w:before="2" w:after="0"/>
        <w:ind w:left="113" w:right="135" w:firstLine="204"/>
        <w:jc w:val="both"/>
        <w:rPr>
          <w:sz w:val="24"/>
        </w:rPr>
      </w:pPr>
      <w:r>
        <w:rPr>
          <w:w w:val="130"/>
          <w:sz w:val="24"/>
        </w:rPr>
        <w:t>akadályozza a Felügyeletet vagy a könyvvizsgálót tevékenységének végzésében,</w:t>
      </w:r>
    </w:p>
    <w:p>
      <w:pPr>
        <w:pStyle w:val="ListParagraph"/>
        <w:numPr>
          <w:ilvl w:val="0"/>
          <w:numId w:val="434"/>
        </w:numPr>
        <w:tabs>
          <w:tab w:pos="796" w:val="left" w:leader="none"/>
        </w:tabs>
        <w:spacing w:line="225" w:lineRule="auto" w:before="1" w:after="0"/>
        <w:ind w:left="113" w:right="130" w:firstLine="204"/>
        <w:jc w:val="both"/>
        <w:rPr>
          <w:sz w:val="24"/>
        </w:rPr>
      </w:pPr>
      <w:r>
        <w:rPr>
          <w:w w:val="125"/>
          <w:sz w:val="24"/>
        </w:rPr>
        <w:t>az előírt szabályzatok, nyilvántartások, informatikai és ellenőrzési rendszerek nélkül</w:t>
      </w:r>
      <w:r>
        <w:rPr>
          <w:spacing w:val="2"/>
          <w:w w:val="125"/>
          <w:sz w:val="24"/>
        </w:rPr>
        <w:t> </w:t>
      </w:r>
      <w:r>
        <w:rPr>
          <w:w w:val="125"/>
          <w:sz w:val="24"/>
        </w:rPr>
        <w:t>működik,</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1544;mso-wrap-distance-left:0;mso-wrap-distance-right:0" from="56.693001pt,8.203367pt" to="538.583001pt,8.203367pt" stroked="true" strokeweight=".5pt" strokecolor="#000000">
            <v:stroke dashstyle="solid"/>
            <w10:wrap type="topAndBottom"/>
          </v:line>
        </w:pict>
      </w:r>
    </w:p>
    <w:p>
      <w:pPr>
        <w:pStyle w:val="ListParagraph"/>
        <w:numPr>
          <w:ilvl w:val="0"/>
          <w:numId w:val="435"/>
        </w:numPr>
        <w:tabs>
          <w:tab w:pos="686" w:val="left" w:leader="none"/>
          <w:tab w:pos="687" w:val="left" w:leader="none"/>
        </w:tabs>
        <w:spacing w:line="240" w:lineRule="auto" w:before="44" w:after="0"/>
        <w:ind w:left="686" w:right="0" w:hanging="344"/>
        <w:jc w:val="left"/>
        <w:rPr>
          <w:i/>
          <w:sz w:val="18"/>
        </w:rPr>
      </w:pPr>
      <w:r>
        <w:rPr>
          <w:i/>
          <w:w w:val="125"/>
          <w:sz w:val="18"/>
        </w:rPr>
        <w:t>Módosította: 2017. évi LXIX. törvény 178. §</w:t>
      </w:r>
      <w:r>
        <w:rPr>
          <w:i/>
          <w:spacing w:val="-4"/>
          <w:w w:val="125"/>
          <w:sz w:val="18"/>
        </w:rPr>
        <w:t> </w:t>
      </w:r>
      <w:r>
        <w:rPr>
          <w:i/>
          <w:w w:val="125"/>
          <w:sz w:val="18"/>
        </w:rPr>
        <w:t>c).</w:t>
      </w:r>
    </w:p>
    <w:p>
      <w:pPr>
        <w:spacing w:after="0" w:line="240" w:lineRule="auto"/>
        <w:jc w:val="left"/>
        <w:rPr>
          <w:sz w:val="18"/>
        </w:rPr>
        <w:sectPr>
          <w:pgSz w:w="11900" w:h="16820"/>
          <w:pgMar w:header="1104" w:footer="0" w:top="1840" w:bottom="280" w:left="1020" w:right="1000"/>
        </w:sectPr>
      </w:pPr>
    </w:p>
    <w:p>
      <w:pPr>
        <w:pStyle w:val="BodyText"/>
        <w:spacing w:line="225" w:lineRule="auto" w:before="173"/>
      </w:pPr>
      <w:r>
        <w:rPr>
          <w:i/>
          <w:w w:val="125"/>
        </w:rPr>
        <w:t>i) </w:t>
      </w:r>
      <w:r>
        <w:rPr>
          <w:w w:val="125"/>
        </w:rPr>
        <w:t>az előírásoknak való meg nem felelés miatt a vele szemben alkalmazott felügyeleti intézkedésben foglaltakat nem teljesíti,</w:t>
      </w:r>
    </w:p>
    <w:p>
      <w:pPr>
        <w:pStyle w:val="ListParagraph"/>
        <w:numPr>
          <w:ilvl w:val="0"/>
          <w:numId w:val="436"/>
        </w:numPr>
        <w:tabs>
          <w:tab w:pos="487" w:val="left" w:leader="none"/>
        </w:tabs>
        <w:spacing w:line="249" w:lineRule="exact" w:before="0" w:after="0"/>
        <w:ind w:left="486" w:right="0" w:hanging="169"/>
        <w:jc w:val="left"/>
        <w:rPr>
          <w:sz w:val="24"/>
        </w:rPr>
      </w:pPr>
      <w:r>
        <w:rPr>
          <w:i/>
          <w:w w:val="125"/>
          <w:position w:val="3"/>
          <w:sz w:val="18"/>
        </w:rPr>
        <w:t>1</w:t>
      </w:r>
      <w:r>
        <w:rPr>
          <w:i/>
          <w:spacing w:val="21"/>
          <w:w w:val="125"/>
          <w:position w:val="3"/>
          <w:sz w:val="18"/>
        </w:rPr>
        <w:t> </w:t>
      </w:r>
      <w:r>
        <w:rPr>
          <w:w w:val="125"/>
          <w:sz w:val="24"/>
        </w:rPr>
        <w:t>az</w:t>
      </w:r>
      <w:r>
        <w:rPr>
          <w:spacing w:val="49"/>
          <w:w w:val="125"/>
          <w:sz w:val="24"/>
        </w:rPr>
        <w:t> </w:t>
      </w:r>
      <w:r>
        <w:rPr>
          <w:w w:val="125"/>
          <w:sz w:val="24"/>
        </w:rPr>
        <w:t>(1)</w:t>
      </w:r>
      <w:r>
        <w:rPr>
          <w:spacing w:val="54"/>
          <w:w w:val="125"/>
          <w:sz w:val="24"/>
        </w:rPr>
        <w:t> </w:t>
      </w:r>
      <w:r>
        <w:rPr>
          <w:w w:val="125"/>
          <w:sz w:val="24"/>
        </w:rPr>
        <w:t>bekezdésben</w:t>
      </w:r>
      <w:r>
        <w:rPr>
          <w:spacing w:val="54"/>
          <w:w w:val="125"/>
          <w:sz w:val="24"/>
        </w:rPr>
        <w:t> </w:t>
      </w:r>
      <w:r>
        <w:rPr>
          <w:w w:val="125"/>
          <w:sz w:val="24"/>
        </w:rPr>
        <w:t>említett</w:t>
      </w:r>
      <w:r>
        <w:rPr>
          <w:spacing w:val="57"/>
          <w:w w:val="125"/>
          <w:sz w:val="24"/>
        </w:rPr>
        <w:t> </w:t>
      </w:r>
      <w:r>
        <w:rPr>
          <w:w w:val="125"/>
          <w:sz w:val="24"/>
        </w:rPr>
        <w:t>előírásokat</w:t>
      </w:r>
      <w:r>
        <w:rPr>
          <w:spacing w:val="50"/>
          <w:w w:val="125"/>
          <w:sz w:val="24"/>
        </w:rPr>
        <w:t> </w:t>
      </w:r>
      <w:r>
        <w:rPr>
          <w:w w:val="125"/>
          <w:sz w:val="24"/>
        </w:rPr>
        <w:t>-</w:t>
      </w:r>
      <w:r>
        <w:rPr>
          <w:spacing w:val="53"/>
          <w:w w:val="125"/>
          <w:sz w:val="24"/>
        </w:rPr>
        <w:t> </w:t>
      </w:r>
      <w:r>
        <w:rPr>
          <w:w w:val="125"/>
          <w:sz w:val="24"/>
        </w:rPr>
        <w:t>a</w:t>
      </w:r>
      <w:r>
        <w:rPr>
          <w:spacing w:val="54"/>
          <w:w w:val="125"/>
          <w:sz w:val="24"/>
        </w:rPr>
        <w:t> </w:t>
      </w:r>
      <w:r>
        <w:rPr>
          <w:w w:val="125"/>
          <w:sz w:val="24"/>
        </w:rPr>
        <w:t>Felügyelet</w:t>
      </w:r>
      <w:r>
        <w:rPr>
          <w:spacing w:val="54"/>
          <w:w w:val="125"/>
          <w:sz w:val="24"/>
        </w:rPr>
        <w:t> </w:t>
      </w:r>
      <w:r>
        <w:rPr>
          <w:w w:val="125"/>
          <w:sz w:val="24"/>
        </w:rPr>
        <w:t>által</w:t>
      </w:r>
      <w:r>
        <w:rPr>
          <w:spacing w:val="53"/>
          <w:w w:val="125"/>
          <w:sz w:val="24"/>
        </w:rPr>
        <w:t> </w:t>
      </w:r>
      <w:r>
        <w:rPr>
          <w:w w:val="125"/>
          <w:sz w:val="24"/>
        </w:rPr>
        <w:t>alkalmazott</w:t>
      </w:r>
    </w:p>
    <w:p>
      <w:pPr>
        <w:pStyle w:val="BodyText"/>
        <w:spacing w:line="225" w:lineRule="auto" w:before="12"/>
        <w:ind w:firstLine="0"/>
      </w:pPr>
      <w:r>
        <w:rPr>
          <w:w w:val="125"/>
        </w:rPr>
        <w:t>intézkedést vagy bírságot megállapító határozat jogerőre emelkedését vagy véglegessé válását követő két éven belül - ismételten megsérti,</w:t>
      </w:r>
    </w:p>
    <w:p>
      <w:pPr>
        <w:pStyle w:val="ListParagraph"/>
        <w:numPr>
          <w:ilvl w:val="0"/>
          <w:numId w:val="436"/>
        </w:numPr>
        <w:tabs>
          <w:tab w:pos="668" w:val="left" w:leader="none"/>
        </w:tabs>
        <w:spacing w:line="225" w:lineRule="auto" w:before="1" w:after="0"/>
        <w:ind w:left="113" w:right="125" w:firstLine="204"/>
        <w:jc w:val="both"/>
        <w:rPr>
          <w:sz w:val="24"/>
        </w:rPr>
      </w:pPr>
      <w:r>
        <w:rPr>
          <w:w w:val="130"/>
          <w:sz w:val="24"/>
        </w:rPr>
        <w:t>ha a hitelintézet nem tartja be az azonnali fizetőképességre, a likviditás minimális szintjére vagy a források és az eszközök lejárati összhangjának biztosítására vonatkozó</w:t>
      </w:r>
      <w:r>
        <w:rPr>
          <w:spacing w:val="1"/>
          <w:w w:val="130"/>
          <w:sz w:val="24"/>
        </w:rPr>
        <w:t> </w:t>
      </w:r>
      <w:r>
        <w:rPr>
          <w:w w:val="130"/>
          <w:sz w:val="24"/>
        </w:rPr>
        <w:t>előírásokat.</w:t>
      </w:r>
    </w:p>
    <w:p>
      <w:pPr>
        <w:pStyle w:val="ListParagraph"/>
        <w:numPr>
          <w:ilvl w:val="0"/>
          <w:numId w:val="433"/>
        </w:numPr>
        <w:tabs>
          <w:tab w:pos="859" w:val="left" w:leader="none"/>
        </w:tabs>
        <w:spacing w:line="225" w:lineRule="auto" w:before="2" w:after="0"/>
        <w:ind w:left="113" w:right="132" w:firstLine="204"/>
        <w:jc w:val="both"/>
        <w:rPr>
          <w:sz w:val="24"/>
        </w:rPr>
      </w:pPr>
      <w:r>
        <w:rPr>
          <w:w w:val="130"/>
          <w:sz w:val="24"/>
        </w:rPr>
        <w:t>A Felügyelet e törvény, továbbá a prudens működésre vonatkozó jogszabályok,</w:t>
      </w:r>
      <w:r>
        <w:rPr>
          <w:spacing w:val="-24"/>
          <w:w w:val="130"/>
          <w:sz w:val="24"/>
        </w:rPr>
        <w:t> </w:t>
      </w:r>
      <w:r>
        <w:rPr>
          <w:w w:val="130"/>
          <w:sz w:val="24"/>
        </w:rPr>
        <w:t>valamint</w:t>
      </w:r>
      <w:r>
        <w:rPr>
          <w:spacing w:val="-24"/>
          <w:w w:val="130"/>
          <w:sz w:val="24"/>
        </w:rPr>
        <w:t> </w:t>
      </w:r>
      <w:r>
        <w:rPr>
          <w:w w:val="130"/>
          <w:sz w:val="24"/>
        </w:rPr>
        <w:t>a</w:t>
      </w:r>
      <w:r>
        <w:rPr>
          <w:spacing w:val="-25"/>
          <w:w w:val="130"/>
          <w:sz w:val="24"/>
        </w:rPr>
        <w:t> </w:t>
      </w:r>
      <w:r>
        <w:rPr>
          <w:w w:val="130"/>
          <w:sz w:val="24"/>
        </w:rPr>
        <w:t>tevékenységére</w:t>
      </w:r>
      <w:r>
        <w:rPr>
          <w:spacing w:val="-24"/>
          <w:w w:val="130"/>
          <w:sz w:val="24"/>
        </w:rPr>
        <w:t> </w:t>
      </w:r>
      <w:r>
        <w:rPr>
          <w:w w:val="130"/>
          <w:sz w:val="24"/>
        </w:rPr>
        <w:t>vonatkozó</w:t>
      </w:r>
      <w:r>
        <w:rPr>
          <w:spacing w:val="-24"/>
          <w:w w:val="130"/>
          <w:sz w:val="24"/>
        </w:rPr>
        <w:t> </w:t>
      </w:r>
      <w:r>
        <w:rPr>
          <w:w w:val="130"/>
          <w:sz w:val="24"/>
        </w:rPr>
        <w:t>egyéb</w:t>
      </w:r>
      <w:r>
        <w:rPr>
          <w:spacing w:val="-24"/>
          <w:w w:val="130"/>
          <w:sz w:val="24"/>
        </w:rPr>
        <w:t> </w:t>
      </w:r>
      <w:r>
        <w:rPr>
          <w:w w:val="130"/>
          <w:sz w:val="24"/>
        </w:rPr>
        <w:t>előírásainak</w:t>
      </w:r>
      <w:r>
        <w:rPr>
          <w:spacing w:val="-24"/>
          <w:w w:val="130"/>
          <w:sz w:val="24"/>
        </w:rPr>
        <w:t> </w:t>
      </w:r>
      <w:r>
        <w:rPr>
          <w:w w:val="130"/>
          <w:sz w:val="24"/>
        </w:rPr>
        <w:t>súlyos megsértése esetén megteszi a szükséges intézkedéseket, vagy kivételes intézkedéseket, ha a pénzügyi</w:t>
      </w:r>
      <w:r>
        <w:rPr>
          <w:spacing w:val="-18"/>
          <w:w w:val="130"/>
          <w:sz w:val="24"/>
        </w:rPr>
        <w:t> </w:t>
      </w:r>
      <w:r>
        <w:rPr>
          <w:w w:val="130"/>
          <w:sz w:val="24"/>
        </w:rPr>
        <w:t>intézmény,</w:t>
      </w:r>
    </w:p>
    <w:p>
      <w:pPr>
        <w:pStyle w:val="ListParagraph"/>
        <w:numPr>
          <w:ilvl w:val="0"/>
          <w:numId w:val="437"/>
        </w:numPr>
        <w:tabs>
          <w:tab w:pos="656" w:val="left" w:leader="none"/>
        </w:tabs>
        <w:spacing w:line="225" w:lineRule="auto" w:before="2" w:after="0"/>
        <w:ind w:left="113" w:right="128" w:firstLine="204"/>
        <w:jc w:val="both"/>
        <w:rPr>
          <w:sz w:val="24"/>
        </w:rPr>
      </w:pPr>
      <w:r>
        <w:rPr>
          <w:w w:val="125"/>
          <w:sz w:val="24"/>
        </w:rPr>
        <w:t>szavatoló tőkéje nem éri el hitelintézet esetében a 79. § (2) bekezdésben rögzített tőkekövetelmény nyolcvan</w:t>
      </w:r>
      <w:r>
        <w:rPr>
          <w:spacing w:val="3"/>
          <w:w w:val="125"/>
          <w:sz w:val="24"/>
        </w:rPr>
        <w:t> </w:t>
      </w:r>
      <w:r>
        <w:rPr>
          <w:w w:val="125"/>
          <w:sz w:val="24"/>
        </w:rPr>
        <w:t>százalékát,</w:t>
      </w:r>
    </w:p>
    <w:p>
      <w:pPr>
        <w:pStyle w:val="ListParagraph"/>
        <w:numPr>
          <w:ilvl w:val="0"/>
          <w:numId w:val="437"/>
        </w:numPr>
        <w:tabs>
          <w:tab w:pos="687" w:val="left" w:leader="none"/>
        </w:tabs>
        <w:spacing w:line="225" w:lineRule="auto" w:before="1" w:after="0"/>
        <w:ind w:left="113" w:right="125" w:firstLine="204"/>
        <w:jc w:val="both"/>
        <w:rPr>
          <w:sz w:val="24"/>
        </w:rPr>
      </w:pPr>
      <w:r>
        <w:rPr>
          <w:w w:val="125"/>
          <w:sz w:val="24"/>
        </w:rPr>
        <w:t>osztalékot kíván fizetni vagy fizet olyan helyzetben, ha szavatoló tőkéje nem éri el a 79. § (2) bekezdésben rögzített tőkekövetelmény nyolcvan százalékát,</w:t>
      </w:r>
    </w:p>
    <w:p>
      <w:pPr>
        <w:pStyle w:val="ListParagraph"/>
        <w:numPr>
          <w:ilvl w:val="0"/>
          <w:numId w:val="437"/>
        </w:numPr>
        <w:tabs>
          <w:tab w:pos="745" w:val="left" w:leader="none"/>
        </w:tabs>
        <w:spacing w:line="225" w:lineRule="auto" w:before="2" w:after="0"/>
        <w:ind w:left="113" w:right="127" w:firstLine="204"/>
        <w:jc w:val="both"/>
        <w:rPr>
          <w:sz w:val="24"/>
        </w:rPr>
      </w:pPr>
      <w:r>
        <w:rPr>
          <w:w w:val="130"/>
          <w:sz w:val="24"/>
        </w:rPr>
        <w:t>nem tesz eleget céltartalék-képzési, illetve értékvesztés elszámolási kötelezettségének, vagy nem rendelkezik elégséges céltartalékkal, illetve elszámolt értékvesztéssel, azaz mérlegen kívüli tételeit és eszközeit nem megfelelően értékelte és emiatt az el nem számolt céltartalékképzés, illetve értékvesztés összegével csökkentett szavatoló tőke következtében, ha szavatoló</w:t>
      </w:r>
      <w:r>
        <w:rPr>
          <w:spacing w:val="-12"/>
          <w:w w:val="130"/>
          <w:sz w:val="24"/>
        </w:rPr>
        <w:t> </w:t>
      </w:r>
      <w:r>
        <w:rPr>
          <w:w w:val="130"/>
          <w:sz w:val="24"/>
        </w:rPr>
        <w:t>tőkéje</w:t>
      </w:r>
      <w:r>
        <w:rPr>
          <w:spacing w:val="-11"/>
          <w:w w:val="130"/>
          <w:sz w:val="24"/>
        </w:rPr>
        <w:t> </w:t>
      </w:r>
      <w:r>
        <w:rPr>
          <w:w w:val="130"/>
          <w:sz w:val="24"/>
        </w:rPr>
        <w:t>nem</w:t>
      </w:r>
      <w:r>
        <w:rPr>
          <w:spacing w:val="-11"/>
          <w:w w:val="130"/>
          <w:sz w:val="24"/>
        </w:rPr>
        <w:t> </w:t>
      </w:r>
      <w:r>
        <w:rPr>
          <w:w w:val="130"/>
          <w:sz w:val="24"/>
        </w:rPr>
        <w:t>éri</w:t>
      </w:r>
      <w:r>
        <w:rPr>
          <w:spacing w:val="-11"/>
          <w:w w:val="130"/>
          <w:sz w:val="24"/>
        </w:rPr>
        <w:t> </w:t>
      </w:r>
      <w:r>
        <w:rPr>
          <w:w w:val="130"/>
          <w:sz w:val="24"/>
        </w:rPr>
        <w:t>el</w:t>
      </w:r>
      <w:r>
        <w:rPr>
          <w:spacing w:val="-11"/>
          <w:w w:val="130"/>
          <w:sz w:val="24"/>
        </w:rPr>
        <w:t> </w:t>
      </w:r>
      <w:r>
        <w:rPr>
          <w:w w:val="130"/>
          <w:sz w:val="24"/>
        </w:rPr>
        <w:t>a</w:t>
      </w:r>
      <w:r>
        <w:rPr>
          <w:spacing w:val="-11"/>
          <w:w w:val="130"/>
          <w:sz w:val="24"/>
        </w:rPr>
        <w:t> </w:t>
      </w:r>
      <w:r>
        <w:rPr>
          <w:w w:val="130"/>
          <w:sz w:val="24"/>
        </w:rPr>
        <w:t>79.</w:t>
      </w:r>
      <w:r>
        <w:rPr>
          <w:spacing w:val="-11"/>
          <w:w w:val="130"/>
          <w:sz w:val="24"/>
        </w:rPr>
        <w:t> </w:t>
      </w:r>
      <w:r>
        <w:rPr>
          <w:w w:val="130"/>
          <w:sz w:val="24"/>
        </w:rPr>
        <w:t>§</w:t>
      </w:r>
      <w:r>
        <w:rPr>
          <w:spacing w:val="-12"/>
          <w:w w:val="130"/>
          <w:sz w:val="24"/>
        </w:rPr>
        <w:t> </w:t>
      </w:r>
      <w:r>
        <w:rPr>
          <w:w w:val="130"/>
          <w:sz w:val="24"/>
        </w:rPr>
        <w:t>(2)</w:t>
      </w:r>
      <w:r>
        <w:rPr>
          <w:spacing w:val="-11"/>
          <w:w w:val="130"/>
          <w:sz w:val="24"/>
        </w:rPr>
        <w:t> </w:t>
      </w:r>
      <w:r>
        <w:rPr>
          <w:w w:val="130"/>
          <w:sz w:val="24"/>
        </w:rPr>
        <w:t>bekezdésben</w:t>
      </w:r>
      <w:r>
        <w:rPr>
          <w:spacing w:val="-11"/>
          <w:w w:val="130"/>
          <w:sz w:val="24"/>
        </w:rPr>
        <w:t> </w:t>
      </w:r>
      <w:r>
        <w:rPr>
          <w:w w:val="130"/>
          <w:sz w:val="24"/>
        </w:rPr>
        <w:t>rögzített</w:t>
      </w:r>
      <w:r>
        <w:rPr>
          <w:spacing w:val="-11"/>
          <w:w w:val="130"/>
          <w:sz w:val="24"/>
        </w:rPr>
        <w:t> </w:t>
      </w:r>
      <w:r>
        <w:rPr>
          <w:w w:val="130"/>
          <w:sz w:val="24"/>
        </w:rPr>
        <w:t>tőkekövetelmény nyolcvan</w:t>
      </w:r>
      <w:r>
        <w:rPr>
          <w:spacing w:val="-4"/>
          <w:w w:val="130"/>
          <w:sz w:val="24"/>
        </w:rPr>
        <w:t> </w:t>
      </w:r>
      <w:r>
        <w:rPr>
          <w:w w:val="130"/>
          <w:sz w:val="24"/>
        </w:rPr>
        <w:t>százalékát,</w:t>
      </w:r>
    </w:p>
    <w:p>
      <w:pPr>
        <w:pStyle w:val="ListParagraph"/>
        <w:numPr>
          <w:ilvl w:val="0"/>
          <w:numId w:val="437"/>
        </w:numPr>
        <w:tabs>
          <w:tab w:pos="753" w:val="left" w:leader="none"/>
        </w:tabs>
        <w:spacing w:line="225" w:lineRule="auto" w:before="4" w:after="0"/>
        <w:ind w:left="113" w:right="129" w:firstLine="204"/>
        <w:jc w:val="both"/>
        <w:rPr>
          <w:sz w:val="24"/>
        </w:rPr>
      </w:pPr>
      <w:r>
        <w:rPr>
          <w:w w:val="125"/>
          <w:sz w:val="24"/>
        </w:rPr>
        <w:t>az azonnali fizetőképesség vagy a források és az eszközök lejárati összhangjának biztosítására vonatkozó előírások be nem tartásával a  hitelintézet likviditásának fenntartását súlyosan</w:t>
      </w:r>
      <w:r>
        <w:rPr>
          <w:spacing w:val="17"/>
          <w:w w:val="125"/>
          <w:sz w:val="24"/>
        </w:rPr>
        <w:t> </w:t>
      </w:r>
      <w:r>
        <w:rPr>
          <w:w w:val="125"/>
          <w:sz w:val="24"/>
        </w:rPr>
        <w:t>veszélyezteti,</w:t>
      </w:r>
    </w:p>
    <w:p>
      <w:pPr>
        <w:pStyle w:val="ListParagraph"/>
        <w:numPr>
          <w:ilvl w:val="0"/>
          <w:numId w:val="437"/>
        </w:numPr>
        <w:tabs>
          <w:tab w:pos="695" w:val="left" w:leader="none"/>
        </w:tabs>
        <w:spacing w:line="225" w:lineRule="auto" w:before="2" w:after="0"/>
        <w:ind w:left="113" w:right="127" w:firstLine="204"/>
        <w:jc w:val="both"/>
        <w:rPr>
          <w:sz w:val="24"/>
        </w:rPr>
      </w:pPr>
      <w:r>
        <w:rPr>
          <w:w w:val="130"/>
          <w:sz w:val="24"/>
        </w:rPr>
        <w:t>a kockázatvállalásra vonatkozó szabályokat rendszeresen vagy jelentős mértékben megsérti, és ezzel a hitelintézet likviditását, fizetőképességét (szolvenciáját)</w:t>
      </w:r>
      <w:r>
        <w:rPr>
          <w:spacing w:val="-24"/>
          <w:w w:val="130"/>
          <w:sz w:val="24"/>
        </w:rPr>
        <w:t> </w:t>
      </w:r>
      <w:r>
        <w:rPr>
          <w:w w:val="130"/>
          <w:sz w:val="24"/>
        </w:rPr>
        <w:t>vagy</w:t>
      </w:r>
      <w:r>
        <w:rPr>
          <w:spacing w:val="-25"/>
          <w:w w:val="130"/>
          <w:sz w:val="24"/>
        </w:rPr>
        <w:t> </w:t>
      </w:r>
      <w:r>
        <w:rPr>
          <w:w w:val="130"/>
          <w:sz w:val="24"/>
        </w:rPr>
        <w:t>jövedelemtermelő</w:t>
      </w:r>
      <w:r>
        <w:rPr>
          <w:spacing w:val="-23"/>
          <w:w w:val="130"/>
          <w:sz w:val="24"/>
        </w:rPr>
        <w:t> </w:t>
      </w:r>
      <w:r>
        <w:rPr>
          <w:w w:val="130"/>
          <w:sz w:val="24"/>
        </w:rPr>
        <w:t>képességét</w:t>
      </w:r>
      <w:r>
        <w:rPr>
          <w:spacing w:val="-25"/>
          <w:w w:val="130"/>
          <w:sz w:val="24"/>
        </w:rPr>
        <w:t> </w:t>
      </w:r>
      <w:r>
        <w:rPr>
          <w:w w:val="130"/>
          <w:sz w:val="24"/>
        </w:rPr>
        <w:t>súlyosan</w:t>
      </w:r>
      <w:r>
        <w:rPr>
          <w:spacing w:val="-23"/>
          <w:w w:val="130"/>
          <w:sz w:val="24"/>
        </w:rPr>
        <w:t> </w:t>
      </w:r>
      <w:r>
        <w:rPr>
          <w:w w:val="130"/>
          <w:sz w:val="24"/>
        </w:rPr>
        <w:t>veszélyezteti,</w:t>
      </w:r>
    </w:p>
    <w:p>
      <w:pPr>
        <w:pStyle w:val="ListParagraph"/>
        <w:numPr>
          <w:ilvl w:val="0"/>
          <w:numId w:val="437"/>
        </w:numPr>
        <w:tabs>
          <w:tab w:pos="665" w:val="left" w:leader="none"/>
        </w:tabs>
        <w:spacing w:line="225" w:lineRule="auto" w:before="2" w:after="0"/>
        <w:ind w:left="113" w:right="130" w:firstLine="204"/>
        <w:jc w:val="both"/>
        <w:rPr>
          <w:sz w:val="24"/>
        </w:rPr>
      </w:pPr>
      <w:r>
        <w:rPr>
          <w:w w:val="130"/>
          <w:sz w:val="24"/>
        </w:rPr>
        <w:t>jogszabály által tiltott vagy részére nem engedélyezett tevékenységet folytat</w:t>
      </w:r>
      <w:r>
        <w:rPr>
          <w:spacing w:val="-3"/>
          <w:w w:val="130"/>
          <w:sz w:val="24"/>
        </w:rPr>
        <w:t> </w:t>
      </w:r>
      <w:r>
        <w:rPr>
          <w:w w:val="130"/>
          <w:sz w:val="24"/>
        </w:rPr>
        <w:t>rendszeresen,</w:t>
      </w:r>
    </w:p>
    <w:p>
      <w:pPr>
        <w:pStyle w:val="ListParagraph"/>
        <w:numPr>
          <w:ilvl w:val="0"/>
          <w:numId w:val="437"/>
        </w:numPr>
        <w:tabs>
          <w:tab w:pos="732" w:val="left" w:leader="none"/>
        </w:tabs>
        <w:spacing w:line="225" w:lineRule="auto" w:before="1" w:after="0"/>
        <w:ind w:left="113" w:right="130" w:firstLine="204"/>
        <w:jc w:val="both"/>
        <w:rPr>
          <w:sz w:val="24"/>
        </w:rPr>
      </w:pPr>
      <w:r>
        <w:rPr>
          <w:w w:val="130"/>
          <w:sz w:val="24"/>
        </w:rPr>
        <w:t>működése során nem tud megfelelni az e törvényben meghatározott engedélyezési</w:t>
      </w:r>
      <w:r>
        <w:rPr>
          <w:spacing w:val="-5"/>
          <w:w w:val="130"/>
          <w:sz w:val="24"/>
        </w:rPr>
        <w:t> </w:t>
      </w:r>
      <w:r>
        <w:rPr>
          <w:w w:val="130"/>
          <w:sz w:val="24"/>
        </w:rPr>
        <w:t>feltételeknek,</w:t>
      </w:r>
    </w:p>
    <w:p>
      <w:pPr>
        <w:pStyle w:val="ListParagraph"/>
        <w:numPr>
          <w:ilvl w:val="0"/>
          <w:numId w:val="437"/>
        </w:numPr>
        <w:tabs>
          <w:tab w:pos="778" w:val="left" w:leader="none"/>
        </w:tabs>
        <w:spacing w:line="225" w:lineRule="auto" w:before="1" w:after="0"/>
        <w:ind w:left="113" w:right="126" w:firstLine="204"/>
        <w:jc w:val="both"/>
        <w:rPr>
          <w:sz w:val="24"/>
        </w:rPr>
      </w:pPr>
      <w:r>
        <w:rPr>
          <w:w w:val="130"/>
          <w:sz w:val="24"/>
        </w:rPr>
        <w:t>a szükséges számviteli, vezetői információs vagy belső ellenőrzési rendszer</w:t>
      </w:r>
      <w:r>
        <w:rPr>
          <w:spacing w:val="-8"/>
          <w:w w:val="130"/>
          <w:sz w:val="24"/>
        </w:rPr>
        <w:t> </w:t>
      </w:r>
      <w:r>
        <w:rPr>
          <w:w w:val="130"/>
          <w:sz w:val="24"/>
        </w:rPr>
        <w:t>nélkül</w:t>
      </w:r>
      <w:r>
        <w:rPr>
          <w:spacing w:val="-7"/>
          <w:w w:val="130"/>
          <w:sz w:val="24"/>
        </w:rPr>
        <w:t> </w:t>
      </w:r>
      <w:r>
        <w:rPr>
          <w:w w:val="130"/>
          <w:sz w:val="24"/>
        </w:rPr>
        <w:t>működik</w:t>
      </w:r>
      <w:r>
        <w:rPr>
          <w:spacing w:val="-7"/>
          <w:w w:val="130"/>
          <w:sz w:val="24"/>
        </w:rPr>
        <w:t> </w:t>
      </w:r>
      <w:r>
        <w:rPr>
          <w:w w:val="130"/>
          <w:sz w:val="24"/>
        </w:rPr>
        <w:t>vagy</w:t>
      </w:r>
      <w:r>
        <w:rPr>
          <w:spacing w:val="-7"/>
          <w:w w:val="130"/>
          <w:sz w:val="24"/>
        </w:rPr>
        <w:t> </w:t>
      </w:r>
      <w:r>
        <w:rPr>
          <w:w w:val="130"/>
          <w:sz w:val="24"/>
        </w:rPr>
        <w:t>e</w:t>
      </w:r>
      <w:r>
        <w:rPr>
          <w:spacing w:val="-7"/>
          <w:w w:val="130"/>
          <w:sz w:val="24"/>
        </w:rPr>
        <w:t> </w:t>
      </w:r>
      <w:r>
        <w:rPr>
          <w:w w:val="130"/>
          <w:sz w:val="24"/>
        </w:rPr>
        <w:t>rendszerek</w:t>
      </w:r>
      <w:r>
        <w:rPr>
          <w:spacing w:val="-7"/>
          <w:w w:val="130"/>
          <w:sz w:val="24"/>
        </w:rPr>
        <w:t> </w:t>
      </w:r>
      <w:r>
        <w:rPr>
          <w:w w:val="130"/>
          <w:sz w:val="24"/>
        </w:rPr>
        <w:t>nem</w:t>
      </w:r>
      <w:r>
        <w:rPr>
          <w:spacing w:val="-7"/>
          <w:w w:val="130"/>
          <w:sz w:val="24"/>
        </w:rPr>
        <w:t> </w:t>
      </w:r>
      <w:r>
        <w:rPr>
          <w:w w:val="130"/>
          <w:sz w:val="24"/>
        </w:rPr>
        <w:t>teszik</w:t>
      </w:r>
      <w:r>
        <w:rPr>
          <w:spacing w:val="-7"/>
          <w:w w:val="130"/>
          <w:sz w:val="24"/>
        </w:rPr>
        <w:t> </w:t>
      </w:r>
      <w:r>
        <w:rPr>
          <w:w w:val="130"/>
          <w:sz w:val="24"/>
        </w:rPr>
        <w:t>lehetővé</w:t>
      </w:r>
      <w:r>
        <w:rPr>
          <w:spacing w:val="-7"/>
          <w:w w:val="130"/>
          <w:sz w:val="24"/>
        </w:rPr>
        <w:t> </w:t>
      </w:r>
      <w:r>
        <w:rPr>
          <w:w w:val="130"/>
          <w:sz w:val="24"/>
        </w:rPr>
        <w:t>a</w:t>
      </w:r>
      <w:r>
        <w:rPr>
          <w:spacing w:val="-7"/>
          <w:w w:val="130"/>
          <w:sz w:val="24"/>
        </w:rPr>
        <w:t> </w:t>
      </w:r>
      <w:r>
        <w:rPr>
          <w:w w:val="130"/>
          <w:sz w:val="24"/>
        </w:rPr>
        <w:t>hitelintézet tényleges pénzügyi helyzetének</w:t>
      </w:r>
      <w:r>
        <w:rPr>
          <w:spacing w:val="-15"/>
          <w:w w:val="130"/>
          <w:sz w:val="24"/>
        </w:rPr>
        <w:t> </w:t>
      </w:r>
      <w:r>
        <w:rPr>
          <w:w w:val="130"/>
          <w:sz w:val="24"/>
        </w:rPr>
        <w:t>megállapítását,</w:t>
      </w:r>
    </w:p>
    <w:p>
      <w:pPr>
        <w:pStyle w:val="ListParagraph"/>
        <w:numPr>
          <w:ilvl w:val="0"/>
          <w:numId w:val="437"/>
        </w:numPr>
        <w:tabs>
          <w:tab w:pos="637" w:val="left" w:leader="none"/>
        </w:tabs>
        <w:spacing w:line="225" w:lineRule="auto" w:before="2" w:after="0"/>
        <w:ind w:left="113" w:right="129" w:firstLine="204"/>
        <w:jc w:val="both"/>
        <w:rPr>
          <w:sz w:val="24"/>
        </w:rPr>
      </w:pPr>
      <w:r>
        <w:rPr>
          <w:w w:val="130"/>
          <w:sz w:val="24"/>
        </w:rPr>
        <w:t>forrásgyűjtési tevékenysége során a piaci kamat mértékétől jelentősen</w:t>
      </w:r>
      <w:r>
        <w:rPr>
          <w:spacing w:val="78"/>
          <w:w w:val="130"/>
          <w:sz w:val="24"/>
        </w:rPr>
        <w:t> </w:t>
      </w:r>
      <w:r>
        <w:rPr>
          <w:w w:val="130"/>
          <w:sz w:val="24"/>
        </w:rPr>
        <w:t>eltérő kamatmértéket állapít meg, amely fokozott kockázatot jelent a hitelintézet, illetve a betétesek</w:t>
      </w:r>
      <w:r>
        <w:rPr>
          <w:spacing w:val="-13"/>
          <w:w w:val="130"/>
          <w:sz w:val="24"/>
        </w:rPr>
        <w:t> </w:t>
      </w:r>
      <w:r>
        <w:rPr>
          <w:w w:val="130"/>
          <w:sz w:val="24"/>
        </w:rPr>
        <w:t>számára,</w:t>
      </w:r>
    </w:p>
    <w:p>
      <w:pPr>
        <w:pStyle w:val="ListParagraph"/>
        <w:numPr>
          <w:ilvl w:val="0"/>
          <w:numId w:val="437"/>
        </w:numPr>
        <w:tabs>
          <w:tab w:pos="487" w:val="left" w:leader="none"/>
        </w:tabs>
        <w:spacing w:line="250" w:lineRule="exact" w:before="0" w:after="0"/>
        <w:ind w:left="486" w:right="0" w:hanging="169"/>
        <w:jc w:val="left"/>
        <w:rPr>
          <w:sz w:val="24"/>
        </w:rPr>
      </w:pPr>
      <w:r>
        <w:rPr>
          <w:i/>
          <w:w w:val="125"/>
          <w:position w:val="3"/>
          <w:sz w:val="18"/>
        </w:rPr>
        <w:t>2 </w:t>
      </w:r>
      <w:r>
        <w:rPr>
          <w:w w:val="125"/>
          <w:sz w:val="24"/>
        </w:rPr>
        <w:t>tiltott vagy színlelt szerződéseket köt vagyoni előny szerzése vagy</w:t>
      </w:r>
      <w:r>
        <w:rPr>
          <w:spacing w:val="24"/>
          <w:w w:val="125"/>
          <w:sz w:val="24"/>
        </w:rPr>
        <w:t> </w:t>
      </w:r>
      <w:r>
        <w:rPr>
          <w:w w:val="125"/>
          <w:sz w:val="24"/>
        </w:rPr>
        <w:t>az</w:t>
      </w:r>
    </w:p>
    <w:p>
      <w:pPr>
        <w:pStyle w:val="BodyText"/>
        <w:spacing w:line="267" w:lineRule="exact"/>
        <w:ind w:firstLine="0"/>
      </w:pPr>
      <w:r>
        <w:rPr>
          <w:w w:val="125"/>
        </w:rPr>
        <w:t>adózott eredmény, vagy a tőkekövetelmény módosítása céljából,</w:t>
      </w:r>
    </w:p>
    <w:p>
      <w:pPr>
        <w:pStyle w:val="ListParagraph"/>
        <w:numPr>
          <w:ilvl w:val="0"/>
          <w:numId w:val="437"/>
        </w:numPr>
        <w:tabs>
          <w:tab w:pos="829" w:val="left" w:leader="none"/>
        </w:tabs>
        <w:spacing w:line="225" w:lineRule="auto" w:before="5" w:after="0"/>
        <w:ind w:left="113" w:right="129" w:firstLine="204"/>
        <w:jc w:val="both"/>
        <w:rPr>
          <w:sz w:val="24"/>
        </w:rPr>
      </w:pPr>
      <w:r>
        <w:rPr>
          <w:w w:val="130"/>
          <w:sz w:val="24"/>
        </w:rPr>
        <w:t>könyvvizsgálója elmulasztja a Felügyelet, a pénzügyi intézmény igazgatóságának, illetve felügyelő bizottságának tájékoztatását a pénzügyi intézménynél tapasztalt súlyos jogszabálysértésekről, hiányosságokról és egyéb - a prudens működést veszélyeztető -</w:t>
      </w:r>
      <w:r>
        <w:rPr>
          <w:spacing w:val="-57"/>
          <w:w w:val="130"/>
          <w:sz w:val="24"/>
        </w:rPr>
        <w:t> </w:t>
      </w:r>
      <w:r>
        <w:rPr>
          <w:w w:val="130"/>
          <w:sz w:val="24"/>
        </w:rPr>
        <w:t>problémákról,</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1"/>
        <w:ind w:left="0" w:firstLine="0"/>
        <w:rPr>
          <w:sz w:val="20"/>
        </w:rPr>
      </w:pPr>
      <w:r>
        <w:rPr/>
        <w:pict>
          <v:line style="position:absolute;mso-position-horizontal-relative:page;mso-position-vertical-relative:paragraph;z-index:1568;mso-wrap-distance-left:0;mso-wrap-distance-right:0" from="56.693001pt,14.251028pt" to="538.583001pt,14.251028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d).</w:t>
      </w:r>
    </w:p>
    <w:p>
      <w:pPr>
        <w:pStyle w:val="ListParagraph"/>
        <w:numPr>
          <w:ilvl w:val="0"/>
          <w:numId w:val="435"/>
        </w:numPr>
        <w:tabs>
          <w:tab w:pos="686" w:val="left" w:leader="none"/>
          <w:tab w:pos="687" w:val="left" w:leader="none"/>
        </w:tabs>
        <w:spacing w:line="203" w:lineRule="exact" w:before="0" w:after="0"/>
        <w:ind w:left="686" w:right="0" w:hanging="344"/>
        <w:jc w:val="left"/>
        <w:rPr>
          <w:i/>
          <w:sz w:val="18"/>
        </w:rPr>
      </w:pPr>
      <w:r>
        <w:rPr>
          <w:i/>
          <w:w w:val="120"/>
          <w:sz w:val="18"/>
        </w:rPr>
        <w:t>Módosította:</w:t>
      </w:r>
      <w:r>
        <w:rPr>
          <w:i/>
          <w:spacing w:val="5"/>
          <w:w w:val="120"/>
          <w:sz w:val="18"/>
        </w:rPr>
        <w:t> </w:t>
      </w:r>
      <w:r>
        <w:rPr>
          <w:i/>
          <w:w w:val="120"/>
          <w:sz w:val="18"/>
        </w:rPr>
        <w:t>2015.</w:t>
      </w:r>
      <w:r>
        <w:rPr>
          <w:i/>
          <w:spacing w:val="5"/>
          <w:w w:val="120"/>
          <w:sz w:val="18"/>
        </w:rPr>
        <w:t> </w:t>
      </w:r>
      <w:r>
        <w:rPr>
          <w:i/>
          <w:w w:val="120"/>
          <w:sz w:val="18"/>
        </w:rPr>
        <w:t>évi</w:t>
      </w:r>
      <w:r>
        <w:rPr>
          <w:i/>
          <w:spacing w:val="5"/>
          <w:w w:val="120"/>
          <w:sz w:val="18"/>
        </w:rPr>
        <w:t> </w:t>
      </w:r>
      <w:r>
        <w:rPr>
          <w:i/>
          <w:w w:val="120"/>
          <w:sz w:val="18"/>
        </w:rPr>
        <w:t>CI.</w:t>
      </w:r>
      <w:r>
        <w:rPr>
          <w:i/>
          <w:spacing w:val="6"/>
          <w:w w:val="120"/>
          <w:sz w:val="18"/>
        </w:rPr>
        <w:t> </w:t>
      </w:r>
      <w:r>
        <w:rPr>
          <w:i/>
          <w:w w:val="120"/>
          <w:sz w:val="18"/>
        </w:rPr>
        <w:t>törvény</w:t>
      </w:r>
      <w:r>
        <w:rPr>
          <w:i/>
          <w:spacing w:val="5"/>
          <w:w w:val="120"/>
          <w:sz w:val="18"/>
        </w:rPr>
        <w:t> </w:t>
      </w:r>
      <w:r>
        <w:rPr>
          <w:i/>
          <w:w w:val="120"/>
          <w:sz w:val="18"/>
        </w:rPr>
        <w:t>54.</w:t>
      </w:r>
      <w:r>
        <w:rPr>
          <w:i/>
          <w:spacing w:val="5"/>
          <w:w w:val="120"/>
          <w:sz w:val="18"/>
        </w:rPr>
        <w:t> </w:t>
      </w:r>
      <w:r>
        <w:rPr>
          <w:i/>
          <w:w w:val="120"/>
          <w:sz w:val="18"/>
        </w:rPr>
        <w:t>§,</w:t>
      </w:r>
      <w:r>
        <w:rPr>
          <w:i/>
          <w:spacing w:val="6"/>
          <w:w w:val="120"/>
          <w:sz w:val="18"/>
        </w:rPr>
        <w:t> </w:t>
      </w:r>
      <w:r>
        <w:rPr>
          <w:i/>
          <w:w w:val="120"/>
          <w:sz w:val="18"/>
        </w:rPr>
        <w:t>2015.</w:t>
      </w:r>
      <w:r>
        <w:rPr>
          <w:i/>
          <w:spacing w:val="5"/>
          <w:w w:val="120"/>
          <w:sz w:val="18"/>
        </w:rPr>
        <w:t> </w:t>
      </w:r>
      <w:r>
        <w:rPr>
          <w:i/>
          <w:w w:val="120"/>
          <w:sz w:val="18"/>
        </w:rPr>
        <w:t>évi</w:t>
      </w:r>
      <w:r>
        <w:rPr>
          <w:i/>
          <w:spacing w:val="5"/>
          <w:w w:val="120"/>
          <w:sz w:val="18"/>
        </w:rPr>
        <w:t> </w:t>
      </w:r>
      <w:r>
        <w:rPr>
          <w:i/>
          <w:w w:val="120"/>
          <w:sz w:val="18"/>
        </w:rPr>
        <w:t>CLXXVIII.</w:t>
      </w:r>
      <w:r>
        <w:rPr>
          <w:i/>
          <w:spacing w:val="6"/>
          <w:w w:val="120"/>
          <w:sz w:val="18"/>
        </w:rPr>
        <w:t> </w:t>
      </w:r>
      <w:r>
        <w:rPr>
          <w:i/>
          <w:w w:val="120"/>
          <w:sz w:val="18"/>
        </w:rPr>
        <w:t>törvény</w:t>
      </w:r>
      <w:r>
        <w:rPr>
          <w:i/>
          <w:spacing w:val="5"/>
          <w:w w:val="120"/>
          <w:sz w:val="18"/>
        </w:rPr>
        <w:t> </w:t>
      </w:r>
      <w:r>
        <w:rPr>
          <w:i/>
          <w:w w:val="120"/>
          <w:sz w:val="18"/>
        </w:rPr>
        <w:t>43.</w:t>
      </w:r>
      <w:r>
        <w:rPr>
          <w:i/>
          <w:spacing w:val="5"/>
          <w:w w:val="120"/>
          <w:sz w:val="18"/>
        </w:rPr>
        <w:t> </w:t>
      </w:r>
      <w:r>
        <w:rPr>
          <w:i/>
          <w:w w:val="120"/>
          <w:sz w:val="18"/>
        </w:rPr>
        <w:t>§</w:t>
      </w:r>
      <w:r>
        <w:rPr>
          <w:i/>
          <w:spacing w:val="6"/>
          <w:w w:val="120"/>
          <w:sz w:val="18"/>
        </w:rPr>
        <w:t> </w:t>
      </w:r>
      <w:r>
        <w:rPr>
          <w:i/>
          <w:w w:val="120"/>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437"/>
        </w:numPr>
        <w:tabs>
          <w:tab w:pos="490" w:val="left" w:leader="none"/>
        </w:tabs>
        <w:spacing w:line="225" w:lineRule="auto" w:before="173" w:after="0"/>
        <w:ind w:left="113" w:right="115" w:firstLine="204"/>
        <w:jc w:val="both"/>
        <w:rPr>
          <w:sz w:val="24"/>
        </w:rPr>
      </w:pPr>
      <w:r>
        <w:rPr>
          <w:i/>
          <w:w w:val="130"/>
          <w:position w:val="3"/>
          <w:sz w:val="18"/>
        </w:rPr>
        <w:t>1</w:t>
      </w:r>
      <w:r>
        <w:rPr>
          <w:i/>
          <w:spacing w:val="8"/>
          <w:w w:val="130"/>
          <w:position w:val="3"/>
          <w:sz w:val="18"/>
        </w:rPr>
        <w:t> </w:t>
      </w:r>
      <w:r>
        <w:rPr>
          <w:w w:val="130"/>
          <w:sz w:val="24"/>
        </w:rPr>
        <w:t>az</w:t>
      </w:r>
      <w:r>
        <w:rPr>
          <w:spacing w:val="-11"/>
          <w:w w:val="130"/>
          <w:sz w:val="24"/>
        </w:rPr>
        <w:t> </w:t>
      </w:r>
      <w:r>
        <w:rPr>
          <w:w w:val="130"/>
          <w:sz w:val="24"/>
        </w:rPr>
        <w:t>(1)</w:t>
      </w:r>
      <w:r>
        <w:rPr>
          <w:spacing w:val="-10"/>
          <w:w w:val="130"/>
          <w:sz w:val="24"/>
        </w:rPr>
        <w:t> </w:t>
      </w:r>
      <w:r>
        <w:rPr>
          <w:w w:val="130"/>
          <w:sz w:val="24"/>
        </w:rPr>
        <w:t>bekezdésben</w:t>
      </w:r>
      <w:r>
        <w:rPr>
          <w:spacing w:val="-11"/>
          <w:w w:val="130"/>
          <w:sz w:val="24"/>
        </w:rPr>
        <w:t> </w:t>
      </w:r>
      <w:r>
        <w:rPr>
          <w:w w:val="130"/>
          <w:sz w:val="24"/>
        </w:rPr>
        <w:t>említett</w:t>
      </w:r>
      <w:r>
        <w:rPr>
          <w:spacing w:val="-2"/>
          <w:w w:val="130"/>
          <w:sz w:val="24"/>
        </w:rPr>
        <w:t> </w:t>
      </w:r>
      <w:r>
        <w:rPr>
          <w:w w:val="130"/>
          <w:sz w:val="24"/>
        </w:rPr>
        <w:t>előírásokat</w:t>
      </w:r>
      <w:r>
        <w:rPr>
          <w:spacing w:val="-20"/>
          <w:w w:val="130"/>
          <w:sz w:val="24"/>
        </w:rPr>
        <w:t> </w:t>
      </w:r>
      <w:r>
        <w:rPr>
          <w:w w:val="130"/>
          <w:sz w:val="24"/>
        </w:rPr>
        <w:t>-</w:t>
      </w:r>
      <w:r>
        <w:rPr>
          <w:spacing w:val="-11"/>
          <w:w w:val="130"/>
          <w:sz w:val="24"/>
        </w:rPr>
        <w:t> </w:t>
      </w:r>
      <w:r>
        <w:rPr>
          <w:w w:val="130"/>
          <w:sz w:val="24"/>
        </w:rPr>
        <w:t>a</w:t>
      </w:r>
      <w:r>
        <w:rPr>
          <w:spacing w:val="-11"/>
          <w:w w:val="130"/>
          <w:sz w:val="24"/>
        </w:rPr>
        <w:t> </w:t>
      </w:r>
      <w:r>
        <w:rPr>
          <w:w w:val="130"/>
          <w:sz w:val="24"/>
        </w:rPr>
        <w:t>Felügyelet</w:t>
      </w:r>
      <w:r>
        <w:rPr>
          <w:spacing w:val="-10"/>
          <w:w w:val="130"/>
          <w:sz w:val="24"/>
        </w:rPr>
        <w:t> </w:t>
      </w:r>
      <w:r>
        <w:rPr>
          <w:w w:val="130"/>
          <w:sz w:val="24"/>
        </w:rPr>
        <w:t>által</w:t>
      </w:r>
      <w:r>
        <w:rPr>
          <w:spacing w:val="-11"/>
          <w:w w:val="130"/>
          <w:sz w:val="24"/>
        </w:rPr>
        <w:t> </w:t>
      </w:r>
      <w:r>
        <w:rPr>
          <w:w w:val="130"/>
          <w:sz w:val="24"/>
        </w:rPr>
        <w:t>a</w:t>
      </w:r>
      <w:r>
        <w:rPr>
          <w:spacing w:val="-5"/>
          <w:w w:val="130"/>
          <w:sz w:val="24"/>
        </w:rPr>
        <w:t> </w:t>
      </w:r>
      <w:r>
        <w:rPr>
          <w:w w:val="130"/>
          <w:sz w:val="24"/>
        </w:rPr>
        <w:t>(2)</w:t>
      </w:r>
      <w:r>
        <w:rPr>
          <w:spacing w:val="-16"/>
          <w:w w:val="130"/>
          <w:sz w:val="24"/>
        </w:rPr>
        <w:t> </w:t>
      </w:r>
      <w:r>
        <w:rPr>
          <w:w w:val="130"/>
          <w:sz w:val="24"/>
        </w:rPr>
        <w:t>bekezdés alapján alkalmazott intézkedést, vagy bírságot megállapító határozat</w:t>
      </w:r>
      <w:r>
        <w:rPr>
          <w:spacing w:val="-44"/>
          <w:w w:val="130"/>
          <w:sz w:val="24"/>
        </w:rPr>
        <w:t> </w:t>
      </w:r>
      <w:r>
        <w:rPr>
          <w:w w:val="130"/>
          <w:sz w:val="24"/>
        </w:rPr>
        <w:t>jogerőre emelkedését vagy véglegessé válását követő öt éven belül - ismételten megsérti,</w:t>
      </w:r>
    </w:p>
    <w:p>
      <w:pPr>
        <w:pStyle w:val="ListParagraph"/>
        <w:numPr>
          <w:ilvl w:val="0"/>
          <w:numId w:val="437"/>
        </w:numPr>
        <w:tabs>
          <w:tab w:pos="930" w:val="left" w:leader="none"/>
        </w:tabs>
        <w:spacing w:line="225" w:lineRule="auto" w:before="2" w:after="0"/>
        <w:ind w:left="113" w:right="126" w:firstLine="204"/>
        <w:jc w:val="both"/>
        <w:rPr>
          <w:sz w:val="24"/>
        </w:rPr>
      </w:pPr>
      <w:r>
        <w:rPr>
          <w:w w:val="130"/>
          <w:sz w:val="24"/>
        </w:rPr>
        <w:t>az előírások jelentős megsértése miatt alkalmazott felügyeleti intézkedésben foglaltakat nem</w:t>
      </w:r>
      <w:r>
        <w:rPr>
          <w:spacing w:val="-12"/>
          <w:w w:val="130"/>
          <w:sz w:val="24"/>
        </w:rPr>
        <w:t> </w:t>
      </w:r>
      <w:r>
        <w:rPr>
          <w:w w:val="130"/>
          <w:sz w:val="24"/>
        </w:rPr>
        <w:t>teljesíti,</w:t>
      </w:r>
    </w:p>
    <w:p>
      <w:pPr>
        <w:pStyle w:val="ListParagraph"/>
        <w:numPr>
          <w:ilvl w:val="0"/>
          <w:numId w:val="437"/>
        </w:numPr>
        <w:tabs>
          <w:tab w:pos="568" w:val="left" w:leader="none"/>
        </w:tabs>
        <w:spacing w:line="256" w:lineRule="exact" w:before="0" w:after="0"/>
        <w:ind w:left="567" w:right="0" w:hanging="250"/>
        <w:jc w:val="left"/>
        <w:rPr>
          <w:sz w:val="24"/>
        </w:rPr>
      </w:pPr>
      <w:r>
        <w:rPr>
          <w:i/>
          <w:w w:val="125"/>
          <w:position w:val="3"/>
          <w:sz w:val="18"/>
        </w:rPr>
        <w:t>2 </w:t>
      </w:r>
      <w:r>
        <w:rPr>
          <w:w w:val="125"/>
          <w:sz w:val="24"/>
        </w:rPr>
        <w:t>tevékenységi (működési) engedélye a Szhitv. alapján visszavonásra</w:t>
      </w:r>
      <w:r>
        <w:rPr>
          <w:spacing w:val="-3"/>
          <w:w w:val="125"/>
          <w:sz w:val="24"/>
        </w:rPr>
        <w:t> </w:t>
      </w:r>
      <w:r>
        <w:rPr>
          <w:w w:val="125"/>
          <w:sz w:val="24"/>
        </w:rPr>
        <w:t>kerül.</w:t>
      </w:r>
    </w:p>
    <w:p>
      <w:pPr>
        <w:pStyle w:val="ListParagraph"/>
        <w:numPr>
          <w:ilvl w:val="0"/>
          <w:numId w:val="433"/>
        </w:numPr>
        <w:tabs>
          <w:tab w:pos="971" w:val="left" w:leader="none"/>
        </w:tabs>
        <w:spacing w:line="225" w:lineRule="auto" w:before="5" w:after="0"/>
        <w:ind w:left="113" w:right="129" w:firstLine="204"/>
        <w:jc w:val="both"/>
        <w:rPr>
          <w:sz w:val="24"/>
        </w:rPr>
      </w:pPr>
      <w:r>
        <w:rPr>
          <w:w w:val="125"/>
          <w:sz w:val="24"/>
        </w:rPr>
        <w:t>A Felügyelet megteszi a szükséges intézkedéseket, kivételes intézkedéseket, ha bizonyíthatóan fennáll annak veszélye, hogy a hitelintézet  az elkövetkező tizenkét hónapban nem fog megfelelni az e törvényben, valamint a prudens működésre vonatkozó jogszabályokban foglalt követelményeknek.</w:t>
      </w:r>
    </w:p>
    <w:p>
      <w:pPr>
        <w:pStyle w:val="ListParagraph"/>
        <w:numPr>
          <w:ilvl w:val="0"/>
          <w:numId w:val="433"/>
        </w:numPr>
        <w:tabs>
          <w:tab w:pos="819" w:val="left" w:leader="none"/>
        </w:tabs>
        <w:spacing w:line="225" w:lineRule="auto" w:before="3" w:after="0"/>
        <w:ind w:left="113" w:right="133" w:firstLine="204"/>
        <w:jc w:val="both"/>
        <w:rPr>
          <w:sz w:val="24"/>
        </w:rPr>
      </w:pPr>
      <w:r>
        <w:rPr>
          <w:w w:val="130"/>
          <w:sz w:val="24"/>
        </w:rPr>
        <w:t>A Felügyeletnek a (3) bekezdésen kívül akkor is meg kell tennie a szükséges intézkedéseket vagy kivételes intézkedéseket,</w:t>
      </w:r>
      <w:r>
        <w:rPr>
          <w:spacing w:val="-24"/>
          <w:w w:val="130"/>
          <w:sz w:val="24"/>
        </w:rPr>
        <w:t> </w:t>
      </w:r>
      <w:r>
        <w:rPr>
          <w:w w:val="130"/>
          <w:sz w:val="24"/>
        </w:rPr>
        <w:t>ha</w:t>
      </w:r>
    </w:p>
    <w:p>
      <w:pPr>
        <w:pStyle w:val="ListParagraph"/>
        <w:numPr>
          <w:ilvl w:val="0"/>
          <w:numId w:val="438"/>
        </w:numPr>
        <w:tabs>
          <w:tab w:pos="804" w:val="left" w:leader="none"/>
        </w:tabs>
        <w:spacing w:line="225" w:lineRule="auto" w:before="1" w:after="0"/>
        <w:ind w:left="113" w:right="123" w:firstLine="204"/>
        <w:jc w:val="both"/>
        <w:rPr>
          <w:sz w:val="24"/>
        </w:rPr>
      </w:pPr>
      <w:r>
        <w:rPr>
          <w:w w:val="130"/>
          <w:sz w:val="24"/>
        </w:rPr>
        <w:t>a harmadik országbeli hitelintézet fióktelepének eszközfenntartási mutatója száz százalék alá</w:t>
      </w:r>
      <w:r>
        <w:rPr>
          <w:spacing w:val="-17"/>
          <w:w w:val="130"/>
          <w:sz w:val="24"/>
        </w:rPr>
        <w:t> </w:t>
      </w:r>
      <w:r>
        <w:rPr>
          <w:w w:val="130"/>
          <w:sz w:val="24"/>
        </w:rPr>
        <w:t>csökken,</w:t>
      </w:r>
    </w:p>
    <w:p>
      <w:pPr>
        <w:pStyle w:val="ListParagraph"/>
        <w:numPr>
          <w:ilvl w:val="0"/>
          <w:numId w:val="438"/>
        </w:numPr>
        <w:tabs>
          <w:tab w:pos="732" w:val="left" w:leader="none"/>
        </w:tabs>
        <w:spacing w:line="225" w:lineRule="auto" w:before="2" w:after="0"/>
        <w:ind w:left="113" w:right="128" w:firstLine="204"/>
        <w:jc w:val="both"/>
        <w:rPr>
          <w:sz w:val="24"/>
        </w:rPr>
      </w:pPr>
      <w:r>
        <w:rPr>
          <w:w w:val="130"/>
          <w:sz w:val="24"/>
        </w:rPr>
        <w:t>a külföldi hitelintézet, valamint bármely államban működő fióktelepe fizetésképtelenné</w:t>
      </w:r>
      <w:r>
        <w:rPr>
          <w:spacing w:val="-3"/>
          <w:w w:val="130"/>
          <w:sz w:val="24"/>
        </w:rPr>
        <w:t> </w:t>
      </w:r>
      <w:r>
        <w:rPr>
          <w:w w:val="130"/>
          <w:sz w:val="24"/>
        </w:rPr>
        <w:t>vált.</w:t>
      </w:r>
    </w:p>
    <w:p>
      <w:pPr>
        <w:pStyle w:val="ListParagraph"/>
        <w:numPr>
          <w:ilvl w:val="0"/>
          <w:numId w:val="433"/>
        </w:numPr>
        <w:tabs>
          <w:tab w:pos="848" w:val="left" w:leader="none"/>
        </w:tabs>
        <w:spacing w:line="225" w:lineRule="auto" w:before="1" w:after="0"/>
        <w:ind w:left="113" w:right="120" w:firstLine="204"/>
        <w:jc w:val="both"/>
        <w:rPr>
          <w:sz w:val="24"/>
        </w:rPr>
      </w:pPr>
      <w:r>
        <w:rPr>
          <w:w w:val="130"/>
          <w:sz w:val="24"/>
        </w:rPr>
        <w:t>A Felügyelet intézkedést tehet továbbá, ha a harmadik országbeli hitelintézet székhelye szerinti felügyeleti hatóság az adott hitelintézettel</w:t>
      </w:r>
      <w:r>
        <w:rPr>
          <w:spacing w:val="-55"/>
          <w:w w:val="130"/>
          <w:sz w:val="24"/>
        </w:rPr>
        <w:t> </w:t>
      </w:r>
      <w:r>
        <w:rPr>
          <w:w w:val="130"/>
          <w:sz w:val="24"/>
        </w:rPr>
        <w:t>vagy annak bármely államban működő fióktelepével szemben olyan ok miatt alkalmazott intézkedést, szankciót, amely a fióktelep biztonságos működését érinti.</w:t>
      </w:r>
    </w:p>
    <w:p>
      <w:pPr>
        <w:pStyle w:val="ListParagraph"/>
        <w:numPr>
          <w:ilvl w:val="0"/>
          <w:numId w:val="433"/>
        </w:numPr>
        <w:tabs>
          <w:tab w:pos="780" w:val="left" w:leader="none"/>
        </w:tabs>
        <w:spacing w:line="225" w:lineRule="auto" w:before="3" w:after="0"/>
        <w:ind w:left="113" w:right="130" w:firstLine="204"/>
        <w:jc w:val="both"/>
        <w:rPr>
          <w:sz w:val="24"/>
        </w:rPr>
      </w:pPr>
      <w:r>
        <w:rPr>
          <w:w w:val="130"/>
          <w:sz w:val="24"/>
        </w:rPr>
        <w:t>A Felügyeletnek, akkor is meg kell tennie a szükséges intézkedéseket, kivételes intézkedéseket, ha a 177. § szerinti felügyeleti felülvizsgálat és értékelés alapján a</w:t>
      </w:r>
      <w:r>
        <w:rPr>
          <w:spacing w:val="-10"/>
          <w:w w:val="130"/>
          <w:sz w:val="24"/>
        </w:rPr>
        <w:t> </w:t>
      </w:r>
      <w:r>
        <w:rPr>
          <w:w w:val="130"/>
          <w:sz w:val="24"/>
        </w:rPr>
        <w:t>hitelintézet</w:t>
      </w:r>
    </w:p>
    <w:p>
      <w:pPr>
        <w:pStyle w:val="ListParagraph"/>
        <w:numPr>
          <w:ilvl w:val="0"/>
          <w:numId w:val="439"/>
        </w:numPr>
        <w:tabs>
          <w:tab w:pos="707" w:val="left" w:leader="none"/>
        </w:tabs>
        <w:spacing w:line="225" w:lineRule="auto" w:before="1" w:after="0"/>
        <w:ind w:left="113" w:right="129" w:firstLine="204"/>
        <w:jc w:val="both"/>
        <w:rPr>
          <w:sz w:val="24"/>
        </w:rPr>
      </w:pPr>
      <w:r>
        <w:rPr>
          <w:w w:val="125"/>
          <w:sz w:val="24"/>
        </w:rPr>
        <w:t>szavatoló tőkéje nem biztosítja a kockázatok fedezetét és megbízható kezelését,</w:t>
      </w:r>
      <w:r>
        <w:rPr>
          <w:spacing w:val="7"/>
          <w:w w:val="125"/>
          <w:sz w:val="24"/>
        </w:rPr>
        <w:t> </w:t>
      </w:r>
      <w:r>
        <w:rPr>
          <w:w w:val="125"/>
          <w:sz w:val="24"/>
        </w:rPr>
        <w:t>vagy</w:t>
      </w:r>
    </w:p>
    <w:p>
      <w:pPr>
        <w:pStyle w:val="ListParagraph"/>
        <w:numPr>
          <w:ilvl w:val="0"/>
          <w:numId w:val="439"/>
        </w:numPr>
        <w:tabs>
          <w:tab w:pos="756" w:val="left" w:leader="none"/>
        </w:tabs>
        <w:spacing w:line="225" w:lineRule="auto" w:before="2" w:after="0"/>
        <w:ind w:left="113" w:right="132" w:firstLine="204"/>
        <w:jc w:val="both"/>
        <w:rPr>
          <w:sz w:val="24"/>
        </w:rPr>
      </w:pPr>
      <w:r>
        <w:rPr>
          <w:w w:val="125"/>
          <w:sz w:val="24"/>
        </w:rPr>
        <w:t>irányítási rendszere, vállalatirányítási rendszere és  kockázatkezelése, belső tőkemegfelelés értékelési folyamata, nagykockázatainak kezelése nem felel meg az e törvényben, valamint a prudens működésre vonatkozó jogszabályban meghatározott</w:t>
      </w:r>
      <w:r>
        <w:rPr>
          <w:spacing w:val="2"/>
          <w:w w:val="125"/>
          <w:sz w:val="24"/>
        </w:rPr>
        <w:t> </w:t>
      </w:r>
      <w:r>
        <w:rPr>
          <w:w w:val="125"/>
          <w:sz w:val="24"/>
        </w:rPr>
        <w:t>követelményeknek.</w:t>
      </w:r>
    </w:p>
    <w:p>
      <w:pPr>
        <w:pStyle w:val="ListParagraph"/>
        <w:numPr>
          <w:ilvl w:val="0"/>
          <w:numId w:val="433"/>
        </w:numPr>
        <w:tabs>
          <w:tab w:pos="846" w:val="left" w:leader="none"/>
        </w:tabs>
        <w:spacing w:line="225" w:lineRule="auto" w:before="2" w:after="0"/>
        <w:ind w:left="113" w:right="105" w:firstLine="204"/>
        <w:jc w:val="both"/>
        <w:rPr>
          <w:sz w:val="24"/>
        </w:rPr>
      </w:pPr>
      <w:r>
        <w:rPr>
          <w:w w:val="125"/>
          <w:sz w:val="24"/>
        </w:rPr>
        <w:t>Ha a hitelintézet összevont alapú felügyelet alá tartozik, illetve a hitelintézetre az összevont alapú felügyelet kiterjed, a Felügyelet a vele szemben alkalmazandó kivételes intézkedés előtt - a (9) bekezdésben meghatározott kivétellel - előzetesen egyeztet azon EGT-állam illetékes felügyeleti hatóságával, amelynek székhelyén olyan hitelintézet található, amelyre a hitelintézettel együttesen az összevont alapú felügyelet</w:t>
      </w:r>
      <w:r>
        <w:rPr>
          <w:spacing w:val="7"/>
          <w:w w:val="125"/>
          <w:sz w:val="24"/>
        </w:rPr>
        <w:t> </w:t>
      </w:r>
      <w:r>
        <w:rPr>
          <w:w w:val="125"/>
          <w:sz w:val="24"/>
        </w:rPr>
        <w:t>kiterjed.</w:t>
      </w:r>
    </w:p>
    <w:p>
      <w:pPr>
        <w:pStyle w:val="ListParagraph"/>
        <w:numPr>
          <w:ilvl w:val="0"/>
          <w:numId w:val="433"/>
        </w:numPr>
        <w:tabs>
          <w:tab w:pos="758" w:val="left" w:leader="none"/>
        </w:tabs>
        <w:spacing w:line="225" w:lineRule="auto" w:before="3" w:after="0"/>
        <w:ind w:left="113" w:right="130" w:firstLine="204"/>
        <w:jc w:val="both"/>
        <w:rPr>
          <w:sz w:val="24"/>
        </w:rPr>
      </w:pPr>
      <w:r>
        <w:rPr>
          <w:w w:val="130"/>
          <w:sz w:val="24"/>
        </w:rPr>
        <w:t>A kivételes intézkedésről szóló határozat meghozatala előtt a</w:t>
      </w:r>
      <w:r>
        <w:rPr>
          <w:spacing w:val="-54"/>
          <w:w w:val="130"/>
          <w:sz w:val="24"/>
        </w:rPr>
        <w:t> </w:t>
      </w:r>
      <w:r>
        <w:rPr>
          <w:w w:val="130"/>
          <w:sz w:val="24"/>
        </w:rPr>
        <w:t>Felügyelet nem</w:t>
      </w:r>
      <w:r>
        <w:rPr>
          <w:spacing w:val="-34"/>
          <w:w w:val="130"/>
          <w:sz w:val="24"/>
        </w:rPr>
        <w:t> </w:t>
      </w:r>
      <w:r>
        <w:rPr>
          <w:w w:val="130"/>
          <w:sz w:val="24"/>
        </w:rPr>
        <w:t>köteles</w:t>
      </w:r>
      <w:r>
        <w:rPr>
          <w:spacing w:val="-35"/>
          <w:w w:val="130"/>
          <w:sz w:val="24"/>
        </w:rPr>
        <w:t> </w:t>
      </w:r>
      <w:r>
        <w:rPr>
          <w:w w:val="130"/>
          <w:sz w:val="24"/>
        </w:rPr>
        <w:t>egyeztetni</w:t>
      </w:r>
      <w:r>
        <w:rPr>
          <w:spacing w:val="-33"/>
          <w:w w:val="130"/>
          <w:sz w:val="24"/>
        </w:rPr>
        <w:t> </w:t>
      </w:r>
      <w:r>
        <w:rPr>
          <w:w w:val="130"/>
          <w:sz w:val="24"/>
        </w:rPr>
        <w:t>a</w:t>
      </w:r>
      <w:r>
        <w:rPr>
          <w:spacing w:val="-34"/>
          <w:w w:val="130"/>
          <w:sz w:val="24"/>
        </w:rPr>
        <w:t> </w:t>
      </w:r>
      <w:r>
        <w:rPr>
          <w:w w:val="130"/>
          <w:sz w:val="24"/>
        </w:rPr>
        <w:t>másik</w:t>
      </w:r>
      <w:r>
        <w:rPr>
          <w:spacing w:val="-34"/>
          <w:w w:val="130"/>
          <w:sz w:val="24"/>
        </w:rPr>
        <w:t> </w:t>
      </w:r>
      <w:r>
        <w:rPr>
          <w:w w:val="130"/>
          <w:sz w:val="24"/>
        </w:rPr>
        <w:t>EGT-állam</w:t>
      </w:r>
      <w:r>
        <w:rPr>
          <w:spacing w:val="-24"/>
          <w:w w:val="130"/>
          <w:sz w:val="24"/>
        </w:rPr>
        <w:t> </w:t>
      </w:r>
      <w:r>
        <w:rPr>
          <w:w w:val="130"/>
          <w:sz w:val="24"/>
        </w:rPr>
        <w:t>illetékes</w:t>
      </w:r>
      <w:r>
        <w:rPr>
          <w:spacing w:val="-44"/>
          <w:w w:val="130"/>
          <w:sz w:val="24"/>
        </w:rPr>
        <w:t> </w:t>
      </w:r>
      <w:r>
        <w:rPr>
          <w:w w:val="130"/>
          <w:sz w:val="24"/>
        </w:rPr>
        <w:t>felügyeleti</w:t>
      </w:r>
      <w:r>
        <w:rPr>
          <w:spacing w:val="-34"/>
          <w:w w:val="130"/>
          <w:sz w:val="24"/>
        </w:rPr>
        <w:t> </w:t>
      </w:r>
      <w:r>
        <w:rPr>
          <w:w w:val="130"/>
          <w:sz w:val="24"/>
        </w:rPr>
        <w:t>hatóságával,</w:t>
      </w:r>
      <w:r>
        <w:rPr>
          <w:spacing w:val="-33"/>
          <w:w w:val="130"/>
          <w:sz w:val="24"/>
        </w:rPr>
        <w:t> </w:t>
      </w:r>
      <w:r>
        <w:rPr>
          <w:w w:val="130"/>
          <w:sz w:val="24"/>
        </w:rPr>
        <w:t>ha az egyeztetéshez szükséges időtartam veszélyezteti a határozat</w:t>
      </w:r>
      <w:r>
        <w:rPr>
          <w:spacing w:val="78"/>
          <w:w w:val="130"/>
          <w:sz w:val="24"/>
        </w:rPr>
        <w:t> </w:t>
      </w:r>
      <w:r>
        <w:rPr>
          <w:w w:val="130"/>
          <w:sz w:val="24"/>
        </w:rPr>
        <w:t>végrehajthatóságát. Ebben az esetben a határozat meghozataláról a Felügyelet a másik EGT-állam illetékes felügyeleti hatóságát haladéktalanul tájékoztatja.</w:t>
      </w:r>
    </w:p>
    <w:p>
      <w:pPr>
        <w:pStyle w:val="BodyText"/>
        <w:spacing w:before="5"/>
        <w:ind w:left="0" w:firstLine="0"/>
        <w:rPr>
          <w:sz w:val="11"/>
        </w:rPr>
      </w:pPr>
    </w:p>
    <w:p>
      <w:pPr>
        <w:pStyle w:val="BodyText"/>
        <w:spacing w:before="99"/>
        <w:ind w:left="3908" w:firstLine="0"/>
      </w:pPr>
      <w:r>
        <w:rPr>
          <w:w w:val="130"/>
        </w:rPr>
        <w:t>79. Intézkedések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22"/>
        </w:rPr>
      </w:pPr>
      <w:r>
        <w:rPr/>
        <w:pict>
          <v:line style="position:absolute;mso-position-horizontal-relative:page;mso-position-vertical-relative:paragraph;z-index:1592;mso-wrap-distance-left:0;mso-wrap-distance-right:0" from="56.693001pt,15.000553pt" to="538.583001pt,15.00055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d).</w:t>
      </w:r>
    </w:p>
    <w:p>
      <w:pPr>
        <w:tabs>
          <w:tab w:pos="686" w:val="left" w:leader="none"/>
        </w:tabs>
        <w:spacing w:line="203" w:lineRule="exact" w:before="0"/>
        <w:ind w:left="342" w:right="0" w:firstLine="0"/>
        <w:jc w:val="left"/>
        <w:rPr>
          <w:i/>
          <w:sz w:val="18"/>
        </w:rPr>
      </w:pPr>
      <w:r>
        <w:rPr>
          <w:i/>
          <w:w w:val="125"/>
          <w:sz w:val="18"/>
        </w:rPr>
        <w:t>2</w:t>
        <w:tab/>
        <w:t>Módosította: 2015. évi LXXXV. törvény 237. §</w:t>
      </w:r>
      <w:r>
        <w:rPr>
          <w:i/>
          <w:spacing w:val="-5"/>
          <w:w w:val="125"/>
          <w:sz w:val="18"/>
        </w:rPr>
        <w:t> </w:t>
      </w:r>
      <w:r>
        <w:rPr>
          <w:i/>
          <w:w w:val="125"/>
          <w:sz w:val="18"/>
        </w:rPr>
        <w:t>e).</w:t>
      </w:r>
    </w:p>
    <w:p>
      <w:pPr>
        <w:spacing w:after="0" w:line="203" w:lineRule="exact"/>
        <w:jc w:val="left"/>
        <w:rPr>
          <w:sz w:val="18"/>
        </w:rPr>
        <w:sectPr>
          <w:pgSz w:w="11900" w:h="16820"/>
          <w:pgMar w:header="1104" w:footer="0" w:top="1840" w:bottom="280" w:left="1020" w:right="1000"/>
        </w:sectPr>
      </w:pPr>
    </w:p>
    <w:p>
      <w:pPr>
        <w:pStyle w:val="ListParagraph"/>
        <w:numPr>
          <w:ilvl w:val="0"/>
          <w:numId w:val="387"/>
        </w:numPr>
        <w:tabs>
          <w:tab w:pos="1003" w:val="left" w:leader="none"/>
        </w:tabs>
        <w:spacing w:line="225" w:lineRule="auto" w:before="172" w:after="0"/>
        <w:ind w:left="113" w:right="127" w:firstLine="204"/>
        <w:jc w:val="both"/>
        <w:rPr>
          <w:sz w:val="24"/>
        </w:rPr>
      </w:pPr>
      <w:r>
        <w:rPr>
          <w:rFonts w:ascii="Arial" w:hAnsi="Arial"/>
          <w:b/>
          <w:w w:val="125"/>
          <w:sz w:val="24"/>
        </w:rPr>
        <w:t>§ </w:t>
      </w:r>
      <w:r>
        <w:rPr>
          <w:w w:val="125"/>
          <w:sz w:val="24"/>
        </w:rPr>
        <w:t>(1)</w:t>
      </w:r>
      <w:r>
        <w:rPr>
          <w:i/>
          <w:w w:val="125"/>
          <w:position w:val="3"/>
          <w:sz w:val="18"/>
        </w:rPr>
        <w:t>1 </w:t>
      </w:r>
      <w:r>
        <w:rPr>
          <w:w w:val="125"/>
          <w:sz w:val="24"/>
        </w:rPr>
        <w:t>Az előírások megsértése vagy hiányosság megállapítása esetén - ha azok a pénzügyi intézmény, valamint a pénzügyi intézménynek nem minősülő pénzügyi szolgáltatást, illetve kiegészítő pénzügyi  szolgáltatást nyújtó egyéb jogi személy prudens működését jelentősen vagy súlyosan nem veszélyeztetik - a Felügyelet a következő intézkedéseket</w:t>
      </w:r>
      <w:r>
        <w:rPr>
          <w:spacing w:val="17"/>
          <w:w w:val="125"/>
          <w:sz w:val="24"/>
        </w:rPr>
        <w:t> </w:t>
      </w:r>
      <w:r>
        <w:rPr>
          <w:w w:val="125"/>
          <w:sz w:val="24"/>
        </w:rPr>
        <w:t>alkalmazhatja:</w:t>
      </w:r>
    </w:p>
    <w:p>
      <w:pPr>
        <w:pStyle w:val="ListParagraph"/>
        <w:numPr>
          <w:ilvl w:val="0"/>
          <w:numId w:val="440"/>
        </w:numPr>
        <w:tabs>
          <w:tab w:pos="556" w:val="left" w:leader="none"/>
        </w:tabs>
        <w:spacing w:line="257" w:lineRule="exact" w:before="0" w:after="0"/>
        <w:ind w:left="555" w:right="0" w:hanging="238"/>
        <w:jc w:val="left"/>
        <w:rPr>
          <w:sz w:val="24"/>
        </w:rPr>
      </w:pPr>
      <w:r>
        <w:rPr>
          <w:i/>
          <w:w w:val="125"/>
          <w:position w:val="3"/>
          <w:sz w:val="18"/>
        </w:rPr>
        <w:t>2</w:t>
      </w:r>
      <w:r>
        <w:rPr>
          <w:i/>
          <w:spacing w:val="19"/>
          <w:w w:val="125"/>
          <w:position w:val="3"/>
          <w:sz w:val="18"/>
        </w:rPr>
        <w:t> </w:t>
      </w:r>
      <w:r>
        <w:rPr>
          <w:w w:val="125"/>
          <w:sz w:val="24"/>
        </w:rPr>
        <w:t>kötelezheti</w:t>
      </w:r>
    </w:p>
    <w:p>
      <w:pPr>
        <w:pStyle w:val="BodyText"/>
        <w:spacing w:line="225" w:lineRule="auto" w:before="5"/>
        <w:ind w:right="129"/>
        <w:jc w:val="both"/>
      </w:pPr>
      <w:r>
        <w:rPr>
          <w:i/>
          <w:w w:val="130"/>
        </w:rPr>
        <w:t>aa)</w:t>
      </w:r>
      <w:r>
        <w:rPr>
          <w:i/>
          <w:spacing w:val="-31"/>
          <w:w w:val="130"/>
        </w:rPr>
        <w:t> </w:t>
      </w:r>
      <w:r>
        <w:rPr>
          <w:w w:val="130"/>
        </w:rPr>
        <w:t>a</w:t>
      </w:r>
      <w:r>
        <w:rPr>
          <w:spacing w:val="-32"/>
          <w:w w:val="130"/>
        </w:rPr>
        <w:t> </w:t>
      </w:r>
      <w:r>
        <w:rPr>
          <w:w w:val="130"/>
        </w:rPr>
        <w:t>pénzügyi</w:t>
      </w:r>
      <w:r>
        <w:rPr>
          <w:spacing w:val="-31"/>
          <w:w w:val="130"/>
        </w:rPr>
        <w:t> </w:t>
      </w:r>
      <w:r>
        <w:rPr>
          <w:w w:val="130"/>
        </w:rPr>
        <w:t>intézményt,</w:t>
      </w:r>
      <w:r>
        <w:rPr>
          <w:spacing w:val="-32"/>
          <w:w w:val="130"/>
        </w:rPr>
        <w:t> </w:t>
      </w:r>
      <w:r>
        <w:rPr>
          <w:w w:val="130"/>
        </w:rPr>
        <w:t>valamint</w:t>
      </w:r>
      <w:r>
        <w:rPr>
          <w:spacing w:val="-31"/>
          <w:w w:val="130"/>
        </w:rPr>
        <w:t> </w:t>
      </w:r>
      <w:r>
        <w:rPr>
          <w:w w:val="130"/>
        </w:rPr>
        <w:t>a</w:t>
      </w:r>
      <w:r>
        <w:rPr>
          <w:spacing w:val="-32"/>
          <w:w w:val="130"/>
        </w:rPr>
        <w:t> </w:t>
      </w:r>
      <w:r>
        <w:rPr>
          <w:w w:val="130"/>
        </w:rPr>
        <w:t>pénzügyi</w:t>
      </w:r>
      <w:r>
        <w:rPr>
          <w:spacing w:val="-31"/>
          <w:w w:val="130"/>
        </w:rPr>
        <w:t> </w:t>
      </w:r>
      <w:r>
        <w:rPr>
          <w:w w:val="130"/>
        </w:rPr>
        <w:t>intézménynek</w:t>
      </w:r>
      <w:r>
        <w:rPr>
          <w:spacing w:val="-31"/>
          <w:w w:val="130"/>
        </w:rPr>
        <w:t> </w:t>
      </w:r>
      <w:r>
        <w:rPr>
          <w:w w:val="130"/>
        </w:rPr>
        <w:t>nem</w:t>
      </w:r>
      <w:r>
        <w:rPr>
          <w:spacing w:val="-32"/>
          <w:w w:val="130"/>
        </w:rPr>
        <w:t> </w:t>
      </w:r>
      <w:r>
        <w:rPr>
          <w:w w:val="130"/>
        </w:rPr>
        <w:t>minősülő pénzügyi szolgáltatást, illetve kiegészítő pénzügyi szolgáltatást nyújtó egyéb jogi személyt, hogy tegye meg a szükséges intézkedéseket e törvény vagy a prudens</w:t>
      </w:r>
      <w:r>
        <w:rPr>
          <w:spacing w:val="-11"/>
          <w:w w:val="130"/>
        </w:rPr>
        <w:t> </w:t>
      </w:r>
      <w:r>
        <w:rPr>
          <w:w w:val="130"/>
        </w:rPr>
        <w:t>működésre</w:t>
      </w:r>
      <w:r>
        <w:rPr>
          <w:spacing w:val="-11"/>
          <w:w w:val="130"/>
        </w:rPr>
        <w:t> </w:t>
      </w:r>
      <w:r>
        <w:rPr>
          <w:w w:val="130"/>
        </w:rPr>
        <w:t>vonatkozó</w:t>
      </w:r>
      <w:r>
        <w:rPr>
          <w:spacing w:val="-11"/>
          <w:w w:val="130"/>
        </w:rPr>
        <w:t> </w:t>
      </w:r>
      <w:r>
        <w:rPr>
          <w:w w:val="130"/>
        </w:rPr>
        <w:t>jogszabályok</w:t>
      </w:r>
      <w:r>
        <w:rPr>
          <w:spacing w:val="-11"/>
          <w:w w:val="130"/>
        </w:rPr>
        <w:t> </w:t>
      </w:r>
      <w:r>
        <w:rPr>
          <w:w w:val="130"/>
        </w:rPr>
        <w:t>előírásainak</w:t>
      </w:r>
      <w:r>
        <w:rPr>
          <w:spacing w:val="-10"/>
          <w:w w:val="130"/>
        </w:rPr>
        <w:t> </w:t>
      </w:r>
      <w:r>
        <w:rPr>
          <w:w w:val="130"/>
        </w:rPr>
        <w:t>betartására,</w:t>
      </w:r>
      <w:r>
        <w:rPr>
          <w:spacing w:val="1"/>
          <w:w w:val="130"/>
        </w:rPr>
        <w:t> </w:t>
      </w:r>
      <w:r>
        <w:rPr>
          <w:w w:val="130"/>
        </w:rPr>
        <w:t>a</w:t>
      </w:r>
      <w:r>
        <w:rPr>
          <w:spacing w:val="-23"/>
          <w:w w:val="130"/>
        </w:rPr>
        <w:t> </w:t>
      </w:r>
      <w:r>
        <w:rPr>
          <w:w w:val="130"/>
        </w:rPr>
        <w:t>feltárt hiányosságok</w:t>
      </w:r>
      <w:r>
        <w:rPr>
          <w:spacing w:val="-3"/>
          <w:w w:val="130"/>
        </w:rPr>
        <w:t> </w:t>
      </w:r>
      <w:r>
        <w:rPr>
          <w:w w:val="130"/>
        </w:rPr>
        <w:t>megszüntetésére,</w:t>
      </w:r>
    </w:p>
    <w:p>
      <w:pPr>
        <w:pStyle w:val="BodyText"/>
        <w:spacing w:line="225" w:lineRule="auto" w:before="3"/>
        <w:ind w:right="132"/>
        <w:jc w:val="both"/>
      </w:pPr>
      <w:r>
        <w:rPr>
          <w:i/>
          <w:w w:val="130"/>
        </w:rPr>
        <w:t>ab) </w:t>
      </w:r>
      <w:r>
        <w:rPr>
          <w:w w:val="130"/>
        </w:rPr>
        <w:t>a pénzügyi intézményt, hogy tegye meg a szükséges intézkedéseket a pénzügyi helyzetének megőrzésére vagy</w:t>
      </w:r>
      <w:r>
        <w:rPr>
          <w:spacing w:val="-24"/>
          <w:w w:val="130"/>
        </w:rPr>
        <w:t> </w:t>
      </w:r>
      <w:r>
        <w:rPr>
          <w:w w:val="130"/>
        </w:rPr>
        <w:t>javítására;</w:t>
      </w:r>
    </w:p>
    <w:p>
      <w:pPr>
        <w:pStyle w:val="ListParagraph"/>
        <w:numPr>
          <w:ilvl w:val="0"/>
          <w:numId w:val="440"/>
        </w:numPr>
        <w:tabs>
          <w:tab w:pos="653" w:val="left" w:leader="none"/>
        </w:tabs>
        <w:spacing w:line="256" w:lineRule="exact" w:before="0" w:after="0"/>
        <w:ind w:left="652" w:right="0" w:hanging="335"/>
        <w:jc w:val="left"/>
        <w:rPr>
          <w:sz w:val="24"/>
        </w:rPr>
      </w:pPr>
      <w:r>
        <w:rPr>
          <w:w w:val="130"/>
          <w:sz w:val="24"/>
        </w:rPr>
        <w:t>javaslatot</w:t>
      </w:r>
      <w:r>
        <w:rPr>
          <w:spacing w:val="-40"/>
          <w:w w:val="130"/>
          <w:sz w:val="24"/>
        </w:rPr>
        <w:t> </w:t>
      </w:r>
      <w:r>
        <w:rPr>
          <w:w w:val="130"/>
          <w:sz w:val="24"/>
        </w:rPr>
        <w:t>tehet</w:t>
      </w:r>
      <w:r>
        <w:rPr>
          <w:spacing w:val="-34"/>
          <w:w w:val="130"/>
          <w:sz w:val="24"/>
        </w:rPr>
        <w:t> </w:t>
      </w:r>
      <w:r>
        <w:rPr>
          <w:w w:val="130"/>
          <w:sz w:val="24"/>
        </w:rPr>
        <w:t>a</w:t>
      </w:r>
      <w:r>
        <w:rPr>
          <w:spacing w:val="-34"/>
          <w:w w:val="130"/>
          <w:sz w:val="24"/>
        </w:rPr>
        <w:t> </w:t>
      </w:r>
      <w:r>
        <w:rPr>
          <w:w w:val="130"/>
          <w:sz w:val="24"/>
        </w:rPr>
        <w:t>pénzügyi</w:t>
      </w:r>
      <w:r>
        <w:rPr>
          <w:spacing w:val="-33"/>
          <w:w w:val="130"/>
          <w:sz w:val="24"/>
        </w:rPr>
        <w:t> </w:t>
      </w:r>
      <w:r>
        <w:rPr>
          <w:w w:val="130"/>
          <w:sz w:val="24"/>
        </w:rPr>
        <w:t>intézménynek</w:t>
      </w:r>
    </w:p>
    <w:p>
      <w:pPr>
        <w:pStyle w:val="BodyText"/>
        <w:spacing w:line="225" w:lineRule="auto" w:before="5"/>
        <w:ind w:right="129"/>
        <w:jc w:val="both"/>
      </w:pPr>
      <w:r>
        <w:rPr>
          <w:i/>
          <w:w w:val="125"/>
        </w:rPr>
        <w:t>ba) </w:t>
      </w:r>
      <w:r>
        <w:rPr>
          <w:w w:val="125"/>
        </w:rPr>
        <w:t>az alkalmazottak (vezetők) szakmai továbbképzésére vagy megfelelő szakmai ismeretekkel rendelkező alkalmazottak (vezetők) felvételére,</w:t>
      </w:r>
    </w:p>
    <w:p>
      <w:pPr>
        <w:pStyle w:val="BodyText"/>
        <w:spacing w:line="225" w:lineRule="auto" w:before="2"/>
        <w:ind w:right="124"/>
        <w:jc w:val="both"/>
      </w:pPr>
      <w:r>
        <w:rPr>
          <w:i/>
          <w:w w:val="125"/>
        </w:rPr>
        <w:t>bb) </w:t>
      </w:r>
      <w:r>
        <w:rPr>
          <w:w w:val="125"/>
        </w:rPr>
        <w:t>üzletszabályzat, illetve belső szabályzat meghatározott határidőn belüli kidolgozására vagy meghatározott szempontok szerinti átdolgozására,</w:t>
      </w:r>
    </w:p>
    <w:p>
      <w:pPr>
        <w:pStyle w:val="BodyText"/>
        <w:spacing w:line="256" w:lineRule="exact"/>
        <w:ind w:left="317" w:firstLine="0"/>
      </w:pPr>
      <w:r>
        <w:rPr>
          <w:i/>
          <w:w w:val="125"/>
        </w:rPr>
        <w:t>bc) </w:t>
      </w:r>
      <w:r>
        <w:rPr>
          <w:w w:val="125"/>
        </w:rPr>
        <w:t>ügyvezetési módszereinek megváltoztatására;</w:t>
      </w:r>
    </w:p>
    <w:p>
      <w:pPr>
        <w:pStyle w:val="ListParagraph"/>
        <w:numPr>
          <w:ilvl w:val="0"/>
          <w:numId w:val="440"/>
        </w:numPr>
        <w:tabs>
          <w:tab w:pos="623" w:val="left" w:leader="none"/>
        </w:tabs>
        <w:spacing w:line="260" w:lineRule="exact" w:before="0" w:after="0"/>
        <w:ind w:left="622" w:right="0" w:hanging="305"/>
        <w:jc w:val="left"/>
        <w:rPr>
          <w:sz w:val="24"/>
        </w:rPr>
      </w:pPr>
      <w:r>
        <w:rPr>
          <w:w w:val="130"/>
          <w:sz w:val="24"/>
        </w:rPr>
        <w:t>előírhatja rendkívüli adatszolgáltatási kötelezettség</w:t>
      </w:r>
      <w:r>
        <w:rPr>
          <w:spacing w:val="-31"/>
          <w:w w:val="130"/>
          <w:sz w:val="24"/>
        </w:rPr>
        <w:t> </w:t>
      </w:r>
      <w:r>
        <w:rPr>
          <w:w w:val="130"/>
          <w:sz w:val="24"/>
        </w:rPr>
        <w:t>teljesítését;</w:t>
      </w:r>
    </w:p>
    <w:p>
      <w:pPr>
        <w:pStyle w:val="ListParagraph"/>
        <w:numPr>
          <w:ilvl w:val="0"/>
          <w:numId w:val="440"/>
        </w:numPr>
        <w:tabs>
          <w:tab w:pos="874" w:val="left" w:leader="none"/>
        </w:tabs>
        <w:spacing w:line="225" w:lineRule="auto" w:before="5" w:after="0"/>
        <w:ind w:left="113" w:right="133" w:firstLine="204"/>
        <w:jc w:val="both"/>
        <w:rPr>
          <w:sz w:val="24"/>
        </w:rPr>
      </w:pPr>
      <w:r>
        <w:rPr>
          <w:w w:val="130"/>
          <w:sz w:val="24"/>
        </w:rPr>
        <w:t>kötelezheti a pénzügyi intézményt rendkívüli intézkedési terv kidolgozására és</w:t>
      </w:r>
      <w:r>
        <w:rPr>
          <w:spacing w:val="-8"/>
          <w:w w:val="130"/>
          <w:sz w:val="24"/>
        </w:rPr>
        <w:t> </w:t>
      </w:r>
      <w:r>
        <w:rPr>
          <w:w w:val="130"/>
          <w:sz w:val="24"/>
        </w:rPr>
        <w:t>végrehajtására;</w:t>
      </w:r>
    </w:p>
    <w:p>
      <w:pPr>
        <w:pStyle w:val="ListParagraph"/>
        <w:numPr>
          <w:ilvl w:val="0"/>
          <w:numId w:val="440"/>
        </w:numPr>
        <w:tabs>
          <w:tab w:pos="629" w:val="left" w:leader="none"/>
        </w:tabs>
        <w:spacing w:line="256" w:lineRule="exact" w:before="0" w:after="0"/>
        <w:ind w:left="628" w:right="0" w:hanging="311"/>
        <w:jc w:val="left"/>
        <w:rPr>
          <w:sz w:val="24"/>
        </w:rPr>
      </w:pPr>
      <w:r>
        <w:rPr>
          <w:w w:val="125"/>
          <w:sz w:val="24"/>
        </w:rPr>
        <w:t>figyelmeztetheti a pénzügyi intézmény vezető állású</w:t>
      </w:r>
      <w:r>
        <w:rPr>
          <w:spacing w:val="6"/>
          <w:w w:val="125"/>
          <w:sz w:val="24"/>
        </w:rPr>
        <w:t> </w:t>
      </w:r>
      <w:r>
        <w:rPr>
          <w:w w:val="125"/>
          <w:sz w:val="24"/>
        </w:rPr>
        <w:t>személyét;</w:t>
      </w:r>
    </w:p>
    <w:p>
      <w:pPr>
        <w:pStyle w:val="ListParagraph"/>
        <w:numPr>
          <w:ilvl w:val="0"/>
          <w:numId w:val="440"/>
        </w:numPr>
        <w:tabs>
          <w:tab w:pos="596" w:val="left" w:leader="none"/>
        </w:tabs>
        <w:spacing w:line="225" w:lineRule="auto" w:before="5" w:after="0"/>
        <w:ind w:left="113" w:right="125" w:firstLine="204"/>
        <w:jc w:val="both"/>
        <w:rPr>
          <w:sz w:val="24"/>
        </w:rPr>
      </w:pPr>
      <w:r>
        <w:rPr>
          <w:w w:val="130"/>
          <w:sz w:val="24"/>
        </w:rPr>
        <w:t>határozattal megállapítja a jogsértés tényét, s egyben elrendeli a jogsértő állapot megszüntetését, vagy megtiltja a jogszabályba ütköző magatartás további</w:t>
      </w:r>
      <w:r>
        <w:rPr>
          <w:spacing w:val="-4"/>
          <w:w w:val="130"/>
          <w:sz w:val="24"/>
        </w:rPr>
        <w:t> </w:t>
      </w:r>
      <w:r>
        <w:rPr>
          <w:w w:val="130"/>
          <w:sz w:val="24"/>
        </w:rPr>
        <w:t>folytatását;</w:t>
      </w:r>
    </w:p>
    <w:p>
      <w:pPr>
        <w:pStyle w:val="ListParagraph"/>
        <w:numPr>
          <w:ilvl w:val="0"/>
          <w:numId w:val="440"/>
        </w:numPr>
        <w:tabs>
          <w:tab w:pos="723" w:val="left" w:leader="none"/>
        </w:tabs>
        <w:spacing w:line="225" w:lineRule="auto" w:before="2" w:after="0"/>
        <w:ind w:left="113" w:right="117" w:firstLine="204"/>
        <w:jc w:val="both"/>
        <w:rPr>
          <w:sz w:val="24"/>
        </w:rPr>
      </w:pPr>
      <w:r>
        <w:rPr>
          <w:w w:val="130"/>
          <w:sz w:val="24"/>
        </w:rPr>
        <w:t>kötelezheti a hitelintézetet az irányítási rendszerére, vállalatirányítási rendszerére és kockázatkezelési rendszerére, valamint a belső</w:t>
      </w:r>
      <w:r>
        <w:rPr>
          <w:spacing w:val="-55"/>
          <w:w w:val="130"/>
          <w:sz w:val="24"/>
        </w:rPr>
        <w:t> </w:t>
      </w:r>
      <w:r>
        <w:rPr>
          <w:w w:val="130"/>
          <w:sz w:val="24"/>
        </w:rPr>
        <w:t>tőkemegfelelés értékelési folyamatára vonatkozó szabályzatok, eljárások, stratégiák és módszerek</w:t>
      </w:r>
      <w:r>
        <w:rPr>
          <w:spacing w:val="-4"/>
          <w:w w:val="130"/>
          <w:sz w:val="24"/>
        </w:rPr>
        <w:t> </w:t>
      </w:r>
      <w:r>
        <w:rPr>
          <w:w w:val="130"/>
          <w:sz w:val="24"/>
        </w:rPr>
        <w:t>megerősítésére;</w:t>
      </w:r>
    </w:p>
    <w:p>
      <w:pPr>
        <w:pStyle w:val="ListParagraph"/>
        <w:numPr>
          <w:ilvl w:val="0"/>
          <w:numId w:val="440"/>
        </w:numPr>
        <w:tabs>
          <w:tab w:pos="972" w:val="left" w:leader="none"/>
        </w:tabs>
        <w:spacing w:line="225" w:lineRule="auto" w:before="3" w:after="0"/>
        <w:ind w:left="113" w:right="126" w:firstLine="204"/>
        <w:jc w:val="both"/>
        <w:rPr>
          <w:sz w:val="24"/>
        </w:rPr>
      </w:pPr>
      <w:r>
        <w:rPr>
          <w:w w:val="130"/>
          <w:sz w:val="24"/>
        </w:rPr>
        <w:t>kötelezheti</w:t>
      </w:r>
      <w:r>
        <w:rPr>
          <w:spacing w:val="78"/>
          <w:w w:val="130"/>
          <w:sz w:val="24"/>
        </w:rPr>
        <w:t> </w:t>
      </w:r>
      <w:r>
        <w:rPr>
          <w:w w:val="130"/>
          <w:sz w:val="24"/>
        </w:rPr>
        <w:t>a</w:t>
      </w:r>
      <w:r>
        <w:rPr>
          <w:spacing w:val="78"/>
          <w:w w:val="130"/>
          <w:sz w:val="24"/>
        </w:rPr>
        <w:t> </w:t>
      </w:r>
      <w:r>
        <w:rPr>
          <w:w w:val="130"/>
          <w:sz w:val="24"/>
        </w:rPr>
        <w:t>hitelintézetet</w:t>
      </w:r>
      <w:r>
        <w:rPr>
          <w:spacing w:val="78"/>
          <w:w w:val="130"/>
          <w:sz w:val="24"/>
        </w:rPr>
        <w:t> </w:t>
      </w:r>
      <w:r>
        <w:rPr>
          <w:w w:val="130"/>
          <w:sz w:val="24"/>
        </w:rPr>
        <w:t>a</w:t>
      </w:r>
      <w:r>
        <w:rPr>
          <w:spacing w:val="78"/>
          <w:w w:val="130"/>
          <w:sz w:val="24"/>
        </w:rPr>
        <w:t> </w:t>
      </w:r>
      <w:r>
        <w:rPr>
          <w:w w:val="130"/>
          <w:sz w:val="24"/>
        </w:rPr>
        <w:t>jogszabályban</w:t>
      </w:r>
      <w:r>
        <w:rPr>
          <w:spacing w:val="78"/>
          <w:w w:val="130"/>
          <w:sz w:val="24"/>
        </w:rPr>
        <w:t> </w:t>
      </w:r>
      <w:r>
        <w:rPr>
          <w:w w:val="130"/>
          <w:sz w:val="24"/>
        </w:rPr>
        <w:t>meghatározott nyilvánosságrahozatali követelményen túlmutató nyilvánosságrahozatali előírások</w:t>
      </w:r>
      <w:r>
        <w:rPr>
          <w:spacing w:val="-4"/>
          <w:w w:val="130"/>
          <w:sz w:val="24"/>
        </w:rPr>
        <w:t> </w:t>
      </w:r>
      <w:r>
        <w:rPr>
          <w:w w:val="130"/>
          <w:sz w:val="24"/>
        </w:rPr>
        <w:t>teljesítésére.</w:t>
      </w:r>
    </w:p>
    <w:p>
      <w:pPr>
        <w:pStyle w:val="BodyText"/>
        <w:spacing w:line="225" w:lineRule="auto" w:before="1"/>
        <w:ind w:right="128"/>
        <w:jc w:val="both"/>
      </w:pPr>
      <w:r>
        <w:rPr>
          <w:w w:val="125"/>
        </w:rPr>
        <w:t>(2) Az előírások megsértése vagy hiányosság megállapítása esetén - ha azok   a pénzügyi intézmény prudens működését jelentősen vagy súlyosan veszélyezteti - a Felügyelet a következő intézkedéseket</w:t>
      </w:r>
      <w:r>
        <w:rPr>
          <w:spacing w:val="17"/>
          <w:w w:val="125"/>
        </w:rPr>
        <w:t> </w:t>
      </w:r>
      <w:r>
        <w:rPr>
          <w:w w:val="125"/>
        </w:rPr>
        <w:t>alkalmazhatja:</w:t>
      </w:r>
    </w:p>
    <w:p>
      <w:pPr>
        <w:pStyle w:val="ListParagraph"/>
        <w:numPr>
          <w:ilvl w:val="0"/>
          <w:numId w:val="441"/>
        </w:numPr>
        <w:tabs>
          <w:tab w:pos="556" w:val="left" w:leader="none"/>
        </w:tabs>
        <w:spacing w:line="256" w:lineRule="exact" w:before="0" w:after="0"/>
        <w:ind w:left="555" w:right="0" w:hanging="238"/>
        <w:jc w:val="left"/>
        <w:rPr>
          <w:sz w:val="18"/>
        </w:rPr>
      </w:pPr>
      <w:r>
        <w:rPr>
          <w:i/>
          <w:w w:val="127"/>
          <w:position w:val="3"/>
          <w:sz w:val="18"/>
        </w:rPr>
        <w:t>3</w:t>
      </w:r>
      <w:r>
        <w:rPr>
          <w:sz w:val="18"/>
        </w:rPr>
      </w:r>
    </w:p>
    <w:p>
      <w:pPr>
        <w:pStyle w:val="ListParagraph"/>
        <w:numPr>
          <w:ilvl w:val="0"/>
          <w:numId w:val="441"/>
        </w:numPr>
        <w:tabs>
          <w:tab w:pos="653" w:val="left" w:leader="none"/>
        </w:tabs>
        <w:spacing w:line="260" w:lineRule="exact" w:before="0" w:after="0"/>
        <w:ind w:left="652" w:right="0" w:hanging="335"/>
        <w:jc w:val="left"/>
        <w:rPr>
          <w:sz w:val="24"/>
        </w:rPr>
      </w:pPr>
      <w:r>
        <w:rPr>
          <w:w w:val="130"/>
          <w:sz w:val="24"/>
        </w:rPr>
        <w:t>kötelezheti a pénzügyi</w:t>
      </w:r>
      <w:r>
        <w:rPr>
          <w:spacing w:val="-25"/>
          <w:w w:val="130"/>
          <w:sz w:val="24"/>
        </w:rPr>
        <w:t> </w:t>
      </w:r>
      <w:r>
        <w:rPr>
          <w:w w:val="130"/>
          <w:sz w:val="24"/>
        </w:rPr>
        <w:t>intézményt</w:t>
      </w:r>
    </w:p>
    <w:p>
      <w:pPr>
        <w:pStyle w:val="BodyText"/>
        <w:spacing w:line="225" w:lineRule="auto" w:before="6"/>
        <w:ind w:right="115"/>
        <w:jc w:val="both"/>
      </w:pPr>
      <w:r>
        <w:rPr>
          <w:i/>
          <w:w w:val="125"/>
        </w:rPr>
        <w:t>ba) </w:t>
      </w:r>
      <w:r>
        <w:rPr>
          <w:w w:val="125"/>
        </w:rPr>
        <w:t>belső szabályzat kidolgozására vagy meghatározott szempontok szerinti átdolgozására vagy alkalmazására,</w:t>
      </w:r>
    </w:p>
    <w:p>
      <w:pPr>
        <w:pStyle w:val="BodyText"/>
        <w:spacing w:line="225" w:lineRule="auto" w:before="1"/>
        <w:ind w:right="129"/>
        <w:jc w:val="both"/>
      </w:pPr>
      <w:r>
        <w:rPr>
          <w:i/>
          <w:w w:val="125"/>
        </w:rPr>
        <w:t>bb) </w:t>
      </w:r>
      <w:r>
        <w:rPr>
          <w:w w:val="125"/>
        </w:rPr>
        <w:t>az alkalmazottak (vezetők) szakmai továbbképzésére vagy megfelelő szakmai ismeretekkel rendelkező alkalmazottak (vezetők) felvételére,</w:t>
      </w:r>
    </w:p>
    <w:p>
      <w:pPr>
        <w:pStyle w:val="BodyText"/>
        <w:spacing w:line="225" w:lineRule="auto" w:before="1"/>
        <w:ind w:right="131"/>
        <w:jc w:val="both"/>
      </w:pPr>
      <w:r>
        <w:rPr>
          <w:i/>
          <w:w w:val="130"/>
        </w:rPr>
        <w:t>bc) </w:t>
      </w:r>
      <w:r>
        <w:rPr>
          <w:w w:val="130"/>
        </w:rPr>
        <w:t>az okozott kárért való felelősség megállapítása érdekében vizsgálat lefolytatására, és a felelőssel szembeni eljárás</w:t>
      </w:r>
      <w:r>
        <w:rPr>
          <w:spacing w:val="-53"/>
          <w:w w:val="130"/>
        </w:rPr>
        <w:t> </w:t>
      </w:r>
      <w:r>
        <w:rPr>
          <w:w w:val="130"/>
        </w:rPr>
        <w:t>kezdeményezésére,</w:t>
      </w:r>
    </w:p>
    <w:p>
      <w:pPr>
        <w:pStyle w:val="BodyText"/>
        <w:spacing w:line="256" w:lineRule="exact"/>
        <w:ind w:left="317" w:firstLine="0"/>
      </w:pPr>
      <w:r>
        <w:rPr>
          <w:i/>
          <w:w w:val="130"/>
        </w:rPr>
        <w:t>bd) </w:t>
      </w:r>
      <w:r>
        <w:rPr>
          <w:w w:val="130"/>
        </w:rPr>
        <w:t>a működési költségek csökkentésére,</w:t>
      </w:r>
    </w:p>
    <w:p>
      <w:pPr>
        <w:pStyle w:val="BodyText"/>
        <w:spacing w:line="260" w:lineRule="exact"/>
        <w:ind w:left="317" w:firstLine="0"/>
      </w:pPr>
      <w:r>
        <w:rPr>
          <w:i/>
          <w:w w:val="130"/>
        </w:rPr>
        <w:t>be) </w:t>
      </w:r>
      <w:r>
        <w:rPr>
          <w:w w:val="130"/>
        </w:rPr>
        <w:t>megfelelő nagyságú tartalékok képzésére,</w:t>
      </w:r>
    </w:p>
    <w:p>
      <w:pPr>
        <w:pStyle w:val="BodyText"/>
        <w:spacing w:line="225" w:lineRule="auto" w:before="6"/>
        <w:ind w:right="126"/>
        <w:jc w:val="both"/>
      </w:pPr>
      <w:r>
        <w:rPr>
          <w:i/>
          <w:w w:val="130"/>
        </w:rPr>
        <w:t>bf) </w:t>
      </w:r>
      <w:r>
        <w:rPr>
          <w:w w:val="130"/>
        </w:rPr>
        <w:t>az igazgatóság vagy a felügyelő bizottság összehívására, továbbá meghatározott napirendi pontok megtárgyalására és meghatározott döntések meghozatalának szükségességére hívhatja fel e testületek</w:t>
      </w:r>
      <w:r>
        <w:rPr>
          <w:spacing w:val="-57"/>
          <w:w w:val="130"/>
        </w:rPr>
        <w:t> </w:t>
      </w:r>
      <w:r>
        <w:rPr>
          <w:w w:val="130"/>
        </w:rPr>
        <w:t>figyelmét,</w:t>
      </w:r>
    </w:p>
    <w:p>
      <w:pPr>
        <w:pStyle w:val="BodyText"/>
        <w:spacing w:before="7"/>
        <w:ind w:left="0" w:firstLine="0"/>
        <w:rPr>
          <w:sz w:val="15"/>
        </w:rPr>
      </w:pPr>
      <w:r>
        <w:rPr/>
        <w:pict>
          <v:line style="position:absolute;mso-position-horizontal-relative:page;mso-position-vertical-relative:paragraph;z-index:1616;mso-wrap-distance-left:0;mso-wrap-distance-right:0" from="56.693001pt,11.186329pt" to="538.583001pt,11.186329pt" stroked="true" strokeweight=".5pt" strokecolor="#000000">
            <v:stroke dashstyle="solid"/>
            <w10:wrap type="topAndBottom"/>
          </v:line>
        </w:pict>
      </w:r>
    </w:p>
    <w:p>
      <w:pPr>
        <w:pStyle w:val="ListParagraph"/>
        <w:numPr>
          <w:ilvl w:val="0"/>
          <w:numId w:val="442"/>
        </w:numPr>
        <w:tabs>
          <w:tab w:pos="686" w:val="left" w:leader="none"/>
          <w:tab w:pos="687" w:val="left" w:leader="none"/>
        </w:tabs>
        <w:spacing w:line="203" w:lineRule="exact" w:before="44" w:after="0"/>
        <w:ind w:left="686" w:right="0" w:hanging="344"/>
        <w:jc w:val="left"/>
        <w:rPr>
          <w:i/>
          <w:sz w:val="18"/>
        </w:rPr>
      </w:pPr>
      <w:r>
        <w:rPr>
          <w:i/>
          <w:w w:val="125"/>
          <w:sz w:val="18"/>
        </w:rPr>
        <w:t>Módosította: 2017. évi LXIX. törvény 178. §</w:t>
      </w:r>
      <w:r>
        <w:rPr>
          <w:i/>
          <w:spacing w:val="-4"/>
          <w:w w:val="125"/>
          <w:sz w:val="18"/>
        </w:rPr>
        <w:t> </w:t>
      </w:r>
      <w:r>
        <w:rPr>
          <w:i/>
          <w:w w:val="125"/>
          <w:sz w:val="18"/>
        </w:rPr>
        <w:t>d).</w:t>
      </w:r>
    </w:p>
    <w:p>
      <w:pPr>
        <w:pStyle w:val="ListParagraph"/>
        <w:numPr>
          <w:ilvl w:val="0"/>
          <w:numId w:val="442"/>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170. §. Hatályos: 2017. VII.</w:t>
      </w:r>
      <w:r>
        <w:rPr>
          <w:i/>
          <w:spacing w:val="-19"/>
          <w:w w:val="125"/>
          <w:sz w:val="18"/>
        </w:rPr>
        <w:t> </w:t>
      </w:r>
      <w:r>
        <w:rPr>
          <w:i/>
          <w:w w:val="125"/>
          <w:sz w:val="18"/>
        </w:rPr>
        <w:t>1-től.</w:t>
      </w:r>
    </w:p>
    <w:p>
      <w:pPr>
        <w:pStyle w:val="ListParagraph"/>
        <w:numPr>
          <w:ilvl w:val="0"/>
          <w:numId w:val="44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2015.</w:t>
      </w:r>
      <w:r>
        <w:rPr>
          <w:i/>
          <w:spacing w:val="8"/>
          <w:w w:val="120"/>
          <w:sz w:val="18"/>
        </w:rPr>
        <w:t> </w:t>
      </w:r>
      <w:r>
        <w:rPr>
          <w:i/>
          <w:w w:val="120"/>
          <w:sz w:val="18"/>
        </w:rPr>
        <w:t>évi</w:t>
      </w:r>
      <w:r>
        <w:rPr>
          <w:i/>
          <w:spacing w:val="8"/>
          <w:w w:val="120"/>
          <w:sz w:val="18"/>
        </w:rPr>
        <w:t> </w:t>
      </w:r>
      <w:r>
        <w:rPr>
          <w:i/>
          <w:w w:val="120"/>
          <w:sz w:val="18"/>
        </w:rPr>
        <w:t>LXXXV.</w:t>
      </w:r>
      <w:r>
        <w:rPr>
          <w:i/>
          <w:spacing w:val="8"/>
          <w:w w:val="120"/>
          <w:sz w:val="18"/>
        </w:rPr>
        <w:t> </w:t>
      </w:r>
      <w:r>
        <w:rPr>
          <w:i/>
          <w:w w:val="120"/>
          <w:sz w:val="18"/>
        </w:rPr>
        <w:t>törvény</w:t>
      </w:r>
      <w:r>
        <w:rPr>
          <w:i/>
          <w:spacing w:val="8"/>
          <w:w w:val="120"/>
          <w:sz w:val="18"/>
        </w:rPr>
        <w:t> </w:t>
      </w:r>
      <w:r>
        <w:rPr>
          <w:i/>
          <w:w w:val="120"/>
          <w:sz w:val="18"/>
        </w:rPr>
        <w:t>238.</w:t>
      </w:r>
      <w:r>
        <w:rPr>
          <w:i/>
          <w:spacing w:val="8"/>
          <w:w w:val="120"/>
          <w:sz w:val="18"/>
        </w:rPr>
        <w:t> </w:t>
      </w:r>
      <w:r>
        <w:rPr>
          <w:i/>
          <w:w w:val="120"/>
          <w:sz w:val="18"/>
        </w:rPr>
        <w:t>§</w:t>
      </w:r>
      <w:r>
        <w:rPr>
          <w:i/>
          <w:spacing w:val="9"/>
          <w:w w:val="120"/>
          <w:sz w:val="18"/>
        </w:rPr>
        <w:t> </w:t>
      </w:r>
      <w:r>
        <w:rPr>
          <w:i/>
          <w:w w:val="120"/>
          <w:sz w:val="18"/>
        </w:rPr>
        <w:t>(1).</w:t>
      </w:r>
      <w:r>
        <w:rPr>
          <w:i/>
          <w:spacing w:val="9"/>
          <w:w w:val="120"/>
          <w:sz w:val="18"/>
        </w:rPr>
        <w:t> </w:t>
      </w:r>
      <w:r>
        <w:rPr>
          <w:i/>
          <w:w w:val="120"/>
          <w:sz w:val="18"/>
        </w:rPr>
        <w:t>Hatálytalan:</w:t>
      </w:r>
      <w:r>
        <w:rPr>
          <w:i/>
          <w:spacing w:val="9"/>
          <w:w w:val="120"/>
          <w:sz w:val="18"/>
        </w:rPr>
        <w:t> </w:t>
      </w:r>
      <w:r>
        <w:rPr>
          <w:i/>
          <w:w w:val="120"/>
          <w:sz w:val="18"/>
        </w:rPr>
        <w:t>2015.</w:t>
      </w:r>
      <w:r>
        <w:rPr>
          <w:i/>
          <w:spacing w:val="7"/>
          <w:w w:val="120"/>
          <w:sz w:val="18"/>
        </w:rPr>
        <w:t> </w:t>
      </w:r>
      <w:r>
        <w:rPr>
          <w:i/>
          <w:w w:val="120"/>
          <w:sz w:val="18"/>
        </w:rPr>
        <w:t>VII.</w:t>
      </w:r>
      <w:r>
        <w:rPr>
          <w:i/>
          <w:spacing w:val="9"/>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BodyText"/>
        <w:spacing w:line="268" w:lineRule="exact" w:before="159"/>
        <w:ind w:left="317" w:firstLine="0"/>
      </w:pPr>
      <w:r>
        <w:rPr>
          <w:i/>
          <w:w w:val="125"/>
        </w:rPr>
        <w:t>bg) </w:t>
      </w:r>
      <w:r>
        <w:rPr>
          <w:w w:val="125"/>
        </w:rPr>
        <w:t>más könyvvizsgáló választására;</w:t>
      </w:r>
    </w:p>
    <w:p>
      <w:pPr>
        <w:pStyle w:val="ListParagraph"/>
        <w:numPr>
          <w:ilvl w:val="0"/>
          <w:numId w:val="441"/>
        </w:numPr>
        <w:tabs>
          <w:tab w:pos="623" w:val="left" w:leader="none"/>
        </w:tabs>
        <w:spacing w:line="260" w:lineRule="exact" w:before="0" w:after="0"/>
        <w:ind w:left="622" w:right="0" w:hanging="305"/>
        <w:jc w:val="left"/>
        <w:rPr>
          <w:sz w:val="24"/>
        </w:rPr>
      </w:pPr>
      <w:r>
        <w:rPr>
          <w:w w:val="130"/>
          <w:sz w:val="24"/>
        </w:rPr>
        <w:t>megtilthatja, korlátozhatja vagy feltételhez</w:t>
      </w:r>
      <w:r>
        <w:rPr>
          <w:spacing w:val="-24"/>
          <w:w w:val="130"/>
          <w:sz w:val="24"/>
        </w:rPr>
        <w:t> </w:t>
      </w:r>
      <w:r>
        <w:rPr>
          <w:w w:val="130"/>
          <w:sz w:val="24"/>
        </w:rPr>
        <w:t>kötheti</w:t>
      </w:r>
    </w:p>
    <w:p>
      <w:pPr>
        <w:pStyle w:val="BodyText"/>
        <w:spacing w:line="260" w:lineRule="exact"/>
        <w:ind w:left="317" w:firstLine="0"/>
      </w:pPr>
      <w:r>
        <w:rPr>
          <w:i/>
          <w:w w:val="125"/>
        </w:rPr>
        <w:t>ca) </w:t>
      </w:r>
      <w:r>
        <w:rPr>
          <w:w w:val="125"/>
        </w:rPr>
        <w:t>az osztalék kifizetését,</w:t>
      </w:r>
    </w:p>
    <w:p>
      <w:pPr>
        <w:pStyle w:val="BodyText"/>
        <w:spacing w:line="260" w:lineRule="exact"/>
        <w:ind w:left="317" w:firstLine="0"/>
      </w:pPr>
      <w:r>
        <w:rPr>
          <w:i/>
          <w:w w:val="125"/>
        </w:rPr>
        <w:t>cb) </w:t>
      </w:r>
      <w:r>
        <w:rPr>
          <w:w w:val="125"/>
        </w:rPr>
        <w:t>a vezető tisztségviselők díjainak kifizetését,</w:t>
      </w:r>
    </w:p>
    <w:p>
      <w:pPr>
        <w:pStyle w:val="BodyText"/>
        <w:spacing w:line="225" w:lineRule="auto" w:before="6"/>
      </w:pPr>
      <w:r>
        <w:rPr>
          <w:i/>
          <w:w w:val="125"/>
        </w:rPr>
        <w:t>cc) </w:t>
      </w:r>
      <w:r>
        <w:rPr>
          <w:w w:val="125"/>
        </w:rPr>
        <w:t>a pénzügyi intézmény tulajdonosainak kölcsönfelvételét vagy, hogy a hitelintézet részükre kockázatvállalással járó szolgáltatást nyújtson,</w:t>
      </w:r>
    </w:p>
    <w:p>
      <w:pPr>
        <w:pStyle w:val="BodyText"/>
        <w:tabs>
          <w:tab w:pos="925" w:val="left" w:leader="none"/>
          <w:tab w:pos="1295" w:val="left" w:leader="none"/>
          <w:tab w:pos="2202" w:val="left" w:leader="none"/>
          <w:tab w:pos="2693" w:val="left" w:leader="none"/>
          <w:tab w:pos="3063" w:val="left" w:leader="none"/>
          <w:tab w:pos="4074" w:val="left" w:leader="none"/>
          <w:tab w:pos="6076" w:val="left" w:leader="none"/>
          <w:tab w:pos="7807" w:val="left" w:leader="none"/>
          <w:tab w:pos="8873" w:val="left" w:leader="none"/>
        </w:tabs>
        <w:spacing w:line="225" w:lineRule="auto" w:before="1"/>
        <w:ind w:right="139"/>
      </w:pPr>
      <w:r>
        <w:rPr>
          <w:i/>
          <w:w w:val="125"/>
        </w:rPr>
        <w:t>cd)</w:t>
        <w:tab/>
      </w:r>
      <w:r>
        <w:rPr>
          <w:w w:val="125"/>
        </w:rPr>
        <w:t>a</w:t>
        <w:tab/>
        <w:t>tagok</w:t>
        <w:tab/>
        <w:t>és</w:t>
        <w:tab/>
        <w:t>a</w:t>
        <w:tab/>
        <w:t>vezető</w:t>
        <w:tab/>
        <w:t>tisztségviselők</w:t>
        <w:tab/>
        <w:t>érdekeltségi</w:t>
        <w:tab/>
        <w:t>körébe</w:t>
        <w:tab/>
      </w:r>
      <w:r>
        <w:rPr>
          <w:spacing w:val="-3"/>
          <w:w w:val="125"/>
        </w:rPr>
        <w:t>tartozó </w:t>
      </w:r>
      <w:r>
        <w:rPr>
          <w:w w:val="125"/>
        </w:rPr>
        <w:t>vállalkozások részére a pénzügyi intézmény által történő kölcsön</w:t>
      </w:r>
      <w:r>
        <w:rPr>
          <w:spacing w:val="44"/>
          <w:w w:val="125"/>
        </w:rPr>
        <w:t> </w:t>
      </w:r>
      <w:r>
        <w:rPr>
          <w:w w:val="125"/>
        </w:rPr>
        <w:t>nyújtását,</w:t>
      </w:r>
    </w:p>
    <w:p>
      <w:pPr>
        <w:pStyle w:val="BodyText"/>
        <w:spacing w:line="225" w:lineRule="auto" w:before="1"/>
      </w:pPr>
      <w:r>
        <w:rPr>
          <w:i/>
          <w:w w:val="125"/>
        </w:rPr>
        <w:t>ce) </w:t>
      </w:r>
      <w:r>
        <w:rPr>
          <w:w w:val="125"/>
        </w:rPr>
        <w:t>a hitel- vagy kölcsönszerződésekben foglalt határidők meghosszabbítását (prolongálását),</w:t>
      </w:r>
    </w:p>
    <w:p>
      <w:pPr>
        <w:pStyle w:val="BodyText"/>
        <w:spacing w:line="225" w:lineRule="auto" w:before="1"/>
      </w:pPr>
      <w:r>
        <w:rPr>
          <w:i/>
          <w:w w:val="125"/>
        </w:rPr>
        <w:t>cf) </w:t>
      </w:r>
      <w:r>
        <w:rPr>
          <w:w w:val="125"/>
        </w:rPr>
        <w:t>az egyes pénzügyi szolgáltatási tevékenységek vagy kiegészítő pénzügyi szolgáltatási tevékenységek végzését,</w:t>
      </w:r>
    </w:p>
    <w:p>
      <w:pPr>
        <w:pStyle w:val="BodyText"/>
        <w:spacing w:line="225" w:lineRule="auto" w:before="1"/>
        <w:ind w:right="133"/>
      </w:pPr>
      <w:r>
        <w:rPr>
          <w:i/>
          <w:w w:val="125"/>
        </w:rPr>
        <w:t>cg) </w:t>
      </w:r>
      <w:r>
        <w:rPr>
          <w:w w:val="125"/>
        </w:rPr>
        <w:t>fiókok megnyitását, új pénzügyi szolgáltatások megkezdését,  valamint egy pénzügyi szolgáltatáson belül új tevékenység (új üzletág)</w:t>
      </w:r>
      <w:r>
        <w:rPr>
          <w:spacing w:val="42"/>
          <w:w w:val="125"/>
        </w:rPr>
        <w:t> </w:t>
      </w:r>
      <w:r>
        <w:rPr>
          <w:w w:val="125"/>
        </w:rPr>
        <w:t>megkezdését;</w:t>
      </w:r>
    </w:p>
    <w:p>
      <w:pPr>
        <w:pStyle w:val="ListParagraph"/>
        <w:numPr>
          <w:ilvl w:val="0"/>
          <w:numId w:val="441"/>
        </w:numPr>
        <w:tabs>
          <w:tab w:pos="886" w:val="left" w:leader="none"/>
        </w:tabs>
        <w:spacing w:line="225" w:lineRule="auto" w:before="1" w:after="0"/>
        <w:ind w:left="113" w:right="130" w:firstLine="204"/>
        <w:jc w:val="both"/>
        <w:rPr>
          <w:sz w:val="24"/>
        </w:rPr>
      </w:pPr>
      <w:r>
        <w:rPr>
          <w:w w:val="130"/>
          <w:sz w:val="24"/>
        </w:rPr>
        <w:t>a teljesítményjavadalmazás nettó bevétel százalékában történő meghatározására kötelezheti a hitelintézetet, ha a teljesítményjavadalmazás nincs összhangban a prudenciális</w:t>
      </w:r>
      <w:r>
        <w:rPr>
          <w:spacing w:val="-14"/>
          <w:w w:val="130"/>
          <w:sz w:val="24"/>
        </w:rPr>
        <w:t> </w:t>
      </w:r>
      <w:r>
        <w:rPr>
          <w:w w:val="130"/>
          <w:sz w:val="24"/>
        </w:rPr>
        <w:t>követelményekkel;</w:t>
      </w:r>
    </w:p>
    <w:p>
      <w:pPr>
        <w:pStyle w:val="ListParagraph"/>
        <w:numPr>
          <w:ilvl w:val="0"/>
          <w:numId w:val="441"/>
        </w:numPr>
        <w:tabs>
          <w:tab w:pos="555" w:val="left" w:leader="none"/>
        </w:tabs>
        <w:spacing w:line="250" w:lineRule="exact" w:before="0" w:after="0"/>
        <w:ind w:left="554" w:right="0" w:hanging="237"/>
        <w:jc w:val="left"/>
        <w:rPr>
          <w:sz w:val="24"/>
        </w:rPr>
      </w:pPr>
      <w:r>
        <w:rPr>
          <w:i/>
          <w:w w:val="125"/>
          <w:position w:val="3"/>
          <w:sz w:val="18"/>
        </w:rPr>
        <w:t>1 </w:t>
      </w:r>
      <w:r>
        <w:rPr>
          <w:w w:val="125"/>
          <w:sz w:val="24"/>
        </w:rPr>
        <w:t>kötelezheti a hitelintézetet a 114. § szerinti helyreállítási terv</w:t>
      </w:r>
      <w:r>
        <w:rPr>
          <w:spacing w:val="73"/>
          <w:w w:val="125"/>
          <w:sz w:val="24"/>
        </w:rPr>
        <w:t> </w:t>
      </w:r>
      <w:r>
        <w:rPr>
          <w:w w:val="125"/>
          <w:sz w:val="24"/>
        </w:rPr>
        <w:t>életbe</w:t>
      </w:r>
    </w:p>
    <w:p>
      <w:pPr>
        <w:pStyle w:val="BodyText"/>
        <w:spacing w:line="225" w:lineRule="auto" w:before="12"/>
        <w:ind w:right="124" w:firstLine="0"/>
        <w:jc w:val="both"/>
      </w:pPr>
      <w:r>
        <w:rPr>
          <w:w w:val="125"/>
        </w:rPr>
        <w:t>léptetésére, az abban foglalt lépések alkalmazására, vagy - ha a Felügyelet   által alkalmazandó intézkedést kiváltó esemény eltér a helyreállítási tervben foglalt feltételezéstől - a helyreállítási terv harminc napon belül történő felülvizsgálatára és a módosított helyreállítási tervben foglalt lépések megtételére.</w:t>
      </w:r>
    </w:p>
    <w:p>
      <w:pPr>
        <w:spacing w:line="257" w:lineRule="exact" w:before="0"/>
        <w:ind w:left="317" w:right="0" w:firstLine="0"/>
        <w:jc w:val="left"/>
        <w:rPr>
          <w:i/>
          <w:sz w:val="18"/>
        </w:rPr>
      </w:pPr>
      <w:r>
        <w:rPr>
          <w:w w:val="125"/>
          <w:sz w:val="24"/>
        </w:rPr>
        <w:t>(3)</w:t>
      </w:r>
      <w:r>
        <w:rPr>
          <w:i/>
          <w:w w:val="125"/>
          <w:position w:val="3"/>
          <w:sz w:val="18"/>
        </w:rPr>
        <w:t>2</w:t>
      </w:r>
    </w:p>
    <w:p>
      <w:pPr>
        <w:pStyle w:val="ListParagraph"/>
        <w:numPr>
          <w:ilvl w:val="0"/>
          <w:numId w:val="443"/>
        </w:numPr>
        <w:tabs>
          <w:tab w:pos="895" w:val="left" w:leader="none"/>
        </w:tabs>
        <w:spacing w:line="225" w:lineRule="auto" w:before="5" w:after="0"/>
        <w:ind w:left="113" w:right="121" w:firstLine="204"/>
        <w:jc w:val="both"/>
        <w:rPr>
          <w:sz w:val="24"/>
        </w:rPr>
      </w:pPr>
      <w:r>
        <w:rPr>
          <w:w w:val="130"/>
          <w:sz w:val="24"/>
        </w:rPr>
        <w:t>Ha a fióktelep formájában működő hitelintézet eszközfenntartási mutatója száz százalék alá csökken, a Felügyelet kötelezi a külföldi hitelintézetet, hogy harminc napon belül feleljen meg a fióktelep az eszközfenntartási mutatóra vonatkozó</w:t>
      </w:r>
      <w:r>
        <w:rPr>
          <w:spacing w:val="-20"/>
          <w:w w:val="130"/>
          <w:sz w:val="24"/>
        </w:rPr>
        <w:t> </w:t>
      </w:r>
      <w:r>
        <w:rPr>
          <w:w w:val="130"/>
          <w:sz w:val="24"/>
        </w:rPr>
        <w:t>előírásoknak.</w:t>
      </w:r>
    </w:p>
    <w:p>
      <w:pPr>
        <w:pStyle w:val="ListParagraph"/>
        <w:numPr>
          <w:ilvl w:val="0"/>
          <w:numId w:val="443"/>
        </w:numPr>
        <w:tabs>
          <w:tab w:pos="659" w:val="left" w:leader="none"/>
        </w:tabs>
        <w:spacing w:line="251" w:lineRule="exact" w:before="0" w:after="0"/>
        <w:ind w:left="658" w:right="0" w:hanging="341"/>
        <w:jc w:val="left"/>
        <w:rPr>
          <w:sz w:val="24"/>
        </w:rPr>
      </w:pPr>
      <w:r>
        <w:rPr>
          <w:i/>
          <w:w w:val="130"/>
          <w:position w:val="3"/>
          <w:sz w:val="18"/>
        </w:rPr>
        <w:t>3</w:t>
      </w:r>
      <w:r>
        <w:rPr>
          <w:i/>
          <w:spacing w:val="9"/>
          <w:w w:val="130"/>
          <w:position w:val="3"/>
          <w:sz w:val="18"/>
        </w:rPr>
        <w:t> </w:t>
      </w:r>
      <w:r>
        <w:rPr>
          <w:w w:val="130"/>
          <w:sz w:val="24"/>
        </w:rPr>
        <w:t>Ha</w:t>
      </w:r>
      <w:r>
        <w:rPr>
          <w:spacing w:val="30"/>
          <w:w w:val="130"/>
          <w:sz w:val="24"/>
        </w:rPr>
        <w:t> </w:t>
      </w:r>
      <w:r>
        <w:rPr>
          <w:w w:val="130"/>
          <w:sz w:val="24"/>
        </w:rPr>
        <w:t>a</w:t>
      </w:r>
      <w:r>
        <w:rPr>
          <w:spacing w:val="29"/>
          <w:w w:val="130"/>
          <w:sz w:val="24"/>
        </w:rPr>
        <w:t> </w:t>
      </w:r>
      <w:r>
        <w:rPr>
          <w:w w:val="130"/>
          <w:sz w:val="24"/>
        </w:rPr>
        <w:t>hitelintézet</w:t>
      </w:r>
      <w:r>
        <w:rPr>
          <w:spacing w:val="29"/>
          <w:w w:val="130"/>
          <w:sz w:val="24"/>
        </w:rPr>
        <w:t> </w:t>
      </w:r>
      <w:r>
        <w:rPr>
          <w:w w:val="130"/>
          <w:sz w:val="24"/>
        </w:rPr>
        <w:t>a</w:t>
      </w:r>
      <w:r>
        <w:rPr>
          <w:spacing w:val="29"/>
          <w:w w:val="130"/>
          <w:sz w:val="24"/>
        </w:rPr>
        <w:t> </w:t>
      </w:r>
      <w:r>
        <w:rPr>
          <w:w w:val="130"/>
          <w:sz w:val="24"/>
        </w:rPr>
        <w:t>Felügyelet</w:t>
      </w:r>
      <w:r>
        <w:rPr>
          <w:spacing w:val="30"/>
          <w:w w:val="130"/>
          <w:sz w:val="24"/>
        </w:rPr>
        <w:t> </w:t>
      </w:r>
      <w:r>
        <w:rPr>
          <w:w w:val="130"/>
          <w:sz w:val="24"/>
        </w:rPr>
        <w:t>határozata</w:t>
      </w:r>
      <w:r>
        <w:rPr>
          <w:spacing w:val="29"/>
          <w:w w:val="130"/>
          <w:sz w:val="24"/>
        </w:rPr>
        <w:t> </w:t>
      </w:r>
      <w:r>
        <w:rPr>
          <w:w w:val="130"/>
          <w:sz w:val="24"/>
        </w:rPr>
        <w:t>ellenére</w:t>
      </w:r>
      <w:r>
        <w:rPr>
          <w:spacing w:val="29"/>
          <w:w w:val="130"/>
          <w:sz w:val="24"/>
        </w:rPr>
        <w:t> </w:t>
      </w:r>
      <w:r>
        <w:rPr>
          <w:w w:val="130"/>
          <w:sz w:val="24"/>
        </w:rPr>
        <w:t>nem</w:t>
      </w:r>
      <w:r>
        <w:rPr>
          <w:spacing w:val="29"/>
          <w:w w:val="130"/>
          <w:sz w:val="24"/>
        </w:rPr>
        <w:t> </w:t>
      </w:r>
      <w:r>
        <w:rPr>
          <w:w w:val="130"/>
          <w:sz w:val="24"/>
        </w:rPr>
        <w:t>nyújt</w:t>
      </w:r>
      <w:r>
        <w:rPr>
          <w:spacing w:val="30"/>
          <w:w w:val="130"/>
          <w:sz w:val="24"/>
        </w:rPr>
        <w:t> </w:t>
      </w:r>
      <w:r>
        <w:rPr>
          <w:w w:val="130"/>
          <w:sz w:val="24"/>
        </w:rPr>
        <w:t>be</w:t>
      </w:r>
    </w:p>
    <w:p>
      <w:pPr>
        <w:pStyle w:val="BodyText"/>
        <w:spacing w:line="225" w:lineRule="auto" w:before="12"/>
        <w:ind w:right="126" w:firstLine="0"/>
        <w:jc w:val="both"/>
      </w:pPr>
      <w:r>
        <w:rPr>
          <w:w w:val="130"/>
        </w:rPr>
        <w:t>átdolgozott helyreállítási tervet vagy az átdolgozott helyreállítási terv nem</w:t>
      </w:r>
      <w:r>
        <w:rPr>
          <w:spacing w:val="78"/>
          <w:w w:val="130"/>
        </w:rPr>
        <w:t> </w:t>
      </w:r>
      <w:r>
        <w:rPr>
          <w:w w:val="130"/>
        </w:rPr>
        <w:t>orvosolja a határozatban foglalt hiányosságokat, a Felügyelet kötelezheti a hitelintézetet</w:t>
      </w:r>
    </w:p>
    <w:p>
      <w:pPr>
        <w:pStyle w:val="ListParagraph"/>
        <w:numPr>
          <w:ilvl w:val="0"/>
          <w:numId w:val="444"/>
        </w:numPr>
        <w:tabs>
          <w:tab w:pos="631" w:val="left" w:leader="none"/>
        </w:tabs>
        <w:spacing w:line="256" w:lineRule="exact" w:before="0" w:after="0"/>
        <w:ind w:left="630" w:right="0" w:hanging="313"/>
        <w:jc w:val="left"/>
        <w:rPr>
          <w:sz w:val="24"/>
        </w:rPr>
      </w:pPr>
      <w:r>
        <w:rPr>
          <w:w w:val="120"/>
          <w:sz w:val="24"/>
        </w:rPr>
        <w:t>kockázatvállalásának</w:t>
      </w:r>
      <w:r>
        <w:rPr>
          <w:spacing w:val="31"/>
          <w:w w:val="120"/>
          <w:sz w:val="24"/>
        </w:rPr>
        <w:t> </w:t>
      </w:r>
      <w:r>
        <w:rPr>
          <w:w w:val="120"/>
          <w:sz w:val="24"/>
        </w:rPr>
        <w:t>-</w:t>
      </w:r>
      <w:r>
        <w:rPr>
          <w:spacing w:val="32"/>
          <w:w w:val="120"/>
          <w:sz w:val="24"/>
        </w:rPr>
        <w:t> </w:t>
      </w:r>
      <w:r>
        <w:rPr>
          <w:w w:val="120"/>
          <w:sz w:val="24"/>
        </w:rPr>
        <w:t>ideértve</w:t>
      </w:r>
      <w:r>
        <w:rPr>
          <w:spacing w:val="32"/>
          <w:w w:val="120"/>
          <w:sz w:val="24"/>
        </w:rPr>
        <w:t> </w:t>
      </w:r>
      <w:r>
        <w:rPr>
          <w:w w:val="120"/>
          <w:sz w:val="24"/>
        </w:rPr>
        <w:t>a</w:t>
      </w:r>
      <w:r>
        <w:rPr>
          <w:spacing w:val="55"/>
          <w:w w:val="120"/>
          <w:sz w:val="24"/>
        </w:rPr>
        <w:t> </w:t>
      </w:r>
      <w:r>
        <w:rPr>
          <w:w w:val="120"/>
          <w:sz w:val="24"/>
        </w:rPr>
        <w:t>likviditási</w:t>
      </w:r>
      <w:r>
        <w:rPr>
          <w:spacing w:val="8"/>
          <w:w w:val="120"/>
          <w:sz w:val="24"/>
        </w:rPr>
        <w:t> </w:t>
      </w:r>
      <w:r>
        <w:rPr>
          <w:w w:val="120"/>
          <w:sz w:val="24"/>
        </w:rPr>
        <w:t>kockázatot</w:t>
      </w:r>
      <w:r>
        <w:rPr>
          <w:spacing w:val="32"/>
          <w:w w:val="120"/>
          <w:sz w:val="24"/>
        </w:rPr>
        <w:t> </w:t>
      </w:r>
      <w:r>
        <w:rPr>
          <w:w w:val="120"/>
          <w:sz w:val="24"/>
        </w:rPr>
        <w:t>is</w:t>
      </w:r>
      <w:r>
        <w:rPr>
          <w:spacing w:val="32"/>
          <w:w w:val="120"/>
          <w:sz w:val="24"/>
        </w:rPr>
        <w:t> </w:t>
      </w:r>
      <w:r>
        <w:rPr>
          <w:w w:val="120"/>
          <w:sz w:val="24"/>
        </w:rPr>
        <w:t>-</w:t>
      </w:r>
      <w:r>
        <w:rPr>
          <w:spacing w:val="32"/>
          <w:w w:val="120"/>
          <w:sz w:val="24"/>
        </w:rPr>
        <w:t> </w:t>
      </w:r>
      <w:r>
        <w:rPr>
          <w:w w:val="120"/>
          <w:sz w:val="24"/>
        </w:rPr>
        <w:t>mérséklésére,</w:t>
      </w:r>
    </w:p>
    <w:p>
      <w:pPr>
        <w:pStyle w:val="ListParagraph"/>
        <w:numPr>
          <w:ilvl w:val="0"/>
          <w:numId w:val="444"/>
        </w:numPr>
        <w:tabs>
          <w:tab w:pos="775" w:val="left" w:leader="none"/>
          <w:tab w:pos="776" w:val="left" w:leader="none"/>
          <w:tab w:pos="1254" w:val="left" w:leader="none"/>
          <w:tab w:pos="2603" w:val="left" w:leader="none"/>
          <w:tab w:pos="4525" w:val="left" w:leader="none"/>
          <w:tab w:pos="5351" w:val="left" w:leader="none"/>
          <w:tab w:pos="6471" w:val="left" w:leader="none"/>
          <w:tab w:pos="7814" w:val="left" w:leader="none"/>
        </w:tabs>
        <w:spacing w:line="225" w:lineRule="auto" w:before="5" w:after="0"/>
        <w:ind w:left="113" w:right="133" w:firstLine="204"/>
        <w:jc w:val="left"/>
        <w:rPr>
          <w:sz w:val="24"/>
        </w:rPr>
      </w:pPr>
      <w:r>
        <w:rPr>
          <w:w w:val="125"/>
          <w:sz w:val="24"/>
        </w:rPr>
        <w:t>az</w:t>
        <w:tab/>
        <w:t>esetleges</w:t>
        <w:tab/>
        <w:t>tőkeemelésről</w:t>
        <w:tab/>
        <w:t>szóló</w:t>
        <w:tab/>
        <w:t>döntést</w:t>
        <w:tab/>
        <w:t>korlátozó</w:t>
        <w:tab/>
      </w:r>
      <w:r>
        <w:rPr>
          <w:spacing w:val="-1"/>
          <w:w w:val="125"/>
          <w:sz w:val="24"/>
        </w:rPr>
        <w:t>szabályzatainak </w:t>
      </w:r>
      <w:r>
        <w:rPr>
          <w:w w:val="125"/>
          <w:sz w:val="24"/>
        </w:rPr>
        <w:t>felülvizsgálatára,</w:t>
      </w:r>
    </w:p>
    <w:p>
      <w:pPr>
        <w:pStyle w:val="ListParagraph"/>
        <w:numPr>
          <w:ilvl w:val="0"/>
          <w:numId w:val="444"/>
        </w:numPr>
        <w:tabs>
          <w:tab w:pos="623" w:val="left" w:leader="none"/>
        </w:tabs>
        <w:spacing w:line="256" w:lineRule="exact" w:before="0" w:after="0"/>
        <w:ind w:left="622" w:right="0" w:hanging="305"/>
        <w:jc w:val="left"/>
        <w:rPr>
          <w:sz w:val="24"/>
        </w:rPr>
      </w:pPr>
      <w:r>
        <w:rPr>
          <w:w w:val="130"/>
          <w:sz w:val="24"/>
        </w:rPr>
        <w:t>irányítási rendszerének</w:t>
      </w:r>
      <w:r>
        <w:rPr>
          <w:spacing w:val="-9"/>
          <w:w w:val="130"/>
          <w:sz w:val="24"/>
        </w:rPr>
        <w:t> </w:t>
      </w:r>
      <w:r>
        <w:rPr>
          <w:w w:val="130"/>
          <w:sz w:val="24"/>
        </w:rPr>
        <w:t>felülvizsgálatára,</w:t>
      </w:r>
    </w:p>
    <w:p>
      <w:pPr>
        <w:pStyle w:val="ListParagraph"/>
        <w:numPr>
          <w:ilvl w:val="0"/>
          <w:numId w:val="444"/>
        </w:numPr>
        <w:tabs>
          <w:tab w:pos="690" w:val="left" w:leader="none"/>
        </w:tabs>
        <w:spacing w:line="225" w:lineRule="auto" w:before="6" w:after="0"/>
        <w:ind w:left="113" w:right="127" w:firstLine="204"/>
        <w:jc w:val="left"/>
        <w:rPr>
          <w:sz w:val="24"/>
        </w:rPr>
      </w:pPr>
      <w:r>
        <w:rPr>
          <w:w w:val="125"/>
          <w:sz w:val="24"/>
        </w:rPr>
        <w:t>forrásbevonási stratégiájának a fő üzletágak, kritikus funkciók ellenálló képessége növelése érdekében történő</w:t>
      </w:r>
      <w:r>
        <w:rPr>
          <w:spacing w:val="15"/>
          <w:w w:val="125"/>
          <w:sz w:val="24"/>
        </w:rPr>
        <w:t> </w:t>
      </w:r>
      <w:r>
        <w:rPr>
          <w:w w:val="125"/>
          <w:sz w:val="24"/>
        </w:rPr>
        <w:t>felülvizsgálatára.</w:t>
      </w:r>
    </w:p>
    <w:p>
      <w:pPr>
        <w:pStyle w:val="ListParagraph"/>
        <w:numPr>
          <w:ilvl w:val="0"/>
          <w:numId w:val="387"/>
        </w:numPr>
        <w:tabs>
          <w:tab w:pos="1066" w:val="left" w:leader="none"/>
        </w:tabs>
        <w:spacing w:line="225" w:lineRule="auto" w:before="0" w:after="0"/>
        <w:ind w:left="113" w:right="128" w:firstLine="204"/>
        <w:jc w:val="left"/>
        <w:rPr>
          <w:sz w:val="24"/>
        </w:rPr>
      </w:pPr>
      <w:r>
        <w:rPr>
          <w:rFonts w:ascii="Arial" w:hAnsi="Arial"/>
          <w:b/>
          <w:w w:val="120"/>
          <w:sz w:val="24"/>
        </w:rPr>
        <w:t>§ </w:t>
      </w:r>
      <w:r>
        <w:rPr>
          <w:w w:val="120"/>
          <w:sz w:val="24"/>
        </w:rPr>
        <w:t>(1) A Felügyelet  a  hitelintézet  számára  többlettőke-követelményt  írhat elő,</w:t>
      </w:r>
      <w:r>
        <w:rPr>
          <w:spacing w:val="7"/>
          <w:w w:val="120"/>
          <w:sz w:val="24"/>
        </w:rPr>
        <w:t> </w:t>
      </w:r>
      <w:r>
        <w:rPr>
          <w:w w:val="120"/>
          <w:sz w:val="24"/>
        </w:rPr>
        <w:t>ha</w:t>
      </w:r>
    </w:p>
    <w:p>
      <w:pPr>
        <w:pStyle w:val="ListParagraph"/>
        <w:numPr>
          <w:ilvl w:val="0"/>
          <w:numId w:val="445"/>
        </w:numPr>
        <w:tabs>
          <w:tab w:pos="805" w:val="left" w:leader="none"/>
        </w:tabs>
        <w:spacing w:line="225" w:lineRule="auto" w:before="1" w:after="0"/>
        <w:ind w:left="113" w:right="131" w:firstLine="204"/>
        <w:jc w:val="both"/>
        <w:rPr>
          <w:sz w:val="24"/>
        </w:rPr>
      </w:pPr>
      <w:r>
        <w:rPr>
          <w:w w:val="125"/>
          <w:sz w:val="24"/>
        </w:rPr>
        <w:t>a hitelintézet nem teljesíti a belső tőkemegfelelési eljárásra, a helyreállítási tervre vagy a nagykockázat vállalására vonatkozó követelményeket,</w:t>
      </w:r>
    </w:p>
    <w:p>
      <w:pPr>
        <w:pStyle w:val="ListParagraph"/>
        <w:numPr>
          <w:ilvl w:val="0"/>
          <w:numId w:val="445"/>
        </w:numPr>
        <w:tabs>
          <w:tab w:pos="653" w:val="left" w:leader="none"/>
        </w:tabs>
        <w:spacing w:line="256" w:lineRule="exact" w:before="0" w:after="0"/>
        <w:ind w:left="652" w:right="0" w:hanging="335"/>
        <w:jc w:val="left"/>
        <w:rPr>
          <w:sz w:val="24"/>
        </w:rPr>
      </w:pPr>
      <w:r>
        <w:rPr>
          <w:w w:val="125"/>
          <w:sz w:val="24"/>
        </w:rPr>
        <w:t>a hitelintézet tőkekövetelménye nem fedez egyes</w:t>
      </w:r>
      <w:r>
        <w:rPr>
          <w:spacing w:val="9"/>
          <w:w w:val="125"/>
          <w:sz w:val="24"/>
        </w:rPr>
        <w:t> </w:t>
      </w:r>
      <w:r>
        <w:rPr>
          <w:w w:val="125"/>
          <w:sz w:val="24"/>
        </w:rPr>
        <w:t>kockázatokat,</w:t>
      </w:r>
    </w:p>
    <w:p>
      <w:pPr>
        <w:pStyle w:val="ListParagraph"/>
        <w:numPr>
          <w:ilvl w:val="0"/>
          <w:numId w:val="445"/>
        </w:numPr>
        <w:tabs>
          <w:tab w:pos="744" w:val="left" w:leader="none"/>
        </w:tabs>
        <w:spacing w:line="225" w:lineRule="auto" w:before="5" w:after="0"/>
        <w:ind w:left="113" w:right="132" w:firstLine="204"/>
        <w:jc w:val="left"/>
        <w:rPr>
          <w:sz w:val="24"/>
        </w:rPr>
      </w:pPr>
      <w:r>
        <w:rPr>
          <w:w w:val="130"/>
          <w:sz w:val="24"/>
        </w:rPr>
        <w:t>a már alkalmazott intézkedések előreláthatóan nem javítanak kellő mértékben a hitelintézet rendszerein, eljárásain vagy</w:t>
      </w:r>
      <w:r>
        <w:rPr>
          <w:spacing w:val="-31"/>
          <w:w w:val="130"/>
          <w:sz w:val="24"/>
        </w:rPr>
        <w:t> </w:t>
      </w:r>
      <w:r>
        <w:rPr>
          <w:w w:val="130"/>
          <w:sz w:val="24"/>
        </w:rPr>
        <w:t>stratégiáin,</w:t>
      </w:r>
    </w:p>
    <w:p>
      <w:pPr>
        <w:pStyle w:val="ListParagraph"/>
        <w:numPr>
          <w:ilvl w:val="0"/>
          <w:numId w:val="445"/>
        </w:numPr>
        <w:tabs>
          <w:tab w:pos="670" w:val="left" w:leader="none"/>
        </w:tabs>
        <w:spacing w:line="225" w:lineRule="auto" w:before="2" w:after="0"/>
        <w:ind w:left="113" w:right="130" w:firstLine="204"/>
        <w:jc w:val="left"/>
        <w:rPr>
          <w:sz w:val="24"/>
        </w:rPr>
      </w:pPr>
      <w:r>
        <w:rPr>
          <w:w w:val="125"/>
          <w:sz w:val="24"/>
        </w:rPr>
        <w:t>a hitelintézet által alkalmazott módszerre vonatkozó követelmények nem teljesítése nem megfelelő tőkekövetelményt</w:t>
      </w:r>
      <w:r>
        <w:rPr>
          <w:spacing w:val="6"/>
          <w:w w:val="125"/>
          <w:sz w:val="24"/>
        </w:rPr>
        <w:t> </w:t>
      </w:r>
      <w:r>
        <w:rPr>
          <w:w w:val="125"/>
          <w:sz w:val="24"/>
        </w:rPr>
        <w:t>eredményez,</w:t>
      </w:r>
    </w:p>
    <w:p>
      <w:pPr>
        <w:pStyle w:val="ListParagraph"/>
        <w:numPr>
          <w:ilvl w:val="0"/>
          <w:numId w:val="445"/>
        </w:numPr>
        <w:tabs>
          <w:tab w:pos="629" w:val="left" w:leader="none"/>
        </w:tabs>
        <w:spacing w:line="264" w:lineRule="exact" w:before="0" w:after="0"/>
        <w:ind w:left="628" w:right="0" w:hanging="311"/>
        <w:jc w:val="left"/>
        <w:rPr>
          <w:sz w:val="24"/>
        </w:rPr>
      </w:pPr>
      <w:r>
        <w:rPr>
          <w:w w:val="130"/>
          <w:sz w:val="24"/>
        </w:rPr>
        <w:t>a hitelintézet valószínűsíthetően alulbecsli a</w:t>
      </w:r>
      <w:r>
        <w:rPr>
          <w:spacing w:val="-37"/>
          <w:w w:val="130"/>
          <w:sz w:val="24"/>
        </w:rPr>
        <w:t> </w:t>
      </w:r>
      <w:r>
        <w:rPr>
          <w:w w:val="130"/>
          <w:sz w:val="24"/>
        </w:rPr>
        <w:t>kockázatait,</w:t>
      </w:r>
    </w:p>
    <w:p>
      <w:pPr>
        <w:pStyle w:val="BodyText"/>
        <w:spacing w:before="3"/>
        <w:ind w:left="0" w:firstLine="0"/>
        <w:rPr>
          <w:sz w:val="15"/>
        </w:rPr>
      </w:pPr>
      <w:r>
        <w:rPr/>
        <w:pict>
          <v:line style="position:absolute;mso-position-horizontal-relative:page;mso-position-vertical-relative:paragraph;z-index:1640;mso-wrap-distance-left:0;mso-wrap-distance-right:0" from="56.693001pt,10.979218pt" to="538.583001pt,10.979218pt" stroked="true" strokeweight=".5pt" strokecolor="#000000">
            <v:stroke dashstyle="solid"/>
            <w10:wrap type="topAndBottom"/>
          </v:line>
        </w:pict>
      </w:r>
    </w:p>
    <w:p>
      <w:pPr>
        <w:pStyle w:val="ListParagraph"/>
        <w:numPr>
          <w:ilvl w:val="0"/>
          <w:numId w:val="446"/>
        </w:numPr>
        <w:tabs>
          <w:tab w:pos="686" w:val="left" w:leader="none"/>
          <w:tab w:pos="687" w:val="left" w:leader="none"/>
        </w:tabs>
        <w:spacing w:line="203" w:lineRule="exact" w:before="44" w:after="0"/>
        <w:ind w:left="686" w:right="0" w:hanging="344"/>
        <w:jc w:val="left"/>
        <w:rPr>
          <w:i/>
          <w:sz w:val="18"/>
        </w:rPr>
      </w:pPr>
      <w:r>
        <w:rPr>
          <w:i/>
          <w:w w:val="120"/>
          <w:sz w:val="18"/>
        </w:rPr>
        <w:t>Beiktatta: 2014. évi XXXVII. törvény 161. § (17). Hatályos: 2014. IX.</w:t>
      </w:r>
      <w:r>
        <w:rPr>
          <w:i/>
          <w:spacing w:val="1"/>
          <w:w w:val="120"/>
          <w:sz w:val="18"/>
        </w:rPr>
        <w:t> </w:t>
      </w:r>
      <w:r>
        <w:rPr>
          <w:i/>
          <w:w w:val="120"/>
          <w:sz w:val="18"/>
        </w:rPr>
        <w:t>16-tól.</w:t>
      </w:r>
    </w:p>
    <w:p>
      <w:pPr>
        <w:pStyle w:val="ListParagraph"/>
        <w:numPr>
          <w:ilvl w:val="0"/>
          <w:numId w:val="446"/>
        </w:numPr>
        <w:tabs>
          <w:tab w:pos="686" w:val="left" w:leader="none"/>
          <w:tab w:pos="687" w:val="left" w:leader="none"/>
        </w:tabs>
        <w:spacing w:line="232" w:lineRule="auto" w:before="2" w:after="0"/>
        <w:ind w:left="342" w:right="957" w:firstLine="0"/>
        <w:jc w:val="left"/>
        <w:rPr>
          <w:i/>
          <w:sz w:val="18"/>
        </w:rPr>
      </w:pPr>
      <w:r>
        <w:rPr>
          <w:i/>
          <w:w w:val="120"/>
          <w:sz w:val="18"/>
        </w:rPr>
        <w:t>Hatályon kívül helyezte: 2015. évi LXXXV. törvény 238. § (1). Hatálytalan: 2015. VII. 7-től.    3</w:t>
        <w:tab/>
        <w:t>Beiktatta:</w:t>
      </w:r>
      <w:r>
        <w:rPr>
          <w:i/>
          <w:spacing w:val="5"/>
          <w:w w:val="120"/>
          <w:sz w:val="18"/>
        </w:rPr>
        <w:t> </w:t>
      </w:r>
      <w:r>
        <w:rPr>
          <w:i/>
          <w:w w:val="120"/>
          <w:sz w:val="18"/>
        </w:rPr>
        <w:t>2014.</w:t>
      </w:r>
      <w:r>
        <w:rPr>
          <w:i/>
          <w:spacing w:val="6"/>
          <w:w w:val="120"/>
          <w:sz w:val="18"/>
        </w:rPr>
        <w:t> </w:t>
      </w:r>
      <w:r>
        <w:rPr>
          <w:i/>
          <w:w w:val="120"/>
          <w:sz w:val="18"/>
        </w:rPr>
        <w:t>évi</w:t>
      </w:r>
      <w:r>
        <w:rPr>
          <w:i/>
          <w:spacing w:val="6"/>
          <w:w w:val="120"/>
          <w:sz w:val="18"/>
        </w:rPr>
        <w:t> </w:t>
      </w:r>
      <w:r>
        <w:rPr>
          <w:i/>
          <w:w w:val="120"/>
          <w:sz w:val="18"/>
        </w:rPr>
        <w:t>XXXVII.</w:t>
      </w:r>
      <w:r>
        <w:rPr>
          <w:i/>
          <w:spacing w:val="6"/>
          <w:w w:val="120"/>
          <w:sz w:val="18"/>
        </w:rPr>
        <w:t> </w:t>
      </w:r>
      <w:r>
        <w:rPr>
          <w:i/>
          <w:w w:val="120"/>
          <w:sz w:val="18"/>
        </w:rPr>
        <w:t>törvény</w:t>
      </w:r>
      <w:r>
        <w:rPr>
          <w:i/>
          <w:spacing w:val="6"/>
          <w:w w:val="120"/>
          <w:sz w:val="18"/>
        </w:rPr>
        <w:t> </w:t>
      </w:r>
      <w:r>
        <w:rPr>
          <w:i/>
          <w:w w:val="120"/>
          <w:sz w:val="18"/>
        </w:rPr>
        <w:t>161.</w:t>
      </w:r>
      <w:r>
        <w:rPr>
          <w:i/>
          <w:spacing w:val="6"/>
          <w:w w:val="120"/>
          <w:sz w:val="18"/>
        </w:rPr>
        <w:t> </w:t>
      </w:r>
      <w:r>
        <w:rPr>
          <w:i/>
          <w:w w:val="120"/>
          <w:sz w:val="18"/>
        </w:rPr>
        <w:t>§</w:t>
      </w:r>
      <w:r>
        <w:rPr>
          <w:i/>
          <w:spacing w:val="7"/>
          <w:w w:val="120"/>
          <w:sz w:val="18"/>
        </w:rPr>
        <w:t> </w:t>
      </w:r>
      <w:r>
        <w:rPr>
          <w:i/>
          <w:w w:val="120"/>
          <w:sz w:val="18"/>
        </w:rPr>
        <w:t>(18).</w:t>
      </w:r>
      <w:r>
        <w:rPr>
          <w:i/>
          <w:spacing w:val="7"/>
          <w:w w:val="120"/>
          <w:sz w:val="18"/>
        </w:rPr>
        <w:t> </w:t>
      </w:r>
      <w:r>
        <w:rPr>
          <w:i/>
          <w:w w:val="120"/>
          <w:sz w:val="18"/>
        </w:rPr>
        <w:t>Hatályos:</w:t>
      </w:r>
      <w:r>
        <w:rPr>
          <w:i/>
          <w:spacing w:val="7"/>
          <w:w w:val="120"/>
          <w:sz w:val="18"/>
        </w:rPr>
        <w:t> </w:t>
      </w:r>
      <w:r>
        <w:rPr>
          <w:i/>
          <w:w w:val="120"/>
          <w:sz w:val="18"/>
        </w:rPr>
        <w:t>2014.</w:t>
      </w:r>
      <w:r>
        <w:rPr>
          <w:i/>
          <w:spacing w:val="6"/>
          <w:w w:val="120"/>
          <w:sz w:val="18"/>
        </w:rPr>
        <w:t> </w:t>
      </w:r>
      <w:r>
        <w:rPr>
          <w:i/>
          <w:w w:val="120"/>
          <w:sz w:val="18"/>
        </w:rPr>
        <w:t>IX.</w:t>
      </w:r>
      <w:r>
        <w:rPr>
          <w:i/>
          <w:spacing w:val="6"/>
          <w:w w:val="120"/>
          <w:sz w:val="18"/>
        </w:rPr>
        <w:t> </w:t>
      </w:r>
      <w:r>
        <w:rPr>
          <w:i/>
          <w:w w:val="120"/>
          <w:sz w:val="18"/>
        </w:rPr>
        <w:t>16-tól.</w:t>
      </w:r>
    </w:p>
    <w:p>
      <w:pPr>
        <w:spacing w:after="0" w:line="232" w:lineRule="auto"/>
        <w:jc w:val="left"/>
        <w:rPr>
          <w:sz w:val="18"/>
        </w:rPr>
        <w:sectPr>
          <w:pgSz w:w="11900" w:h="16820"/>
          <w:pgMar w:header="1104" w:footer="0" w:top="1840" w:bottom="280" w:left="1020" w:right="1000"/>
        </w:sectPr>
      </w:pPr>
    </w:p>
    <w:p>
      <w:pPr>
        <w:pStyle w:val="ListParagraph"/>
        <w:numPr>
          <w:ilvl w:val="0"/>
          <w:numId w:val="445"/>
        </w:numPr>
        <w:tabs>
          <w:tab w:pos="600" w:val="left" w:leader="none"/>
        </w:tabs>
        <w:spacing w:line="225" w:lineRule="auto" w:before="173" w:after="0"/>
        <w:ind w:left="113" w:right="113" w:firstLine="204"/>
        <w:jc w:val="both"/>
        <w:rPr>
          <w:sz w:val="24"/>
        </w:rPr>
      </w:pPr>
      <w:r>
        <w:rPr>
          <w:w w:val="130"/>
          <w:sz w:val="24"/>
        </w:rPr>
        <w:t>a hitelintézet tájékoztatja a Felügyeletet, hogy a stressz-teszt eredményei jelentősen meghaladják a korrelációkereskedési portfólióra vonatkozó tőkekövetelményüket.</w:t>
      </w:r>
    </w:p>
    <w:p>
      <w:pPr>
        <w:pStyle w:val="ListParagraph"/>
        <w:numPr>
          <w:ilvl w:val="0"/>
          <w:numId w:val="447"/>
        </w:numPr>
        <w:tabs>
          <w:tab w:pos="787" w:val="left" w:leader="none"/>
        </w:tabs>
        <w:spacing w:line="225" w:lineRule="auto" w:before="1" w:after="0"/>
        <w:ind w:left="113" w:right="133" w:firstLine="204"/>
        <w:jc w:val="both"/>
        <w:rPr>
          <w:sz w:val="24"/>
        </w:rPr>
      </w:pPr>
      <w:r>
        <w:rPr>
          <w:w w:val="125"/>
          <w:sz w:val="24"/>
        </w:rPr>
        <w:t>A többlettőke-követelmény mértékének meghatározásakor a Felügyelet figyelembe veszi:</w:t>
      </w:r>
    </w:p>
    <w:p>
      <w:pPr>
        <w:pStyle w:val="ListParagraph"/>
        <w:numPr>
          <w:ilvl w:val="0"/>
          <w:numId w:val="448"/>
        </w:numPr>
        <w:tabs>
          <w:tab w:pos="678" w:val="left" w:leader="none"/>
        </w:tabs>
        <w:spacing w:line="225" w:lineRule="auto" w:before="2" w:after="0"/>
        <w:ind w:left="113" w:right="130" w:firstLine="204"/>
        <w:jc w:val="both"/>
        <w:rPr>
          <w:sz w:val="24"/>
        </w:rPr>
      </w:pPr>
      <w:r>
        <w:rPr>
          <w:w w:val="130"/>
          <w:sz w:val="24"/>
        </w:rPr>
        <w:t>a hitelintézet belső tőkemegfelelés értékelési folyamatának menyiségi és minőségi</w:t>
      </w:r>
      <w:r>
        <w:rPr>
          <w:spacing w:val="-5"/>
          <w:w w:val="130"/>
          <w:sz w:val="24"/>
        </w:rPr>
        <w:t> </w:t>
      </w:r>
      <w:r>
        <w:rPr>
          <w:w w:val="130"/>
          <w:sz w:val="24"/>
        </w:rPr>
        <w:t>szempontjait,</w:t>
      </w:r>
    </w:p>
    <w:p>
      <w:pPr>
        <w:pStyle w:val="ListParagraph"/>
        <w:numPr>
          <w:ilvl w:val="0"/>
          <w:numId w:val="448"/>
        </w:numPr>
        <w:tabs>
          <w:tab w:pos="653" w:val="left" w:leader="none"/>
        </w:tabs>
        <w:spacing w:line="256" w:lineRule="exact" w:before="0" w:after="0"/>
        <w:ind w:left="652" w:right="0" w:hanging="335"/>
        <w:jc w:val="left"/>
        <w:rPr>
          <w:sz w:val="24"/>
        </w:rPr>
      </w:pPr>
      <w:r>
        <w:rPr>
          <w:w w:val="130"/>
          <w:sz w:val="24"/>
        </w:rPr>
        <w:t>a</w:t>
      </w:r>
      <w:r>
        <w:rPr>
          <w:spacing w:val="-26"/>
          <w:w w:val="130"/>
          <w:sz w:val="24"/>
        </w:rPr>
        <w:t> </w:t>
      </w:r>
      <w:r>
        <w:rPr>
          <w:w w:val="130"/>
          <w:sz w:val="24"/>
        </w:rPr>
        <w:t>hitelintézet</w:t>
      </w:r>
      <w:r>
        <w:rPr>
          <w:spacing w:val="-22"/>
          <w:w w:val="130"/>
          <w:sz w:val="24"/>
        </w:rPr>
        <w:t> </w:t>
      </w:r>
      <w:r>
        <w:rPr>
          <w:w w:val="130"/>
          <w:sz w:val="24"/>
        </w:rPr>
        <w:t>irányítási</w:t>
      </w:r>
      <w:r>
        <w:rPr>
          <w:spacing w:val="-20"/>
          <w:w w:val="130"/>
          <w:sz w:val="24"/>
        </w:rPr>
        <w:t> </w:t>
      </w:r>
      <w:r>
        <w:rPr>
          <w:w w:val="130"/>
          <w:sz w:val="24"/>
        </w:rPr>
        <w:t>és</w:t>
      </w:r>
      <w:r>
        <w:rPr>
          <w:spacing w:val="-20"/>
          <w:w w:val="130"/>
          <w:sz w:val="24"/>
        </w:rPr>
        <w:t> </w:t>
      </w:r>
      <w:r>
        <w:rPr>
          <w:w w:val="130"/>
          <w:sz w:val="24"/>
        </w:rPr>
        <w:t>kockázatkezelési</w:t>
      </w:r>
      <w:r>
        <w:rPr>
          <w:spacing w:val="-20"/>
          <w:w w:val="130"/>
          <w:sz w:val="24"/>
        </w:rPr>
        <w:t> </w:t>
      </w:r>
      <w:r>
        <w:rPr>
          <w:w w:val="130"/>
          <w:sz w:val="24"/>
        </w:rPr>
        <w:t>rendszerének</w:t>
      </w:r>
      <w:r>
        <w:rPr>
          <w:spacing w:val="-20"/>
          <w:w w:val="130"/>
          <w:sz w:val="24"/>
        </w:rPr>
        <w:t> </w:t>
      </w:r>
      <w:r>
        <w:rPr>
          <w:w w:val="130"/>
          <w:sz w:val="24"/>
        </w:rPr>
        <w:t>megfelelőségét,</w:t>
      </w:r>
    </w:p>
    <w:p>
      <w:pPr>
        <w:pStyle w:val="ListParagraph"/>
        <w:numPr>
          <w:ilvl w:val="0"/>
          <w:numId w:val="448"/>
        </w:numPr>
        <w:tabs>
          <w:tab w:pos="623" w:val="left" w:leader="none"/>
        </w:tabs>
        <w:spacing w:line="260" w:lineRule="exact" w:before="0" w:after="0"/>
        <w:ind w:left="622" w:right="0" w:hanging="305"/>
        <w:jc w:val="left"/>
        <w:rPr>
          <w:sz w:val="24"/>
        </w:rPr>
      </w:pPr>
      <w:r>
        <w:rPr>
          <w:w w:val="130"/>
          <w:sz w:val="24"/>
        </w:rPr>
        <w:t>a</w:t>
      </w:r>
      <w:r>
        <w:rPr>
          <w:spacing w:val="-5"/>
          <w:w w:val="130"/>
          <w:sz w:val="24"/>
        </w:rPr>
        <w:t> </w:t>
      </w:r>
      <w:r>
        <w:rPr>
          <w:w w:val="130"/>
          <w:sz w:val="24"/>
        </w:rPr>
        <w:t>hitelintézetnél</w:t>
      </w:r>
      <w:r>
        <w:rPr>
          <w:spacing w:val="-23"/>
          <w:w w:val="130"/>
          <w:sz w:val="24"/>
        </w:rPr>
        <w:t> </w:t>
      </w:r>
      <w:r>
        <w:rPr>
          <w:w w:val="130"/>
          <w:sz w:val="24"/>
        </w:rPr>
        <w:t>végrehajtott</w:t>
      </w:r>
      <w:r>
        <w:rPr>
          <w:spacing w:val="-14"/>
          <w:w w:val="130"/>
          <w:sz w:val="24"/>
        </w:rPr>
        <w:t> </w:t>
      </w:r>
      <w:r>
        <w:rPr>
          <w:w w:val="130"/>
          <w:sz w:val="24"/>
        </w:rPr>
        <w:t>felügyeleti</w:t>
      </w:r>
      <w:r>
        <w:rPr>
          <w:spacing w:val="-13"/>
          <w:w w:val="130"/>
          <w:sz w:val="24"/>
        </w:rPr>
        <w:t> </w:t>
      </w:r>
      <w:r>
        <w:rPr>
          <w:w w:val="130"/>
          <w:sz w:val="24"/>
        </w:rPr>
        <w:t>felülvizsgálat</w:t>
      </w:r>
      <w:r>
        <w:rPr>
          <w:spacing w:val="-13"/>
          <w:w w:val="130"/>
          <w:sz w:val="24"/>
        </w:rPr>
        <w:t> </w:t>
      </w:r>
      <w:r>
        <w:rPr>
          <w:w w:val="130"/>
          <w:sz w:val="24"/>
        </w:rPr>
        <w:t>eredményét,</w:t>
      </w:r>
      <w:r>
        <w:rPr>
          <w:spacing w:val="-14"/>
          <w:w w:val="130"/>
          <w:sz w:val="24"/>
        </w:rPr>
        <w:t> </w:t>
      </w:r>
      <w:r>
        <w:rPr>
          <w:w w:val="130"/>
          <w:sz w:val="24"/>
        </w:rPr>
        <w:t>és</w:t>
      </w:r>
    </w:p>
    <w:p>
      <w:pPr>
        <w:pStyle w:val="ListParagraph"/>
        <w:numPr>
          <w:ilvl w:val="0"/>
          <w:numId w:val="448"/>
        </w:numPr>
        <w:tabs>
          <w:tab w:pos="653" w:val="left" w:leader="none"/>
        </w:tabs>
        <w:spacing w:line="260" w:lineRule="exact" w:before="0" w:after="0"/>
        <w:ind w:left="652" w:right="0" w:hanging="335"/>
        <w:jc w:val="left"/>
        <w:rPr>
          <w:sz w:val="24"/>
        </w:rPr>
      </w:pPr>
      <w:r>
        <w:rPr>
          <w:w w:val="130"/>
          <w:sz w:val="24"/>
        </w:rPr>
        <w:t>a hitelintézet rendszerszintű</w:t>
      </w:r>
      <w:r>
        <w:rPr>
          <w:spacing w:val="-20"/>
          <w:w w:val="130"/>
          <w:sz w:val="24"/>
        </w:rPr>
        <w:t> </w:t>
      </w:r>
      <w:r>
        <w:rPr>
          <w:w w:val="130"/>
          <w:sz w:val="24"/>
        </w:rPr>
        <w:t>kockázatát.</w:t>
      </w:r>
    </w:p>
    <w:p>
      <w:pPr>
        <w:pStyle w:val="ListParagraph"/>
        <w:numPr>
          <w:ilvl w:val="0"/>
          <w:numId w:val="447"/>
        </w:numPr>
        <w:tabs>
          <w:tab w:pos="904" w:val="left" w:leader="none"/>
        </w:tabs>
        <w:spacing w:line="225" w:lineRule="auto" w:before="5" w:after="0"/>
        <w:ind w:left="113" w:right="126" w:firstLine="204"/>
        <w:jc w:val="both"/>
        <w:rPr>
          <w:sz w:val="24"/>
        </w:rPr>
      </w:pPr>
      <w:r>
        <w:rPr>
          <w:w w:val="125"/>
          <w:sz w:val="24"/>
        </w:rPr>
        <w:t>A hitelintézet számára előírt többlettőke-követelmény nem lehet magasabb, mint a 79. § (2) bekezdés </w:t>
      </w:r>
      <w:r>
        <w:rPr>
          <w:i/>
          <w:w w:val="125"/>
          <w:sz w:val="24"/>
        </w:rPr>
        <w:t>a) </w:t>
      </w:r>
      <w:r>
        <w:rPr>
          <w:w w:val="125"/>
          <w:sz w:val="24"/>
        </w:rPr>
        <w:t>pontja szerinti tőkekövetelmény másfélszerese.</w:t>
      </w:r>
    </w:p>
    <w:p>
      <w:pPr>
        <w:pStyle w:val="ListParagraph"/>
        <w:numPr>
          <w:ilvl w:val="0"/>
          <w:numId w:val="387"/>
        </w:numPr>
        <w:tabs>
          <w:tab w:pos="1098" w:val="left" w:leader="none"/>
        </w:tabs>
        <w:spacing w:line="225" w:lineRule="auto" w:before="1" w:after="0"/>
        <w:ind w:left="113" w:right="134" w:firstLine="204"/>
        <w:jc w:val="both"/>
        <w:rPr>
          <w:sz w:val="24"/>
        </w:rPr>
      </w:pPr>
      <w:r>
        <w:rPr>
          <w:rFonts w:ascii="Arial" w:hAnsi="Arial"/>
          <w:b/>
          <w:w w:val="125"/>
          <w:sz w:val="24"/>
        </w:rPr>
        <w:t>§ </w:t>
      </w:r>
      <w:r>
        <w:rPr>
          <w:w w:val="125"/>
          <w:sz w:val="24"/>
        </w:rPr>
        <w:t>(1) Ha a Felügyelet rendkívüli intézkedési terv elfogadását is szükségesnek tartja, annak kidolgozására legfeljebb harmincnapos határidőt engedélyezhet.</w:t>
      </w:r>
    </w:p>
    <w:p>
      <w:pPr>
        <w:pStyle w:val="BodyText"/>
        <w:spacing w:line="250" w:lineRule="exact"/>
        <w:ind w:left="317" w:firstLine="0"/>
      </w:pPr>
      <w:r>
        <w:rPr>
          <w:w w:val="125"/>
        </w:rPr>
        <w:t>(2)</w:t>
      </w:r>
      <w:r>
        <w:rPr>
          <w:i/>
          <w:w w:val="125"/>
          <w:position w:val="3"/>
          <w:sz w:val="18"/>
        </w:rPr>
        <w:t>1 </w:t>
      </w:r>
      <w:r>
        <w:rPr>
          <w:w w:val="125"/>
        </w:rPr>
        <w:t>Ha a rendkívüli intézkedési terv elfogadásához, illetve tőkeemelés</w:t>
      </w:r>
    </w:p>
    <w:p>
      <w:pPr>
        <w:pStyle w:val="BodyText"/>
        <w:spacing w:line="225" w:lineRule="auto" w:before="12"/>
        <w:ind w:right="126" w:firstLine="0"/>
        <w:jc w:val="both"/>
      </w:pPr>
      <w:r>
        <w:rPr>
          <w:w w:val="130"/>
        </w:rPr>
        <w:t>szükségessége miatt rendkívüli közgyűlés (küldöttgyűlés) megtartása szükséges, akkor a Felügyelet az (1) bekezdésben meghatározott határidő legfeljebb huszonegy napos vagy - ha a hitelintézet alapszabálya a 135. § (2) bekezdésében</w:t>
      </w:r>
      <w:r>
        <w:rPr>
          <w:spacing w:val="78"/>
          <w:w w:val="130"/>
        </w:rPr>
        <w:t> </w:t>
      </w:r>
      <w:r>
        <w:rPr>
          <w:w w:val="130"/>
        </w:rPr>
        <w:t>meghatározottak</w:t>
      </w:r>
      <w:r>
        <w:rPr>
          <w:spacing w:val="78"/>
          <w:w w:val="130"/>
        </w:rPr>
        <w:t> </w:t>
      </w:r>
      <w:r>
        <w:rPr>
          <w:w w:val="130"/>
        </w:rPr>
        <w:t>szerint</w:t>
      </w:r>
      <w:r>
        <w:rPr>
          <w:spacing w:val="78"/>
          <w:w w:val="130"/>
        </w:rPr>
        <w:t> </w:t>
      </w:r>
      <w:r>
        <w:rPr>
          <w:w w:val="130"/>
        </w:rPr>
        <w:t>módosult -</w:t>
      </w:r>
      <w:r>
        <w:rPr>
          <w:spacing w:val="78"/>
          <w:w w:val="130"/>
        </w:rPr>
        <w:t> </w:t>
      </w:r>
      <w:r>
        <w:rPr>
          <w:w w:val="130"/>
        </w:rPr>
        <w:t>tíz</w:t>
      </w:r>
      <w:r>
        <w:rPr>
          <w:spacing w:val="78"/>
          <w:w w:val="130"/>
        </w:rPr>
        <w:t> </w:t>
      </w:r>
      <w:r>
        <w:rPr>
          <w:w w:val="130"/>
        </w:rPr>
        <w:t>napos meghosszabbítását engedélyezheti. Ha a közgyűlés (küldöttgyűlés) a tőkeemelésről vagy alapvető kölcsöntőke nyújtásáról határozott, e határozat meghozatalától további legfeljebb tizenöt nap engedélyezhető a tőkeösszeg befizetésére.</w:t>
      </w:r>
    </w:p>
    <w:p>
      <w:pPr>
        <w:pStyle w:val="ListParagraph"/>
        <w:numPr>
          <w:ilvl w:val="0"/>
          <w:numId w:val="387"/>
        </w:numPr>
        <w:tabs>
          <w:tab w:pos="1019" w:val="left" w:leader="none"/>
        </w:tabs>
        <w:spacing w:line="225" w:lineRule="auto" w:before="3" w:after="0"/>
        <w:ind w:left="113" w:right="129" w:firstLine="204"/>
        <w:jc w:val="both"/>
        <w:rPr>
          <w:sz w:val="24"/>
        </w:rPr>
      </w:pPr>
      <w:r>
        <w:rPr>
          <w:rFonts w:ascii="Arial" w:hAnsi="Arial"/>
          <w:b/>
          <w:w w:val="125"/>
          <w:sz w:val="24"/>
        </w:rPr>
        <w:t>§ </w:t>
      </w:r>
      <w:r>
        <w:rPr>
          <w:w w:val="125"/>
          <w:sz w:val="24"/>
        </w:rPr>
        <w:t>A Felügyelet a pénzügyi intézmény részére a rendkívüli intézkedési tervben foglaltak végrehajtása érdekében, meghatározott időre, de legfeljebb egy évre a 79. § (2) bekezdésben, a 101. és 102. §-okban, valamint az 575/2013/EU rendelet 387-403. cikkében foglalt  kötelezettségek  teljesítése alól felmentést adhat. Ezt a felmentést a Felügyelet egy alkalommal, legfeljebb hat hónapra</w:t>
      </w:r>
      <w:r>
        <w:rPr>
          <w:spacing w:val="4"/>
          <w:w w:val="125"/>
          <w:sz w:val="24"/>
        </w:rPr>
        <w:t> </w:t>
      </w:r>
      <w:r>
        <w:rPr>
          <w:w w:val="125"/>
          <w:sz w:val="24"/>
        </w:rPr>
        <w:t>meghosszabbíthatja.</w:t>
      </w:r>
    </w:p>
    <w:p>
      <w:pPr>
        <w:pStyle w:val="BodyText"/>
        <w:spacing w:line="252" w:lineRule="exact"/>
        <w:ind w:left="317" w:firstLine="0"/>
      </w:pPr>
      <w:r>
        <w:rPr>
          <w:rFonts w:ascii="Arial" w:hAnsi="Arial"/>
          <w:b/>
          <w:w w:val="125"/>
        </w:rPr>
        <w:t>188/A.  </w:t>
      </w:r>
      <w:r>
        <w:rPr>
          <w:rFonts w:ascii="Arial" w:hAnsi="Arial"/>
          <w:b/>
          <w:spacing w:val="3"/>
          <w:w w:val="125"/>
        </w:rPr>
        <w:t>§</w:t>
      </w:r>
      <w:r>
        <w:rPr>
          <w:i/>
          <w:spacing w:val="3"/>
          <w:w w:val="125"/>
          <w:position w:val="3"/>
          <w:sz w:val="18"/>
        </w:rPr>
        <w:t>2   </w:t>
      </w:r>
      <w:r>
        <w:rPr>
          <w:w w:val="125"/>
        </w:rPr>
        <w:t>(1)  A  Felügyelet  az  e  törvényben  foglalt,  továbbá  a</w:t>
      </w:r>
      <w:r>
        <w:rPr>
          <w:spacing w:val="-25"/>
          <w:w w:val="125"/>
        </w:rPr>
        <w:t> </w:t>
      </w:r>
      <w:r>
        <w:rPr>
          <w:w w:val="125"/>
        </w:rPr>
        <w:t>pénzügyi</w:t>
      </w:r>
    </w:p>
    <w:p>
      <w:pPr>
        <w:pStyle w:val="BodyText"/>
        <w:spacing w:line="225" w:lineRule="auto" w:before="12"/>
        <w:ind w:right="117" w:firstLine="0"/>
        <w:jc w:val="both"/>
      </w:pPr>
      <w:r>
        <w:rPr>
          <w:w w:val="125"/>
        </w:rPr>
        <w:t>szolgáltatásra, kiegészítő pénzügyi szolgáltatásra vonatkozó előírások felügyeleti ellenőrzésével kapcsolatos hatáskörének gyakorlása érdekében, a pénzügyi intézmény működésének szükségtelen zavarása nélkül, indokolt gyakorisággal,</w:t>
      </w:r>
      <w:r>
        <w:rPr>
          <w:spacing w:val="19"/>
          <w:w w:val="125"/>
        </w:rPr>
        <w:t> </w:t>
      </w:r>
      <w:r>
        <w:rPr>
          <w:w w:val="125"/>
        </w:rPr>
        <w:t>ideiglenes</w:t>
      </w:r>
      <w:r>
        <w:rPr>
          <w:spacing w:val="18"/>
          <w:w w:val="125"/>
        </w:rPr>
        <w:t> </w:t>
      </w:r>
      <w:r>
        <w:rPr>
          <w:w w:val="125"/>
        </w:rPr>
        <w:t>jelleggel,</w:t>
      </w:r>
      <w:r>
        <w:rPr>
          <w:spacing w:val="19"/>
          <w:w w:val="125"/>
        </w:rPr>
        <w:t> </w:t>
      </w:r>
      <w:r>
        <w:rPr>
          <w:w w:val="125"/>
        </w:rPr>
        <w:t>meghatározott</w:t>
      </w:r>
      <w:r>
        <w:rPr>
          <w:spacing w:val="18"/>
          <w:w w:val="125"/>
        </w:rPr>
        <w:t> </w:t>
      </w:r>
      <w:r>
        <w:rPr>
          <w:w w:val="125"/>
        </w:rPr>
        <w:t>időtartamra</w:t>
      </w:r>
      <w:r>
        <w:rPr>
          <w:spacing w:val="18"/>
          <w:w w:val="125"/>
        </w:rPr>
        <w:t> </w:t>
      </w:r>
      <w:r>
        <w:rPr>
          <w:w w:val="125"/>
        </w:rPr>
        <w:t>-</w:t>
      </w:r>
      <w:r>
        <w:rPr>
          <w:spacing w:val="18"/>
          <w:w w:val="125"/>
        </w:rPr>
        <w:t> </w:t>
      </w:r>
      <w:r>
        <w:rPr>
          <w:w w:val="125"/>
        </w:rPr>
        <w:t>egy</w:t>
      </w:r>
      <w:r>
        <w:rPr>
          <w:spacing w:val="18"/>
          <w:w w:val="125"/>
        </w:rPr>
        <w:t> </w:t>
      </w:r>
      <w:r>
        <w:rPr>
          <w:w w:val="125"/>
        </w:rPr>
        <w:t>vagy</w:t>
      </w:r>
      <w:r>
        <w:rPr>
          <w:spacing w:val="18"/>
          <w:w w:val="125"/>
        </w:rPr>
        <w:t> </w:t>
      </w:r>
      <w:r>
        <w:rPr>
          <w:w w:val="125"/>
        </w:rPr>
        <w:t>több</w:t>
      </w:r>
    </w:p>
    <w:p>
      <w:pPr>
        <w:pStyle w:val="ListParagraph"/>
        <w:numPr>
          <w:ilvl w:val="0"/>
          <w:numId w:val="6"/>
        </w:numPr>
        <w:tabs>
          <w:tab w:pos="271" w:val="left" w:leader="none"/>
        </w:tabs>
        <w:spacing w:line="257" w:lineRule="exact" w:before="0" w:after="0"/>
        <w:ind w:left="270" w:right="0" w:hanging="157"/>
        <w:jc w:val="left"/>
        <w:rPr>
          <w:sz w:val="24"/>
        </w:rPr>
      </w:pPr>
      <w:r>
        <w:rPr>
          <w:w w:val="125"/>
          <w:sz w:val="24"/>
        </w:rPr>
        <w:t>helyszíni vizsgálót rendelhet</w:t>
      </w:r>
      <w:r>
        <w:rPr>
          <w:spacing w:val="2"/>
          <w:w w:val="125"/>
          <w:sz w:val="24"/>
        </w:rPr>
        <w:t> </w:t>
      </w:r>
      <w:r>
        <w:rPr>
          <w:w w:val="125"/>
          <w:sz w:val="24"/>
        </w:rPr>
        <w:t>ki.</w:t>
      </w:r>
    </w:p>
    <w:p>
      <w:pPr>
        <w:pStyle w:val="ListParagraph"/>
        <w:numPr>
          <w:ilvl w:val="0"/>
          <w:numId w:val="449"/>
        </w:numPr>
        <w:tabs>
          <w:tab w:pos="757" w:val="left" w:leader="none"/>
        </w:tabs>
        <w:spacing w:line="225" w:lineRule="auto" w:before="5" w:after="0"/>
        <w:ind w:left="113" w:right="124" w:firstLine="204"/>
        <w:jc w:val="left"/>
        <w:rPr>
          <w:sz w:val="24"/>
        </w:rPr>
      </w:pPr>
      <w:r>
        <w:rPr>
          <w:w w:val="125"/>
          <w:sz w:val="24"/>
        </w:rPr>
        <w:t>A Felügyelet a helyszíni vizsgálatot végző alkalmazottját megbízólevéllel látja el.</w:t>
      </w:r>
    </w:p>
    <w:p>
      <w:pPr>
        <w:pStyle w:val="ListParagraph"/>
        <w:numPr>
          <w:ilvl w:val="0"/>
          <w:numId w:val="449"/>
        </w:numPr>
        <w:tabs>
          <w:tab w:pos="734" w:val="left" w:leader="none"/>
        </w:tabs>
        <w:spacing w:line="256" w:lineRule="exact" w:before="0" w:after="0"/>
        <w:ind w:left="733" w:right="0" w:hanging="416"/>
        <w:jc w:val="left"/>
        <w:rPr>
          <w:sz w:val="24"/>
        </w:rPr>
      </w:pPr>
      <w:r>
        <w:rPr>
          <w:w w:val="125"/>
          <w:sz w:val="24"/>
        </w:rPr>
        <w:t>A kirendelt helyszíni vizsgáló</w:t>
      </w:r>
      <w:r>
        <w:rPr>
          <w:spacing w:val="-3"/>
          <w:w w:val="125"/>
          <w:sz w:val="24"/>
        </w:rPr>
        <w:t> </w:t>
      </w:r>
      <w:r>
        <w:rPr>
          <w:w w:val="125"/>
          <w:sz w:val="24"/>
        </w:rPr>
        <w:t>jogosult</w:t>
      </w:r>
    </w:p>
    <w:p>
      <w:pPr>
        <w:pStyle w:val="ListParagraph"/>
        <w:numPr>
          <w:ilvl w:val="0"/>
          <w:numId w:val="450"/>
        </w:numPr>
        <w:tabs>
          <w:tab w:pos="631" w:val="left" w:leader="none"/>
        </w:tabs>
        <w:spacing w:line="260" w:lineRule="exact" w:before="0" w:after="0"/>
        <w:ind w:left="630" w:right="0" w:hanging="313"/>
        <w:jc w:val="left"/>
        <w:rPr>
          <w:sz w:val="24"/>
        </w:rPr>
      </w:pPr>
      <w:r>
        <w:rPr>
          <w:w w:val="130"/>
          <w:sz w:val="24"/>
        </w:rPr>
        <w:t>bármely ellenőrzési tevékenység</w:t>
      </w:r>
      <w:r>
        <w:rPr>
          <w:spacing w:val="-8"/>
          <w:w w:val="130"/>
          <w:sz w:val="24"/>
        </w:rPr>
        <w:t> </w:t>
      </w:r>
      <w:r>
        <w:rPr>
          <w:w w:val="130"/>
          <w:sz w:val="24"/>
        </w:rPr>
        <w:t>ellátására;</w:t>
      </w:r>
    </w:p>
    <w:p>
      <w:pPr>
        <w:pStyle w:val="ListParagraph"/>
        <w:numPr>
          <w:ilvl w:val="0"/>
          <w:numId w:val="450"/>
        </w:numPr>
        <w:tabs>
          <w:tab w:pos="683" w:val="left" w:leader="none"/>
        </w:tabs>
        <w:spacing w:line="225" w:lineRule="auto" w:before="6" w:after="0"/>
        <w:ind w:left="113" w:right="126" w:firstLine="204"/>
        <w:jc w:val="both"/>
        <w:rPr>
          <w:sz w:val="24"/>
        </w:rPr>
      </w:pPr>
      <w:r>
        <w:rPr>
          <w:w w:val="125"/>
          <w:sz w:val="24"/>
        </w:rPr>
        <w:t>megfigyelőként részt venni és felszólalni az ügyvezetés, az igazgatóság, bármely más kockázatvállalási döntést hozó testület vagy bizottság, valamint a felügyelőbizottság ülésén, a közgyűlésen</w:t>
      </w:r>
      <w:r>
        <w:rPr>
          <w:spacing w:val="3"/>
          <w:w w:val="125"/>
          <w:sz w:val="24"/>
        </w:rPr>
        <w:t> </w:t>
      </w:r>
      <w:r>
        <w:rPr>
          <w:w w:val="125"/>
          <w:sz w:val="24"/>
        </w:rPr>
        <w:t>(küldöttgyűlésen);</w:t>
      </w:r>
    </w:p>
    <w:p>
      <w:pPr>
        <w:pStyle w:val="ListParagraph"/>
        <w:numPr>
          <w:ilvl w:val="0"/>
          <w:numId w:val="450"/>
        </w:numPr>
        <w:tabs>
          <w:tab w:pos="623" w:val="left" w:leader="none"/>
        </w:tabs>
        <w:spacing w:line="256" w:lineRule="exact" w:before="0" w:after="0"/>
        <w:ind w:left="622" w:right="0" w:hanging="305"/>
        <w:jc w:val="left"/>
        <w:rPr>
          <w:sz w:val="24"/>
        </w:rPr>
      </w:pPr>
      <w:r>
        <w:rPr>
          <w:w w:val="125"/>
          <w:sz w:val="24"/>
        </w:rPr>
        <w:t>konzultálni a pénzügyi intézmény</w:t>
      </w:r>
      <w:r>
        <w:rPr>
          <w:spacing w:val="-8"/>
          <w:w w:val="125"/>
          <w:sz w:val="24"/>
        </w:rPr>
        <w:t> </w:t>
      </w:r>
      <w:r>
        <w:rPr>
          <w:w w:val="125"/>
          <w:sz w:val="24"/>
        </w:rPr>
        <w:t>könyvvizsgálójával.</w:t>
      </w:r>
    </w:p>
    <w:p>
      <w:pPr>
        <w:pStyle w:val="ListParagraph"/>
        <w:numPr>
          <w:ilvl w:val="0"/>
          <w:numId w:val="449"/>
        </w:numPr>
        <w:tabs>
          <w:tab w:pos="736" w:val="left" w:leader="none"/>
        </w:tabs>
        <w:spacing w:line="225" w:lineRule="auto" w:before="5" w:after="0"/>
        <w:ind w:left="113" w:right="134" w:firstLine="204"/>
        <w:jc w:val="left"/>
        <w:rPr>
          <w:sz w:val="24"/>
        </w:rPr>
      </w:pPr>
      <w:r>
        <w:rPr>
          <w:w w:val="130"/>
          <w:sz w:val="24"/>
        </w:rPr>
        <w:t>A</w:t>
      </w:r>
      <w:r>
        <w:rPr>
          <w:spacing w:val="-37"/>
          <w:w w:val="130"/>
          <w:sz w:val="24"/>
        </w:rPr>
        <w:t> </w:t>
      </w:r>
      <w:r>
        <w:rPr>
          <w:w w:val="130"/>
          <w:sz w:val="24"/>
        </w:rPr>
        <w:t>helyszíni</w:t>
      </w:r>
      <w:r>
        <w:rPr>
          <w:spacing w:val="-37"/>
          <w:w w:val="130"/>
          <w:sz w:val="24"/>
        </w:rPr>
        <w:t> </w:t>
      </w:r>
      <w:r>
        <w:rPr>
          <w:w w:val="130"/>
          <w:sz w:val="24"/>
        </w:rPr>
        <w:t>vizsgáló</w:t>
      </w:r>
      <w:r>
        <w:rPr>
          <w:spacing w:val="-37"/>
          <w:w w:val="130"/>
          <w:sz w:val="24"/>
        </w:rPr>
        <w:t> </w:t>
      </w:r>
      <w:r>
        <w:rPr>
          <w:w w:val="130"/>
          <w:sz w:val="24"/>
        </w:rPr>
        <w:t>kirendelésének</w:t>
      </w:r>
      <w:r>
        <w:rPr>
          <w:spacing w:val="-37"/>
          <w:w w:val="130"/>
          <w:sz w:val="24"/>
        </w:rPr>
        <w:t> </w:t>
      </w:r>
      <w:r>
        <w:rPr>
          <w:w w:val="130"/>
          <w:sz w:val="24"/>
        </w:rPr>
        <w:t>időtartama</w:t>
      </w:r>
      <w:r>
        <w:rPr>
          <w:spacing w:val="-36"/>
          <w:w w:val="130"/>
          <w:sz w:val="24"/>
        </w:rPr>
        <w:t> </w:t>
      </w:r>
      <w:r>
        <w:rPr>
          <w:w w:val="130"/>
          <w:sz w:val="24"/>
        </w:rPr>
        <w:t>harminc</w:t>
      </w:r>
      <w:r>
        <w:rPr>
          <w:spacing w:val="-37"/>
          <w:w w:val="130"/>
          <w:sz w:val="24"/>
        </w:rPr>
        <w:t> </w:t>
      </w:r>
      <w:r>
        <w:rPr>
          <w:w w:val="130"/>
          <w:sz w:val="24"/>
        </w:rPr>
        <w:t>napra</w:t>
      </w:r>
      <w:r>
        <w:rPr>
          <w:spacing w:val="-37"/>
          <w:w w:val="130"/>
          <w:sz w:val="24"/>
        </w:rPr>
        <w:t> </w:t>
      </w:r>
      <w:r>
        <w:rPr>
          <w:w w:val="130"/>
          <w:sz w:val="24"/>
        </w:rPr>
        <w:t>szól,</w:t>
      </w:r>
      <w:r>
        <w:rPr>
          <w:spacing w:val="-37"/>
          <w:w w:val="130"/>
          <w:sz w:val="24"/>
        </w:rPr>
        <w:t> </w:t>
      </w:r>
      <w:r>
        <w:rPr>
          <w:w w:val="130"/>
          <w:sz w:val="24"/>
        </w:rPr>
        <w:t>amely indokolt esetben harminc nappal</w:t>
      </w:r>
      <w:r>
        <w:rPr>
          <w:spacing w:val="-21"/>
          <w:w w:val="130"/>
          <w:sz w:val="24"/>
        </w:rPr>
        <w:t> </w:t>
      </w:r>
      <w:r>
        <w:rPr>
          <w:w w:val="130"/>
          <w:sz w:val="24"/>
        </w:rPr>
        <w:t>meghosszabbítható.</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18"/>
        </w:rPr>
      </w:pPr>
      <w:r>
        <w:rPr/>
        <w:pict>
          <v:line style="position:absolute;mso-position-horizontal-relative:page;mso-position-vertical-relative:paragraph;z-index:1664;mso-wrap-distance-left:0;mso-wrap-distance-right:0" from="56.693001pt,12.695132pt" to="538.583001pt,12.695132pt" stroked="true" strokeweight=".5pt" strokecolor="#000000">
            <v:stroke dashstyle="solid"/>
            <w10:wrap type="topAndBottom"/>
          </v:line>
        </w:pict>
      </w:r>
    </w:p>
    <w:p>
      <w:pPr>
        <w:pStyle w:val="ListParagraph"/>
        <w:numPr>
          <w:ilvl w:val="0"/>
          <w:numId w:val="451"/>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XXXVII. törvény 161. § (19). Hatályos: 2014. IX.</w:t>
      </w:r>
      <w:r>
        <w:rPr>
          <w:i/>
          <w:spacing w:val="-32"/>
          <w:w w:val="125"/>
          <w:sz w:val="18"/>
        </w:rPr>
        <w:t> </w:t>
      </w:r>
      <w:r>
        <w:rPr>
          <w:i/>
          <w:w w:val="125"/>
          <w:sz w:val="18"/>
        </w:rPr>
        <w:t>16-tól.</w:t>
      </w:r>
    </w:p>
    <w:p>
      <w:pPr>
        <w:pStyle w:val="ListParagraph"/>
        <w:numPr>
          <w:ilvl w:val="0"/>
          <w:numId w:val="451"/>
        </w:numPr>
        <w:tabs>
          <w:tab w:pos="686" w:val="left" w:leader="none"/>
          <w:tab w:pos="687" w:val="left" w:leader="none"/>
        </w:tabs>
        <w:spacing w:line="203" w:lineRule="exact" w:before="0" w:after="0"/>
        <w:ind w:left="686" w:right="0" w:hanging="344"/>
        <w:jc w:val="left"/>
        <w:rPr>
          <w:i/>
          <w:sz w:val="18"/>
        </w:rPr>
      </w:pPr>
      <w:r>
        <w:rPr>
          <w:i/>
          <w:w w:val="120"/>
          <w:sz w:val="18"/>
        </w:rPr>
        <w:t>Beiktatta: 2015. évi LXXXV. törvény 216. §. Hatályos: 2015. VII.</w:t>
      </w:r>
      <w:r>
        <w:rPr>
          <w:i/>
          <w:spacing w:val="45"/>
          <w:w w:val="120"/>
          <w:sz w:val="18"/>
        </w:rPr>
        <w:t> </w:t>
      </w:r>
      <w:r>
        <w:rPr>
          <w:i/>
          <w:w w:val="120"/>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449"/>
        </w:numPr>
        <w:tabs>
          <w:tab w:pos="838" w:val="left" w:leader="none"/>
        </w:tabs>
        <w:spacing w:line="225" w:lineRule="auto" w:before="173" w:after="0"/>
        <w:ind w:left="113" w:right="124" w:firstLine="204"/>
        <w:jc w:val="both"/>
        <w:rPr>
          <w:sz w:val="24"/>
        </w:rPr>
      </w:pPr>
      <w:r>
        <w:rPr>
          <w:w w:val="125"/>
          <w:sz w:val="24"/>
        </w:rPr>
        <w:t>Ha az e §-ban meghatározott helyszíni vizsgáló a működése során jogszabálysértést tapasztal - a vizsgáló kezdeményezésére - a Felügyelet a jogsértés súlyának figyelembevételével köteles célvizsgálatot vagy rendkívüli célvizsgálatot</w:t>
      </w:r>
      <w:r>
        <w:rPr>
          <w:spacing w:val="1"/>
          <w:w w:val="125"/>
          <w:sz w:val="24"/>
        </w:rPr>
        <w:t> </w:t>
      </w:r>
      <w:r>
        <w:rPr>
          <w:w w:val="125"/>
          <w:sz w:val="24"/>
        </w:rPr>
        <w:t>indítani.</w:t>
      </w:r>
    </w:p>
    <w:p>
      <w:pPr>
        <w:pStyle w:val="ListParagraph"/>
        <w:numPr>
          <w:ilvl w:val="0"/>
          <w:numId w:val="449"/>
        </w:numPr>
        <w:tabs>
          <w:tab w:pos="759" w:val="left" w:leader="none"/>
        </w:tabs>
        <w:spacing w:line="225" w:lineRule="auto" w:before="2" w:after="0"/>
        <w:ind w:left="113" w:right="137" w:firstLine="204"/>
        <w:jc w:val="both"/>
        <w:rPr>
          <w:sz w:val="24"/>
        </w:rPr>
      </w:pPr>
      <w:r>
        <w:rPr>
          <w:w w:val="125"/>
          <w:sz w:val="24"/>
        </w:rPr>
        <w:t>A helyszíni vizsgáló kirendelése a határozott időtartam lejártával vagy a Felügyelet végzésével zárul.</w:t>
      </w:r>
    </w:p>
    <w:p>
      <w:pPr>
        <w:pStyle w:val="BodyText"/>
        <w:spacing w:before="228"/>
        <w:ind w:left="3315" w:firstLine="0"/>
      </w:pPr>
      <w:r>
        <w:rPr>
          <w:w w:val="125"/>
        </w:rPr>
        <w:t>80. Kivételes intézkedések</w:t>
      </w:r>
    </w:p>
    <w:p>
      <w:pPr>
        <w:pStyle w:val="ListParagraph"/>
        <w:numPr>
          <w:ilvl w:val="0"/>
          <w:numId w:val="387"/>
        </w:numPr>
        <w:tabs>
          <w:tab w:pos="985" w:val="left" w:leader="none"/>
        </w:tabs>
        <w:spacing w:line="225" w:lineRule="auto" w:before="236" w:after="0"/>
        <w:ind w:left="113" w:right="130" w:firstLine="204"/>
        <w:jc w:val="both"/>
        <w:rPr>
          <w:sz w:val="24"/>
        </w:rPr>
      </w:pPr>
      <w:r>
        <w:rPr>
          <w:rFonts w:ascii="Arial" w:hAnsi="Arial"/>
          <w:b/>
          <w:w w:val="125"/>
          <w:sz w:val="24"/>
        </w:rPr>
        <w:t>§ </w:t>
      </w:r>
      <w:r>
        <w:rPr>
          <w:w w:val="125"/>
          <w:sz w:val="24"/>
        </w:rPr>
        <w:t>(1) A 184. § (3) bekezdése szerinti esetekben a Felügyelet a következő kivételes intézkedéseket is</w:t>
      </w:r>
      <w:r>
        <w:rPr>
          <w:spacing w:val="3"/>
          <w:w w:val="125"/>
          <w:sz w:val="24"/>
        </w:rPr>
        <w:t> </w:t>
      </w:r>
      <w:r>
        <w:rPr>
          <w:w w:val="125"/>
          <w:sz w:val="24"/>
        </w:rPr>
        <w:t>alkalmazhatja:</w:t>
      </w:r>
    </w:p>
    <w:p>
      <w:pPr>
        <w:pStyle w:val="ListParagraph"/>
        <w:numPr>
          <w:ilvl w:val="0"/>
          <w:numId w:val="452"/>
        </w:numPr>
        <w:tabs>
          <w:tab w:pos="631" w:val="left" w:leader="none"/>
        </w:tabs>
        <w:spacing w:line="256" w:lineRule="exact" w:before="0" w:after="0"/>
        <w:ind w:left="630" w:right="0" w:hanging="313"/>
        <w:jc w:val="left"/>
        <w:rPr>
          <w:sz w:val="24"/>
        </w:rPr>
      </w:pPr>
      <w:r>
        <w:rPr>
          <w:w w:val="130"/>
          <w:sz w:val="24"/>
        </w:rPr>
        <w:t>előírhatja</w:t>
      </w:r>
    </w:p>
    <w:p>
      <w:pPr>
        <w:pStyle w:val="BodyText"/>
        <w:spacing w:line="260" w:lineRule="exact"/>
        <w:ind w:left="317" w:firstLine="0"/>
      </w:pPr>
      <w:r>
        <w:rPr>
          <w:i/>
          <w:w w:val="130"/>
        </w:rPr>
        <w:t>aa) </w:t>
      </w:r>
      <w:r>
        <w:rPr>
          <w:w w:val="130"/>
        </w:rPr>
        <w:t>a hitelintézet nem banküzemi célú eszközeinek</w:t>
      </w:r>
      <w:r>
        <w:rPr>
          <w:spacing w:val="-54"/>
          <w:w w:val="130"/>
        </w:rPr>
        <w:t> </w:t>
      </w:r>
      <w:r>
        <w:rPr>
          <w:w w:val="130"/>
        </w:rPr>
        <w:t>eladását,</w:t>
      </w:r>
    </w:p>
    <w:p>
      <w:pPr>
        <w:pStyle w:val="BodyText"/>
        <w:spacing w:line="225" w:lineRule="auto" w:before="6"/>
        <w:ind w:right="129"/>
        <w:jc w:val="both"/>
      </w:pPr>
      <w:r>
        <w:rPr>
          <w:i/>
          <w:w w:val="125"/>
        </w:rPr>
        <w:t>ab) </w:t>
      </w:r>
      <w:r>
        <w:rPr>
          <w:w w:val="125"/>
        </w:rPr>
        <w:t>hogy a pénzügyi intézmény a Felügyelet által megállapított határidőn belül és követelményeknek megfelelően rendezze</w:t>
      </w:r>
      <w:r>
        <w:rPr>
          <w:spacing w:val="20"/>
          <w:w w:val="125"/>
        </w:rPr>
        <w:t> </w:t>
      </w:r>
      <w:r>
        <w:rPr>
          <w:w w:val="125"/>
        </w:rPr>
        <w:t>tőkeszerkezetét,</w:t>
      </w:r>
    </w:p>
    <w:p>
      <w:pPr>
        <w:pStyle w:val="ListParagraph"/>
        <w:numPr>
          <w:ilvl w:val="0"/>
          <w:numId w:val="452"/>
        </w:numPr>
        <w:tabs>
          <w:tab w:pos="653" w:val="left" w:leader="none"/>
        </w:tabs>
        <w:spacing w:line="225" w:lineRule="auto" w:before="1" w:after="0"/>
        <w:ind w:left="317" w:right="2613" w:firstLine="0"/>
        <w:jc w:val="left"/>
        <w:rPr>
          <w:sz w:val="24"/>
        </w:rPr>
      </w:pPr>
      <w:r>
        <w:rPr>
          <w:w w:val="130"/>
          <w:sz w:val="24"/>
        </w:rPr>
        <w:t>korlátozhatja</w:t>
      </w:r>
      <w:r>
        <w:rPr>
          <w:spacing w:val="-31"/>
          <w:w w:val="130"/>
          <w:sz w:val="24"/>
        </w:rPr>
        <w:t> </w:t>
      </w:r>
      <w:r>
        <w:rPr>
          <w:w w:val="130"/>
          <w:sz w:val="24"/>
        </w:rPr>
        <w:t>vagy</w:t>
      </w:r>
      <w:r>
        <w:rPr>
          <w:spacing w:val="-22"/>
          <w:w w:val="130"/>
          <w:sz w:val="24"/>
        </w:rPr>
        <w:t> </w:t>
      </w:r>
      <w:r>
        <w:rPr>
          <w:w w:val="130"/>
          <w:sz w:val="24"/>
        </w:rPr>
        <w:t>megtilthatja</w:t>
      </w:r>
      <w:r>
        <w:rPr>
          <w:spacing w:val="-22"/>
          <w:w w:val="130"/>
          <w:sz w:val="24"/>
        </w:rPr>
        <w:t> </w:t>
      </w:r>
      <w:r>
        <w:rPr>
          <w:w w:val="130"/>
          <w:sz w:val="24"/>
        </w:rPr>
        <w:t>a</w:t>
      </w:r>
      <w:r>
        <w:rPr>
          <w:spacing w:val="-22"/>
          <w:w w:val="130"/>
          <w:sz w:val="24"/>
        </w:rPr>
        <w:t> </w:t>
      </w:r>
      <w:r>
        <w:rPr>
          <w:w w:val="130"/>
          <w:sz w:val="24"/>
        </w:rPr>
        <w:t>hitelintézet</w:t>
      </w:r>
      <w:r>
        <w:rPr>
          <w:spacing w:val="-22"/>
          <w:w w:val="130"/>
          <w:sz w:val="24"/>
        </w:rPr>
        <w:t> </w:t>
      </w:r>
      <w:r>
        <w:rPr>
          <w:w w:val="130"/>
          <w:sz w:val="24"/>
        </w:rPr>
        <w:t>számára </w:t>
      </w:r>
      <w:r>
        <w:rPr>
          <w:i/>
          <w:w w:val="130"/>
          <w:sz w:val="24"/>
        </w:rPr>
        <w:t>ba) </w:t>
      </w:r>
      <w:r>
        <w:rPr>
          <w:w w:val="130"/>
          <w:sz w:val="24"/>
        </w:rPr>
        <w:t>a tulajdonosok és a hitelintézet közötti ügyleteket, </w:t>
      </w:r>
      <w:r>
        <w:rPr>
          <w:i/>
          <w:w w:val="130"/>
          <w:sz w:val="24"/>
        </w:rPr>
        <w:t>bb)</w:t>
      </w:r>
      <w:r>
        <w:rPr>
          <w:i/>
          <w:spacing w:val="-24"/>
          <w:w w:val="130"/>
          <w:sz w:val="24"/>
        </w:rPr>
        <w:t> </w:t>
      </w:r>
      <w:r>
        <w:rPr>
          <w:w w:val="130"/>
          <w:sz w:val="24"/>
        </w:rPr>
        <w:t>a</w:t>
      </w:r>
      <w:r>
        <w:rPr>
          <w:spacing w:val="-24"/>
          <w:w w:val="130"/>
          <w:sz w:val="24"/>
        </w:rPr>
        <w:t> </w:t>
      </w:r>
      <w:r>
        <w:rPr>
          <w:w w:val="130"/>
          <w:sz w:val="24"/>
        </w:rPr>
        <w:t>betétek</w:t>
      </w:r>
      <w:r>
        <w:rPr>
          <w:spacing w:val="-23"/>
          <w:w w:val="130"/>
          <w:sz w:val="24"/>
        </w:rPr>
        <w:t> </w:t>
      </w:r>
      <w:r>
        <w:rPr>
          <w:w w:val="130"/>
          <w:sz w:val="24"/>
        </w:rPr>
        <w:t>és</w:t>
      </w:r>
      <w:r>
        <w:rPr>
          <w:spacing w:val="-24"/>
          <w:w w:val="130"/>
          <w:sz w:val="24"/>
        </w:rPr>
        <w:t> </w:t>
      </w:r>
      <w:r>
        <w:rPr>
          <w:w w:val="130"/>
          <w:sz w:val="24"/>
        </w:rPr>
        <w:t>más</w:t>
      </w:r>
      <w:r>
        <w:rPr>
          <w:spacing w:val="-24"/>
          <w:w w:val="130"/>
          <w:sz w:val="24"/>
        </w:rPr>
        <w:t> </w:t>
      </w:r>
      <w:r>
        <w:rPr>
          <w:w w:val="130"/>
          <w:sz w:val="24"/>
        </w:rPr>
        <w:t>visszafizetendő</w:t>
      </w:r>
      <w:r>
        <w:rPr>
          <w:spacing w:val="-24"/>
          <w:w w:val="130"/>
          <w:sz w:val="24"/>
        </w:rPr>
        <w:t> </w:t>
      </w:r>
      <w:r>
        <w:rPr>
          <w:w w:val="130"/>
          <w:sz w:val="24"/>
        </w:rPr>
        <w:t>források</w:t>
      </w:r>
      <w:r>
        <w:rPr>
          <w:spacing w:val="-23"/>
          <w:w w:val="130"/>
          <w:sz w:val="24"/>
        </w:rPr>
        <w:t> </w:t>
      </w:r>
      <w:r>
        <w:rPr>
          <w:w w:val="130"/>
          <w:sz w:val="24"/>
        </w:rPr>
        <w:t>kifizetését, </w:t>
      </w:r>
      <w:r>
        <w:rPr>
          <w:i/>
          <w:w w:val="130"/>
          <w:sz w:val="24"/>
        </w:rPr>
        <w:t>bc) </w:t>
      </w:r>
      <w:r>
        <w:rPr>
          <w:w w:val="130"/>
          <w:sz w:val="24"/>
        </w:rPr>
        <w:t>a kötelezettségek</w:t>
      </w:r>
      <w:r>
        <w:rPr>
          <w:spacing w:val="-13"/>
          <w:w w:val="130"/>
          <w:sz w:val="24"/>
        </w:rPr>
        <w:t> </w:t>
      </w:r>
      <w:r>
        <w:rPr>
          <w:w w:val="130"/>
          <w:sz w:val="24"/>
        </w:rPr>
        <w:t>vállalását,</w:t>
      </w:r>
    </w:p>
    <w:p>
      <w:pPr>
        <w:pStyle w:val="ListParagraph"/>
        <w:numPr>
          <w:ilvl w:val="0"/>
          <w:numId w:val="452"/>
        </w:numPr>
        <w:tabs>
          <w:tab w:pos="805" w:val="left" w:leader="none"/>
        </w:tabs>
        <w:spacing w:line="225" w:lineRule="auto" w:before="2" w:after="0"/>
        <w:ind w:left="113" w:right="117" w:firstLine="204"/>
        <w:jc w:val="both"/>
        <w:rPr>
          <w:sz w:val="24"/>
        </w:rPr>
      </w:pPr>
      <w:r>
        <w:rPr>
          <w:w w:val="130"/>
          <w:sz w:val="24"/>
        </w:rPr>
        <w:t>meghatározhatja a hitelintézet által kiköthető kamat legnagyobb mértékét,</w:t>
      </w:r>
    </w:p>
    <w:p>
      <w:pPr>
        <w:pStyle w:val="ListParagraph"/>
        <w:numPr>
          <w:ilvl w:val="0"/>
          <w:numId w:val="452"/>
        </w:numPr>
        <w:tabs>
          <w:tab w:pos="839" w:val="left" w:leader="none"/>
        </w:tabs>
        <w:spacing w:line="225" w:lineRule="auto" w:before="1" w:after="0"/>
        <w:ind w:left="113" w:right="126" w:firstLine="204"/>
        <w:jc w:val="both"/>
        <w:rPr>
          <w:sz w:val="24"/>
        </w:rPr>
      </w:pPr>
      <w:r>
        <w:rPr>
          <w:w w:val="130"/>
          <w:sz w:val="24"/>
        </w:rPr>
        <w:t>kötelezheti az igazgatóságot a közgyűlés összehívására, továbbá meghatározott napirendi pontok megtárgyalására és meghatározott döntések meghozatalának szükségességére hívhatja fel e testületek</w:t>
      </w:r>
      <w:r>
        <w:rPr>
          <w:spacing w:val="-57"/>
          <w:w w:val="130"/>
          <w:sz w:val="24"/>
        </w:rPr>
        <w:t> </w:t>
      </w:r>
      <w:r>
        <w:rPr>
          <w:w w:val="130"/>
          <w:sz w:val="24"/>
        </w:rPr>
        <w:t>figyelmét,</w:t>
      </w:r>
    </w:p>
    <w:p>
      <w:pPr>
        <w:pStyle w:val="ListParagraph"/>
        <w:numPr>
          <w:ilvl w:val="0"/>
          <w:numId w:val="452"/>
        </w:numPr>
        <w:tabs>
          <w:tab w:pos="629" w:val="left" w:leader="none"/>
        </w:tabs>
        <w:spacing w:line="256" w:lineRule="exact" w:before="0" w:after="0"/>
        <w:ind w:left="628" w:right="0" w:hanging="311"/>
        <w:jc w:val="left"/>
        <w:rPr>
          <w:sz w:val="24"/>
        </w:rPr>
      </w:pPr>
      <w:r>
        <w:rPr>
          <w:w w:val="125"/>
          <w:sz w:val="24"/>
        </w:rPr>
        <w:t>felügyeleti biztost rendelhet ki a pénzügyi intézményhez,</w:t>
      </w:r>
      <w:r>
        <w:rPr>
          <w:spacing w:val="9"/>
          <w:w w:val="125"/>
          <w:sz w:val="24"/>
        </w:rPr>
        <w:t> </w:t>
      </w:r>
      <w:r>
        <w:rPr>
          <w:w w:val="125"/>
          <w:sz w:val="24"/>
        </w:rPr>
        <w:t>vagy</w:t>
      </w:r>
    </w:p>
    <w:p>
      <w:pPr>
        <w:pStyle w:val="ListParagraph"/>
        <w:numPr>
          <w:ilvl w:val="0"/>
          <w:numId w:val="452"/>
        </w:numPr>
        <w:tabs>
          <w:tab w:pos="504" w:val="left" w:leader="none"/>
        </w:tabs>
        <w:spacing w:line="225" w:lineRule="auto" w:before="6" w:after="0"/>
        <w:ind w:left="113" w:right="130" w:firstLine="204"/>
        <w:jc w:val="both"/>
        <w:rPr>
          <w:sz w:val="24"/>
        </w:rPr>
      </w:pPr>
      <w:r>
        <w:rPr>
          <w:i/>
          <w:w w:val="125"/>
          <w:position w:val="3"/>
          <w:sz w:val="18"/>
        </w:rPr>
        <w:t>1 </w:t>
      </w:r>
      <w:r>
        <w:rPr>
          <w:w w:val="125"/>
          <w:sz w:val="24"/>
        </w:rPr>
        <w:t>visszavonhatja annak a vezető állású  személynek a megválasztására vagy a kinevezésére adott engedélyét, akinek személyes felelősségét az eset kialakulásáért jogerős vagy végleges határozatban megállapította, és kezdeményezheti a pénzügyi intézménynél más vezető állású személy megválasztását vagy kinevezését azzal, hogy ezen kivételes intézkedésnél a vezető állású személlyel szemben együttesen nem szabható ki</w:t>
      </w:r>
      <w:r>
        <w:rPr>
          <w:spacing w:val="36"/>
          <w:w w:val="125"/>
          <w:sz w:val="24"/>
        </w:rPr>
        <w:t> </w:t>
      </w:r>
      <w:r>
        <w:rPr>
          <w:w w:val="125"/>
          <w:sz w:val="24"/>
        </w:rPr>
        <w:t>bírság,</w:t>
      </w:r>
    </w:p>
    <w:p>
      <w:pPr>
        <w:pStyle w:val="ListParagraph"/>
        <w:numPr>
          <w:ilvl w:val="0"/>
          <w:numId w:val="452"/>
        </w:numPr>
        <w:tabs>
          <w:tab w:pos="567" w:val="left" w:leader="none"/>
        </w:tabs>
        <w:spacing w:line="258" w:lineRule="exact" w:before="0" w:after="0"/>
        <w:ind w:left="566" w:right="0" w:hanging="249"/>
        <w:jc w:val="left"/>
        <w:rPr>
          <w:sz w:val="18"/>
        </w:rPr>
      </w:pPr>
      <w:r>
        <w:rPr>
          <w:i/>
          <w:w w:val="127"/>
          <w:position w:val="3"/>
          <w:sz w:val="18"/>
        </w:rPr>
        <w:t>2</w:t>
      </w:r>
      <w:r>
        <w:rPr>
          <w:sz w:val="18"/>
        </w:rPr>
      </w:r>
    </w:p>
    <w:p>
      <w:pPr>
        <w:pStyle w:val="ListParagraph"/>
        <w:numPr>
          <w:ilvl w:val="0"/>
          <w:numId w:val="453"/>
        </w:numPr>
        <w:tabs>
          <w:tab w:pos="753" w:val="left" w:leader="none"/>
        </w:tabs>
        <w:spacing w:line="225" w:lineRule="auto" w:before="5" w:after="0"/>
        <w:ind w:left="113" w:right="129" w:firstLine="204"/>
        <w:jc w:val="both"/>
        <w:rPr>
          <w:sz w:val="24"/>
        </w:rPr>
      </w:pPr>
      <w:r>
        <w:rPr>
          <w:w w:val="125"/>
          <w:sz w:val="24"/>
        </w:rPr>
        <w:t>Az (1) bekezdésben meghatározott kivételes  intézkedésekkel egyidejűleg a Felügyelet felszólíthatja a szükséges intézkedések megtételére a pénzügyi intézmény</w:t>
      </w:r>
    </w:p>
    <w:p>
      <w:pPr>
        <w:pStyle w:val="ListParagraph"/>
        <w:numPr>
          <w:ilvl w:val="0"/>
          <w:numId w:val="454"/>
        </w:numPr>
        <w:tabs>
          <w:tab w:pos="705" w:val="left" w:leader="none"/>
        </w:tabs>
        <w:spacing w:line="225" w:lineRule="auto" w:before="2" w:after="0"/>
        <w:ind w:left="113" w:right="123" w:firstLine="204"/>
        <w:jc w:val="both"/>
        <w:rPr>
          <w:sz w:val="24"/>
        </w:rPr>
      </w:pPr>
      <w:r>
        <w:rPr>
          <w:w w:val="130"/>
          <w:sz w:val="24"/>
        </w:rPr>
        <w:t>részvénykönyvben, szövetkezeti formában működő pénzügyi intézmény esetén tagnyilvántartásban, nyilvántartott tulajdonosai közül az öt százalékot elérő vagy meghaladó közvetlen tulajdoni hányaddal</w:t>
      </w:r>
      <w:r>
        <w:rPr>
          <w:spacing w:val="-46"/>
          <w:w w:val="130"/>
          <w:sz w:val="24"/>
        </w:rPr>
        <w:t> </w:t>
      </w:r>
      <w:r>
        <w:rPr>
          <w:w w:val="130"/>
          <w:sz w:val="24"/>
        </w:rPr>
        <w:t>és</w:t>
      </w:r>
    </w:p>
    <w:p>
      <w:pPr>
        <w:pStyle w:val="ListParagraph"/>
        <w:numPr>
          <w:ilvl w:val="0"/>
          <w:numId w:val="454"/>
        </w:numPr>
        <w:tabs>
          <w:tab w:pos="653" w:val="left" w:leader="none"/>
        </w:tabs>
        <w:spacing w:line="256" w:lineRule="exact" w:before="0" w:after="0"/>
        <w:ind w:left="652" w:right="0" w:hanging="335"/>
        <w:jc w:val="left"/>
        <w:rPr>
          <w:sz w:val="24"/>
        </w:rPr>
      </w:pPr>
      <w:r>
        <w:rPr>
          <w:w w:val="130"/>
          <w:sz w:val="24"/>
        </w:rPr>
        <w:t>befolyásoló</w:t>
      </w:r>
      <w:r>
        <w:rPr>
          <w:spacing w:val="-14"/>
          <w:w w:val="130"/>
          <w:sz w:val="24"/>
        </w:rPr>
        <w:t> </w:t>
      </w:r>
      <w:r>
        <w:rPr>
          <w:w w:val="130"/>
          <w:sz w:val="24"/>
        </w:rPr>
        <w:t>részesedéssel</w:t>
      </w:r>
    </w:p>
    <w:p>
      <w:pPr>
        <w:pStyle w:val="BodyText"/>
        <w:spacing w:line="225" w:lineRule="auto" w:before="5"/>
        <w:ind w:firstLine="0"/>
      </w:pPr>
      <w:r>
        <w:rPr>
          <w:w w:val="125"/>
        </w:rPr>
        <w:t>rendelkező tulajdonosát, alapítványi formában működő pénzügyi vállalkozás esetében alapítóit.</w:t>
      </w:r>
    </w:p>
    <w:p>
      <w:pPr>
        <w:pStyle w:val="ListParagraph"/>
        <w:numPr>
          <w:ilvl w:val="0"/>
          <w:numId w:val="453"/>
        </w:numPr>
        <w:tabs>
          <w:tab w:pos="753" w:val="left" w:leader="none"/>
        </w:tabs>
        <w:spacing w:line="225" w:lineRule="auto" w:before="1" w:after="0"/>
        <w:ind w:left="113" w:right="123" w:firstLine="204"/>
        <w:jc w:val="both"/>
        <w:rPr>
          <w:sz w:val="24"/>
        </w:rPr>
      </w:pPr>
      <w:r>
        <w:rPr>
          <w:w w:val="130"/>
          <w:sz w:val="24"/>
        </w:rPr>
        <w:t>Harmadik országbeli</w:t>
      </w:r>
      <w:r>
        <w:rPr>
          <w:spacing w:val="-58"/>
          <w:w w:val="130"/>
          <w:sz w:val="24"/>
        </w:rPr>
        <w:t> </w:t>
      </w:r>
      <w:r>
        <w:rPr>
          <w:w w:val="130"/>
          <w:sz w:val="24"/>
        </w:rPr>
        <w:t>hitelintézet fióktelepe esetében az (1) bekezdésben meghatározott kivételes intézkedésekkel egyidejűleg a Felügyelet értesíti a harmadik országbeli hitelintézetet és annak felügyeleti</w:t>
      </w:r>
      <w:r>
        <w:rPr>
          <w:spacing w:val="-41"/>
          <w:w w:val="130"/>
          <w:sz w:val="24"/>
        </w:rPr>
        <w:t> </w:t>
      </w:r>
      <w:r>
        <w:rPr>
          <w:w w:val="130"/>
          <w:sz w:val="24"/>
        </w:rPr>
        <w:t>hatóságát.</w:t>
      </w:r>
    </w:p>
    <w:p>
      <w:pPr>
        <w:pStyle w:val="ListParagraph"/>
        <w:numPr>
          <w:ilvl w:val="0"/>
          <w:numId w:val="453"/>
        </w:numPr>
        <w:tabs>
          <w:tab w:pos="772" w:val="left" w:leader="none"/>
        </w:tabs>
        <w:spacing w:line="225" w:lineRule="auto" w:before="2" w:after="0"/>
        <w:ind w:left="113" w:right="126" w:firstLine="204"/>
        <w:jc w:val="both"/>
        <w:rPr>
          <w:sz w:val="24"/>
        </w:rPr>
      </w:pPr>
      <w:r>
        <w:rPr>
          <w:w w:val="125"/>
          <w:sz w:val="24"/>
        </w:rPr>
        <w:t>A Felügyelet a (2) bekezdés szerinti felszólítással egyidejűleg értesíti a pénzügyi intézmény igazgatóságát, felügyelő bizottságát, valamint könyvvizsgálóját, és felszólítja az igazgatóságot a 185. § (2) bekezdés </w:t>
      </w:r>
      <w:r>
        <w:rPr>
          <w:i/>
          <w:w w:val="125"/>
          <w:sz w:val="24"/>
        </w:rPr>
        <w:t>b) </w:t>
      </w:r>
      <w:r>
        <w:rPr>
          <w:w w:val="125"/>
          <w:sz w:val="24"/>
        </w:rPr>
        <w:t>pontjában felsorolt egyes intézkedések haladéktalan</w:t>
      </w:r>
      <w:r>
        <w:rPr>
          <w:spacing w:val="35"/>
          <w:w w:val="125"/>
          <w:sz w:val="24"/>
        </w:rPr>
        <w:t> </w:t>
      </w:r>
      <w:r>
        <w:rPr>
          <w:w w:val="125"/>
          <w:sz w:val="24"/>
        </w:rPr>
        <w:t>megtételére.</w:t>
      </w:r>
    </w:p>
    <w:p>
      <w:pPr>
        <w:pStyle w:val="BodyText"/>
        <w:ind w:left="0" w:firstLine="0"/>
        <w:rPr>
          <w:sz w:val="20"/>
        </w:rPr>
      </w:pPr>
    </w:p>
    <w:p>
      <w:pPr>
        <w:pStyle w:val="BodyText"/>
        <w:ind w:left="0" w:firstLine="0"/>
        <w:rPr>
          <w:sz w:val="20"/>
        </w:rPr>
      </w:pPr>
    </w:p>
    <w:p>
      <w:pPr>
        <w:pStyle w:val="BodyText"/>
        <w:spacing w:before="2"/>
        <w:ind w:left="0" w:firstLine="0"/>
        <w:rPr>
          <w:sz w:val="19"/>
        </w:rPr>
      </w:pPr>
      <w:r>
        <w:rPr/>
        <w:pict>
          <v:line style="position:absolute;mso-position-horizontal-relative:page;mso-position-vertical-relative:paragraph;z-index:1688;mso-wrap-distance-left:0;mso-wrap-distance-right:0" from="56.693001pt,13.25214pt" to="538.583001pt,13.25214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e).</w:t>
      </w:r>
    </w:p>
    <w:p>
      <w:pPr>
        <w:tabs>
          <w:tab w:pos="686" w:val="left" w:leader="none"/>
        </w:tabs>
        <w:spacing w:line="203" w:lineRule="exact" w:before="0"/>
        <w:ind w:left="342" w:right="0" w:firstLine="0"/>
        <w:jc w:val="left"/>
        <w:rPr>
          <w:i/>
          <w:sz w:val="18"/>
        </w:rPr>
      </w:pPr>
      <w:r>
        <w:rPr>
          <w:i/>
          <w:w w:val="120"/>
          <w:sz w:val="18"/>
        </w:rPr>
        <w:t>2</w:t>
        <w:tab/>
        <w:t>Hatályon</w:t>
      </w:r>
      <w:r>
        <w:rPr>
          <w:i/>
          <w:spacing w:val="10"/>
          <w:w w:val="120"/>
          <w:sz w:val="18"/>
        </w:rPr>
        <w:t> </w:t>
      </w:r>
      <w:r>
        <w:rPr>
          <w:i/>
          <w:w w:val="120"/>
          <w:sz w:val="18"/>
        </w:rPr>
        <w:t>kívül</w:t>
      </w:r>
      <w:r>
        <w:rPr>
          <w:i/>
          <w:spacing w:val="9"/>
          <w:w w:val="120"/>
          <w:sz w:val="18"/>
        </w:rPr>
        <w:t> </w:t>
      </w:r>
      <w:r>
        <w:rPr>
          <w:i/>
          <w:w w:val="120"/>
          <w:sz w:val="18"/>
        </w:rPr>
        <w:t>helyezte:</w:t>
      </w:r>
      <w:r>
        <w:rPr>
          <w:i/>
          <w:spacing w:val="10"/>
          <w:w w:val="120"/>
          <w:sz w:val="18"/>
        </w:rPr>
        <w:t> </w:t>
      </w:r>
      <w:r>
        <w:rPr>
          <w:i/>
          <w:w w:val="120"/>
          <w:sz w:val="18"/>
        </w:rPr>
        <w:t>2014.</w:t>
      </w:r>
      <w:r>
        <w:rPr>
          <w:i/>
          <w:spacing w:val="9"/>
          <w:w w:val="120"/>
          <w:sz w:val="18"/>
        </w:rPr>
        <w:t> </w:t>
      </w:r>
      <w:r>
        <w:rPr>
          <w:i/>
          <w:w w:val="120"/>
          <w:sz w:val="18"/>
        </w:rPr>
        <w:t>évi</w:t>
      </w:r>
      <w:r>
        <w:rPr>
          <w:i/>
          <w:spacing w:val="9"/>
          <w:w w:val="120"/>
          <w:sz w:val="18"/>
        </w:rPr>
        <w:t> </w:t>
      </w:r>
      <w:r>
        <w:rPr>
          <w:i/>
          <w:w w:val="120"/>
          <w:sz w:val="18"/>
        </w:rPr>
        <w:t>XXXVII.</w:t>
      </w:r>
      <w:r>
        <w:rPr>
          <w:i/>
          <w:spacing w:val="9"/>
          <w:w w:val="120"/>
          <w:sz w:val="18"/>
        </w:rPr>
        <w:t> </w:t>
      </w:r>
      <w:r>
        <w:rPr>
          <w:i/>
          <w:w w:val="120"/>
          <w:sz w:val="18"/>
        </w:rPr>
        <w:t>törvény</w:t>
      </w:r>
      <w:r>
        <w:rPr>
          <w:i/>
          <w:spacing w:val="9"/>
          <w:w w:val="120"/>
          <w:sz w:val="18"/>
        </w:rPr>
        <w:t> </w:t>
      </w:r>
      <w:r>
        <w:rPr>
          <w:i/>
          <w:w w:val="120"/>
          <w:sz w:val="18"/>
        </w:rPr>
        <w:t>161.</w:t>
      </w:r>
      <w:r>
        <w:rPr>
          <w:i/>
          <w:spacing w:val="9"/>
          <w:w w:val="120"/>
          <w:sz w:val="18"/>
        </w:rPr>
        <w:t> </w:t>
      </w:r>
      <w:r>
        <w:rPr>
          <w:i/>
          <w:w w:val="120"/>
          <w:sz w:val="18"/>
        </w:rPr>
        <w:t>§</w:t>
      </w:r>
      <w:r>
        <w:rPr>
          <w:i/>
          <w:spacing w:val="10"/>
          <w:w w:val="120"/>
          <w:sz w:val="18"/>
        </w:rPr>
        <w:t> </w:t>
      </w:r>
      <w:r>
        <w:rPr>
          <w:i/>
          <w:w w:val="120"/>
          <w:sz w:val="18"/>
        </w:rPr>
        <w:t>(25).</w:t>
      </w:r>
      <w:r>
        <w:rPr>
          <w:i/>
          <w:spacing w:val="11"/>
          <w:w w:val="120"/>
          <w:sz w:val="18"/>
        </w:rPr>
        <w:t> </w:t>
      </w:r>
      <w:r>
        <w:rPr>
          <w:i/>
          <w:w w:val="120"/>
          <w:sz w:val="18"/>
        </w:rPr>
        <w:t>Hatálytalan:</w:t>
      </w:r>
      <w:r>
        <w:rPr>
          <w:i/>
          <w:spacing w:val="10"/>
          <w:w w:val="120"/>
          <w:sz w:val="18"/>
        </w:rPr>
        <w:t> </w:t>
      </w:r>
      <w:r>
        <w:rPr>
          <w:i/>
          <w:w w:val="120"/>
          <w:sz w:val="18"/>
        </w:rPr>
        <w:t>2014.</w:t>
      </w:r>
      <w:r>
        <w:rPr>
          <w:i/>
          <w:spacing w:val="9"/>
          <w:w w:val="120"/>
          <w:sz w:val="18"/>
        </w:rPr>
        <w:t> </w:t>
      </w:r>
      <w:r>
        <w:rPr>
          <w:i/>
          <w:w w:val="120"/>
          <w:sz w:val="18"/>
        </w:rPr>
        <w:t>VII.</w:t>
      </w:r>
      <w:r>
        <w:rPr>
          <w:i/>
          <w:spacing w:val="10"/>
          <w:w w:val="120"/>
          <w:sz w:val="18"/>
        </w:rPr>
        <w:t> </w:t>
      </w:r>
      <w:r>
        <w:rPr>
          <w:i/>
          <w:w w:val="120"/>
          <w:sz w:val="18"/>
        </w:rPr>
        <w:t>21-től.</w:t>
      </w:r>
    </w:p>
    <w:p>
      <w:pPr>
        <w:spacing w:after="0" w:line="203" w:lineRule="exact"/>
        <w:jc w:val="left"/>
        <w:rPr>
          <w:sz w:val="18"/>
        </w:rPr>
        <w:sectPr>
          <w:pgSz w:w="11900" w:h="16820"/>
          <w:pgMar w:header="1104" w:footer="0" w:top="1840" w:bottom="280" w:left="1020" w:right="1000"/>
        </w:sectPr>
      </w:pPr>
    </w:p>
    <w:p>
      <w:pPr>
        <w:pStyle w:val="ListParagraph"/>
        <w:numPr>
          <w:ilvl w:val="0"/>
          <w:numId w:val="453"/>
        </w:numPr>
        <w:tabs>
          <w:tab w:pos="878" w:val="left" w:leader="none"/>
        </w:tabs>
        <w:spacing w:line="225" w:lineRule="auto" w:before="173" w:after="0"/>
        <w:ind w:left="113" w:right="127" w:firstLine="204"/>
        <w:jc w:val="both"/>
        <w:rPr>
          <w:sz w:val="24"/>
        </w:rPr>
      </w:pPr>
      <w:r>
        <w:rPr>
          <w:w w:val="130"/>
          <w:sz w:val="24"/>
        </w:rPr>
        <w:t>Az (1) bekezdés </w:t>
      </w:r>
      <w:r>
        <w:rPr>
          <w:i/>
          <w:w w:val="130"/>
          <w:sz w:val="24"/>
        </w:rPr>
        <w:t>b), c) </w:t>
      </w:r>
      <w:r>
        <w:rPr>
          <w:w w:val="130"/>
          <w:sz w:val="24"/>
        </w:rPr>
        <w:t>és </w:t>
      </w:r>
      <w:r>
        <w:rPr>
          <w:i/>
          <w:w w:val="130"/>
          <w:sz w:val="24"/>
        </w:rPr>
        <w:t>e) </w:t>
      </w:r>
      <w:r>
        <w:rPr>
          <w:w w:val="130"/>
          <w:sz w:val="24"/>
        </w:rPr>
        <w:t>pontjában meghatározott kivételes</w:t>
      </w:r>
      <w:r>
        <w:rPr>
          <w:spacing w:val="78"/>
          <w:w w:val="130"/>
          <w:sz w:val="24"/>
        </w:rPr>
        <w:t> </w:t>
      </w:r>
      <w:r>
        <w:rPr>
          <w:w w:val="130"/>
          <w:sz w:val="24"/>
        </w:rPr>
        <w:t>intézkedéseket</w:t>
      </w:r>
      <w:r>
        <w:rPr>
          <w:spacing w:val="-6"/>
          <w:w w:val="130"/>
          <w:sz w:val="24"/>
        </w:rPr>
        <w:t> </w:t>
      </w:r>
      <w:r>
        <w:rPr>
          <w:i/>
          <w:w w:val="130"/>
          <w:sz w:val="24"/>
        </w:rPr>
        <w:t>-</w:t>
      </w:r>
      <w:r>
        <w:rPr>
          <w:i/>
          <w:spacing w:val="-7"/>
          <w:w w:val="130"/>
          <w:sz w:val="24"/>
        </w:rPr>
        <w:t> </w:t>
      </w:r>
      <w:r>
        <w:rPr>
          <w:i/>
          <w:w w:val="130"/>
          <w:sz w:val="24"/>
        </w:rPr>
        <w:t>a</w:t>
      </w:r>
      <w:r>
        <w:rPr>
          <w:i/>
          <w:spacing w:val="-7"/>
          <w:w w:val="130"/>
          <w:sz w:val="24"/>
        </w:rPr>
        <w:t> </w:t>
      </w:r>
      <w:r>
        <w:rPr>
          <w:i/>
          <w:w w:val="130"/>
          <w:sz w:val="24"/>
        </w:rPr>
        <w:t>b)</w:t>
      </w:r>
      <w:r>
        <w:rPr>
          <w:i/>
          <w:spacing w:val="-7"/>
          <w:w w:val="130"/>
          <w:sz w:val="24"/>
        </w:rPr>
        <w:t> </w:t>
      </w:r>
      <w:r>
        <w:rPr>
          <w:w w:val="130"/>
          <w:sz w:val="24"/>
        </w:rPr>
        <w:t>pont</w:t>
      </w:r>
      <w:r>
        <w:rPr>
          <w:spacing w:val="-7"/>
          <w:w w:val="130"/>
          <w:sz w:val="24"/>
        </w:rPr>
        <w:t> </w:t>
      </w:r>
      <w:r>
        <w:rPr>
          <w:w w:val="130"/>
          <w:sz w:val="24"/>
        </w:rPr>
        <w:t>bb)</w:t>
      </w:r>
      <w:r>
        <w:rPr>
          <w:spacing w:val="-7"/>
          <w:w w:val="130"/>
          <w:sz w:val="24"/>
        </w:rPr>
        <w:t> </w:t>
      </w:r>
      <w:r>
        <w:rPr>
          <w:w w:val="130"/>
          <w:sz w:val="24"/>
        </w:rPr>
        <w:t>alpontjában</w:t>
      </w:r>
      <w:r>
        <w:rPr>
          <w:spacing w:val="-7"/>
          <w:w w:val="130"/>
          <w:sz w:val="24"/>
        </w:rPr>
        <w:t> </w:t>
      </w:r>
      <w:r>
        <w:rPr>
          <w:w w:val="130"/>
          <w:sz w:val="24"/>
        </w:rPr>
        <w:t>foglaltak</w:t>
      </w:r>
      <w:r>
        <w:rPr>
          <w:spacing w:val="-6"/>
          <w:w w:val="130"/>
          <w:sz w:val="24"/>
        </w:rPr>
        <w:t> </w:t>
      </w:r>
      <w:r>
        <w:rPr>
          <w:w w:val="130"/>
          <w:sz w:val="24"/>
        </w:rPr>
        <w:t>kivételével</w:t>
      </w:r>
      <w:r>
        <w:rPr>
          <w:spacing w:val="-8"/>
          <w:w w:val="130"/>
          <w:sz w:val="24"/>
        </w:rPr>
        <w:t> </w:t>
      </w:r>
      <w:r>
        <w:rPr>
          <w:w w:val="130"/>
          <w:sz w:val="24"/>
        </w:rPr>
        <w:t>-</w:t>
      </w:r>
      <w:r>
        <w:rPr>
          <w:spacing w:val="-8"/>
          <w:w w:val="130"/>
          <w:sz w:val="24"/>
        </w:rPr>
        <w:t> </w:t>
      </w:r>
      <w:r>
        <w:rPr>
          <w:w w:val="130"/>
          <w:sz w:val="24"/>
        </w:rPr>
        <w:t>a</w:t>
      </w:r>
      <w:r>
        <w:rPr>
          <w:spacing w:val="-6"/>
          <w:w w:val="130"/>
          <w:sz w:val="24"/>
        </w:rPr>
        <w:t> </w:t>
      </w:r>
      <w:r>
        <w:rPr>
          <w:w w:val="130"/>
          <w:sz w:val="24"/>
        </w:rPr>
        <w:t>Felügyelet határozott időtartamra, de legfeljebb egy évre hozhatja meg. Ezt a határidőt a Felügyelet</w:t>
      </w:r>
      <w:r>
        <w:rPr>
          <w:spacing w:val="-19"/>
          <w:w w:val="130"/>
          <w:sz w:val="24"/>
        </w:rPr>
        <w:t> </w:t>
      </w:r>
      <w:r>
        <w:rPr>
          <w:w w:val="130"/>
          <w:sz w:val="24"/>
        </w:rPr>
        <w:t>egy</w:t>
      </w:r>
      <w:r>
        <w:rPr>
          <w:spacing w:val="-7"/>
          <w:w w:val="130"/>
          <w:sz w:val="24"/>
        </w:rPr>
        <w:t> </w:t>
      </w:r>
      <w:r>
        <w:rPr>
          <w:w w:val="130"/>
          <w:sz w:val="24"/>
        </w:rPr>
        <w:t>alkalommal,</w:t>
      </w:r>
      <w:r>
        <w:rPr>
          <w:spacing w:val="-29"/>
          <w:w w:val="130"/>
          <w:sz w:val="24"/>
        </w:rPr>
        <w:t> </w:t>
      </w:r>
      <w:r>
        <w:rPr>
          <w:w w:val="130"/>
          <w:sz w:val="24"/>
        </w:rPr>
        <w:t>legfeljebb</w:t>
      </w:r>
      <w:r>
        <w:rPr>
          <w:spacing w:val="-18"/>
          <w:w w:val="130"/>
          <w:sz w:val="24"/>
        </w:rPr>
        <w:t> </w:t>
      </w:r>
      <w:r>
        <w:rPr>
          <w:w w:val="130"/>
          <w:sz w:val="24"/>
        </w:rPr>
        <w:t>hat</w:t>
      </w:r>
      <w:r>
        <w:rPr>
          <w:spacing w:val="-18"/>
          <w:w w:val="130"/>
          <w:sz w:val="24"/>
        </w:rPr>
        <w:t> </w:t>
      </w:r>
      <w:r>
        <w:rPr>
          <w:w w:val="130"/>
          <w:sz w:val="24"/>
        </w:rPr>
        <w:t>hónappal</w:t>
      </w:r>
      <w:r>
        <w:rPr>
          <w:spacing w:val="-17"/>
          <w:w w:val="130"/>
          <w:sz w:val="24"/>
        </w:rPr>
        <w:t> </w:t>
      </w:r>
      <w:r>
        <w:rPr>
          <w:w w:val="130"/>
          <w:sz w:val="24"/>
        </w:rPr>
        <w:t>meghosszabbíthatja.</w:t>
      </w:r>
    </w:p>
    <w:p>
      <w:pPr>
        <w:pStyle w:val="ListParagraph"/>
        <w:numPr>
          <w:ilvl w:val="0"/>
          <w:numId w:val="453"/>
        </w:numPr>
        <w:tabs>
          <w:tab w:pos="795" w:val="left" w:leader="none"/>
        </w:tabs>
        <w:spacing w:line="225" w:lineRule="auto" w:before="2" w:after="0"/>
        <w:ind w:left="113" w:right="129" w:firstLine="204"/>
        <w:jc w:val="both"/>
        <w:rPr>
          <w:sz w:val="24"/>
        </w:rPr>
      </w:pPr>
      <w:r>
        <w:rPr>
          <w:w w:val="130"/>
          <w:sz w:val="24"/>
        </w:rPr>
        <w:t>Az (1) bekezdés </w:t>
      </w:r>
      <w:r>
        <w:rPr>
          <w:i/>
          <w:w w:val="130"/>
          <w:sz w:val="24"/>
        </w:rPr>
        <w:t>b) </w:t>
      </w:r>
      <w:r>
        <w:rPr>
          <w:w w:val="130"/>
          <w:sz w:val="24"/>
        </w:rPr>
        <w:t>pont </w:t>
      </w:r>
      <w:r>
        <w:rPr>
          <w:i/>
          <w:w w:val="130"/>
          <w:sz w:val="24"/>
        </w:rPr>
        <w:t>bb) </w:t>
      </w:r>
      <w:r>
        <w:rPr>
          <w:w w:val="130"/>
          <w:sz w:val="24"/>
        </w:rPr>
        <w:t>alpontjában meghatározott intézkedést a Felügyelet legfeljebb kilencven napra rendelheti</w:t>
      </w:r>
      <w:r>
        <w:rPr>
          <w:spacing w:val="-29"/>
          <w:w w:val="130"/>
          <w:sz w:val="24"/>
        </w:rPr>
        <w:t> </w:t>
      </w:r>
      <w:r>
        <w:rPr>
          <w:w w:val="130"/>
          <w:sz w:val="24"/>
        </w:rPr>
        <w:t>el.</w:t>
      </w:r>
    </w:p>
    <w:p>
      <w:pPr>
        <w:pStyle w:val="ListParagraph"/>
        <w:numPr>
          <w:ilvl w:val="0"/>
          <w:numId w:val="453"/>
        </w:numPr>
        <w:tabs>
          <w:tab w:pos="838" w:val="left" w:leader="none"/>
        </w:tabs>
        <w:spacing w:line="225" w:lineRule="auto" w:before="1" w:after="0"/>
        <w:ind w:left="113" w:right="126" w:firstLine="204"/>
        <w:jc w:val="both"/>
        <w:rPr>
          <w:sz w:val="24"/>
        </w:rPr>
      </w:pPr>
      <w:r>
        <w:rPr>
          <w:w w:val="125"/>
          <w:sz w:val="24"/>
        </w:rPr>
        <w:t>Nyilvánosan működő részvénytársaság esetében az (1) bekezdés </w:t>
      </w:r>
      <w:r>
        <w:rPr>
          <w:i/>
          <w:w w:val="125"/>
          <w:sz w:val="24"/>
        </w:rPr>
        <w:t>d) </w:t>
      </w:r>
      <w:r>
        <w:rPr>
          <w:w w:val="125"/>
          <w:sz w:val="24"/>
        </w:rPr>
        <w:t>pontjának alkalmazásakor a Gt.-től eltérően a közgyűlést annak kezdőnapját huszonegy nappal megelőzően kell összehívni.</w:t>
      </w:r>
    </w:p>
    <w:p>
      <w:pPr>
        <w:pStyle w:val="ListParagraph"/>
        <w:numPr>
          <w:ilvl w:val="0"/>
          <w:numId w:val="453"/>
        </w:numPr>
        <w:tabs>
          <w:tab w:pos="812" w:val="left" w:leader="none"/>
        </w:tabs>
        <w:spacing w:line="225" w:lineRule="auto" w:before="2" w:after="0"/>
        <w:ind w:left="113" w:right="126" w:firstLine="204"/>
        <w:jc w:val="both"/>
        <w:rPr>
          <w:sz w:val="24"/>
        </w:rPr>
      </w:pPr>
      <w:r>
        <w:rPr>
          <w:w w:val="130"/>
          <w:sz w:val="24"/>
        </w:rPr>
        <w:t>Ha a Felügyelet az (1) bekezdés </w:t>
      </w:r>
      <w:r>
        <w:rPr>
          <w:i/>
          <w:w w:val="130"/>
          <w:sz w:val="24"/>
        </w:rPr>
        <w:t>b) </w:t>
      </w:r>
      <w:r>
        <w:rPr>
          <w:w w:val="130"/>
          <w:sz w:val="24"/>
        </w:rPr>
        <w:t>pont </w:t>
      </w:r>
      <w:r>
        <w:rPr>
          <w:i/>
          <w:w w:val="130"/>
          <w:sz w:val="24"/>
        </w:rPr>
        <w:t>ba)-bb) </w:t>
      </w:r>
      <w:r>
        <w:rPr>
          <w:w w:val="130"/>
          <w:sz w:val="24"/>
        </w:rPr>
        <w:t>alpontjában foglalt</w:t>
      </w:r>
      <w:r>
        <w:rPr>
          <w:spacing w:val="78"/>
          <w:w w:val="130"/>
          <w:sz w:val="24"/>
        </w:rPr>
        <w:t> </w:t>
      </w:r>
      <w:r>
        <w:rPr>
          <w:w w:val="130"/>
          <w:sz w:val="24"/>
        </w:rPr>
        <w:t>kivételes intézkedést alkalmaz, haladéktalanul tájékoztatja azon EGT-állam illetékes felügyeleti hatóságait, amelyekben az intézkedéssel érintett hitelintézet</w:t>
      </w:r>
      <w:r>
        <w:rPr>
          <w:spacing w:val="-15"/>
          <w:w w:val="130"/>
          <w:sz w:val="24"/>
        </w:rPr>
        <w:t> </w:t>
      </w:r>
      <w:r>
        <w:rPr>
          <w:w w:val="130"/>
          <w:sz w:val="24"/>
        </w:rPr>
        <w:t>fióktelepet</w:t>
      </w:r>
      <w:r>
        <w:rPr>
          <w:spacing w:val="-14"/>
          <w:w w:val="130"/>
          <w:sz w:val="24"/>
        </w:rPr>
        <w:t> </w:t>
      </w:r>
      <w:r>
        <w:rPr>
          <w:w w:val="130"/>
          <w:sz w:val="24"/>
        </w:rPr>
        <w:t>működtet</w:t>
      </w:r>
      <w:r>
        <w:rPr>
          <w:spacing w:val="-15"/>
          <w:w w:val="130"/>
          <w:sz w:val="24"/>
        </w:rPr>
        <w:t> </w:t>
      </w:r>
      <w:r>
        <w:rPr>
          <w:w w:val="130"/>
          <w:sz w:val="24"/>
        </w:rPr>
        <w:t>vagy</w:t>
      </w:r>
      <w:r>
        <w:rPr>
          <w:spacing w:val="-15"/>
          <w:w w:val="130"/>
          <w:sz w:val="24"/>
        </w:rPr>
        <w:t> </w:t>
      </w:r>
      <w:r>
        <w:rPr>
          <w:w w:val="130"/>
          <w:sz w:val="24"/>
        </w:rPr>
        <w:t>határon</w:t>
      </w:r>
      <w:r>
        <w:rPr>
          <w:spacing w:val="-14"/>
          <w:w w:val="130"/>
          <w:sz w:val="24"/>
        </w:rPr>
        <w:t> </w:t>
      </w:r>
      <w:r>
        <w:rPr>
          <w:w w:val="130"/>
          <w:sz w:val="24"/>
        </w:rPr>
        <w:t>átnyúló</w:t>
      </w:r>
      <w:r>
        <w:rPr>
          <w:spacing w:val="-16"/>
          <w:w w:val="130"/>
          <w:sz w:val="24"/>
        </w:rPr>
        <w:t> </w:t>
      </w:r>
      <w:r>
        <w:rPr>
          <w:w w:val="130"/>
          <w:sz w:val="24"/>
        </w:rPr>
        <w:t>szolgáltatást</w:t>
      </w:r>
      <w:r>
        <w:rPr>
          <w:spacing w:val="-14"/>
          <w:w w:val="130"/>
          <w:sz w:val="24"/>
        </w:rPr>
        <w:t> </w:t>
      </w:r>
      <w:r>
        <w:rPr>
          <w:w w:val="130"/>
          <w:sz w:val="24"/>
        </w:rPr>
        <w:t>nyújt.</w:t>
      </w:r>
    </w:p>
    <w:p>
      <w:pPr>
        <w:pStyle w:val="ListParagraph"/>
        <w:numPr>
          <w:ilvl w:val="0"/>
          <w:numId w:val="387"/>
        </w:numPr>
        <w:tabs>
          <w:tab w:pos="1145" w:val="left" w:leader="none"/>
        </w:tabs>
        <w:spacing w:line="225" w:lineRule="auto" w:before="1" w:after="0"/>
        <w:ind w:left="113" w:right="113" w:firstLine="204"/>
        <w:jc w:val="both"/>
        <w:rPr>
          <w:sz w:val="24"/>
        </w:rPr>
      </w:pPr>
      <w:r>
        <w:rPr>
          <w:rFonts w:ascii="Arial" w:hAnsi="Arial"/>
          <w:b/>
          <w:w w:val="125"/>
          <w:sz w:val="24"/>
        </w:rPr>
        <w:t>§ </w:t>
      </w:r>
      <w:r>
        <w:rPr>
          <w:w w:val="125"/>
          <w:sz w:val="24"/>
        </w:rPr>
        <w:t>(1) A hitelintézet igazgatósága a 189. § (2) bekezdésében meghatározott intézkedésről szóló értesítés kézhezvételét követően haladéktalanul intézkedik aziránt, hogy a tulajdonosok, szövetkezeti formában működő hitelintézet esetén a</w:t>
      </w:r>
      <w:r>
        <w:rPr>
          <w:spacing w:val="5"/>
          <w:w w:val="125"/>
          <w:sz w:val="24"/>
        </w:rPr>
        <w:t> </w:t>
      </w:r>
      <w:r>
        <w:rPr>
          <w:w w:val="125"/>
          <w:sz w:val="24"/>
        </w:rPr>
        <w:t>tagok</w:t>
      </w:r>
    </w:p>
    <w:p>
      <w:pPr>
        <w:pStyle w:val="ListParagraph"/>
        <w:numPr>
          <w:ilvl w:val="0"/>
          <w:numId w:val="455"/>
        </w:numPr>
        <w:tabs>
          <w:tab w:pos="631" w:val="left" w:leader="none"/>
        </w:tabs>
        <w:spacing w:line="257" w:lineRule="exact" w:before="0" w:after="0"/>
        <w:ind w:left="630" w:right="0" w:hanging="313"/>
        <w:jc w:val="left"/>
        <w:rPr>
          <w:sz w:val="24"/>
        </w:rPr>
      </w:pPr>
      <w:r>
        <w:rPr>
          <w:w w:val="130"/>
          <w:sz w:val="24"/>
        </w:rPr>
        <w:t>betéteit</w:t>
      </w:r>
      <w:r>
        <w:rPr>
          <w:spacing w:val="-12"/>
          <w:w w:val="130"/>
          <w:sz w:val="24"/>
        </w:rPr>
        <w:t> </w:t>
      </w:r>
      <w:r>
        <w:rPr>
          <w:w w:val="130"/>
          <w:sz w:val="24"/>
        </w:rPr>
        <w:t>és</w:t>
      </w:r>
      <w:r>
        <w:rPr>
          <w:spacing w:val="-13"/>
          <w:w w:val="130"/>
          <w:sz w:val="24"/>
        </w:rPr>
        <w:t> </w:t>
      </w:r>
      <w:r>
        <w:rPr>
          <w:w w:val="130"/>
          <w:sz w:val="24"/>
        </w:rPr>
        <w:t>a</w:t>
      </w:r>
      <w:r>
        <w:rPr>
          <w:spacing w:val="-13"/>
          <w:w w:val="130"/>
          <w:sz w:val="24"/>
        </w:rPr>
        <w:t> </w:t>
      </w:r>
      <w:r>
        <w:rPr>
          <w:w w:val="130"/>
          <w:sz w:val="24"/>
        </w:rPr>
        <w:t>hitelintézettel</w:t>
      </w:r>
      <w:r>
        <w:rPr>
          <w:spacing w:val="-2"/>
          <w:w w:val="130"/>
          <w:sz w:val="24"/>
        </w:rPr>
        <w:t> </w:t>
      </w:r>
      <w:r>
        <w:rPr>
          <w:w w:val="130"/>
          <w:sz w:val="24"/>
        </w:rPr>
        <w:t>szemben</w:t>
      </w:r>
      <w:r>
        <w:rPr>
          <w:spacing w:val="-23"/>
          <w:w w:val="130"/>
          <w:sz w:val="24"/>
        </w:rPr>
        <w:t> </w:t>
      </w:r>
      <w:r>
        <w:rPr>
          <w:w w:val="130"/>
          <w:sz w:val="24"/>
        </w:rPr>
        <w:t>fennálló</w:t>
      </w:r>
      <w:r>
        <w:rPr>
          <w:spacing w:val="-12"/>
          <w:w w:val="130"/>
          <w:sz w:val="24"/>
        </w:rPr>
        <w:t> </w:t>
      </w:r>
      <w:r>
        <w:rPr>
          <w:w w:val="130"/>
          <w:sz w:val="24"/>
        </w:rPr>
        <w:t>más</w:t>
      </w:r>
      <w:r>
        <w:rPr>
          <w:spacing w:val="-13"/>
          <w:w w:val="130"/>
          <w:sz w:val="24"/>
        </w:rPr>
        <w:t> </w:t>
      </w:r>
      <w:r>
        <w:rPr>
          <w:w w:val="130"/>
          <w:sz w:val="24"/>
        </w:rPr>
        <w:t>követeléseit</w:t>
      </w:r>
      <w:r>
        <w:rPr>
          <w:spacing w:val="-12"/>
          <w:w w:val="130"/>
          <w:sz w:val="24"/>
        </w:rPr>
        <w:t> </w:t>
      </w:r>
      <w:r>
        <w:rPr>
          <w:w w:val="130"/>
          <w:sz w:val="24"/>
        </w:rPr>
        <w:t>zárolják,</w:t>
      </w:r>
    </w:p>
    <w:p>
      <w:pPr>
        <w:pStyle w:val="ListParagraph"/>
        <w:numPr>
          <w:ilvl w:val="0"/>
          <w:numId w:val="455"/>
        </w:numPr>
        <w:tabs>
          <w:tab w:pos="653" w:val="left" w:leader="none"/>
        </w:tabs>
        <w:spacing w:line="260" w:lineRule="exact" w:before="0" w:after="0"/>
        <w:ind w:left="652" w:right="0" w:hanging="335"/>
        <w:jc w:val="left"/>
        <w:rPr>
          <w:sz w:val="24"/>
        </w:rPr>
      </w:pPr>
      <w:r>
        <w:rPr>
          <w:w w:val="125"/>
          <w:sz w:val="24"/>
        </w:rPr>
        <w:t>érdekeltségi körébe tartozó vállalkozások hitelezését felfüggesszék,</w:t>
      </w:r>
      <w:r>
        <w:rPr>
          <w:spacing w:val="36"/>
          <w:w w:val="125"/>
          <w:sz w:val="24"/>
        </w:rPr>
        <w:t> </w:t>
      </w:r>
      <w:r>
        <w:rPr>
          <w:w w:val="125"/>
          <w:sz w:val="24"/>
        </w:rPr>
        <w:t>és</w:t>
      </w:r>
    </w:p>
    <w:p>
      <w:pPr>
        <w:pStyle w:val="ListParagraph"/>
        <w:numPr>
          <w:ilvl w:val="0"/>
          <w:numId w:val="455"/>
        </w:numPr>
        <w:tabs>
          <w:tab w:pos="669" w:val="left" w:leader="none"/>
        </w:tabs>
        <w:spacing w:line="225" w:lineRule="auto" w:before="6" w:after="0"/>
        <w:ind w:left="113" w:right="134" w:firstLine="204"/>
        <w:jc w:val="both"/>
        <w:rPr>
          <w:sz w:val="24"/>
        </w:rPr>
      </w:pPr>
      <w:r>
        <w:rPr>
          <w:w w:val="130"/>
          <w:sz w:val="24"/>
        </w:rPr>
        <w:t>részére kötelezettségvállalást tartalmazó pénzügyi szolgáltatás nyújtását mellőzzék.</w:t>
      </w:r>
    </w:p>
    <w:p>
      <w:pPr>
        <w:pStyle w:val="ListParagraph"/>
        <w:numPr>
          <w:ilvl w:val="0"/>
          <w:numId w:val="456"/>
        </w:numPr>
        <w:tabs>
          <w:tab w:pos="919" w:val="left" w:leader="none"/>
        </w:tabs>
        <w:spacing w:line="225" w:lineRule="auto" w:before="1" w:after="0"/>
        <w:ind w:left="113" w:right="127" w:firstLine="204"/>
        <w:jc w:val="both"/>
        <w:rPr>
          <w:sz w:val="24"/>
        </w:rPr>
      </w:pPr>
      <w:r>
        <w:rPr>
          <w:w w:val="130"/>
          <w:sz w:val="24"/>
        </w:rPr>
        <w:t>Ha az (1) bekezdésben felsorolt intézkedések megtörténtek, a tulajdonosok, szövetkezeti formában működő hitelintézet esetén a tagok a</w:t>
      </w:r>
      <w:r>
        <w:rPr>
          <w:spacing w:val="78"/>
          <w:w w:val="130"/>
          <w:sz w:val="24"/>
        </w:rPr>
        <w:t> </w:t>
      </w:r>
      <w:r>
        <w:rPr>
          <w:w w:val="130"/>
          <w:sz w:val="24"/>
        </w:rPr>
        <w:t>hitelintézettel szemben beszámítással nem</w:t>
      </w:r>
      <w:r>
        <w:rPr>
          <w:spacing w:val="-2"/>
          <w:w w:val="130"/>
          <w:sz w:val="24"/>
        </w:rPr>
        <w:t> </w:t>
      </w:r>
      <w:r>
        <w:rPr>
          <w:w w:val="130"/>
          <w:sz w:val="24"/>
        </w:rPr>
        <w:t>élhetnek.</w:t>
      </w:r>
    </w:p>
    <w:p>
      <w:pPr>
        <w:pStyle w:val="ListParagraph"/>
        <w:numPr>
          <w:ilvl w:val="0"/>
          <w:numId w:val="456"/>
        </w:numPr>
        <w:tabs>
          <w:tab w:pos="844" w:val="left" w:leader="none"/>
        </w:tabs>
        <w:spacing w:line="225" w:lineRule="auto" w:before="1" w:after="0"/>
        <w:ind w:left="113" w:right="121" w:firstLine="204"/>
        <w:jc w:val="both"/>
        <w:rPr>
          <w:sz w:val="24"/>
        </w:rPr>
      </w:pPr>
      <w:r>
        <w:rPr>
          <w:w w:val="125"/>
          <w:sz w:val="24"/>
        </w:rPr>
        <w:t>A tulajdonosok csak akkor mentesülnek a 189. § (2) bekezdésben szabályozott felszólításhoz fűződő jogkövetkezmények alól, ha részvényeik elidegenítését már a felszólítás kézhezvétele előtt legalább hatvan nappal a Felügyeletnek írásban</w:t>
      </w:r>
      <w:r>
        <w:rPr>
          <w:spacing w:val="12"/>
          <w:w w:val="125"/>
          <w:sz w:val="24"/>
        </w:rPr>
        <w:t> </w:t>
      </w:r>
      <w:r>
        <w:rPr>
          <w:w w:val="125"/>
          <w:sz w:val="24"/>
        </w:rPr>
        <w:t>bejelentették.</w:t>
      </w:r>
    </w:p>
    <w:p>
      <w:pPr>
        <w:pStyle w:val="ListParagraph"/>
        <w:numPr>
          <w:ilvl w:val="0"/>
          <w:numId w:val="456"/>
        </w:numPr>
        <w:tabs>
          <w:tab w:pos="749" w:val="left" w:leader="none"/>
        </w:tabs>
        <w:spacing w:line="225" w:lineRule="auto" w:before="3" w:after="0"/>
        <w:ind w:left="113" w:right="124" w:firstLine="204"/>
        <w:jc w:val="both"/>
        <w:rPr>
          <w:sz w:val="24"/>
        </w:rPr>
      </w:pPr>
      <w:r>
        <w:rPr>
          <w:w w:val="130"/>
          <w:sz w:val="24"/>
        </w:rPr>
        <w:t>Az</w:t>
      </w:r>
      <w:r>
        <w:rPr>
          <w:spacing w:val="-12"/>
          <w:w w:val="130"/>
          <w:sz w:val="24"/>
        </w:rPr>
        <w:t> </w:t>
      </w:r>
      <w:r>
        <w:rPr>
          <w:w w:val="130"/>
          <w:sz w:val="24"/>
        </w:rPr>
        <w:t>(1)</w:t>
      </w:r>
      <w:r>
        <w:rPr>
          <w:spacing w:val="-12"/>
          <w:w w:val="130"/>
          <w:sz w:val="24"/>
        </w:rPr>
        <w:t> </w:t>
      </w:r>
      <w:r>
        <w:rPr>
          <w:w w:val="130"/>
          <w:sz w:val="24"/>
        </w:rPr>
        <w:t>és</w:t>
      </w:r>
      <w:r>
        <w:rPr>
          <w:spacing w:val="-11"/>
          <w:w w:val="130"/>
          <w:sz w:val="24"/>
        </w:rPr>
        <w:t> </w:t>
      </w:r>
      <w:r>
        <w:rPr>
          <w:w w:val="130"/>
          <w:sz w:val="24"/>
        </w:rPr>
        <w:t>(2)</w:t>
      </w:r>
      <w:r>
        <w:rPr>
          <w:spacing w:val="-12"/>
          <w:w w:val="130"/>
          <w:sz w:val="24"/>
        </w:rPr>
        <w:t> </w:t>
      </w:r>
      <w:r>
        <w:rPr>
          <w:w w:val="130"/>
          <w:sz w:val="24"/>
        </w:rPr>
        <w:t>bekezdés</w:t>
      </w:r>
      <w:r>
        <w:rPr>
          <w:spacing w:val="-11"/>
          <w:w w:val="130"/>
          <w:sz w:val="24"/>
        </w:rPr>
        <w:t> </w:t>
      </w:r>
      <w:r>
        <w:rPr>
          <w:w w:val="130"/>
          <w:sz w:val="24"/>
        </w:rPr>
        <w:t>szerinti</w:t>
      </w:r>
      <w:r>
        <w:rPr>
          <w:spacing w:val="-12"/>
          <w:w w:val="130"/>
          <w:sz w:val="24"/>
        </w:rPr>
        <w:t> </w:t>
      </w:r>
      <w:r>
        <w:rPr>
          <w:w w:val="130"/>
          <w:sz w:val="24"/>
        </w:rPr>
        <w:t>korlátozásokat</w:t>
      </w:r>
      <w:r>
        <w:rPr>
          <w:spacing w:val="-12"/>
          <w:w w:val="130"/>
          <w:sz w:val="24"/>
        </w:rPr>
        <w:t> </w:t>
      </w:r>
      <w:r>
        <w:rPr>
          <w:w w:val="130"/>
          <w:sz w:val="24"/>
        </w:rPr>
        <w:t>a</w:t>
      </w:r>
      <w:r>
        <w:rPr>
          <w:spacing w:val="-11"/>
          <w:w w:val="130"/>
          <w:sz w:val="24"/>
        </w:rPr>
        <w:t> </w:t>
      </w:r>
      <w:r>
        <w:rPr>
          <w:w w:val="130"/>
          <w:sz w:val="24"/>
        </w:rPr>
        <w:t>hitelintézet</w:t>
      </w:r>
      <w:r>
        <w:rPr>
          <w:spacing w:val="-12"/>
          <w:w w:val="130"/>
          <w:sz w:val="24"/>
        </w:rPr>
        <w:t> </w:t>
      </w:r>
      <w:r>
        <w:rPr>
          <w:w w:val="130"/>
          <w:sz w:val="24"/>
        </w:rPr>
        <w:t>igazgatósága addig tartja érvényben, amíg a tulajdonosok az intézkedések megtételére szolgáló</w:t>
      </w:r>
      <w:r>
        <w:rPr>
          <w:spacing w:val="-17"/>
          <w:w w:val="130"/>
          <w:sz w:val="24"/>
        </w:rPr>
        <w:t> </w:t>
      </w:r>
      <w:r>
        <w:rPr>
          <w:w w:val="130"/>
          <w:sz w:val="24"/>
        </w:rPr>
        <w:t>okot</w:t>
      </w:r>
      <w:r>
        <w:rPr>
          <w:spacing w:val="-27"/>
          <w:w w:val="130"/>
          <w:sz w:val="24"/>
        </w:rPr>
        <w:t> </w:t>
      </w:r>
      <w:r>
        <w:rPr>
          <w:w w:val="130"/>
          <w:sz w:val="24"/>
        </w:rPr>
        <w:t>meg</w:t>
      </w:r>
      <w:r>
        <w:rPr>
          <w:spacing w:val="-23"/>
          <w:w w:val="130"/>
          <w:sz w:val="24"/>
        </w:rPr>
        <w:t> </w:t>
      </w:r>
      <w:r>
        <w:rPr>
          <w:w w:val="130"/>
          <w:sz w:val="24"/>
        </w:rPr>
        <w:t>nem</w:t>
      </w:r>
      <w:r>
        <w:rPr>
          <w:spacing w:val="-22"/>
          <w:w w:val="130"/>
          <w:sz w:val="24"/>
        </w:rPr>
        <w:t> </w:t>
      </w:r>
      <w:r>
        <w:rPr>
          <w:w w:val="130"/>
          <w:sz w:val="24"/>
        </w:rPr>
        <w:t>szüntetik,</w:t>
      </w:r>
      <w:r>
        <w:rPr>
          <w:spacing w:val="-22"/>
          <w:w w:val="130"/>
          <w:sz w:val="24"/>
        </w:rPr>
        <w:t> </w:t>
      </w:r>
      <w:r>
        <w:rPr>
          <w:w w:val="130"/>
          <w:sz w:val="24"/>
        </w:rPr>
        <w:t>vagy</w:t>
      </w:r>
      <w:r>
        <w:rPr>
          <w:spacing w:val="-22"/>
          <w:w w:val="130"/>
          <w:sz w:val="24"/>
        </w:rPr>
        <w:t> </w:t>
      </w:r>
      <w:r>
        <w:rPr>
          <w:w w:val="130"/>
          <w:sz w:val="24"/>
        </w:rPr>
        <w:t>a</w:t>
      </w:r>
      <w:r>
        <w:rPr>
          <w:spacing w:val="-23"/>
          <w:w w:val="130"/>
          <w:sz w:val="24"/>
        </w:rPr>
        <w:t> </w:t>
      </w:r>
      <w:r>
        <w:rPr>
          <w:w w:val="130"/>
          <w:sz w:val="24"/>
        </w:rPr>
        <w:t>hitelintézet</w:t>
      </w:r>
      <w:r>
        <w:rPr>
          <w:spacing w:val="-22"/>
          <w:w w:val="130"/>
          <w:sz w:val="24"/>
        </w:rPr>
        <w:t> </w:t>
      </w:r>
      <w:r>
        <w:rPr>
          <w:w w:val="130"/>
          <w:sz w:val="24"/>
        </w:rPr>
        <w:t>felszámolását</w:t>
      </w:r>
      <w:r>
        <w:rPr>
          <w:spacing w:val="-22"/>
          <w:w w:val="130"/>
          <w:sz w:val="24"/>
        </w:rPr>
        <w:t> </w:t>
      </w:r>
      <w:r>
        <w:rPr>
          <w:w w:val="130"/>
          <w:sz w:val="24"/>
        </w:rPr>
        <w:t>a</w:t>
      </w:r>
      <w:r>
        <w:rPr>
          <w:spacing w:val="-23"/>
          <w:w w:val="130"/>
          <w:sz w:val="24"/>
        </w:rPr>
        <w:t> </w:t>
      </w:r>
      <w:r>
        <w:rPr>
          <w:w w:val="130"/>
          <w:sz w:val="24"/>
        </w:rPr>
        <w:t>bíróság</w:t>
      </w:r>
      <w:r>
        <w:rPr>
          <w:spacing w:val="-22"/>
          <w:w w:val="130"/>
          <w:sz w:val="24"/>
        </w:rPr>
        <w:t> </w:t>
      </w:r>
      <w:r>
        <w:rPr>
          <w:w w:val="130"/>
          <w:sz w:val="24"/>
        </w:rPr>
        <w:t>el nem</w:t>
      </w:r>
      <w:r>
        <w:rPr>
          <w:spacing w:val="-3"/>
          <w:w w:val="130"/>
          <w:sz w:val="24"/>
        </w:rPr>
        <w:t> </w:t>
      </w:r>
      <w:r>
        <w:rPr>
          <w:w w:val="130"/>
          <w:sz w:val="24"/>
        </w:rPr>
        <w:t>rendeli.</w:t>
      </w:r>
    </w:p>
    <w:p>
      <w:pPr>
        <w:pStyle w:val="ListParagraph"/>
        <w:numPr>
          <w:ilvl w:val="0"/>
          <w:numId w:val="387"/>
        </w:numPr>
        <w:tabs>
          <w:tab w:pos="992" w:val="left" w:leader="none"/>
        </w:tabs>
        <w:spacing w:line="225" w:lineRule="auto" w:before="1" w:after="0"/>
        <w:ind w:left="113" w:right="126" w:firstLine="204"/>
        <w:jc w:val="both"/>
        <w:rPr>
          <w:sz w:val="24"/>
        </w:rPr>
      </w:pPr>
      <w:r>
        <w:rPr>
          <w:rFonts w:ascii="Arial" w:hAnsi="Arial"/>
          <w:b/>
          <w:w w:val="125"/>
          <w:sz w:val="24"/>
        </w:rPr>
        <w:t>§ </w:t>
      </w:r>
      <w:r>
        <w:rPr>
          <w:w w:val="125"/>
          <w:sz w:val="24"/>
        </w:rPr>
        <w:t>(1) Ha a pénzügyi intézmény nem tesz eleget a 189. § (1) bekezdés </w:t>
      </w:r>
      <w:r>
        <w:rPr>
          <w:i/>
          <w:w w:val="125"/>
          <w:sz w:val="24"/>
        </w:rPr>
        <w:t>d) </w:t>
      </w:r>
      <w:r>
        <w:rPr>
          <w:w w:val="125"/>
          <w:sz w:val="24"/>
        </w:rPr>
        <w:t>pontja szerinti felügyeleti intézkedésnek, a Felügyelet a cégbíróságnál kezdeményezheti a pénzügyi intézmény közgyűlésének</w:t>
      </w:r>
      <w:r>
        <w:rPr>
          <w:spacing w:val="6"/>
          <w:w w:val="125"/>
          <w:sz w:val="24"/>
        </w:rPr>
        <w:t> </w:t>
      </w:r>
      <w:r>
        <w:rPr>
          <w:w w:val="125"/>
          <w:sz w:val="24"/>
        </w:rPr>
        <w:t>összehívását.</w:t>
      </w:r>
    </w:p>
    <w:p>
      <w:pPr>
        <w:pStyle w:val="ListParagraph"/>
        <w:numPr>
          <w:ilvl w:val="0"/>
          <w:numId w:val="457"/>
        </w:numPr>
        <w:tabs>
          <w:tab w:pos="833" w:val="left" w:leader="none"/>
        </w:tabs>
        <w:spacing w:line="225" w:lineRule="auto" w:before="2" w:after="0"/>
        <w:ind w:left="113" w:right="131" w:firstLine="204"/>
        <w:jc w:val="both"/>
        <w:rPr>
          <w:sz w:val="24"/>
        </w:rPr>
      </w:pPr>
      <w:r>
        <w:rPr>
          <w:w w:val="125"/>
          <w:sz w:val="24"/>
        </w:rPr>
        <w:t>A Felügyelet az (1) bekezdés szerinti kérelemben javaslatot tesz a közgyűlés összehívásának helyére, idejére, napirendi</w:t>
      </w:r>
      <w:r>
        <w:rPr>
          <w:spacing w:val="17"/>
          <w:w w:val="125"/>
          <w:sz w:val="24"/>
        </w:rPr>
        <w:t> </w:t>
      </w:r>
      <w:r>
        <w:rPr>
          <w:w w:val="125"/>
          <w:sz w:val="24"/>
        </w:rPr>
        <w:t>pontjaira.</w:t>
      </w:r>
    </w:p>
    <w:p>
      <w:pPr>
        <w:pStyle w:val="ListParagraph"/>
        <w:numPr>
          <w:ilvl w:val="0"/>
          <w:numId w:val="457"/>
        </w:numPr>
        <w:tabs>
          <w:tab w:pos="734" w:val="left" w:leader="none"/>
        </w:tabs>
        <w:spacing w:line="255" w:lineRule="exact" w:before="0" w:after="0"/>
        <w:ind w:left="733" w:right="0" w:hanging="416"/>
        <w:jc w:val="left"/>
        <w:rPr>
          <w:sz w:val="24"/>
        </w:rPr>
      </w:pPr>
      <w:r>
        <w:rPr>
          <w:w w:val="125"/>
          <w:sz w:val="24"/>
        </w:rPr>
        <w:t>A közgyűlés összehívásáról a cégbíróság nyolc napon belül</w:t>
      </w:r>
      <w:r>
        <w:rPr>
          <w:spacing w:val="6"/>
          <w:w w:val="125"/>
          <w:sz w:val="24"/>
        </w:rPr>
        <w:t> </w:t>
      </w:r>
      <w:r>
        <w:rPr>
          <w:w w:val="125"/>
          <w:sz w:val="24"/>
        </w:rPr>
        <w:t>határoz.</w:t>
      </w:r>
    </w:p>
    <w:p>
      <w:pPr>
        <w:pStyle w:val="ListParagraph"/>
        <w:numPr>
          <w:ilvl w:val="0"/>
          <w:numId w:val="387"/>
        </w:numPr>
        <w:tabs>
          <w:tab w:pos="1172" w:val="left" w:leader="none"/>
        </w:tabs>
        <w:spacing w:line="225" w:lineRule="auto" w:before="5" w:after="0"/>
        <w:ind w:left="113" w:right="130" w:firstLine="204"/>
        <w:jc w:val="both"/>
        <w:rPr>
          <w:sz w:val="24"/>
        </w:rPr>
      </w:pPr>
      <w:r>
        <w:rPr>
          <w:rFonts w:ascii="Arial" w:hAnsi="Arial"/>
          <w:b/>
          <w:w w:val="125"/>
          <w:sz w:val="24"/>
        </w:rPr>
        <w:t>§ </w:t>
      </w:r>
      <w:r>
        <w:rPr>
          <w:w w:val="125"/>
          <w:sz w:val="24"/>
        </w:rPr>
        <w:t>A Felügyelet a hatáskörébe tartozó pénzügyi intézmények tulajdonosainak</w:t>
      </w:r>
      <w:r>
        <w:rPr>
          <w:spacing w:val="38"/>
          <w:w w:val="125"/>
          <w:sz w:val="24"/>
        </w:rPr>
        <w:t> </w:t>
      </w:r>
      <w:r>
        <w:rPr>
          <w:w w:val="125"/>
          <w:sz w:val="24"/>
        </w:rPr>
        <w:t>szavazati</w:t>
      </w:r>
      <w:r>
        <w:rPr>
          <w:spacing w:val="34"/>
          <w:w w:val="125"/>
          <w:sz w:val="24"/>
        </w:rPr>
        <w:t> </w:t>
      </w:r>
      <w:r>
        <w:rPr>
          <w:w w:val="125"/>
          <w:sz w:val="24"/>
        </w:rPr>
        <w:t>jogát</w:t>
      </w:r>
      <w:r>
        <w:rPr>
          <w:spacing w:val="36"/>
          <w:w w:val="125"/>
          <w:sz w:val="24"/>
        </w:rPr>
        <w:t> </w:t>
      </w:r>
      <w:r>
        <w:rPr>
          <w:w w:val="125"/>
          <w:sz w:val="24"/>
        </w:rPr>
        <w:t>meghatározott</w:t>
      </w:r>
      <w:r>
        <w:rPr>
          <w:spacing w:val="36"/>
          <w:w w:val="125"/>
          <w:sz w:val="24"/>
        </w:rPr>
        <w:t> </w:t>
      </w:r>
      <w:r>
        <w:rPr>
          <w:w w:val="125"/>
          <w:sz w:val="24"/>
        </w:rPr>
        <w:t>időre,</w:t>
      </w:r>
      <w:r>
        <w:rPr>
          <w:spacing w:val="36"/>
          <w:w w:val="125"/>
          <w:sz w:val="24"/>
        </w:rPr>
        <w:t> </w:t>
      </w:r>
      <w:r>
        <w:rPr>
          <w:w w:val="125"/>
          <w:sz w:val="24"/>
        </w:rPr>
        <w:t>de</w:t>
      </w:r>
      <w:r>
        <w:rPr>
          <w:spacing w:val="36"/>
          <w:w w:val="125"/>
          <w:sz w:val="24"/>
        </w:rPr>
        <w:t> </w:t>
      </w:r>
      <w:r>
        <w:rPr>
          <w:w w:val="125"/>
          <w:sz w:val="24"/>
        </w:rPr>
        <w:t>legfeljebb</w:t>
      </w:r>
      <w:r>
        <w:rPr>
          <w:spacing w:val="36"/>
          <w:w w:val="125"/>
          <w:sz w:val="24"/>
        </w:rPr>
        <w:t> </w:t>
      </w:r>
      <w:r>
        <w:rPr>
          <w:w w:val="125"/>
          <w:sz w:val="24"/>
        </w:rPr>
        <w:t>egy</w:t>
      </w:r>
      <w:r>
        <w:rPr>
          <w:spacing w:val="36"/>
          <w:w w:val="125"/>
          <w:sz w:val="24"/>
        </w:rPr>
        <w:t> </w:t>
      </w:r>
      <w:r>
        <w:rPr>
          <w:w w:val="125"/>
          <w:sz w:val="24"/>
        </w:rPr>
        <w:t>évre</w:t>
      </w:r>
      <w:r>
        <w:rPr>
          <w:spacing w:val="36"/>
          <w:w w:val="125"/>
          <w:sz w:val="24"/>
        </w:rPr>
        <w:t> </w:t>
      </w:r>
      <w:r>
        <w:rPr>
          <w:w w:val="125"/>
          <w:sz w:val="24"/>
        </w:rPr>
        <w:t>a</w:t>
      </w:r>
    </w:p>
    <w:p>
      <w:pPr>
        <w:pStyle w:val="BodyText"/>
        <w:spacing w:line="225" w:lineRule="auto" w:before="1"/>
        <w:ind w:right="126" w:firstLine="0"/>
        <w:jc w:val="both"/>
      </w:pPr>
      <w:r>
        <w:rPr>
          <w:w w:val="130"/>
        </w:rPr>
        <w:t>189. § (1) bekezdésében felsorolt intézkedések mellett felfüggesztheti, ha a tag tevékenysége, illetve a pénzügyi intézményre gyakorolt befolyása a rendelkezésre álló tények alapján veszélyezteti a pénzügyi intézmény megbízható, biztonságos működését; ilyen esetben a határozatképesség megállapításánál</w:t>
      </w:r>
      <w:r>
        <w:rPr>
          <w:spacing w:val="-18"/>
          <w:w w:val="130"/>
        </w:rPr>
        <w:t> </w:t>
      </w:r>
      <w:r>
        <w:rPr>
          <w:w w:val="130"/>
        </w:rPr>
        <w:t>a</w:t>
      </w:r>
      <w:r>
        <w:rPr>
          <w:spacing w:val="-33"/>
          <w:w w:val="130"/>
        </w:rPr>
        <w:t> </w:t>
      </w:r>
      <w:r>
        <w:rPr>
          <w:w w:val="130"/>
        </w:rPr>
        <w:t>korlátozással</w:t>
      </w:r>
      <w:r>
        <w:rPr>
          <w:spacing w:val="-34"/>
          <w:w w:val="130"/>
        </w:rPr>
        <w:t> </w:t>
      </w:r>
      <w:r>
        <w:rPr>
          <w:w w:val="130"/>
        </w:rPr>
        <w:t>érintett</w:t>
      </w:r>
      <w:r>
        <w:rPr>
          <w:spacing w:val="-29"/>
          <w:w w:val="130"/>
        </w:rPr>
        <w:t> </w:t>
      </w:r>
      <w:r>
        <w:rPr>
          <w:w w:val="130"/>
        </w:rPr>
        <w:t>szavazatokat</w:t>
      </w:r>
      <w:r>
        <w:rPr>
          <w:spacing w:val="-28"/>
          <w:w w:val="130"/>
        </w:rPr>
        <w:t> </w:t>
      </w:r>
      <w:r>
        <w:rPr>
          <w:w w:val="130"/>
        </w:rPr>
        <w:t>figyelmen</w:t>
      </w:r>
      <w:r>
        <w:rPr>
          <w:spacing w:val="-27"/>
          <w:w w:val="130"/>
        </w:rPr>
        <w:t> </w:t>
      </w:r>
      <w:r>
        <w:rPr>
          <w:w w:val="130"/>
        </w:rPr>
        <w:t>kívül</w:t>
      </w:r>
      <w:r>
        <w:rPr>
          <w:spacing w:val="-29"/>
          <w:w w:val="130"/>
        </w:rPr>
        <w:t> </w:t>
      </w:r>
      <w:r>
        <w:rPr>
          <w:w w:val="130"/>
        </w:rPr>
        <w:t>hagyja.</w:t>
      </w:r>
    </w:p>
    <w:p>
      <w:pPr>
        <w:pStyle w:val="ListParagraph"/>
        <w:numPr>
          <w:ilvl w:val="0"/>
          <w:numId w:val="458"/>
        </w:numPr>
        <w:tabs>
          <w:tab w:pos="1013" w:val="left" w:leader="none"/>
        </w:tabs>
        <w:spacing w:line="225" w:lineRule="auto" w:before="2" w:after="0"/>
        <w:ind w:left="113" w:right="130" w:firstLine="204"/>
        <w:jc w:val="both"/>
        <w:rPr>
          <w:sz w:val="24"/>
        </w:rPr>
      </w:pPr>
      <w:r>
        <w:rPr>
          <w:rFonts w:ascii="Arial" w:hAnsi="Arial"/>
          <w:b/>
          <w:w w:val="125"/>
          <w:sz w:val="24"/>
        </w:rPr>
        <w:t>§ </w:t>
      </w:r>
      <w:r>
        <w:rPr>
          <w:w w:val="125"/>
          <w:sz w:val="24"/>
        </w:rPr>
        <w:t>A Felügyelet a 185. §-ban, valamint a 189-192. §-ban meghatározott intézkedéseket vagy kivételes intézkedéseket - szükség szerint - külön-külön vagy együttesen és ismételten is</w:t>
      </w:r>
      <w:r>
        <w:rPr>
          <w:spacing w:val="24"/>
          <w:w w:val="125"/>
          <w:sz w:val="24"/>
        </w:rPr>
        <w:t> </w:t>
      </w:r>
      <w:r>
        <w:rPr>
          <w:w w:val="125"/>
          <w:sz w:val="24"/>
        </w:rPr>
        <w:t>alkalmazhatja.</w:t>
      </w:r>
    </w:p>
    <w:p>
      <w:pPr>
        <w:pStyle w:val="ListParagraph"/>
        <w:numPr>
          <w:ilvl w:val="0"/>
          <w:numId w:val="458"/>
        </w:numPr>
        <w:tabs>
          <w:tab w:pos="985" w:val="left" w:leader="none"/>
        </w:tabs>
        <w:spacing w:line="256" w:lineRule="exact" w:before="0" w:after="0"/>
        <w:ind w:left="984" w:right="0" w:hanging="667"/>
        <w:jc w:val="left"/>
        <w:rPr>
          <w:sz w:val="24"/>
        </w:rPr>
      </w:pPr>
      <w:r>
        <w:rPr>
          <w:rFonts w:ascii="Arial" w:hAnsi="Arial"/>
          <w:b/>
          <w:w w:val="120"/>
          <w:sz w:val="24"/>
        </w:rPr>
        <w:t>§</w:t>
      </w:r>
      <w:r>
        <w:rPr>
          <w:rFonts w:ascii="Arial" w:hAnsi="Arial"/>
          <w:b/>
          <w:spacing w:val="23"/>
          <w:w w:val="120"/>
          <w:sz w:val="24"/>
        </w:rPr>
        <w:t> </w:t>
      </w:r>
      <w:r>
        <w:rPr>
          <w:w w:val="120"/>
          <w:sz w:val="24"/>
        </w:rPr>
        <w:t>(1)</w:t>
      </w:r>
      <w:r>
        <w:rPr>
          <w:spacing w:val="23"/>
          <w:w w:val="120"/>
          <w:sz w:val="24"/>
        </w:rPr>
        <w:t> </w:t>
      </w:r>
      <w:r>
        <w:rPr>
          <w:w w:val="120"/>
          <w:sz w:val="24"/>
        </w:rPr>
        <w:t>A</w:t>
      </w:r>
      <w:r>
        <w:rPr>
          <w:spacing w:val="24"/>
          <w:w w:val="120"/>
          <w:sz w:val="24"/>
        </w:rPr>
        <w:t> </w:t>
      </w:r>
      <w:r>
        <w:rPr>
          <w:w w:val="120"/>
          <w:sz w:val="24"/>
        </w:rPr>
        <w:t>Felügyelet</w:t>
      </w:r>
      <w:r>
        <w:rPr>
          <w:spacing w:val="25"/>
          <w:w w:val="120"/>
          <w:sz w:val="24"/>
        </w:rPr>
        <w:t> </w:t>
      </w:r>
      <w:r>
        <w:rPr>
          <w:w w:val="120"/>
          <w:sz w:val="24"/>
        </w:rPr>
        <w:t>felügyeleti</w:t>
      </w:r>
      <w:r>
        <w:rPr>
          <w:spacing w:val="32"/>
          <w:w w:val="120"/>
          <w:sz w:val="24"/>
        </w:rPr>
        <w:t> </w:t>
      </w:r>
      <w:r>
        <w:rPr>
          <w:w w:val="120"/>
          <w:sz w:val="24"/>
        </w:rPr>
        <w:t>biztost</w:t>
      </w:r>
      <w:r>
        <w:rPr>
          <w:spacing w:val="11"/>
          <w:w w:val="120"/>
          <w:sz w:val="24"/>
        </w:rPr>
        <w:t> </w:t>
      </w:r>
      <w:r>
        <w:rPr>
          <w:w w:val="120"/>
          <w:sz w:val="24"/>
        </w:rPr>
        <w:t>rendelhet</w:t>
      </w:r>
      <w:r>
        <w:rPr>
          <w:spacing w:val="24"/>
          <w:w w:val="120"/>
          <w:sz w:val="24"/>
        </w:rPr>
        <w:t> </w:t>
      </w:r>
      <w:r>
        <w:rPr>
          <w:w w:val="120"/>
          <w:sz w:val="24"/>
        </w:rPr>
        <w:t>ki,</w:t>
      </w:r>
      <w:r>
        <w:rPr>
          <w:spacing w:val="22"/>
          <w:w w:val="120"/>
          <w:sz w:val="24"/>
        </w:rPr>
        <w:t> </w:t>
      </w:r>
      <w:r>
        <w:rPr>
          <w:w w:val="120"/>
          <w:sz w:val="24"/>
        </w:rPr>
        <w:t>különösen</w:t>
      </w:r>
      <w:r>
        <w:rPr>
          <w:spacing w:val="22"/>
          <w:w w:val="120"/>
          <w:sz w:val="24"/>
        </w:rPr>
        <w:t> </w:t>
      </w:r>
      <w:r>
        <w:rPr>
          <w:w w:val="120"/>
          <w:sz w:val="24"/>
        </w:rPr>
        <w:t>akkor,</w:t>
      </w:r>
      <w:r>
        <w:rPr>
          <w:spacing w:val="22"/>
          <w:w w:val="120"/>
          <w:sz w:val="24"/>
        </w:rPr>
        <w:t> </w:t>
      </w:r>
      <w:r>
        <w:rPr>
          <w:w w:val="120"/>
          <w:sz w:val="24"/>
        </w:rPr>
        <w:t>ha</w:t>
      </w:r>
    </w:p>
    <w:p>
      <w:pPr>
        <w:pStyle w:val="ListParagraph"/>
        <w:numPr>
          <w:ilvl w:val="0"/>
          <w:numId w:val="459"/>
        </w:numPr>
        <w:tabs>
          <w:tab w:pos="647" w:val="left" w:leader="none"/>
        </w:tabs>
        <w:spacing w:line="225" w:lineRule="auto" w:before="5" w:after="0"/>
        <w:ind w:left="113" w:right="128" w:firstLine="204"/>
        <w:jc w:val="both"/>
        <w:rPr>
          <w:sz w:val="24"/>
        </w:rPr>
      </w:pPr>
      <w:r>
        <w:rPr>
          <w:w w:val="130"/>
          <w:sz w:val="24"/>
        </w:rPr>
        <w:t>a</w:t>
      </w:r>
      <w:r>
        <w:rPr>
          <w:spacing w:val="-12"/>
          <w:w w:val="130"/>
          <w:sz w:val="24"/>
        </w:rPr>
        <w:t> </w:t>
      </w:r>
      <w:r>
        <w:rPr>
          <w:w w:val="130"/>
          <w:sz w:val="24"/>
        </w:rPr>
        <w:t>pénzügyi</w:t>
      </w:r>
      <w:r>
        <w:rPr>
          <w:spacing w:val="-30"/>
          <w:w w:val="130"/>
          <w:sz w:val="24"/>
        </w:rPr>
        <w:t> </w:t>
      </w:r>
      <w:r>
        <w:rPr>
          <w:w w:val="130"/>
          <w:sz w:val="24"/>
        </w:rPr>
        <w:t>intézmény</w:t>
      </w:r>
      <w:r>
        <w:rPr>
          <w:spacing w:val="-21"/>
          <w:w w:val="130"/>
          <w:sz w:val="24"/>
        </w:rPr>
        <w:t> </w:t>
      </w:r>
      <w:r>
        <w:rPr>
          <w:w w:val="130"/>
          <w:sz w:val="24"/>
        </w:rPr>
        <w:t>olyan</w:t>
      </w:r>
      <w:r>
        <w:rPr>
          <w:spacing w:val="-21"/>
          <w:w w:val="130"/>
          <w:sz w:val="24"/>
        </w:rPr>
        <w:t> </w:t>
      </w:r>
      <w:r>
        <w:rPr>
          <w:w w:val="130"/>
          <w:sz w:val="24"/>
        </w:rPr>
        <w:t>helyzetbe</w:t>
      </w:r>
      <w:r>
        <w:rPr>
          <w:spacing w:val="-20"/>
          <w:w w:val="130"/>
          <w:sz w:val="24"/>
        </w:rPr>
        <w:t> </w:t>
      </w:r>
      <w:r>
        <w:rPr>
          <w:w w:val="130"/>
          <w:sz w:val="24"/>
        </w:rPr>
        <w:t>kerül,</w:t>
      </w:r>
      <w:r>
        <w:rPr>
          <w:spacing w:val="-21"/>
          <w:w w:val="130"/>
          <w:sz w:val="24"/>
        </w:rPr>
        <w:t> </w:t>
      </w:r>
      <w:r>
        <w:rPr>
          <w:w w:val="130"/>
          <w:sz w:val="24"/>
        </w:rPr>
        <w:t>amelyben</w:t>
      </w:r>
      <w:r>
        <w:rPr>
          <w:spacing w:val="-21"/>
          <w:w w:val="130"/>
          <w:sz w:val="24"/>
        </w:rPr>
        <w:t> </w:t>
      </w:r>
      <w:r>
        <w:rPr>
          <w:w w:val="130"/>
          <w:sz w:val="24"/>
        </w:rPr>
        <w:t>fennáll</w:t>
      </w:r>
      <w:r>
        <w:rPr>
          <w:spacing w:val="-21"/>
          <w:w w:val="130"/>
          <w:sz w:val="24"/>
        </w:rPr>
        <w:t> </w:t>
      </w:r>
      <w:r>
        <w:rPr>
          <w:w w:val="130"/>
          <w:sz w:val="24"/>
        </w:rPr>
        <w:t>a</w:t>
      </w:r>
      <w:r>
        <w:rPr>
          <w:spacing w:val="-21"/>
          <w:w w:val="130"/>
          <w:sz w:val="24"/>
        </w:rPr>
        <w:t> </w:t>
      </w:r>
      <w:r>
        <w:rPr>
          <w:w w:val="130"/>
          <w:sz w:val="24"/>
        </w:rPr>
        <w:t>veszélye, hogy nem tud eleget tenni</w:t>
      </w:r>
      <w:r>
        <w:rPr>
          <w:spacing w:val="-21"/>
          <w:w w:val="130"/>
          <w:sz w:val="24"/>
        </w:rPr>
        <w:t> </w:t>
      </w:r>
      <w:r>
        <w:rPr>
          <w:w w:val="130"/>
          <w:sz w:val="24"/>
        </w:rPr>
        <w:t>kötelezettségeinek,</w:t>
      </w:r>
    </w:p>
    <w:p>
      <w:pPr>
        <w:spacing w:after="0" w:line="225" w:lineRule="auto"/>
        <w:jc w:val="both"/>
        <w:rPr>
          <w:sz w:val="24"/>
        </w:rPr>
        <w:sectPr>
          <w:pgSz w:w="11900" w:h="16820"/>
          <w:pgMar w:header="1104" w:footer="0" w:top="1840" w:bottom="280" w:left="1020" w:right="1000"/>
        </w:sectPr>
      </w:pPr>
    </w:p>
    <w:p>
      <w:pPr>
        <w:pStyle w:val="ListParagraph"/>
        <w:numPr>
          <w:ilvl w:val="0"/>
          <w:numId w:val="459"/>
        </w:numPr>
        <w:tabs>
          <w:tab w:pos="664" w:val="left" w:leader="none"/>
        </w:tabs>
        <w:spacing w:line="225" w:lineRule="auto" w:before="173" w:after="0"/>
        <w:ind w:left="113" w:right="132" w:firstLine="204"/>
        <w:jc w:val="both"/>
        <w:rPr>
          <w:sz w:val="24"/>
        </w:rPr>
      </w:pPr>
      <w:r>
        <w:rPr>
          <w:w w:val="130"/>
          <w:sz w:val="24"/>
        </w:rPr>
        <w:t>a hitelintézet igazgatósága nem tudja ellátni feladatát és ez veszélyezteti a betétesek</w:t>
      </w:r>
      <w:r>
        <w:rPr>
          <w:spacing w:val="-5"/>
          <w:w w:val="130"/>
          <w:sz w:val="24"/>
        </w:rPr>
        <w:t> </w:t>
      </w:r>
      <w:r>
        <w:rPr>
          <w:w w:val="130"/>
          <w:sz w:val="24"/>
        </w:rPr>
        <w:t>érdekeit,</w:t>
      </w:r>
    </w:p>
    <w:p>
      <w:pPr>
        <w:pStyle w:val="ListParagraph"/>
        <w:numPr>
          <w:ilvl w:val="0"/>
          <w:numId w:val="459"/>
        </w:numPr>
        <w:tabs>
          <w:tab w:pos="652" w:val="left" w:leader="none"/>
        </w:tabs>
        <w:spacing w:line="225" w:lineRule="auto" w:before="1" w:after="0"/>
        <w:ind w:left="113" w:right="126" w:firstLine="204"/>
        <w:jc w:val="both"/>
        <w:rPr>
          <w:sz w:val="24"/>
        </w:rPr>
      </w:pPr>
      <w:r>
        <w:rPr>
          <w:w w:val="125"/>
          <w:sz w:val="24"/>
        </w:rPr>
        <w:t>a hitelintézet számvitelében vagy a belső ellenőrzési rendszerében feltárt hiányosságok oly mértékűek, hogy lehetetlenné vált a valódi pénzügyi helyzetének értékelése,</w:t>
      </w:r>
      <w:r>
        <w:rPr>
          <w:spacing w:val="2"/>
          <w:w w:val="125"/>
          <w:sz w:val="24"/>
        </w:rPr>
        <w:t> </w:t>
      </w:r>
      <w:r>
        <w:rPr>
          <w:w w:val="125"/>
          <w:sz w:val="24"/>
        </w:rPr>
        <w:t>valamint</w:t>
      </w:r>
    </w:p>
    <w:p>
      <w:pPr>
        <w:pStyle w:val="ListParagraph"/>
        <w:numPr>
          <w:ilvl w:val="0"/>
          <w:numId w:val="459"/>
        </w:numPr>
        <w:tabs>
          <w:tab w:pos="733" w:val="left" w:leader="none"/>
        </w:tabs>
        <w:spacing w:line="225" w:lineRule="auto" w:before="2" w:after="0"/>
        <w:ind w:left="113" w:right="125" w:firstLine="204"/>
        <w:jc w:val="both"/>
        <w:rPr>
          <w:sz w:val="24"/>
        </w:rPr>
      </w:pPr>
      <w:r>
        <w:rPr>
          <w:w w:val="125"/>
          <w:sz w:val="24"/>
        </w:rPr>
        <w:t>a hitelintézet szavatoló tőkéje nem éri el a 79. § (2) bekezdésében  rögzített tőkekövetelmény nyolcvan százalékát, és a hitelintézet igazgatósága    a Felügyelet kivételes intézkedése ellenére a közgyűlést nem hívja</w:t>
      </w:r>
      <w:r>
        <w:rPr>
          <w:spacing w:val="42"/>
          <w:w w:val="125"/>
          <w:sz w:val="24"/>
        </w:rPr>
        <w:t> </w:t>
      </w:r>
      <w:r>
        <w:rPr>
          <w:w w:val="125"/>
          <w:sz w:val="24"/>
        </w:rPr>
        <w:t>össze.</w:t>
      </w:r>
    </w:p>
    <w:p>
      <w:pPr>
        <w:pStyle w:val="BodyText"/>
        <w:spacing w:line="256" w:lineRule="exact"/>
        <w:ind w:left="317" w:firstLine="0"/>
      </w:pPr>
      <w:r>
        <w:rPr>
          <w:w w:val="125"/>
        </w:rPr>
        <w:t>(2)</w:t>
      </w:r>
      <w:r>
        <w:rPr>
          <w:i/>
          <w:w w:val="125"/>
          <w:position w:val="3"/>
          <w:sz w:val="18"/>
        </w:rPr>
        <w:t>1 </w:t>
      </w:r>
      <w:r>
        <w:rPr>
          <w:w w:val="125"/>
        </w:rPr>
        <w:t>A Felügyelet a hitelintézethez felügyeleti biztost rendel ki, ha</w:t>
      </w:r>
    </w:p>
    <w:p>
      <w:pPr>
        <w:pStyle w:val="ListParagraph"/>
        <w:numPr>
          <w:ilvl w:val="0"/>
          <w:numId w:val="460"/>
        </w:numPr>
        <w:tabs>
          <w:tab w:pos="723" w:val="left" w:leader="none"/>
        </w:tabs>
        <w:spacing w:line="225" w:lineRule="auto" w:before="5" w:after="0"/>
        <w:ind w:left="113" w:right="124" w:firstLine="204"/>
        <w:jc w:val="both"/>
        <w:rPr>
          <w:sz w:val="24"/>
        </w:rPr>
      </w:pPr>
      <w:r>
        <w:rPr>
          <w:w w:val="125"/>
          <w:sz w:val="24"/>
        </w:rPr>
        <w:t>a hitelintézet szavatoló tőkéje nem éri el a 79. § (2)  bekezdésében  rögzített tőkekövetelmény nyolcvan százalékát, és a tag vagy a harmadik országbeli hitelintézet nem képes, vagy nem hajlandó a hitelintézet saját  tőkéjét, illetve szavatoló tőkéjét a jogszabályban és a Felügyelet határozatában előírt szintre felemelni,</w:t>
      </w:r>
      <w:r>
        <w:rPr>
          <w:spacing w:val="1"/>
          <w:w w:val="125"/>
          <w:sz w:val="24"/>
        </w:rPr>
        <w:t> </w:t>
      </w:r>
      <w:r>
        <w:rPr>
          <w:w w:val="125"/>
          <w:sz w:val="24"/>
        </w:rPr>
        <w:t>vagy</w:t>
      </w:r>
    </w:p>
    <w:p>
      <w:pPr>
        <w:pStyle w:val="ListParagraph"/>
        <w:numPr>
          <w:ilvl w:val="0"/>
          <w:numId w:val="460"/>
        </w:numPr>
        <w:tabs>
          <w:tab w:pos="647" w:val="left" w:leader="none"/>
        </w:tabs>
        <w:spacing w:line="225" w:lineRule="auto" w:before="3" w:after="0"/>
        <w:ind w:left="113" w:right="123" w:firstLine="204"/>
        <w:jc w:val="both"/>
        <w:rPr>
          <w:sz w:val="24"/>
        </w:rPr>
      </w:pPr>
      <w:r>
        <w:rPr>
          <w:w w:val="125"/>
          <w:sz w:val="24"/>
        </w:rPr>
        <w:t>a hitelintézet anyavállalatának felügyeletét ellátó felügyeleti hatóság arról tájékoztatja a Felügyeletet, hogy olyan válsághelyzet állt elő, amely veszélyezteti az anyavállalat pénzügyi stabilitását,</w:t>
      </w:r>
      <w:r>
        <w:rPr>
          <w:spacing w:val="6"/>
          <w:w w:val="125"/>
          <w:sz w:val="24"/>
        </w:rPr>
        <w:t> </w:t>
      </w:r>
      <w:r>
        <w:rPr>
          <w:w w:val="125"/>
          <w:sz w:val="24"/>
        </w:rPr>
        <w:t>vagy</w:t>
      </w:r>
    </w:p>
    <w:p>
      <w:pPr>
        <w:pStyle w:val="ListParagraph"/>
        <w:numPr>
          <w:ilvl w:val="0"/>
          <w:numId w:val="460"/>
        </w:numPr>
        <w:tabs>
          <w:tab w:pos="547" w:val="left" w:leader="none"/>
          <w:tab w:pos="927" w:val="left" w:leader="none"/>
          <w:tab w:pos="1338" w:val="left" w:leader="none"/>
          <w:tab w:pos="3115" w:val="left" w:leader="none"/>
          <w:tab w:pos="4751" w:val="left" w:leader="none"/>
          <w:tab w:pos="5820" w:val="left" w:leader="none"/>
          <w:tab w:pos="7923" w:val="left" w:leader="none"/>
        </w:tabs>
        <w:spacing w:line="250" w:lineRule="exact" w:before="0" w:after="0"/>
        <w:ind w:left="546" w:right="0" w:hanging="229"/>
        <w:jc w:val="left"/>
        <w:rPr>
          <w:sz w:val="24"/>
        </w:rPr>
      </w:pPr>
      <w:r>
        <w:rPr>
          <w:i/>
          <w:w w:val="130"/>
          <w:position w:val="3"/>
          <w:sz w:val="18"/>
        </w:rPr>
        <w:t>2</w:t>
        <w:tab/>
      </w:r>
      <w:r>
        <w:rPr>
          <w:w w:val="130"/>
          <w:sz w:val="24"/>
        </w:rPr>
        <w:t>a</w:t>
        <w:tab/>
        <w:t>szövetkezeti</w:t>
        <w:tab/>
        <w:t>hitelintézet</w:t>
        <w:tab/>
        <w:t>vezető</w:t>
        <w:tab/>
        <w:t>tisztségviselője</w:t>
        <w:tab/>
        <w:t>feladatkörének</w:t>
      </w:r>
    </w:p>
    <w:p>
      <w:pPr>
        <w:pStyle w:val="BodyText"/>
        <w:spacing w:line="225" w:lineRule="auto" w:before="12"/>
        <w:ind w:right="125" w:firstLine="0"/>
        <w:jc w:val="both"/>
      </w:pPr>
      <w:r>
        <w:rPr>
          <w:w w:val="125"/>
        </w:rPr>
        <w:t>gyakorlása a szövetkezeti hitelintézetek integrációjáról és az egyes gazdasági tárgyú</w:t>
      </w:r>
      <w:r>
        <w:rPr>
          <w:spacing w:val="-8"/>
          <w:w w:val="125"/>
        </w:rPr>
        <w:t> </w:t>
      </w:r>
      <w:r>
        <w:rPr>
          <w:w w:val="125"/>
        </w:rPr>
        <w:t>jogszabályok</w:t>
      </w:r>
      <w:r>
        <w:rPr>
          <w:spacing w:val="-7"/>
          <w:w w:val="125"/>
        </w:rPr>
        <w:t> </w:t>
      </w:r>
      <w:r>
        <w:rPr>
          <w:w w:val="125"/>
        </w:rPr>
        <w:t>módosításáról</w:t>
      </w:r>
      <w:r>
        <w:rPr>
          <w:spacing w:val="-8"/>
          <w:w w:val="125"/>
        </w:rPr>
        <w:t> </w:t>
      </w:r>
      <w:r>
        <w:rPr>
          <w:w w:val="125"/>
        </w:rPr>
        <w:t>szóló</w:t>
      </w:r>
      <w:r>
        <w:rPr>
          <w:spacing w:val="-7"/>
          <w:w w:val="125"/>
        </w:rPr>
        <w:t> </w:t>
      </w:r>
      <w:r>
        <w:rPr>
          <w:w w:val="125"/>
        </w:rPr>
        <w:t>2013.</w:t>
      </w:r>
      <w:r>
        <w:rPr>
          <w:spacing w:val="-7"/>
          <w:w w:val="125"/>
        </w:rPr>
        <w:t> </w:t>
      </w:r>
      <w:r>
        <w:rPr>
          <w:w w:val="125"/>
        </w:rPr>
        <w:t>évi</w:t>
      </w:r>
      <w:r>
        <w:rPr>
          <w:spacing w:val="-8"/>
          <w:w w:val="125"/>
        </w:rPr>
        <w:t> </w:t>
      </w:r>
      <w:r>
        <w:rPr>
          <w:w w:val="125"/>
        </w:rPr>
        <w:t>CXXXV.</w:t>
      </w:r>
      <w:r>
        <w:rPr>
          <w:spacing w:val="-7"/>
          <w:w w:val="125"/>
        </w:rPr>
        <w:t> </w:t>
      </w:r>
      <w:r>
        <w:rPr>
          <w:w w:val="125"/>
        </w:rPr>
        <w:t>törvény</w:t>
      </w:r>
      <w:r>
        <w:rPr>
          <w:spacing w:val="-8"/>
          <w:w w:val="125"/>
        </w:rPr>
        <w:t> </w:t>
      </w:r>
      <w:r>
        <w:rPr>
          <w:w w:val="125"/>
        </w:rPr>
        <w:t>11/B.</w:t>
      </w:r>
      <w:r>
        <w:rPr>
          <w:spacing w:val="-7"/>
          <w:w w:val="125"/>
        </w:rPr>
        <w:t> </w:t>
      </w:r>
      <w:r>
        <w:rPr>
          <w:w w:val="125"/>
        </w:rPr>
        <w:t>§</w:t>
      </w:r>
      <w:r>
        <w:rPr>
          <w:spacing w:val="-7"/>
          <w:w w:val="125"/>
        </w:rPr>
        <w:t> </w:t>
      </w:r>
      <w:r>
        <w:rPr>
          <w:w w:val="125"/>
        </w:rPr>
        <w:t>(2) bekezdés </w:t>
      </w:r>
      <w:r>
        <w:rPr>
          <w:i/>
          <w:w w:val="125"/>
        </w:rPr>
        <w:t>c) </w:t>
      </w:r>
      <w:r>
        <w:rPr>
          <w:w w:val="125"/>
        </w:rPr>
        <w:t>pontja alapján az Integrációs Szervezet igazgatósága által felfüggesztésre kerül; illetve amennyiben a szövetkezeti hitelintézet tevékenységi engedélyét a Felügyelet a Szhitv. 19. § (3), (7) vagy (13) bekezdése alapján</w:t>
      </w:r>
      <w:r>
        <w:rPr>
          <w:spacing w:val="1"/>
          <w:w w:val="125"/>
        </w:rPr>
        <w:t> </w:t>
      </w:r>
      <w:r>
        <w:rPr>
          <w:w w:val="125"/>
        </w:rPr>
        <w:t>visszavonja.</w:t>
      </w:r>
    </w:p>
    <w:p>
      <w:pPr>
        <w:pStyle w:val="ListParagraph"/>
        <w:numPr>
          <w:ilvl w:val="0"/>
          <w:numId w:val="458"/>
        </w:numPr>
        <w:tabs>
          <w:tab w:pos="1031" w:val="left" w:leader="none"/>
        </w:tabs>
        <w:spacing w:line="251" w:lineRule="exact" w:before="0" w:after="0"/>
        <w:ind w:left="1030" w:right="0" w:hanging="713"/>
        <w:jc w:val="left"/>
        <w:rPr>
          <w:sz w:val="24"/>
        </w:rPr>
      </w:pPr>
      <w:r>
        <w:rPr>
          <w:rFonts w:ascii="Arial" w:hAnsi="Arial"/>
          <w:b/>
          <w:w w:val="125"/>
          <w:sz w:val="24"/>
        </w:rPr>
        <w:t>§</w:t>
      </w:r>
      <w:r>
        <w:rPr>
          <w:i/>
          <w:w w:val="125"/>
          <w:position w:val="3"/>
          <w:sz w:val="18"/>
        </w:rPr>
        <w:t>3</w:t>
      </w:r>
      <w:r>
        <w:rPr>
          <w:i/>
          <w:spacing w:val="19"/>
          <w:w w:val="125"/>
          <w:position w:val="3"/>
          <w:sz w:val="18"/>
        </w:rPr>
        <w:t> </w:t>
      </w:r>
      <w:r>
        <w:rPr>
          <w:w w:val="125"/>
          <w:sz w:val="24"/>
        </w:rPr>
        <w:t>(1)</w:t>
      </w:r>
      <w:r>
        <w:rPr>
          <w:spacing w:val="41"/>
          <w:w w:val="125"/>
          <w:sz w:val="24"/>
        </w:rPr>
        <w:t> </w:t>
      </w:r>
      <w:r>
        <w:rPr>
          <w:w w:val="125"/>
          <w:sz w:val="24"/>
        </w:rPr>
        <w:t>Ha</w:t>
      </w:r>
      <w:r>
        <w:rPr>
          <w:spacing w:val="46"/>
          <w:w w:val="125"/>
          <w:sz w:val="24"/>
        </w:rPr>
        <w:t> </w:t>
      </w:r>
      <w:r>
        <w:rPr>
          <w:w w:val="125"/>
          <w:sz w:val="24"/>
        </w:rPr>
        <w:t>a</w:t>
      </w:r>
      <w:r>
        <w:rPr>
          <w:spacing w:val="59"/>
          <w:w w:val="125"/>
          <w:sz w:val="24"/>
        </w:rPr>
        <w:t> </w:t>
      </w:r>
      <w:r>
        <w:rPr>
          <w:w w:val="125"/>
          <w:sz w:val="24"/>
        </w:rPr>
        <w:t>felügyeleti</w:t>
      </w:r>
      <w:r>
        <w:rPr>
          <w:spacing w:val="32"/>
          <w:w w:val="125"/>
          <w:sz w:val="24"/>
        </w:rPr>
        <w:t> </w:t>
      </w:r>
      <w:r>
        <w:rPr>
          <w:w w:val="125"/>
          <w:sz w:val="24"/>
        </w:rPr>
        <w:t>biztos</w:t>
      </w:r>
      <w:r>
        <w:rPr>
          <w:spacing w:val="45"/>
          <w:w w:val="125"/>
          <w:sz w:val="24"/>
        </w:rPr>
        <w:t> </w:t>
      </w:r>
      <w:r>
        <w:rPr>
          <w:w w:val="125"/>
          <w:sz w:val="24"/>
        </w:rPr>
        <w:t>részben</w:t>
      </w:r>
      <w:r>
        <w:rPr>
          <w:spacing w:val="46"/>
          <w:w w:val="125"/>
          <w:sz w:val="24"/>
        </w:rPr>
        <w:t> </w:t>
      </w:r>
      <w:r>
        <w:rPr>
          <w:w w:val="125"/>
          <w:sz w:val="24"/>
        </w:rPr>
        <w:t>veszi</w:t>
      </w:r>
      <w:r>
        <w:rPr>
          <w:spacing w:val="45"/>
          <w:w w:val="125"/>
          <w:sz w:val="24"/>
        </w:rPr>
        <w:t> </w:t>
      </w:r>
      <w:r>
        <w:rPr>
          <w:w w:val="125"/>
          <w:sz w:val="24"/>
        </w:rPr>
        <w:t>át</w:t>
      </w:r>
      <w:r>
        <w:rPr>
          <w:spacing w:val="45"/>
          <w:w w:val="125"/>
          <w:sz w:val="24"/>
        </w:rPr>
        <w:t> </w:t>
      </w:r>
      <w:r>
        <w:rPr>
          <w:w w:val="125"/>
          <w:sz w:val="24"/>
        </w:rPr>
        <w:t>a</w:t>
      </w:r>
      <w:r>
        <w:rPr>
          <w:spacing w:val="45"/>
          <w:w w:val="125"/>
          <w:sz w:val="24"/>
        </w:rPr>
        <w:t> </w:t>
      </w:r>
      <w:r>
        <w:rPr>
          <w:w w:val="125"/>
          <w:sz w:val="24"/>
        </w:rPr>
        <w:t>pénzügyi</w:t>
      </w:r>
      <w:r>
        <w:rPr>
          <w:spacing w:val="46"/>
          <w:w w:val="125"/>
          <w:sz w:val="24"/>
        </w:rPr>
        <w:t> </w:t>
      </w:r>
      <w:r>
        <w:rPr>
          <w:w w:val="125"/>
          <w:sz w:val="24"/>
        </w:rPr>
        <w:t>intézmény</w:t>
      </w:r>
    </w:p>
    <w:p>
      <w:pPr>
        <w:pStyle w:val="BodyText"/>
        <w:spacing w:line="225" w:lineRule="auto" w:before="12"/>
        <w:ind w:right="127" w:firstLine="0"/>
        <w:jc w:val="both"/>
      </w:pPr>
      <w:r>
        <w:rPr>
          <w:w w:val="130"/>
        </w:rPr>
        <w:t>irányítási jogkörrel rendelkező vezető testületének jogkörét, a kirendeléséről rendelkező</w:t>
      </w:r>
      <w:r>
        <w:rPr>
          <w:spacing w:val="-9"/>
          <w:w w:val="130"/>
        </w:rPr>
        <w:t> </w:t>
      </w:r>
      <w:r>
        <w:rPr>
          <w:w w:val="130"/>
        </w:rPr>
        <w:t>határozatban</w:t>
      </w:r>
      <w:r>
        <w:rPr>
          <w:spacing w:val="-6"/>
          <w:w w:val="130"/>
        </w:rPr>
        <w:t> </w:t>
      </w:r>
      <w:r>
        <w:rPr>
          <w:w w:val="130"/>
        </w:rPr>
        <w:t>a</w:t>
      </w:r>
      <w:r>
        <w:rPr>
          <w:spacing w:val="-11"/>
          <w:w w:val="130"/>
        </w:rPr>
        <w:t> </w:t>
      </w:r>
      <w:r>
        <w:rPr>
          <w:w w:val="130"/>
        </w:rPr>
        <w:t>Felügyelet</w:t>
      </w:r>
      <w:r>
        <w:rPr>
          <w:spacing w:val="-3"/>
          <w:w w:val="130"/>
        </w:rPr>
        <w:t> </w:t>
      </w:r>
      <w:r>
        <w:rPr>
          <w:w w:val="130"/>
        </w:rPr>
        <w:t>meghatározza</w:t>
      </w:r>
      <w:r>
        <w:rPr>
          <w:spacing w:val="-14"/>
          <w:w w:val="130"/>
        </w:rPr>
        <w:t> </w:t>
      </w:r>
      <w:r>
        <w:rPr>
          <w:w w:val="130"/>
        </w:rPr>
        <w:t>a</w:t>
      </w:r>
      <w:r>
        <w:rPr>
          <w:spacing w:val="-8"/>
          <w:w w:val="130"/>
        </w:rPr>
        <w:t> </w:t>
      </w:r>
      <w:r>
        <w:rPr>
          <w:w w:val="130"/>
        </w:rPr>
        <w:t>pénzügyi</w:t>
      </w:r>
      <w:r>
        <w:rPr>
          <w:spacing w:val="-9"/>
          <w:w w:val="130"/>
        </w:rPr>
        <w:t> </w:t>
      </w:r>
      <w:r>
        <w:rPr>
          <w:w w:val="130"/>
        </w:rPr>
        <w:t>intézménynél betöltött szerepét, feladatait és</w:t>
      </w:r>
      <w:r>
        <w:rPr>
          <w:spacing w:val="-9"/>
          <w:w w:val="130"/>
        </w:rPr>
        <w:t> </w:t>
      </w:r>
      <w:r>
        <w:rPr>
          <w:w w:val="130"/>
        </w:rPr>
        <w:t>hatáskörét.</w:t>
      </w:r>
    </w:p>
    <w:p>
      <w:pPr>
        <w:pStyle w:val="ListParagraph"/>
        <w:numPr>
          <w:ilvl w:val="0"/>
          <w:numId w:val="461"/>
        </w:numPr>
        <w:tabs>
          <w:tab w:pos="744" w:val="left" w:leader="none"/>
        </w:tabs>
        <w:spacing w:line="225" w:lineRule="auto" w:before="2" w:after="0"/>
        <w:ind w:left="113" w:right="117" w:firstLine="204"/>
        <w:jc w:val="both"/>
        <w:rPr>
          <w:sz w:val="24"/>
        </w:rPr>
      </w:pPr>
      <w:r>
        <w:rPr>
          <w:w w:val="130"/>
          <w:sz w:val="24"/>
        </w:rPr>
        <w:t>A</w:t>
      </w:r>
      <w:r>
        <w:rPr>
          <w:spacing w:val="-21"/>
          <w:w w:val="130"/>
          <w:sz w:val="24"/>
        </w:rPr>
        <w:t> </w:t>
      </w:r>
      <w:r>
        <w:rPr>
          <w:w w:val="130"/>
          <w:sz w:val="24"/>
        </w:rPr>
        <w:t>pénzügyi</w:t>
      </w:r>
      <w:r>
        <w:rPr>
          <w:spacing w:val="-39"/>
          <w:w w:val="130"/>
          <w:sz w:val="24"/>
        </w:rPr>
        <w:t> </w:t>
      </w:r>
      <w:r>
        <w:rPr>
          <w:w w:val="130"/>
          <w:sz w:val="24"/>
        </w:rPr>
        <w:t>intézmény</w:t>
      </w:r>
      <w:r>
        <w:rPr>
          <w:spacing w:val="-30"/>
          <w:w w:val="130"/>
          <w:sz w:val="24"/>
        </w:rPr>
        <w:t> </w:t>
      </w:r>
      <w:r>
        <w:rPr>
          <w:w w:val="130"/>
          <w:sz w:val="24"/>
        </w:rPr>
        <w:t>irányítási</w:t>
      </w:r>
      <w:r>
        <w:rPr>
          <w:spacing w:val="-30"/>
          <w:w w:val="130"/>
          <w:sz w:val="24"/>
        </w:rPr>
        <w:t> </w:t>
      </w:r>
      <w:r>
        <w:rPr>
          <w:w w:val="130"/>
          <w:sz w:val="24"/>
        </w:rPr>
        <w:t>jogkörrel</w:t>
      </w:r>
      <w:r>
        <w:rPr>
          <w:spacing w:val="-30"/>
          <w:w w:val="130"/>
          <w:sz w:val="24"/>
        </w:rPr>
        <w:t> </w:t>
      </w:r>
      <w:r>
        <w:rPr>
          <w:w w:val="130"/>
          <w:sz w:val="24"/>
        </w:rPr>
        <w:t>rendelkező</w:t>
      </w:r>
      <w:r>
        <w:rPr>
          <w:spacing w:val="-30"/>
          <w:w w:val="130"/>
          <w:sz w:val="24"/>
        </w:rPr>
        <w:t> </w:t>
      </w:r>
      <w:r>
        <w:rPr>
          <w:w w:val="130"/>
          <w:sz w:val="24"/>
        </w:rPr>
        <w:t>vezető</w:t>
      </w:r>
      <w:r>
        <w:rPr>
          <w:spacing w:val="-22"/>
          <w:w w:val="130"/>
          <w:sz w:val="24"/>
        </w:rPr>
        <w:t> </w:t>
      </w:r>
      <w:r>
        <w:rPr>
          <w:w w:val="130"/>
          <w:sz w:val="24"/>
        </w:rPr>
        <w:t>testületének teljes</w:t>
      </w:r>
      <w:r>
        <w:rPr>
          <w:spacing w:val="-24"/>
          <w:w w:val="130"/>
          <w:sz w:val="24"/>
        </w:rPr>
        <w:t> </w:t>
      </w:r>
      <w:r>
        <w:rPr>
          <w:w w:val="130"/>
          <w:sz w:val="24"/>
        </w:rPr>
        <w:t>jogkörét</w:t>
      </w:r>
      <w:r>
        <w:rPr>
          <w:spacing w:val="-24"/>
          <w:w w:val="130"/>
          <w:sz w:val="24"/>
        </w:rPr>
        <w:t> </w:t>
      </w:r>
      <w:r>
        <w:rPr>
          <w:w w:val="130"/>
          <w:sz w:val="24"/>
        </w:rPr>
        <w:t>átvevő</w:t>
      </w:r>
      <w:r>
        <w:rPr>
          <w:spacing w:val="-23"/>
          <w:w w:val="130"/>
          <w:sz w:val="24"/>
        </w:rPr>
        <w:t> </w:t>
      </w:r>
      <w:r>
        <w:rPr>
          <w:w w:val="130"/>
          <w:sz w:val="24"/>
        </w:rPr>
        <w:t>felügyeleti</w:t>
      </w:r>
      <w:r>
        <w:rPr>
          <w:spacing w:val="-23"/>
          <w:w w:val="130"/>
          <w:sz w:val="24"/>
        </w:rPr>
        <w:t> </w:t>
      </w:r>
      <w:r>
        <w:rPr>
          <w:w w:val="130"/>
          <w:sz w:val="24"/>
        </w:rPr>
        <w:t>biztos</w:t>
      </w:r>
      <w:r>
        <w:rPr>
          <w:spacing w:val="-23"/>
          <w:w w:val="130"/>
          <w:sz w:val="24"/>
        </w:rPr>
        <w:t> </w:t>
      </w:r>
      <w:r>
        <w:rPr>
          <w:w w:val="130"/>
          <w:sz w:val="24"/>
        </w:rPr>
        <w:t>kirendelésére</w:t>
      </w:r>
      <w:r>
        <w:rPr>
          <w:spacing w:val="-24"/>
          <w:w w:val="130"/>
          <w:sz w:val="24"/>
        </w:rPr>
        <w:t> </w:t>
      </w:r>
      <w:r>
        <w:rPr>
          <w:w w:val="130"/>
          <w:sz w:val="24"/>
        </w:rPr>
        <w:t>kizárólag</w:t>
      </w:r>
      <w:r>
        <w:rPr>
          <w:spacing w:val="-24"/>
          <w:w w:val="130"/>
          <w:sz w:val="24"/>
        </w:rPr>
        <w:t> </w:t>
      </w:r>
      <w:r>
        <w:rPr>
          <w:w w:val="130"/>
          <w:sz w:val="24"/>
        </w:rPr>
        <w:t>akkor</w:t>
      </w:r>
      <w:r>
        <w:rPr>
          <w:spacing w:val="-24"/>
          <w:w w:val="130"/>
          <w:sz w:val="24"/>
        </w:rPr>
        <w:t> </w:t>
      </w:r>
      <w:r>
        <w:rPr>
          <w:w w:val="130"/>
          <w:sz w:val="24"/>
        </w:rPr>
        <w:t>kerülhet sor, ha a pénzügyi intézmény helyzete jelentősen megromlik vagy súlyosan megsérti a prudens működésre vonatkozó jogszabályi előírásokat és a Felügyelet</w:t>
      </w:r>
      <w:r>
        <w:rPr>
          <w:spacing w:val="-14"/>
          <w:w w:val="130"/>
          <w:sz w:val="24"/>
        </w:rPr>
        <w:t> </w:t>
      </w:r>
      <w:r>
        <w:rPr>
          <w:w w:val="130"/>
          <w:sz w:val="24"/>
        </w:rPr>
        <w:t>nem</w:t>
      </w:r>
      <w:r>
        <w:rPr>
          <w:spacing w:val="-12"/>
          <w:w w:val="130"/>
          <w:sz w:val="24"/>
        </w:rPr>
        <w:t> </w:t>
      </w:r>
      <w:r>
        <w:rPr>
          <w:w w:val="130"/>
          <w:sz w:val="24"/>
        </w:rPr>
        <w:t>látja</w:t>
      </w:r>
      <w:r>
        <w:rPr>
          <w:spacing w:val="-15"/>
          <w:w w:val="130"/>
          <w:sz w:val="24"/>
        </w:rPr>
        <w:t> </w:t>
      </w:r>
      <w:r>
        <w:rPr>
          <w:w w:val="130"/>
          <w:sz w:val="24"/>
        </w:rPr>
        <w:t>biztosítottnak,</w:t>
      </w:r>
      <w:r>
        <w:rPr>
          <w:spacing w:val="-12"/>
          <w:w w:val="130"/>
          <w:sz w:val="24"/>
        </w:rPr>
        <w:t> </w:t>
      </w:r>
      <w:r>
        <w:rPr>
          <w:w w:val="130"/>
          <w:sz w:val="24"/>
        </w:rPr>
        <w:t>hogy</w:t>
      </w:r>
      <w:r>
        <w:rPr>
          <w:spacing w:val="-15"/>
          <w:w w:val="130"/>
          <w:sz w:val="24"/>
        </w:rPr>
        <w:t> </w:t>
      </w:r>
      <w:r>
        <w:rPr>
          <w:w w:val="130"/>
          <w:sz w:val="24"/>
        </w:rPr>
        <w:t>a</w:t>
      </w:r>
      <w:r>
        <w:rPr>
          <w:spacing w:val="-13"/>
          <w:w w:val="130"/>
          <w:sz w:val="24"/>
        </w:rPr>
        <w:t> </w:t>
      </w:r>
      <w:r>
        <w:rPr>
          <w:w w:val="130"/>
          <w:sz w:val="24"/>
        </w:rPr>
        <w:t>pénzügyi</w:t>
      </w:r>
      <w:r>
        <w:rPr>
          <w:spacing w:val="-14"/>
          <w:w w:val="130"/>
          <w:sz w:val="24"/>
        </w:rPr>
        <w:t> </w:t>
      </w:r>
      <w:r>
        <w:rPr>
          <w:w w:val="130"/>
          <w:sz w:val="24"/>
        </w:rPr>
        <w:t>intézmény</w:t>
      </w:r>
      <w:r>
        <w:rPr>
          <w:spacing w:val="-13"/>
          <w:w w:val="130"/>
          <w:sz w:val="24"/>
        </w:rPr>
        <w:t> </w:t>
      </w:r>
      <w:r>
        <w:rPr>
          <w:w w:val="130"/>
          <w:sz w:val="24"/>
        </w:rPr>
        <w:t>működésének irányítása</w:t>
      </w:r>
      <w:r>
        <w:rPr>
          <w:spacing w:val="-30"/>
          <w:w w:val="130"/>
          <w:sz w:val="24"/>
        </w:rPr>
        <w:t> </w:t>
      </w:r>
      <w:r>
        <w:rPr>
          <w:w w:val="130"/>
          <w:sz w:val="24"/>
        </w:rPr>
        <w:t>az</w:t>
      </w:r>
      <w:r>
        <w:rPr>
          <w:spacing w:val="-30"/>
          <w:w w:val="130"/>
          <w:sz w:val="24"/>
        </w:rPr>
        <w:t> </w:t>
      </w:r>
      <w:r>
        <w:rPr>
          <w:w w:val="130"/>
          <w:sz w:val="24"/>
        </w:rPr>
        <w:t>irányítási</w:t>
      </w:r>
      <w:r>
        <w:rPr>
          <w:spacing w:val="-29"/>
          <w:w w:val="130"/>
          <w:sz w:val="24"/>
        </w:rPr>
        <w:t> </w:t>
      </w:r>
      <w:r>
        <w:rPr>
          <w:w w:val="130"/>
          <w:sz w:val="24"/>
        </w:rPr>
        <w:t>jogkört</w:t>
      </w:r>
      <w:r>
        <w:rPr>
          <w:spacing w:val="-30"/>
          <w:w w:val="130"/>
          <w:sz w:val="24"/>
        </w:rPr>
        <w:t> </w:t>
      </w:r>
      <w:r>
        <w:rPr>
          <w:w w:val="130"/>
          <w:sz w:val="24"/>
        </w:rPr>
        <w:t>részben</w:t>
      </w:r>
      <w:r>
        <w:rPr>
          <w:spacing w:val="-29"/>
          <w:w w:val="130"/>
          <w:sz w:val="24"/>
        </w:rPr>
        <w:t> </w:t>
      </w:r>
      <w:r>
        <w:rPr>
          <w:w w:val="130"/>
          <w:sz w:val="24"/>
        </w:rPr>
        <w:t>átvevő</w:t>
      </w:r>
      <w:r>
        <w:rPr>
          <w:spacing w:val="-30"/>
          <w:w w:val="130"/>
          <w:sz w:val="24"/>
        </w:rPr>
        <w:t> </w:t>
      </w:r>
      <w:r>
        <w:rPr>
          <w:w w:val="130"/>
          <w:sz w:val="24"/>
        </w:rPr>
        <w:t>felügyeleti</w:t>
      </w:r>
      <w:r>
        <w:rPr>
          <w:spacing w:val="-29"/>
          <w:w w:val="130"/>
          <w:sz w:val="24"/>
        </w:rPr>
        <w:t> </w:t>
      </w:r>
      <w:r>
        <w:rPr>
          <w:w w:val="130"/>
          <w:sz w:val="24"/>
        </w:rPr>
        <w:t>biztos</w:t>
      </w:r>
      <w:r>
        <w:rPr>
          <w:spacing w:val="-30"/>
          <w:w w:val="130"/>
          <w:sz w:val="24"/>
        </w:rPr>
        <w:t> </w:t>
      </w:r>
      <w:r>
        <w:rPr>
          <w:w w:val="130"/>
          <w:sz w:val="24"/>
        </w:rPr>
        <w:t>kirendelésével vagy a vezető testület leváltását követően egy új vezető testület útján megoldott</w:t>
      </w:r>
      <w:r>
        <w:rPr>
          <w:spacing w:val="-4"/>
          <w:w w:val="130"/>
          <w:sz w:val="24"/>
        </w:rPr>
        <w:t> </w:t>
      </w:r>
      <w:r>
        <w:rPr>
          <w:w w:val="130"/>
          <w:sz w:val="24"/>
        </w:rPr>
        <w:t>lehet.</w:t>
      </w:r>
    </w:p>
    <w:p>
      <w:pPr>
        <w:pStyle w:val="ListParagraph"/>
        <w:numPr>
          <w:ilvl w:val="0"/>
          <w:numId w:val="461"/>
        </w:numPr>
        <w:tabs>
          <w:tab w:pos="840" w:val="left" w:leader="none"/>
        </w:tabs>
        <w:spacing w:line="225" w:lineRule="auto" w:before="4" w:after="0"/>
        <w:ind w:left="113" w:right="127" w:firstLine="204"/>
        <w:jc w:val="both"/>
        <w:rPr>
          <w:sz w:val="24"/>
        </w:rPr>
      </w:pPr>
      <w:r>
        <w:rPr>
          <w:w w:val="130"/>
          <w:sz w:val="24"/>
        </w:rPr>
        <w:t>A (2) bekezdés szerinti felügyeleti biztos kirendeléséről rendelkező határozat kézhezvételéig hozott döntésekért a pénzügyi intézmény irányítási jogkörrel rendelkező vezető testülete tagjának a gazdasági társaságokra, illetve</w:t>
      </w:r>
      <w:r>
        <w:rPr>
          <w:spacing w:val="-37"/>
          <w:w w:val="130"/>
          <w:sz w:val="24"/>
        </w:rPr>
        <w:t> </w:t>
      </w:r>
      <w:r>
        <w:rPr>
          <w:w w:val="130"/>
          <w:sz w:val="24"/>
        </w:rPr>
        <w:t>a</w:t>
      </w:r>
      <w:r>
        <w:rPr>
          <w:spacing w:val="-37"/>
          <w:w w:val="130"/>
          <w:sz w:val="24"/>
        </w:rPr>
        <w:t> </w:t>
      </w:r>
      <w:r>
        <w:rPr>
          <w:w w:val="130"/>
          <w:sz w:val="24"/>
        </w:rPr>
        <w:t>szövetkezetekre</w:t>
      </w:r>
      <w:r>
        <w:rPr>
          <w:spacing w:val="-37"/>
          <w:w w:val="130"/>
          <w:sz w:val="24"/>
        </w:rPr>
        <w:t> </w:t>
      </w:r>
      <w:r>
        <w:rPr>
          <w:w w:val="130"/>
          <w:sz w:val="24"/>
        </w:rPr>
        <w:t>vonatkozó</w:t>
      </w:r>
      <w:r>
        <w:rPr>
          <w:spacing w:val="-37"/>
          <w:w w:val="130"/>
          <w:sz w:val="24"/>
        </w:rPr>
        <w:t> </w:t>
      </w:r>
      <w:r>
        <w:rPr>
          <w:w w:val="130"/>
          <w:sz w:val="24"/>
        </w:rPr>
        <w:t>törvényi</w:t>
      </w:r>
      <w:r>
        <w:rPr>
          <w:spacing w:val="-37"/>
          <w:w w:val="130"/>
          <w:sz w:val="24"/>
        </w:rPr>
        <w:t> </w:t>
      </w:r>
      <w:r>
        <w:rPr>
          <w:w w:val="130"/>
          <w:sz w:val="24"/>
        </w:rPr>
        <w:t>rendelkezések</w:t>
      </w:r>
      <w:r>
        <w:rPr>
          <w:spacing w:val="-37"/>
          <w:w w:val="130"/>
          <w:sz w:val="24"/>
        </w:rPr>
        <w:t> </w:t>
      </w:r>
      <w:r>
        <w:rPr>
          <w:w w:val="130"/>
          <w:sz w:val="24"/>
        </w:rPr>
        <w:t>szerinti</w:t>
      </w:r>
      <w:r>
        <w:rPr>
          <w:spacing w:val="-37"/>
          <w:w w:val="130"/>
          <w:sz w:val="24"/>
        </w:rPr>
        <w:t> </w:t>
      </w:r>
      <w:r>
        <w:rPr>
          <w:w w:val="130"/>
          <w:sz w:val="24"/>
        </w:rPr>
        <w:t>felelőssége fennmarad.</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7"/>
        <w:ind w:left="0" w:firstLine="0"/>
        <w:rPr>
          <w:sz w:val="16"/>
        </w:rPr>
      </w:pPr>
      <w:r>
        <w:rPr/>
        <w:pict>
          <v:line style="position:absolute;mso-position-horizontal-relative:page;mso-position-vertical-relative:paragraph;z-index:1712;mso-wrap-distance-left:0;mso-wrap-distance-right:0" from="56.693001pt,11.790086pt" to="538.583001pt,11.790086pt" stroked="true" strokeweight=".5pt" strokecolor="#000000">
            <v:stroke dashstyle="solid"/>
            <w10:wrap type="topAndBottom"/>
          </v:line>
        </w:pict>
      </w:r>
    </w:p>
    <w:p>
      <w:pPr>
        <w:pStyle w:val="ListParagraph"/>
        <w:numPr>
          <w:ilvl w:val="0"/>
          <w:numId w:val="462"/>
        </w:numPr>
        <w:tabs>
          <w:tab w:pos="686" w:val="left" w:leader="none"/>
          <w:tab w:pos="687" w:val="left" w:leader="none"/>
        </w:tabs>
        <w:spacing w:line="203" w:lineRule="exact" w:before="44" w:after="0"/>
        <w:ind w:left="686" w:right="0" w:hanging="344"/>
        <w:jc w:val="left"/>
        <w:rPr>
          <w:i/>
          <w:sz w:val="18"/>
        </w:rPr>
      </w:pPr>
      <w:r>
        <w:rPr>
          <w:i/>
          <w:w w:val="125"/>
          <w:sz w:val="18"/>
        </w:rPr>
        <w:t>Módosította: 2015. évi LXXXV. törvény 237. §</w:t>
      </w:r>
      <w:r>
        <w:rPr>
          <w:i/>
          <w:spacing w:val="-5"/>
          <w:w w:val="125"/>
          <w:sz w:val="18"/>
        </w:rPr>
        <w:t> </w:t>
      </w:r>
      <w:r>
        <w:rPr>
          <w:i/>
          <w:w w:val="125"/>
          <w:sz w:val="18"/>
        </w:rPr>
        <w:t>e).</w:t>
      </w:r>
    </w:p>
    <w:p>
      <w:pPr>
        <w:pStyle w:val="ListParagraph"/>
        <w:numPr>
          <w:ilvl w:val="0"/>
          <w:numId w:val="462"/>
        </w:numPr>
        <w:tabs>
          <w:tab w:pos="686" w:val="left" w:leader="none"/>
          <w:tab w:pos="687" w:val="left" w:leader="none"/>
        </w:tabs>
        <w:spacing w:line="200" w:lineRule="exact" w:before="0" w:after="0"/>
        <w:ind w:left="686" w:right="0" w:hanging="344"/>
        <w:jc w:val="left"/>
        <w:rPr>
          <w:i/>
          <w:sz w:val="18"/>
        </w:rPr>
      </w:pPr>
      <w:r>
        <w:rPr>
          <w:i/>
          <w:w w:val="125"/>
          <w:sz w:val="18"/>
        </w:rPr>
        <w:t>Módosította: 2017. évi LXII. törvény 43.</w:t>
      </w:r>
      <w:r>
        <w:rPr>
          <w:i/>
          <w:spacing w:val="-3"/>
          <w:w w:val="125"/>
          <w:sz w:val="18"/>
        </w:rPr>
        <w:t> </w:t>
      </w:r>
      <w:r>
        <w:rPr>
          <w:i/>
          <w:w w:val="125"/>
          <w:sz w:val="18"/>
        </w:rPr>
        <w:t>§.</w:t>
      </w:r>
    </w:p>
    <w:p>
      <w:pPr>
        <w:pStyle w:val="ListParagraph"/>
        <w:numPr>
          <w:ilvl w:val="0"/>
          <w:numId w:val="462"/>
        </w:numPr>
        <w:tabs>
          <w:tab w:pos="686" w:val="left" w:leader="none"/>
          <w:tab w:pos="687" w:val="left" w:leader="none"/>
        </w:tabs>
        <w:spacing w:line="203" w:lineRule="exact" w:before="0" w:after="0"/>
        <w:ind w:left="686" w:right="0" w:hanging="344"/>
        <w:jc w:val="left"/>
        <w:rPr>
          <w:i/>
          <w:sz w:val="18"/>
        </w:rPr>
      </w:pPr>
      <w:r>
        <w:rPr>
          <w:i/>
          <w:w w:val="125"/>
          <w:sz w:val="18"/>
        </w:rPr>
        <w:t>Megállapította: 2014. évi CIV. törvény 70. §. Hatályos: 2015. I.</w:t>
      </w:r>
      <w:r>
        <w:rPr>
          <w:i/>
          <w:spacing w:val="-14"/>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458"/>
        </w:numPr>
        <w:tabs>
          <w:tab w:pos="996" w:val="left" w:leader="none"/>
        </w:tabs>
        <w:spacing w:line="225" w:lineRule="auto" w:before="172" w:after="0"/>
        <w:ind w:left="113" w:right="117" w:firstLine="204"/>
        <w:jc w:val="both"/>
        <w:rPr>
          <w:sz w:val="24"/>
        </w:rPr>
      </w:pPr>
      <w:r>
        <w:rPr>
          <w:rFonts w:ascii="Arial" w:hAnsi="Arial"/>
          <w:b/>
          <w:spacing w:val="7"/>
          <w:w w:val="125"/>
          <w:sz w:val="24"/>
        </w:rPr>
        <w:t>§</w:t>
      </w:r>
      <w:r>
        <w:rPr>
          <w:i/>
          <w:spacing w:val="7"/>
          <w:w w:val="125"/>
          <w:position w:val="3"/>
          <w:sz w:val="18"/>
        </w:rPr>
        <w:t>1 </w:t>
      </w:r>
      <w:r>
        <w:rPr>
          <w:w w:val="125"/>
          <w:sz w:val="24"/>
        </w:rPr>
        <w:t>(1)</w:t>
      </w:r>
      <w:r>
        <w:rPr>
          <w:i/>
          <w:w w:val="125"/>
          <w:position w:val="3"/>
          <w:sz w:val="18"/>
        </w:rPr>
        <w:t>2 </w:t>
      </w:r>
      <w:r>
        <w:rPr>
          <w:w w:val="125"/>
          <w:sz w:val="24"/>
        </w:rPr>
        <w:t>Az irányítási jogkörrel rendelkező vezető testület teljes jogkörét átvevő felügyeleti biztos kirendelésének ideje alatt az irányítási jogkörrel rendelkező vezető testület tagja a gazdasági társaságokra, a szövetkezetekre vonatkozó törvényi rendelkezésekben és az alapszabályban rögzített feladatát, cégjegyzési jogát nem gyakorolhatja. A kirendelés tartamára a felügyeleti  biztos azzal a korlátozással gyakorolja az irányítási jogkörrel  rendelkező  vezető testület tagjának törvényben és alapszabályban megállapított jogait és kötelezettségeit, hogy a közgyűlés összehívását, valamint meghatározott napirendi pontjainak meghatározását kizárólag a Felügyelet egyetértésével kezdeményezheti.</w:t>
      </w:r>
    </w:p>
    <w:p>
      <w:pPr>
        <w:pStyle w:val="ListParagraph"/>
        <w:numPr>
          <w:ilvl w:val="0"/>
          <w:numId w:val="463"/>
        </w:numPr>
        <w:tabs>
          <w:tab w:pos="749" w:val="left" w:leader="none"/>
        </w:tabs>
        <w:spacing w:line="225" w:lineRule="auto" w:before="5" w:after="0"/>
        <w:ind w:left="113" w:right="125" w:firstLine="204"/>
        <w:jc w:val="both"/>
        <w:rPr>
          <w:sz w:val="24"/>
        </w:rPr>
      </w:pPr>
      <w:r>
        <w:rPr>
          <w:w w:val="125"/>
          <w:sz w:val="24"/>
        </w:rPr>
        <w:t>Az irányítási jogkört részben átvevő felügyeleti biztos kirendelése esetén az irányítási jogkörrel rendelkező vezető testület jogkörét csak annyiban gyakorolhatja, amennyiben az adott jogkört a felügyeleti biztost kirendelő határozat nem utalja a felügyeleti biztos</w:t>
      </w:r>
      <w:r>
        <w:rPr>
          <w:spacing w:val="15"/>
          <w:w w:val="125"/>
          <w:sz w:val="24"/>
        </w:rPr>
        <w:t> </w:t>
      </w:r>
      <w:r>
        <w:rPr>
          <w:w w:val="125"/>
          <w:sz w:val="24"/>
        </w:rPr>
        <w:t>jogkörébe.</w:t>
      </w:r>
    </w:p>
    <w:p>
      <w:pPr>
        <w:pStyle w:val="ListParagraph"/>
        <w:numPr>
          <w:ilvl w:val="0"/>
          <w:numId w:val="463"/>
        </w:numPr>
        <w:tabs>
          <w:tab w:pos="839" w:val="left" w:leader="none"/>
        </w:tabs>
        <w:spacing w:line="225" w:lineRule="auto" w:before="3" w:after="0"/>
        <w:ind w:left="113" w:right="125" w:firstLine="204"/>
        <w:jc w:val="both"/>
        <w:rPr>
          <w:sz w:val="24"/>
        </w:rPr>
      </w:pPr>
      <w:r>
        <w:rPr>
          <w:w w:val="130"/>
          <w:sz w:val="24"/>
        </w:rPr>
        <w:t>Az (1) és (2) bekezdéstől eltérően az irányítási vagy a felügyeleti jogkörrel rendelkező vezető testület tagja a felügyeleti biztos kirendelésének ideje alatt is jogorvoslattal élhet a felügyeleti biztost kirendelő határozat és a Felügyelet</w:t>
      </w:r>
      <w:r>
        <w:rPr>
          <w:spacing w:val="-15"/>
          <w:w w:val="130"/>
          <w:sz w:val="24"/>
        </w:rPr>
        <w:t> </w:t>
      </w:r>
      <w:r>
        <w:rPr>
          <w:w w:val="130"/>
          <w:sz w:val="24"/>
        </w:rPr>
        <w:t>által</w:t>
      </w:r>
      <w:r>
        <w:rPr>
          <w:spacing w:val="-6"/>
          <w:w w:val="130"/>
          <w:sz w:val="24"/>
        </w:rPr>
        <w:t> </w:t>
      </w:r>
      <w:r>
        <w:rPr>
          <w:w w:val="130"/>
          <w:sz w:val="24"/>
        </w:rPr>
        <w:t>a</w:t>
      </w:r>
      <w:r>
        <w:rPr>
          <w:spacing w:val="-22"/>
          <w:w w:val="130"/>
          <w:sz w:val="24"/>
        </w:rPr>
        <w:t> </w:t>
      </w:r>
      <w:r>
        <w:rPr>
          <w:w w:val="130"/>
          <w:sz w:val="24"/>
        </w:rPr>
        <w:t>hitelintézettel</w:t>
      </w:r>
      <w:r>
        <w:rPr>
          <w:spacing w:val="-14"/>
          <w:w w:val="130"/>
          <w:sz w:val="24"/>
        </w:rPr>
        <w:t> </w:t>
      </w:r>
      <w:r>
        <w:rPr>
          <w:w w:val="130"/>
          <w:sz w:val="24"/>
        </w:rPr>
        <w:t>szemben</w:t>
      </w:r>
      <w:r>
        <w:rPr>
          <w:spacing w:val="-14"/>
          <w:w w:val="130"/>
          <w:sz w:val="24"/>
        </w:rPr>
        <w:t> </w:t>
      </w:r>
      <w:r>
        <w:rPr>
          <w:w w:val="130"/>
          <w:sz w:val="24"/>
        </w:rPr>
        <w:t>hozott</w:t>
      </w:r>
      <w:r>
        <w:rPr>
          <w:spacing w:val="-14"/>
          <w:w w:val="130"/>
          <w:sz w:val="24"/>
        </w:rPr>
        <w:t> </w:t>
      </w:r>
      <w:r>
        <w:rPr>
          <w:w w:val="130"/>
          <w:sz w:val="24"/>
        </w:rPr>
        <w:t>határozat</w:t>
      </w:r>
      <w:r>
        <w:rPr>
          <w:spacing w:val="-14"/>
          <w:w w:val="130"/>
          <w:sz w:val="24"/>
        </w:rPr>
        <w:t> </w:t>
      </w:r>
      <w:r>
        <w:rPr>
          <w:w w:val="130"/>
          <w:sz w:val="24"/>
        </w:rPr>
        <w:t>ellen,</w:t>
      </w:r>
      <w:r>
        <w:rPr>
          <w:spacing w:val="-14"/>
          <w:w w:val="130"/>
          <w:sz w:val="24"/>
        </w:rPr>
        <w:t> </w:t>
      </w:r>
      <w:r>
        <w:rPr>
          <w:w w:val="130"/>
          <w:sz w:val="24"/>
        </w:rPr>
        <w:t>e</w:t>
      </w:r>
      <w:r>
        <w:rPr>
          <w:spacing w:val="-14"/>
          <w:w w:val="130"/>
          <w:sz w:val="24"/>
        </w:rPr>
        <w:t> </w:t>
      </w:r>
      <w:r>
        <w:rPr>
          <w:w w:val="130"/>
          <w:sz w:val="24"/>
        </w:rPr>
        <w:t>jogorvoslati eljárásban a hitelintézetet képviselheti vagy a képviselet ellátására megbízást adhat.</w:t>
      </w:r>
    </w:p>
    <w:p>
      <w:pPr>
        <w:pStyle w:val="ListParagraph"/>
        <w:numPr>
          <w:ilvl w:val="0"/>
          <w:numId w:val="458"/>
        </w:numPr>
        <w:tabs>
          <w:tab w:pos="999" w:val="left" w:leader="none"/>
        </w:tabs>
        <w:spacing w:line="258" w:lineRule="exact" w:before="0" w:after="0"/>
        <w:ind w:left="998" w:right="0" w:hanging="681"/>
        <w:jc w:val="left"/>
        <w:rPr>
          <w:sz w:val="24"/>
        </w:rPr>
      </w:pPr>
      <w:r>
        <w:rPr>
          <w:rFonts w:ascii="Arial" w:hAnsi="Arial"/>
          <w:b/>
          <w:w w:val="120"/>
          <w:sz w:val="24"/>
        </w:rPr>
        <w:t>§</w:t>
      </w:r>
      <w:r>
        <w:rPr>
          <w:rFonts w:ascii="Arial" w:hAnsi="Arial"/>
          <w:b/>
          <w:spacing w:val="49"/>
          <w:w w:val="120"/>
          <w:sz w:val="24"/>
        </w:rPr>
        <w:t> </w:t>
      </w:r>
      <w:r>
        <w:rPr>
          <w:w w:val="120"/>
          <w:sz w:val="24"/>
        </w:rPr>
        <w:t>(1)</w:t>
      </w:r>
      <w:r>
        <w:rPr>
          <w:spacing w:val="16"/>
          <w:w w:val="120"/>
          <w:sz w:val="24"/>
        </w:rPr>
        <w:t> </w:t>
      </w:r>
      <w:r>
        <w:rPr>
          <w:w w:val="120"/>
          <w:sz w:val="24"/>
        </w:rPr>
        <w:t>Ha</w:t>
      </w:r>
      <w:r>
        <w:rPr>
          <w:spacing w:val="32"/>
          <w:w w:val="120"/>
          <w:sz w:val="24"/>
        </w:rPr>
        <w:t> </w:t>
      </w:r>
      <w:r>
        <w:rPr>
          <w:w w:val="120"/>
          <w:sz w:val="24"/>
        </w:rPr>
        <w:t>a</w:t>
      </w:r>
      <w:r>
        <w:rPr>
          <w:spacing w:val="31"/>
          <w:w w:val="120"/>
          <w:sz w:val="24"/>
        </w:rPr>
        <w:t> </w:t>
      </w:r>
      <w:r>
        <w:rPr>
          <w:w w:val="120"/>
          <w:sz w:val="24"/>
        </w:rPr>
        <w:t>Felügyelet</w:t>
      </w:r>
      <w:r>
        <w:rPr>
          <w:spacing w:val="35"/>
          <w:w w:val="120"/>
          <w:sz w:val="24"/>
        </w:rPr>
        <w:t> </w:t>
      </w:r>
      <w:r>
        <w:rPr>
          <w:w w:val="120"/>
          <w:sz w:val="24"/>
        </w:rPr>
        <w:t>a</w:t>
      </w:r>
      <w:r>
        <w:rPr>
          <w:spacing w:val="28"/>
          <w:w w:val="120"/>
          <w:sz w:val="24"/>
        </w:rPr>
        <w:t> </w:t>
      </w:r>
      <w:r>
        <w:rPr>
          <w:w w:val="120"/>
          <w:sz w:val="24"/>
        </w:rPr>
        <w:t>185.</w:t>
      </w:r>
      <w:r>
        <w:rPr>
          <w:spacing w:val="32"/>
          <w:w w:val="120"/>
          <w:sz w:val="24"/>
        </w:rPr>
        <w:t> </w:t>
      </w:r>
      <w:r>
        <w:rPr>
          <w:w w:val="120"/>
          <w:sz w:val="24"/>
        </w:rPr>
        <w:t>§</w:t>
      </w:r>
      <w:r>
        <w:rPr>
          <w:spacing w:val="31"/>
          <w:w w:val="120"/>
          <w:sz w:val="24"/>
        </w:rPr>
        <w:t> </w:t>
      </w:r>
      <w:r>
        <w:rPr>
          <w:w w:val="120"/>
          <w:sz w:val="24"/>
        </w:rPr>
        <w:t>(2)</w:t>
      </w:r>
      <w:r>
        <w:rPr>
          <w:spacing w:val="32"/>
          <w:w w:val="120"/>
          <w:sz w:val="24"/>
        </w:rPr>
        <w:t> </w:t>
      </w:r>
      <w:r>
        <w:rPr>
          <w:w w:val="120"/>
          <w:sz w:val="24"/>
        </w:rPr>
        <w:t>bekezdés</w:t>
      </w:r>
      <w:r>
        <w:rPr>
          <w:spacing w:val="33"/>
          <w:w w:val="120"/>
          <w:sz w:val="24"/>
        </w:rPr>
        <w:t> </w:t>
      </w:r>
      <w:r>
        <w:rPr>
          <w:i/>
          <w:w w:val="120"/>
          <w:sz w:val="24"/>
        </w:rPr>
        <w:t>c)</w:t>
      </w:r>
      <w:r>
        <w:rPr>
          <w:i/>
          <w:spacing w:val="32"/>
          <w:w w:val="120"/>
          <w:sz w:val="24"/>
        </w:rPr>
        <w:t> </w:t>
      </w:r>
      <w:r>
        <w:rPr>
          <w:w w:val="120"/>
          <w:sz w:val="24"/>
        </w:rPr>
        <w:t>pont</w:t>
      </w:r>
      <w:r>
        <w:rPr>
          <w:spacing w:val="31"/>
          <w:w w:val="120"/>
          <w:sz w:val="24"/>
        </w:rPr>
        <w:t> </w:t>
      </w:r>
      <w:r>
        <w:rPr>
          <w:i/>
          <w:w w:val="120"/>
          <w:sz w:val="24"/>
        </w:rPr>
        <w:t>cf)</w:t>
      </w:r>
      <w:r>
        <w:rPr>
          <w:i/>
          <w:spacing w:val="32"/>
          <w:w w:val="120"/>
          <w:sz w:val="24"/>
        </w:rPr>
        <w:t> </w:t>
      </w:r>
      <w:r>
        <w:rPr>
          <w:w w:val="120"/>
          <w:sz w:val="24"/>
        </w:rPr>
        <w:t>alpontja,</w:t>
      </w:r>
      <w:r>
        <w:rPr>
          <w:spacing w:val="31"/>
          <w:w w:val="120"/>
          <w:sz w:val="24"/>
        </w:rPr>
        <w:t> </w:t>
      </w:r>
      <w:r>
        <w:rPr>
          <w:w w:val="120"/>
          <w:sz w:val="24"/>
        </w:rPr>
        <w:t>a</w:t>
      </w:r>
      <w:r>
        <w:rPr>
          <w:spacing w:val="38"/>
          <w:w w:val="120"/>
          <w:sz w:val="24"/>
        </w:rPr>
        <w:t> </w:t>
      </w:r>
      <w:r>
        <w:rPr>
          <w:w w:val="120"/>
          <w:sz w:val="24"/>
        </w:rPr>
        <w:t>48.</w:t>
      </w:r>
      <w:r>
        <w:rPr>
          <w:spacing w:val="25"/>
          <w:w w:val="120"/>
          <w:sz w:val="24"/>
        </w:rPr>
        <w:t> </w:t>
      </w:r>
      <w:r>
        <w:rPr>
          <w:w w:val="120"/>
          <w:sz w:val="24"/>
        </w:rPr>
        <w:t>§</w:t>
      </w:r>
    </w:p>
    <w:p>
      <w:pPr>
        <w:pStyle w:val="ListParagraph"/>
        <w:numPr>
          <w:ilvl w:val="0"/>
          <w:numId w:val="456"/>
        </w:numPr>
        <w:tabs>
          <w:tab w:pos="574" w:val="left" w:leader="none"/>
        </w:tabs>
        <w:spacing w:line="225" w:lineRule="auto" w:before="5" w:after="0"/>
        <w:ind w:left="113" w:right="124" w:firstLine="0"/>
        <w:jc w:val="both"/>
        <w:rPr>
          <w:sz w:val="24"/>
        </w:rPr>
      </w:pPr>
      <w:r>
        <w:rPr>
          <w:w w:val="130"/>
          <w:sz w:val="24"/>
        </w:rPr>
        <w:t>bekezdése és az 55. § (2) bekezdése szerinti intézkedését a Tvt. alapján fizetést korlátozó eljárásnak minősíti, akkor az erről való döntés közlését követő</w:t>
      </w:r>
      <w:r>
        <w:rPr>
          <w:spacing w:val="-19"/>
          <w:w w:val="130"/>
          <w:sz w:val="24"/>
        </w:rPr>
        <w:t> </w:t>
      </w:r>
      <w:r>
        <w:rPr>
          <w:w w:val="130"/>
          <w:sz w:val="24"/>
        </w:rPr>
        <w:t>hatállyal</w:t>
      </w:r>
      <w:r>
        <w:rPr>
          <w:spacing w:val="-18"/>
          <w:w w:val="130"/>
          <w:sz w:val="24"/>
        </w:rPr>
        <w:t> </w:t>
      </w:r>
      <w:r>
        <w:rPr>
          <w:w w:val="130"/>
          <w:sz w:val="24"/>
        </w:rPr>
        <w:t>jogosult</w:t>
      </w:r>
      <w:r>
        <w:rPr>
          <w:spacing w:val="-18"/>
          <w:w w:val="130"/>
          <w:sz w:val="24"/>
        </w:rPr>
        <w:t> </w:t>
      </w:r>
      <w:r>
        <w:rPr>
          <w:w w:val="130"/>
          <w:sz w:val="24"/>
        </w:rPr>
        <w:t>az</w:t>
      </w:r>
      <w:r>
        <w:rPr>
          <w:spacing w:val="-18"/>
          <w:w w:val="130"/>
          <w:sz w:val="24"/>
        </w:rPr>
        <w:t> </w:t>
      </w:r>
      <w:r>
        <w:rPr>
          <w:w w:val="130"/>
          <w:sz w:val="24"/>
        </w:rPr>
        <w:t>eljárás</w:t>
      </w:r>
      <w:r>
        <w:rPr>
          <w:spacing w:val="-18"/>
          <w:w w:val="130"/>
          <w:sz w:val="24"/>
        </w:rPr>
        <w:t> </w:t>
      </w:r>
      <w:r>
        <w:rPr>
          <w:w w:val="130"/>
          <w:sz w:val="24"/>
        </w:rPr>
        <w:t>alá</w:t>
      </w:r>
      <w:r>
        <w:rPr>
          <w:spacing w:val="-18"/>
          <w:w w:val="130"/>
          <w:sz w:val="24"/>
        </w:rPr>
        <w:t> </w:t>
      </w:r>
      <w:r>
        <w:rPr>
          <w:w w:val="130"/>
          <w:sz w:val="24"/>
        </w:rPr>
        <w:t>vont,</w:t>
      </w:r>
      <w:r>
        <w:rPr>
          <w:spacing w:val="-19"/>
          <w:w w:val="130"/>
          <w:sz w:val="24"/>
        </w:rPr>
        <w:t> </w:t>
      </w:r>
      <w:r>
        <w:rPr>
          <w:w w:val="130"/>
          <w:sz w:val="24"/>
        </w:rPr>
        <w:t>a</w:t>
      </w:r>
      <w:r>
        <w:rPr>
          <w:spacing w:val="-9"/>
          <w:w w:val="130"/>
          <w:sz w:val="24"/>
        </w:rPr>
        <w:t> </w:t>
      </w:r>
      <w:r>
        <w:rPr>
          <w:w w:val="130"/>
          <w:sz w:val="24"/>
        </w:rPr>
        <w:t>fizetési</w:t>
      </w:r>
      <w:r>
        <w:rPr>
          <w:spacing w:val="-27"/>
          <w:w w:val="130"/>
          <w:sz w:val="24"/>
        </w:rPr>
        <w:t> </w:t>
      </w:r>
      <w:r>
        <w:rPr>
          <w:w w:val="130"/>
          <w:sz w:val="24"/>
        </w:rPr>
        <w:t>rendszerhez</w:t>
      </w:r>
      <w:r>
        <w:rPr>
          <w:spacing w:val="-18"/>
          <w:w w:val="130"/>
          <w:sz w:val="24"/>
        </w:rPr>
        <w:t> </w:t>
      </w:r>
      <w:r>
        <w:rPr>
          <w:w w:val="130"/>
          <w:sz w:val="24"/>
        </w:rPr>
        <w:t>közvetlenül csatlakozó résztvevő esetében a javára benyújtott fizetési megbízásnak a fizetési rendszer általi elszámolását, teljesítését átmenetileg vagy véglegesen megtiltani. A Felügyelet ezen döntéséről haladéktalanul értesíti a fizetési rendszer</w:t>
      </w:r>
      <w:r>
        <w:rPr>
          <w:spacing w:val="3"/>
          <w:w w:val="130"/>
          <w:sz w:val="24"/>
        </w:rPr>
        <w:t> </w:t>
      </w:r>
      <w:r>
        <w:rPr>
          <w:w w:val="130"/>
          <w:sz w:val="24"/>
        </w:rPr>
        <w:t>rendszerüzemeltetőjét.</w:t>
      </w:r>
    </w:p>
    <w:p>
      <w:pPr>
        <w:pStyle w:val="ListParagraph"/>
        <w:numPr>
          <w:ilvl w:val="1"/>
          <w:numId w:val="456"/>
        </w:numPr>
        <w:tabs>
          <w:tab w:pos="773" w:val="left" w:leader="none"/>
        </w:tabs>
        <w:spacing w:line="225" w:lineRule="auto" w:before="4" w:after="0"/>
        <w:ind w:left="113" w:right="127" w:firstLine="204"/>
        <w:jc w:val="both"/>
        <w:rPr>
          <w:sz w:val="24"/>
        </w:rPr>
      </w:pPr>
      <w:r>
        <w:rPr>
          <w:w w:val="130"/>
          <w:sz w:val="24"/>
        </w:rPr>
        <w:t>A Felügyelet az (1) bekezdés szerinti határozat tekintetében érintett, a fizetési rendszerhez közvetlenül csatlakozó résztvevő értesítése mellett haladéktalanul értesíti a fizetési rendszer rendszerüzemeltetőjét</w:t>
      </w:r>
      <w:r>
        <w:rPr>
          <w:spacing w:val="-33"/>
          <w:w w:val="130"/>
          <w:sz w:val="24"/>
        </w:rPr>
        <w:t> </w:t>
      </w:r>
      <w:r>
        <w:rPr>
          <w:w w:val="130"/>
          <w:sz w:val="24"/>
        </w:rPr>
        <w:t>is.</w:t>
      </w:r>
    </w:p>
    <w:p>
      <w:pPr>
        <w:pStyle w:val="ListParagraph"/>
        <w:numPr>
          <w:ilvl w:val="1"/>
          <w:numId w:val="456"/>
        </w:numPr>
        <w:tabs>
          <w:tab w:pos="736" w:val="left" w:leader="none"/>
        </w:tabs>
        <w:spacing w:line="225" w:lineRule="auto" w:before="2" w:after="0"/>
        <w:ind w:left="113" w:right="126" w:firstLine="204"/>
        <w:jc w:val="both"/>
        <w:rPr>
          <w:sz w:val="24"/>
        </w:rPr>
      </w:pPr>
      <w:r>
        <w:rPr>
          <w:w w:val="130"/>
          <w:sz w:val="24"/>
        </w:rPr>
        <w:t>A</w:t>
      </w:r>
      <w:r>
        <w:rPr>
          <w:spacing w:val="-34"/>
          <w:w w:val="130"/>
          <w:sz w:val="24"/>
        </w:rPr>
        <w:t> </w:t>
      </w:r>
      <w:r>
        <w:rPr>
          <w:w w:val="130"/>
          <w:sz w:val="24"/>
        </w:rPr>
        <w:t>Tvt.</w:t>
      </w:r>
      <w:r>
        <w:rPr>
          <w:spacing w:val="-34"/>
          <w:w w:val="130"/>
          <w:sz w:val="24"/>
        </w:rPr>
        <w:t> </w:t>
      </w:r>
      <w:r>
        <w:rPr>
          <w:w w:val="130"/>
          <w:sz w:val="24"/>
        </w:rPr>
        <w:t>3.</w:t>
      </w:r>
      <w:r>
        <w:rPr>
          <w:spacing w:val="-33"/>
          <w:w w:val="130"/>
          <w:sz w:val="24"/>
        </w:rPr>
        <w:t> </w:t>
      </w:r>
      <w:r>
        <w:rPr>
          <w:w w:val="130"/>
          <w:sz w:val="24"/>
        </w:rPr>
        <w:t>§</w:t>
      </w:r>
      <w:r>
        <w:rPr>
          <w:spacing w:val="-34"/>
          <w:w w:val="130"/>
          <w:sz w:val="24"/>
        </w:rPr>
        <w:t> </w:t>
      </w:r>
      <w:r>
        <w:rPr>
          <w:w w:val="130"/>
          <w:sz w:val="24"/>
        </w:rPr>
        <w:t>(1)</w:t>
      </w:r>
      <w:r>
        <w:rPr>
          <w:spacing w:val="-33"/>
          <w:w w:val="130"/>
          <w:sz w:val="24"/>
        </w:rPr>
        <w:t> </w:t>
      </w:r>
      <w:r>
        <w:rPr>
          <w:w w:val="130"/>
          <w:sz w:val="24"/>
        </w:rPr>
        <w:t>bekezdés</w:t>
      </w:r>
      <w:r>
        <w:rPr>
          <w:spacing w:val="-33"/>
          <w:w w:val="130"/>
          <w:sz w:val="24"/>
        </w:rPr>
        <w:t> </w:t>
      </w:r>
      <w:r>
        <w:rPr>
          <w:i/>
          <w:w w:val="130"/>
          <w:sz w:val="24"/>
        </w:rPr>
        <w:t>a)</w:t>
      </w:r>
      <w:r>
        <w:rPr>
          <w:i/>
          <w:spacing w:val="-34"/>
          <w:w w:val="130"/>
          <w:sz w:val="24"/>
        </w:rPr>
        <w:t> </w:t>
      </w:r>
      <w:r>
        <w:rPr>
          <w:w w:val="130"/>
          <w:sz w:val="24"/>
        </w:rPr>
        <w:t>pontjában</w:t>
      </w:r>
      <w:r>
        <w:rPr>
          <w:spacing w:val="-33"/>
          <w:w w:val="130"/>
          <w:sz w:val="24"/>
        </w:rPr>
        <w:t> </w:t>
      </w:r>
      <w:r>
        <w:rPr>
          <w:w w:val="130"/>
          <w:sz w:val="24"/>
        </w:rPr>
        <w:t>meghatározott</w:t>
      </w:r>
      <w:r>
        <w:rPr>
          <w:spacing w:val="-34"/>
          <w:w w:val="130"/>
          <w:sz w:val="24"/>
        </w:rPr>
        <w:t> </w:t>
      </w:r>
      <w:r>
        <w:rPr>
          <w:w w:val="130"/>
          <w:sz w:val="24"/>
        </w:rPr>
        <w:t>időponttól</w:t>
      </w:r>
      <w:r>
        <w:rPr>
          <w:spacing w:val="-34"/>
          <w:w w:val="130"/>
          <w:sz w:val="24"/>
        </w:rPr>
        <w:t> </w:t>
      </w:r>
      <w:r>
        <w:rPr>
          <w:w w:val="130"/>
          <w:sz w:val="24"/>
        </w:rPr>
        <w:t>kezdődően a közvetlenül csatlakozó résztvevő javára benyújtott fizetési megbízás elszámolása és</w:t>
      </w:r>
      <w:r>
        <w:rPr>
          <w:spacing w:val="78"/>
          <w:w w:val="130"/>
          <w:sz w:val="24"/>
        </w:rPr>
        <w:t> </w:t>
      </w:r>
      <w:r>
        <w:rPr>
          <w:w w:val="130"/>
          <w:sz w:val="24"/>
        </w:rPr>
        <w:t>teljesítése</w:t>
      </w:r>
      <w:r>
        <w:rPr>
          <w:spacing w:val="78"/>
          <w:w w:val="130"/>
          <w:sz w:val="24"/>
        </w:rPr>
        <w:t> </w:t>
      </w:r>
      <w:r>
        <w:rPr>
          <w:w w:val="130"/>
          <w:sz w:val="24"/>
        </w:rPr>
        <w:t>az</w:t>
      </w:r>
      <w:r>
        <w:rPr>
          <w:spacing w:val="78"/>
          <w:w w:val="130"/>
          <w:sz w:val="24"/>
        </w:rPr>
        <w:t> </w:t>
      </w:r>
      <w:r>
        <w:rPr>
          <w:w w:val="130"/>
          <w:sz w:val="24"/>
        </w:rPr>
        <w:t>(1)</w:t>
      </w:r>
      <w:r>
        <w:rPr>
          <w:spacing w:val="78"/>
          <w:w w:val="130"/>
          <w:sz w:val="24"/>
        </w:rPr>
        <w:t> </w:t>
      </w:r>
      <w:r>
        <w:rPr>
          <w:w w:val="130"/>
          <w:sz w:val="24"/>
        </w:rPr>
        <w:t>bekezdés</w:t>
      </w:r>
      <w:r>
        <w:rPr>
          <w:spacing w:val="78"/>
          <w:w w:val="130"/>
          <w:sz w:val="24"/>
        </w:rPr>
        <w:t> </w:t>
      </w:r>
      <w:r>
        <w:rPr>
          <w:w w:val="130"/>
          <w:sz w:val="24"/>
        </w:rPr>
        <w:t>szerinti</w:t>
      </w:r>
      <w:r>
        <w:rPr>
          <w:spacing w:val="78"/>
          <w:w w:val="130"/>
          <w:sz w:val="24"/>
        </w:rPr>
        <w:t> </w:t>
      </w:r>
      <w:r>
        <w:rPr>
          <w:w w:val="130"/>
          <w:sz w:val="24"/>
        </w:rPr>
        <w:t>döntés rendszerüzemeltetővel történt közlésétől függetlenül végrehajtható és megtámadhatatlan.</w:t>
      </w:r>
    </w:p>
    <w:p>
      <w:pPr>
        <w:pStyle w:val="ListParagraph"/>
        <w:numPr>
          <w:ilvl w:val="0"/>
          <w:numId w:val="458"/>
        </w:numPr>
        <w:tabs>
          <w:tab w:pos="1057" w:val="left" w:leader="none"/>
        </w:tabs>
        <w:spacing w:line="225" w:lineRule="auto" w:before="2" w:after="0"/>
        <w:ind w:left="113" w:right="126" w:firstLine="204"/>
        <w:jc w:val="both"/>
        <w:rPr>
          <w:sz w:val="24"/>
        </w:rPr>
      </w:pPr>
      <w:r>
        <w:rPr>
          <w:rFonts w:ascii="Arial" w:hAnsi="Arial"/>
          <w:b/>
          <w:w w:val="125"/>
          <w:sz w:val="24"/>
        </w:rPr>
        <w:t>§ </w:t>
      </w:r>
      <w:r>
        <w:rPr>
          <w:w w:val="125"/>
          <w:sz w:val="24"/>
        </w:rPr>
        <w:t>(1) A 142. § szerinti bejelentésről, és a 184. § szerinti kivételes intézkedések megtételének szükségességéről a Felügyelet haladéktalanul  értesíti az OBA-t, illetve amennyiben a kivételes intézkedés szövetkezeti hitelintézettel szemben került alkalmazásra, a kötelező intézményvédelmi szervezetet</w:t>
      </w:r>
      <w:r>
        <w:rPr>
          <w:spacing w:val="1"/>
          <w:w w:val="125"/>
          <w:sz w:val="24"/>
        </w:rPr>
        <w:t> </w:t>
      </w:r>
      <w:r>
        <w:rPr>
          <w:w w:val="125"/>
          <w:sz w:val="24"/>
        </w:rPr>
        <w:t>is.</w:t>
      </w:r>
    </w:p>
    <w:p>
      <w:pPr>
        <w:pStyle w:val="ListParagraph"/>
        <w:numPr>
          <w:ilvl w:val="0"/>
          <w:numId w:val="464"/>
        </w:numPr>
        <w:tabs>
          <w:tab w:pos="847" w:val="left" w:leader="none"/>
        </w:tabs>
        <w:spacing w:line="225" w:lineRule="auto" w:before="3" w:after="0"/>
        <w:ind w:left="113" w:right="113" w:firstLine="204"/>
        <w:jc w:val="both"/>
        <w:rPr>
          <w:sz w:val="24"/>
        </w:rPr>
      </w:pPr>
      <w:r>
        <w:rPr>
          <w:w w:val="125"/>
          <w:sz w:val="24"/>
        </w:rPr>
        <w:t>Amennyiben a Felügyelet 174-178. §, illetve a 180-193. § szerinti valamely intézkedése szövetkezeti  hitelintézettel  szemben  került alkalmazásra, a Felügyelet erről haladéktalanul értesíti a kötelező intézményvédelmi szervezetet</w:t>
      </w:r>
      <w:r>
        <w:rPr>
          <w:spacing w:val="1"/>
          <w:w w:val="125"/>
          <w:sz w:val="24"/>
        </w:rPr>
        <w:t> </w:t>
      </w:r>
      <w:r>
        <w:rPr>
          <w:w w:val="125"/>
          <w:sz w:val="24"/>
        </w:rPr>
        <w:t>is.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1736;mso-wrap-distance-left:0;mso-wrap-distance-right:0" from="56.693001pt,15.732017pt" to="538.583001pt,15.732017pt" stroked="true" strokeweight=".5pt" strokecolor="#000000">
            <v:stroke dashstyle="solid"/>
            <w10:wrap type="topAndBottom"/>
          </v:line>
        </w:pict>
      </w:r>
    </w:p>
    <w:p>
      <w:pPr>
        <w:pStyle w:val="ListParagraph"/>
        <w:numPr>
          <w:ilvl w:val="0"/>
          <w:numId w:val="465"/>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70. §. Hatályos: 2015. I.</w:t>
      </w:r>
      <w:r>
        <w:rPr>
          <w:i/>
          <w:spacing w:val="-14"/>
          <w:w w:val="125"/>
          <w:sz w:val="18"/>
        </w:rPr>
        <w:t> </w:t>
      </w:r>
      <w:r>
        <w:rPr>
          <w:i/>
          <w:w w:val="125"/>
          <w:sz w:val="18"/>
        </w:rPr>
        <w:t>1-től.</w:t>
      </w:r>
    </w:p>
    <w:p>
      <w:pPr>
        <w:pStyle w:val="ListParagraph"/>
        <w:numPr>
          <w:ilvl w:val="0"/>
          <w:numId w:val="465"/>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CCXV. törvény 135. §. Hatályos: 2016. I.</w:t>
      </w:r>
      <w:r>
        <w:rPr>
          <w:i/>
          <w:spacing w:val="-1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464"/>
        </w:numPr>
        <w:tabs>
          <w:tab w:pos="659" w:val="left" w:leader="none"/>
          <w:tab w:pos="1001" w:val="left" w:leader="none"/>
          <w:tab w:pos="2745" w:val="left" w:leader="none"/>
          <w:tab w:pos="3118" w:val="left" w:leader="none"/>
          <w:tab w:pos="4630" w:val="left" w:leader="none"/>
          <w:tab w:pos="5933" w:val="left" w:leader="none"/>
          <w:tab w:pos="6282" w:val="left" w:leader="none"/>
          <w:tab w:pos="7422" w:val="left" w:leader="none"/>
          <w:tab w:pos="9092" w:val="left" w:leader="none"/>
        </w:tabs>
        <w:spacing w:line="261" w:lineRule="exact" w:before="159" w:after="0"/>
        <w:ind w:left="658" w:right="0" w:hanging="341"/>
        <w:jc w:val="left"/>
        <w:rPr>
          <w:sz w:val="24"/>
        </w:rPr>
      </w:pPr>
      <w:r>
        <w:rPr>
          <w:i/>
          <w:w w:val="125"/>
          <w:position w:val="3"/>
          <w:sz w:val="18"/>
        </w:rPr>
        <w:t>1</w:t>
        <w:tab/>
      </w:r>
      <w:r>
        <w:rPr>
          <w:w w:val="125"/>
          <w:sz w:val="24"/>
        </w:rPr>
        <w:t>Amennyiben</w:t>
        <w:tab/>
        <w:t>a</w:t>
        <w:tab/>
        <w:t>Felügyelet</w:t>
        <w:tab/>
        <w:t>174-193.</w:t>
        <w:tab/>
        <w:t>§</w:t>
        <w:tab/>
        <w:t>szerinti</w:t>
        <w:tab/>
        <w:t>intézkedése</w:t>
        <w:tab/>
        <w:t>olyan</w:t>
      </w:r>
    </w:p>
    <w:p>
      <w:pPr>
        <w:pStyle w:val="BodyText"/>
        <w:spacing w:line="225" w:lineRule="auto" w:before="12"/>
        <w:ind w:right="124" w:firstLine="0"/>
        <w:jc w:val="both"/>
      </w:pPr>
      <w:r>
        <w:rPr>
          <w:w w:val="125"/>
        </w:rPr>
        <w:t>szövetkezeti hitelintézetet érint, amellyel szemben a  kötelező intézményvédelmi szervezet a Szhitv. alapján már rendelt el intézkedést, és az ebben foglaltak még hatályban vannak,  a  Felügyelet  határozatában rendelkezik a kötelező intézményvédelmi szervezet által elrendelt intézkedés hatályának fenntartás, módosítása vagy megszüntetése</w:t>
      </w:r>
      <w:r>
        <w:rPr>
          <w:spacing w:val="28"/>
          <w:w w:val="125"/>
        </w:rPr>
        <w:t> </w:t>
      </w:r>
      <w:r>
        <w:rPr>
          <w:w w:val="125"/>
        </w:rPr>
        <w:t>iránt.</w:t>
      </w:r>
    </w:p>
    <w:p>
      <w:pPr>
        <w:pStyle w:val="BodyText"/>
        <w:spacing w:before="230"/>
        <w:ind w:left="1485" w:firstLine="0"/>
      </w:pPr>
      <w:r>
        <w:rPr>
          <w:w w:val="130"/>
        </w:rPr>
        <w:t>81. Fióktelep és határon átnyúló szolgáltatás felügyelete</w:t>
      </w:r>
    </w:p>
    <w:p>
      <w:pPr>
        <w:pStyle w:val="ListParagraph"/>
        <w:numPr>
          <w:ilvl w:val="0"/>
          <w:numId w:val="458"/>
        </w:numPr>
        <w:tabs>
          <w:tab w:pos="989" w:val="left" w:leader="none"/>
        </w:tabs>
        <w:spacing w:line="225" w:lineRule="auto" w:before="236" w:after="0"/>
        <w:ind w:left="113" w:right="127" w:firstLine="204"/>
        <w:jc w:val="both"/>
        <w:rPr>
          <w:sz w:val="24"/>
        </w:rPr>
      </w:pPr>
      <w:r>
        <w:rPr>
          <w:rFonts w:ascii="Arial" w:hAnsi="Arial"/>
          <w:b/>
          <w:w w:val="125"/>
          <w:sz w:val="24"/>
        </w:rPr>
        <w:t>§</w:t>
      </w:r>
      <w:r>
        <w:rPr>
          <w:rFonts w:ascii="Arial" w:hAnsi="Arial"/>
          <w:b/>
          <w:spacing w:val="-19"/>
          <w:w w:val="125"/>
          <w:sz w:val="24"/>
        </w:rPr>
        <w:t> </w:t>
      </w:r>
      <w:r>
        <w:rPr>
          <w:w w:val="125"/>
          <w:sz w:val="24"/>
        </w:rPr>
        <w:t>(1)</w:t>
      </w:r>
      <w:r>
        <w:rPr>
          <w:spacing w:val="-15"/>
          <w:w w:val="125"/>
          <w:sz w:val="24"/>
        </w:rPr>
        <w:t> </w:t>
      </w:r>
      <w:r>
        <w:rPr>
          <w:w w:val="125"/>
          <w:sz w:val="24"/>
        </w:rPr>
        <w:t>A</w:t>
      </w:r>
      <w:r>
        <w:rPr>
          <w:spacing w:val="-16"/>
          <w:w w:val="125"/>
          <w:sz w:val="24"/>
        </w:rPr>
        <w:t> </w:t>
      </w:r>
      <w:r>
        <w:rPr>
          <w:w w:val="125"/>
          <w:sz w:val="24"/>
        </w:rPr>
        <w:t>másik</w:t>
      </w:r>
      <w:r>
        <w:rPr>
          <w:spacing w:val="-16"/>
          <w:w w:val="125"/>
          <w:sz w:val="24"/>
        </w:rPr>
        <w:t> </w:t>
      </w:r>
      <w:r>
        <w:rPr>
          <w:w w:val="125"/>
          <w:sz w:val="24"/>
        </w:rPr>
        <w:t>EGT-államban</w:t>
      </w:r>
      <w:r>
        <w:rPr>
          <w:spacing w:val="-16"/>
          <w:w w:val="125"/>
          <w:sz w:val="24"/>
        </w:rPr>
        <w:t> </w:t>
      </w:r>
      <w:r>
        <w:rPr>
          <w:w w:val="125"/>
          <w:sz w:val="24"/>
        </w:rPr>
        <w:t>székhellyel</w:t>
      </w:r>
      <w:r>
        <w:rPr>
          <w:spacing w:val="-15"/>
          <w:w w:val="125"/>
          <w:sz w:val="24"/>
        </w:rPr>
        <w:t> </w:t>
      </w:r>
      <w:r>
        <w:rPr>
          <w:w w:val="125"/>
          <w:sz w:val="24"/>
        </w:rPr>
        <w:t>rendelkező</w:t>
      </w:r>
      <w:r>
        <w:rPr>
          <w:spacing w:val="-5"/>
          <w:w w:val="125"/>
          <w:sz w:val="24"/>
        </w:rPr>
        <w:t> </w:t>
      </w:r>
      <w:r>
        <w:rPr>
          <w:w w:val="125"/>
          <w:sz w:val="24"/>
        </w:rPr>
        <w:t>pénzügyi</w:t>
      </w:r>
      <w:r>
        <w:rPr>
          <w:spacing w:val="-27"/>
          <w:w w:val="125"/>
          <w:sz w:val="24"/>
        </w:rPr>
        <w:t> </w:t>
      </w:r>
      <w:r>
        <w:rPr>
          <w:w w:val="125"/>
          <w:sz w:val="24"/>
        </w:rPr>
        <w:t>intézmény magyarországi fióktelepe esetében a székhely szerinti EGT-állam illetékes felügyeleti hatóságának megbízásából a felügyeletet a Felügyelet is elláthatja. Az ellenőrzést a másik EGT-államban engedéllyel rendelkező pénzügyi intézmény fióktelepe esetében a magyarországi hatályos jogszabályok figyelembe vételével szükséges</w:t>
      </w:r>
      <w:r>
        <w:rPr>
          <w:spacing w:val="1"/>
          <w:w w:val="125"/>
          <w:sz w:val="24"/>
        </w:rPr>
        <w:t> </w:t>
      </w:r>
      <w:r>
        <w:rPr>
          <w:w w:val="125"/>
          <w:sz w:val="24"/>
        </w:rPr>
        <w:t>lefolytatni.</w:t>
      </w:r>
    </w:p>
    <w:p>
      <w:pPr>
        <w:pStyle w:val="ListParagraph"/>
        <w:numPr>
          <w:ilvl w:val="0"/>
          <w:numId w:val="466"/>
        </w:numPr>
        <w:tabs>
          <w:tab w:pos="857" w:val="left" w:leader="none"/>
        </w:tabs>
        <w:spacing w:line="225" w:lineRule="auto" w:before="4" w:after="0"/>
        <w:ind w:left="113" w:right="125" w:firstLine="204"/>
        <w:jc w:val="both"/>
        <w:rPr>
          <w:sz w:val="24"/>
        </w:rPr>
      </w:pPr>
      <w:r>
        <w:rPr>
          <w:w w:val="130"/>
          <w:sz w:val="24"/>
        </w:rPr>
        <w:t>A másik EGT-államban engedéllyel rendelkező pénzügyi intézmény magyarországi fióktelepe felügyeletének ellátása során a Felügyelet ellenőrzést végezhet, a felügyelet ellátásához szükséges információkat kérhet a fiókteleptől vagy a fióktelep székhelye szerinti illetékes felügyeleti hatóságtól. Az ellenőrzés lefolytatása előtt a Felügyelet konzultációt folytat a székhely szerinti felügyeleti hatósággal, valamint az ellenőrzés lefolytatását követően tájékoztatja a székhely szerinti illetékes felügyeleti hatóságot az ellenőrzés olyan</w:t>
      </w:r>
      <w:r>
        <w:rPr>
          <w:spacing w:val="78"/>
          <w:w w:val="130"/>
          <w:sz w:val="24"/>
        </w:rPr>
        <w:t> </w:t>
      </w:r>
      <w:r>
        <w:rPr>
          <w:w w:val="130"/>
          <w:sz w:val="24"/>
        </w:rPr>
        <w:t>megállapításairól,</w:t>
      </w:r>
      <w:r>
        <w:rPr>
          <w:spacing w:val="78"/>
          <w:w w:val="130"/>
          <w:sz w:val="24"/>
        </w:rPr>
        <w:t> </w:t>
      </w:r>
      <w:r>
        <w:rPr>
          <w:w w:val="130"/>
          <w:sz w:val="24"/>
        </w:rPr>
        <w:t>amely</w:t>
      </w:r>
      <w:r>
        <w:rPr>
          <w:spacing w:val="78"/>
          <w:w w:val="130"/>
          <w:sz w:val="24"/>
        </w:rPr>
        <w:t> </w:t>
      </w:r>
      <w:r>
        <w:rPr>
          <w:w w:val="130"/>
          <w:sz w:val="24"/>
        </w:rPr>
        <w:t>a</w:t>
      </w:r>
      <w:r>
        <w:rPr>
          <w:spacing w:val="78"/>
          <w:w w:val="130"/>
          <w:sz w:val="24"/>
        </w:rPr>
        <w:t> </w:t>
      </w:r>
      <w:r>
        <w:rPr>
          <w:w w:val="130"/>
          <w:sz w:val="24"/>
        </w:rPr>
        <w:t>vizsgált intézmény kockázatkezelése szempontjából vagy Magyarország pénzügyi rendszerének stabilitása szempontjából</w:t>
      </w:r>
      <w:r>
        <w:rPr>
          <w:spacing w:val="-9"/>
          <w:w w:val="130"/>
          <w:sz w:val="24"/>
        </w:rPr>
        <w:t> </w:t>
      </w:r>
      <w:r>
        <w:rPr>
          <w:w w:val="130"/>
          <w:sz w:val="24"/>
        </w:rPr>
        <w:t>meghatározó.</w:t>
      </w:r>
    </w:p>
    <w:p>
      <w:pPr>
        <w:pStyle w:val="ListParagraph"/>
        <w:numPr>
          <w:ilvl w:val="0"/>
          <w:numId w:val="466"/>
        </w:numPr>
        <w:tabs>
          <w:tab w:pos="799" w:val="left" w:leader="none"/>
        </w:tabs>
        <w:spacing w:line="225" w:lineRule="auto" w:before="6" w:after="0"/>
        <w:ind w:left="113" w:right="126" w:firstLine="204"/>
        <w:jc w:val="both"/>
        <w:rPr>
          <w:sz w:val="24"/>
        </w:rPr>
      </w:pPr>
      <w:r>
        <w:rPr>
          <w:w w:val="125"/>
          <w:sz w:val="24"/>
        </w:rPr>
        <w:t>Ha a másik EGT-államban székhellyel rendelkező pénzügyi intézmény fióktelepe vagy a pénzügyi intézmény Magyarországon  végzett  határon átnyúló szolgáltatása megsérti vagy bizonyíthatóan fennáll annak a veszélye, hogy megsérti a Magyarországon hatályos előírásokat vagy a Felügyelet hiányosságot észlel a fióktelep vagy a pénzügyi intézmény működésében,  akkor arról a Felügyelet tájékoztatja a székhely szerinti illetékes felügyeleti hatóságot.</w:t>
      </w:r>
    </w:p>
    <w:p>
      <w:pPr>
        <w:pStyle w:val="ListParagraph"/>
        <w:numPr>
          <w:ilvl w:val="0"/>
          <w:numId w:val="466"/>
        </w:numPr>
        <w:tabs>
          <w:tab w:pos="737" w:val="left" w:leader="none"/>
        </w:tabs>
        <w:spacing w:line="225" w:lineRule="auto" w:before="4" w:after="0"/>
        <w:ind w:left="113" w:right="108" w:firstLine="204"/>
        <w:jc w:val="both"/>
        <w:rPr>
          <w:sz w:val="24"/>
        </w:rPr>
      </w:pPr>
      <w:r>
        <w:rPr>
          <w:w w:val="130"/>
          <w:sz w:val="24"/>
        </w:rPr>
        <w:t>Ha</w:t>
      </w:r>
      <w:r>
        <w:rPr>
          <w:spacing w:val="-21"/>
          <w:w w:val="130"/>
          <w:sz w:val="24"/>
        </w:rPr>
        <w:t> </w:t>
      </w:r>
      <w:r>
        <w:rPr>
          <w:w w:val="130"/>
          <w:sz w:val="24"/>
        </w:rPr>
        <w:t>a</w:t>
      </w:r>
      <w:r>
        <w:rPr>
          <w:spacing w:val="-20"/>
          <w:w w:val="130"/>
          <w:sz w:val="24"/>
        </w:rPr>
        <w:t> </w:t>
      </w:r>
      <w:r>
        <w:rPr>
          <w:w w:val="130"/>
          <w:sz w:val="24"/>
        </w:rPr>
        <w:t>székhely</w:t>
      </w:r>
      <w:r>
        <w:rPr>
          <w:spacing w:val="-20"/>
          <w:w w:val="130"/>
          <w:sz w:val="24"/>
        </w:rPr>
        <w:t> </w:t>
      </w:r>
      <w:r>
        <w:rPr>
          <w:w w:val="130"/>
          <w:sz w:val="24"/>
        </w:rPr>
        <w:t>szerinti</w:t>
      </w:r>
      <w:r>
        <w:rPr>
          <w:spacing w:val="-20"/>
          <w:w w:val="130"/>
          <w:sz w:val="24"/>
        </w:rPr>
        <w:t> </w:t>
      </w:r>
      <w:r>
        <w:rPr>
          <w:w w:val="130"/>
          <w:sz w:val="24"/>
        </w:rPr>
        <w:t>illetékes</w:t>
      </w:r>
      <w:r>
        <w:rPr>
          <w:spacing w:val="-20"/>
          <w:w w:val="130"/>
          <w:sz w:val="24"/>
        </w:rPr>
        <w:t> </w:t>
      </w:r>
      <w:r>
        <w:rPr>
          <w:w w:val="130"/>
          <w:sz w:val="24"/>
        </w:rPr>
        <w:t>felügyeleti</w:t>
      </w:r>
      <w:r>
        <w:rPr>
          <w:spacing w:val="-18"/>
          <w:w w:val="130"/>
          <w:sz w:val="24"/>
        </w:rPr>
        <w:t> </w:t>
      </w:r>
      <w:r>
        <w:rPr>
          <w:w w:val="130"/>
          <w:sz w:val="24"/>
        </w:rPr>
        <w:t>hatóság</w:t>
      </w:r>
      <w:r>
        <w:rPr>
          <w:spacing w:val="-22"/>
          <w:w w:val="130"/>
          <w:sz w:val="24"/>
        </w:rPr>
        <w:t> </w:t>
      </w:r>
      <w:r>
        <w:rPr>
          <w:w w:val="130"/>
          <w:sz w:val="24"/>
        </w:rPr>
        <w:t>a</w:t>
      </w:r>
      <w:r>
        <w:rPr>
          <w:spacing w:val="-20"/>
          <w:w w:val="130"/>
          <w:sz w:val="24"/>
        </w:rPr>
        <w:t> </w:t>
      </w:r>
      <w:r>
        <w:rPr>
          <w:w w:val="130"/>
          <w:sz w:val="24"/>
        </w:rPr>
        <w:t>(3)</w:t>
      </w:r>
      <w:r>
        <w:rPr>
          <w:spacing w:val="-20"/>
          <w:w w:val="130"/>
          <w:sz w:val="24"/>
        </w:rPr>
        <w:t> </w:t>
      </w:r>
      <w:r>
        <w:rPr>
          <w:w w:val="130"/>
          <w:sz w:val="24"/>
        </w:rPr>
        <w:t>bekezdés</w:t>
      </w:r>
      <w:r>
        <w:rPr>
          <w:spacing w:val="-8"/>
          <w:w w:val="130"/>
          <w:sz w:val="24"/>
        </w:rPr>
        <w:t> </w:t>
      </w:r>
      <w:r>
        <w:rPr>
          <w:w w:val="130"/>
          <w:sz w:val="24"/>
        </w:rPr>
        <w:t>szerinti tájékoztatást követően nem teszi meg a szükséges intézkedéseket a (3) bekezdésben észlelt szabálysértés megszüntetése érdekében, akkor a Felügyelet az EBH-hoz</w:t>
      </w:r>
      <w:r>
        <w:rPr>
          <w:spacing w:val="-17"/>
          <w:w w:val="130"/>
          <w:sz w:val="24"/>
        </w:rPr>
        <w:t> </w:t>
      </w:r>
      <w:r>
        <w:rPr>
          <w:w w:val="130"/>
          <w:sz w:val="24"/>
        </w:rPr>
        <w:t>fordulhat.</w:t>
      </w:r>
    </w:p>
    <w:p>
      <w:pPr>
        <w:pStyle w:val="ListParagraph"/>
        <w:numPr>
          <w:ilvl w:val="0"/>
          <w:numId w:val="466"/>
        </w:numPr>
        <w:tabs>
          <w:tab w:pos="794" w:val="left" w:leader="none"/>
        </w:tabs>
        <w:spacing w:line="225" w:lineRule="auto" w:before="2" w:after="0"/>
        <w:ind w:left="113" w:right="127" w:firstLine="204"/>
        <w:jc w:val="both"/>
        <w:rPr>
          <w:sz w:val="24"/>
        </w:rPr>
      </w:pPr>
      <w:r>
        <w:rPr>
          <w:w w:val="130"/>
          <w:sz w:val="24"/>
        </w:rPr>
        <w:t>A Felügyelet közvetlenül is intézkedhet abban az esetben, ha úgy ítéli meg, hogy a szabályellenes helyzet fennállása súlyosan veszélyezteti a pénzügyi közvetítőrendszer stabilitását vagy az ügyfelek érdekeit. A Felügyelet</w:t>
      </w:r>
      <w:r>
        <w:rPr>
          <w:spacing w:val="-22"/>
          <w:w w:val="130"/>
          <w:sz w:val="24"/>
        </w:rPr>
        <w:t> </w:t>
      </w:r>
      <w:r>
        <w:rPr>
          <w:w w:val="130"/>
          <w:sz w:val="24"/>
        </w:rPr>
        <w:t>tájékoztatja</w:t>
      </w:r>
      <w:r>
        <w:rPr>
          <w:spacing w:val="-22"/>
          <w:w w:val="130"/>
          <w:sz w:val="24"/>
        </w:rPr>
        <w:t> </w:t>
      </w:r>
      <w:r>
        <w:rPr>
          <w:w w:val="130"/>
          <w:sz w:val="24"/>
        </w:rPr>
        <w:t>az</w:t>
      </w:r>
      <w:r>
        <w:rPr>
          <w:spacing w:val="-21"/>
          <w:w w:val="130"/>
          <w:sz w:val="24"/>
        </w:rPr>
        <w:t> </w:t>
      </w:r>
      <w:r>
        <w:rPr>
          <w:w w:val="130"/>
          <w:sz w:val="24"/>
        </w:rPr>
        <w:t>érintett</w:t>
      </w:r>
      <w:r>
        <w:rPr>
          <w:spacing w:val="-22"/>
          <w:w w:val="130"/>
          <w:sz w:val="24"/>
        </w:rPr>
        <w:t> </w:t>
      </w:r>
      <w:r>
        <w:rPr>
          <w:w w:val="130"/>
          <w:sz w:val="24"/>
        </w:rPr>
        <w:t>EGT-állam</w:t>
      </w:r>
      <w:r>
        <w:rPr>
          <w:spacing w:val="-14"/>
          <w:w w:val="130"/>
          <w:sz w:val="24"/>
        </w:rPr>
        <w:t> </w:t>
      </w:r>
      <w:r>
        <w:rPr>
          <w:w w:val="130"/>
          <w:sz w:val="24"/>
        </w:rPr>
        <w:t>illetékes</w:t>
      </w:r>
      <w:r>
        <w:rPr>
          <w:spacing w:val="-29"/>
          <w:w w:val="130"/>
          <w:sz w:val="24"/>
        </w:rPr>
        <w:t> </w:t>
      </w:r>
      <w:r>
        <w:rPr>
          <w:w w:val="130"/>
          <w:sz w:val="24"/>
        </w:rPr>
        <w:t>felügyeleti</w:t>
      </w:r>
      <w:r>
        <w:rPr>
          <w:spacing w:val="-22"/>
          <w:w w:val="130"/>
          <w:sz w:val="24"/>
        </w:rPr>
        <w:t> </w:t>
      </w:r>
      <w:r>
        <w:rPr>
          <w:w w:val="130"/>
          <w:sz w:val="24"/>
        </w:rPr>
        <w:t>hatóságát</w:t>
      </w:r>
      <w:r>
        <w:rPr>
          <w:spacing w:val="-21"/>
          <w:w w:val="130"/>
          <w:sz w:val="24"/>
        </w:rPr>
        <w:t> </w:t>
      </w:r>
      <w:r>
        <w:rPr>
          <w:w w:val="130"/>
          <w:sz w:val="24"/>
        </w:rPr>
        <w:t>az általa hozott intézkedésről vagy kivételes intézkedésről, valamint annak indokáról.</w:t>
      </w:r>
    </w:p>
    <w:p>
      <w:pPr>
        <w:pStyle w:val="ListParagraph"/>
        <w:numPr>
          <w:ilvl w:val="0"/>
          <w:numId w:val="466"/>
        </w:numPr>
        <w:tabs>
          <w:tab w:pos="950" w:val="left" w:leader="none"/>
        </w:tabs>
        <w:spacing w:line="225" w:lineRule="auto" w:before="3" w:after="0"/>
        <w:ind w:left="113" w:right="130" w:firstLine="204"/>
        <w:jc w:val="both"/>
        <w:rPr>
          <w:sz w:val="24"/>
        </w:rPr>
      </w:pPr>
      <w:r>
        <w:rPr>
          <w:w w:val="125"/>
          <w:sz w:val="24"/>
        </w:rPr>
        <w:t>A (5) bekezdés alapján hozott intézkedéseket vagy kivételes intézkedéseket meg kell szüntetni,</w:t>
      </w:r>
      <w:r>
        <w:rPr>
          <w:spacing w:val="6"/>
          <w:w w:val="125"/>
          <w:sz w:val="24"/>
        </w:rPr>
        <w:t> </w:t>
      </w:r>
      <w:r>
        <w:rPr>
          <w:w w:val="125"/>
          <w:sz w:val="24"/>
        </w:rPr>
        <w:t>ha</w:t>
      </w:r>
    </w:p>
    <w:p>
      <w:pPr>
        <w:pStyle w:val="ListParagraph"/>
        <w:numPr>
          <w:ilvl w:val="0"/>
          <w:numId w:val="467"/>
        </w:numPr>
        <w:tabs>
          <w:tab w:pos="667" w:val="left" w:leader="none"/>
        </w:tabs>
        <w:spacing w:line="225" w:lineRule="auto" w:before="2" w:after="0"/>
        <w:ind w:left="113" w:right="129" w:firstLine="204"/>
        <w:jc w:val="both"/>
        <w:rPr>
          <w:sz w:val="24"/>
        </w:rPr>
      </w:pPr>
      <w:r>
        <w:rPr>
          <w:w w:val="130"/>
          <w:sz w:val="24"/>
        </w:rPr>
        <w:t>a székhely szerinti EGT-állam olyan reorganizációs intézkedést fogad</w:t>
      </w:r>
      <w:r>
        <w:rPr>
          <w:spacing w:val="-54"/>
          <w:w w:val="130"/>
          <w:sz w:val="24"/>
        </w:rPr>
        <w:t> </w:t>
      </w:r>
      <w:r>
        <w:rPr>
          <w:w w:val="130"/>
          <w:sz w:val="24"/>
        </w:rPr>
        <w:t>el, amely kezeli az (1) bekezdés szerinti</w:t>
      </w:r>
      <w:r>
        <w:rPr>
          <w:spacing w:val="-35"/>
          <w:w w:val="130"/>
          <w:sz w:val="24"/>
        </w:rPr>
        <w:t> </w:t>
      </w:r>
      <w:r>
        <w:rPr>
          <w:w w:val="130"/>
          <w:sz w:val="24"/>
        </w:rPr>
        <w:t>szabálysértést,</w:t>
      </w:r>
    </w:p>
    <w:p>
      <w:pPr>
        <w:pStyle w:val="ListParagraph"/>
        <w:numPr>
          <w:ilvl w:val="0"/>
          <w:numId w:val="467"/>
        </w:numPr>
        <w:tabs>
          <w:tab w:pos="726" w:val="left" w:leader="none"/>
        </w:tabs>
        <w:spacing w:line="225" w:lineRule="auto" w:before="1" w:after="0"/>
        <w:ind w:left="113" w:right="132" w:firstLine="204"/>
        <w:jc w:val="both"/>
        <w:rPr>
          <w:sz w:val="24"/>
        </w:rPr>
      </w:pPr>
      <w:r>
        <w:rPr>
          <w:w w:val="130"/>
          <w:sz w:val="24"/>
        </w:rPr>
        <w:t>a jogsértés megszűnik, és nem indokolt az intézkedés vagy kivételes intézkedés további</w:t>
      </w:r>
      <w:r>
        <w:rPr>
          <w:spacing w:val="-8"/>
          <w:w w:val="130"/>
          <w:sz w:val="24"/>
        </w:rPr>
        <w:t> </w:t>
      </w:r>
      <w:r>
        <w:rPr>
          <w:w w:val="130"/>
          <w:sz w:val="24"/>
        </w:rPr>
        <w:t>fenntartása.</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5"/>
        <w:ind w:left="0" w:firstLine="0"/>
        <w:rPr>
          <w:sz w:val="16"/>
        </w:rPr>
      </w:pPr>
      <w:r>
        <w:rPr/>
        <w:pict>
          <v:line style="position:absolute;mso-position-horizontal-relative:page;mso-position-vertical-relative:paragraph;z-index:1760;mso-wrap-distance-left:0;mso-wrap-distance-right:0" from="56.693001pt,11.671363pt" to="538.583001pt,11.67136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LXXXV. törvény 237. §</w:t>
      </w:r>
      <w:r>
        <w:rPr>
          <w:i/>
          <w:spacing w:val="-5"/>
          <w:w w:val="125"/>
          <w:sz w:val="18"/>
        </w:rPr>
        <w:t> </w:t>
      </w:r>
      <w:r>
        <w:rPr>
          <w:i/>
          <w:w w:val="125"/>
          <w:sz w:val="18"/>
        </w:rPr>
        <w:t>e).</w:t>
      </w:r>
    </w:p>
    <w:p>
      <w:pPr>
        <w:spacing w:after="0"/>
        <w:jc w:val="left"/>
        <w:rPr>
          <w:sz w:val="18"/>
        </w:rPr>
        <w:sectPr>
          <w:pgSz w:w="11900" w:h="16820"/>
          <w:pgMar w:header="1104" w:footer="0" w:top="1840" w:bottom="280" w:left="1020" w:right="1000"/>
        </w:sectPr>
      </w:pPr>
    </w:p>
    <w:p>
      <w:pPr>
        <w:pStyle w:val="ListParagraph"/>
        <w:numPr>
          <w:ilvl w:val="0"/>
          <w:numId w:val="466"/>
        </w:numPr>
        <w:tabs>
          <w:tab w:pos="937" w:val="left" w:leader="none"/>
        </w:tabs>
        <w:spacing w:line="225" w:lineRule="auto" w:before="173" w:after="0"/>
        <w:ind w:left="113" w:right="125" w:firstLine="204"/>
        <w:jc w:val="both"/>
        <w:rPr>
          <w:sz w:val="24"/>
        </w:rPr>
      </w:pPr>
      <w:r>
        <w:rPr>
          <w:w w:val="130"/>
          <w:sz w:val="24"/>
        </w:rPr>
        <w:t>Ha Magyarországon székhellyel rendelkező pénzügyi intézmény</w:t>
      </w:r>
      <w:r>
        <w:rPr>
          <w:spacing w:val="78"/>
          <w:w w:val="130"/>
          <w:sz w:val="24"/>
        </w:rPr>
        <w:t> </w:t>
      </w:r>
      <w:r>
        <w:rPr>
          <w:w w:val="130"/>
          <w:sz w:val="24"/>
        </w:rPr>
        <w:t>fióktelepe</w:t>
      </w:r>
      <w:r>
        <w:rPr>
          <w:spacing w:val="-12"/>
          <w:w w:val="130"/>
          <w:sz w:val="24"/>
        </w:rPr>
        <w:t> </w:t>
      </w:r>
      <w:r>
        <w:rPr>
          <w:w w:val="130"/>
          <w:sz w:val="24"/>
        </w:rPr>
        <w:t>vagy</w:t>
      </w:r>
      <w:r>
        <w:rPr>
          <w:spacing w:val="-12"/>
          <w:w w:val="130"/>
          <w:sz w:val="24"/>
        </w:rPr>
        <w:t> </w:t>
      </w:r>
      <w:r>
        <w:rPr>
          <w:w w:val="130"/>
          <w:sz w:val="24"/>
        </w:rPr>
        <w:t>a</w:t>
      </w:r>
      <w:r>
        <w:rPr>
          <w:spacing w:val="-12"/>
          <w:w w:val="130"/>
          <w:sz w:val="24"/>
        </w:rPr>
        <w:t> </w:t>
      </w:r>
      <w:r>
        <w:rPr>
          <w:w w:val="130"/>
          <w:sz w:val="24"/>
        </w:rPr>
        <w:t>pénzügyi</w:t>
      </w:r>
      <w:r>
        <w:rPr>
          <w:spacing w:val="-12"/>
          <w:w w:val="130"/>
          <w:sz w:val="24"/>
        </w:rPr>
        <w:t> </w:t>
      </w:r>
      <w:r>
        <w:rPr>
          <w:w w:val="130"/>
          <w:sz w:val="24"/>
        </w:rPr>
        <w:t>intézmény</w:t>
      </w:r>
      <w:r>
        <w:rPr>
          <w:spacing w:val="-12"/>
          <w:w w:val="130"/>
          <w:sz w:val="24"/>
        </w:rPr>
        <w:t> </w:t>
      </w:r>
      <w:r>
        <w:rPr>
          <w:w w:val="130"/>
          <w:sz w:val="24"/>
        </w:rPr>
        <w:t>a</w:t>
      </w:r>
      <w:r>
        <w:rPr>
          <w:spacing w:val="-12"/>
          <w:w w:val="130"/>
          <w:sz w:val="24"/>
        </w:rPr>
        <w:t> </w:t>
      </w:r>
      <w:r>
        <w:rPr>
          <w:w w:val="130"/>
          <w:sz w:val="24"/>
        </w:rPr>
        <w:t>másik</w:t>
      </w:r>
      <w:r>
        <w:rPr>
          <w:spacing w:val="-12"/>
          <w:w w:val="130"/>
          <w:sz w:val="24"/>
        </w:rPr>
        <w:t> </w:t>
      </w:r>
      <w:r>
        <w:rPr>
          <w:w w:val="130"/>
          <w:sz w:val="24"/>
        </w:rPr>
        <w:t>EGT-államban</w:t>
      </w:r>
      <w:r>
        <w:rPr>
          <w:spacing w:val="-12"/>
          <w:w w:val="130"/>
          <w:sz w:val="24"/>
        </w:rPr>
        <w:t> </w:t>
      </w:r>
      <w:r>
        <w:rPr>
          <w:w w:val="130"/>
          <w:sz w:val="24"/>
        </w:rPr>
        <w:t>végzett</w:t>
      </w:r>
      <w:r>
        <w:rPr>
          <w:spacing w:val="-6"/>
          <w:w w:val="130"/>
          <w:sz w:val="24"/>
        </w:rPr>
        <w:t> </w:t>
      </w:r>
      <w:r>
        <w:rPr>
          <w:w w:val="130"/>
          <w:sz w:val="24"/>
        </w:rPr>
        <w:t>határon átnyúló szolgáltatása révén megsérti vagy bizonyíthatóan fennáll annak a veszélye, hogy megsérti a másik EGT-államban hatályos előírásait, és erről a Felügyeletet</w:t>
      </w:r>
      <w:r>
        <w:rPr>
          <w:spacing w:val="-11"/>
          <w:w w:val="130"/>
          <w:sz w:val="24"/>
        </w:rPr>
        <w:t> </w:t>
      </w:r>
      <w:r>
        <w:rPr>
          <w:w w:val="130"/>
          <w:sz w:val="24"/>
        </w:rPr>
        <w:t>tájékoztatják,</w:t>
      </w:r>
      <w:r>
        <w:rPr>
          <w:spacing w:val="-5"/>
          <w:w w:val="130"/>
          <w:sz w:val="24"/>
        </w:rPr>
        <w:t> </w:t>
      </w:r>
      <w:r>
        <w:rPr>
          <w:w w:val="130"/>
          <w:sz w:val="24"/>
        </w:rPr>
        <w:t>akkor</w:t>
      </w:r>
      <w:r>
        <w:rPr>
          <w:spacing w:val="-15"/>
          <w:w w:val="130"/>
          <w:sz w:val="24"/>
        </w:rPr>
        <w:t> </w:t>
      </w:r>
      <w:r>
        <w:rPr>
          <w:w w:val="130"/>
          <w:sz w:val="24"/>
        </w:rPr>
        <w:t>a</w:t>
      </w:r>
      <w:r>
        <w:rPr>
          <w:spacing w:val="-10"/>
          <w:w w:val="130"/>
          <w:sz w:val="24"/>
        </w:rPr>
        <w:t> </w:t>
      </w:r>
      <w:r>
        <w:rPr>
          <w:w w:val="130"/>
          <w:sz w:val="24"/>
        </w:rPr>
        <w:t>Felügyeletnek</w:t>
      </w:r>
      <w:r>
        <w:rPr>
          <w:spacing w:val="-10"/>
          <w:w w:val="130"/>
          <w:sz w:val="24"/>
        </w:rPr>
        <w:t> </w:t>
      </w:r>
      <w:r>
        <w:rPr>
          <w:w w:val="130"/>
          <w:sz w:val="24"/>
        </w:rPr>
        <w:t>meg</w:t>
      </w:r>
      <w:r>
        <w:rPr>
          <w:spacing w:val="-10"/>
          <w:w w:val="130"/>
          <w:sz w:val="24"/>
        </w:rPr>
        <w:t> </w:t>
      </w:r>
      <w:r>
        <w:rPr>
          <w:w w:val="130"/>
          <w:sz w:val="24"/>
        </w:rPr>
        <w:t>kell</w:t>
      </w:r>
      <w:r>
        <w:rPr>
          <w:spacing w:val="-10"/>
          <w:w w:val="130"/>
          <w:sz w:val="24"/>
        </w:rPr>
        <w:t> </w:t>
      </w:r>
      <w:r>
        <w:rPr>
          <w:w w:val="130"/>
          <w:sz w:val="24"/>
        </w:rPr>
        <w:t>tennie</w:t>
      </w:r>
      <w:r>
        <w:rPr>
          <w:spacing w:val="-10"/>
          <w:w w:val="130"/>
          <w:sz w:val="24"/>
        </w:rPr>
        <w:t> </w:t>
      </w:r>
      <w:r>
        <w:rPr>
          <w:w w:val="130"/>
          <w:sz w:val="24"/>
        </w:rPr>
        <w:t>a</w:t>
      </w:r>
      <w:r>
        <w:rPr>
          <w:spacing w:val="-10"/>
          <w:w w:val="130"/>
          <w:sz w:val="24"/>
        </w:rPr>
        <w:t> </w:t>
      </w:r>
      <w:r>
        <w:rPr>
          <w:w w:val="130"/>
          <w:sz w:val="24"/>
        </w:rPr>
        <w:t>szükséges intézkedéseket vagy kivételes intézkedéseket a szabályellenes helyzet megszüntetésére.</w:t>
      </w:r>
    </w:p>
    <w:p>
      <w:pPr>
        <w:pStyle w:val="ListParagraph"/>
        <w:numPr>
          <w:ilvl w:val="0"/>
          <w:numId w:val="466"/>
        </w:numPr>
        <w:tabs>
          <w:tab w:pos="767" w:val="left" w:leader="none"/>
        </w:tabs>
        <w:spacing w:line="225" w:lineRule="auto" w:before="4" w:after="0"/>
        <w:ind w:left="113" w:right="132" w:firstLine="204"/>
        <w:jc w:val="both"/>
        <w:rPr>
          <w:sz w:val="24"/>
        </w:rPr>
      </w:pPr>
      <w:r>
        <w:rPr>
          <w:w w:val="125"/>
          <w:sz w:val="24"/>
        </w:rPr>
        <w:t>A (7) bekezdés alapján hozott intézkedések vagy kivételes intézkedések szükségességét a Felügyelet indokolja és azokról tájékoztatja az érintett EGT-állam illetékes felügyeleti hatóságát.</w:t>
      </w:r>
    </w:p>
    <w:p>
      <w:pPr>
        <w:pStyle w:val="BodyText"/>
        <w:spacing w:line="250" w:lineRule="exact"/>
        <w:ind w:left="317" w:firstLine="0"/>
      </w:pPr>
      <w:r>
        <w:rPr>
          <w:rFonts w:ascii="Arial" w:hAnsi="Arial"/>
          <w:b/>
          <w:w w:val="120"/>
        </w:rPr>
        <w:t>199/A. §</w:t>
      </w:r>
      <w:r>
        <w:rPr>
          <w:i/>
          <w:w w:val="120"/>
          <w:position w:val="3"/>
          <w:sz w:val="18"/>
        </w:rPr>
        <w:t>1 </w:t>
      </w:r>
      <w:r>
        <w:rPr>
          <w:w w:val="120"/>
        </w:rPr>
        <w:t>(1) A másik EGT-államban engedéllyel rendelkező jelzáloghitel</w:t>
      </w:r>
    </w:p>
    <w:p>
      <w:pPr>
        <w:pStyle w:val="BodyText"/>
        <w:spacing w:line="225" w:lineRule="auto" w:before="12"/>
        <w:ind w:right="129" w:firstLine="0"/>
        <w:jc w:val="both"/>
      </w:pPr>
      <w:r>
        <w:rPr>
          <w:w w:val="125"/>
        </w:rPr>
        <w:t>közvetítői tevékenységet végző közvetítő fióktelepe felügyeletének ellátása során a Felügyelet ellenőrzi, hogy a fióktelep megfelel-e a fogyasztónak nyújtott hitelről szóló törvényben, valamint végrehajtására kiadott jogszabályokban foglalt követelményeknek.</w:t>
      </w:r>
    </w:p>
    <w:p>
      <w:pPr>
        <w:pStyle w:val="ListParagraph"/>
        <w:numPr>
          <w:ilvl w:val="0"/>
          <w:numId w:val="468"/>
        </w:numPr>
        <w:tabs>
          <w:tab w:pos="765" w:val="left" w:leader="none"/>
        </w:tabs>
        <w:spacing w:line="225" w:lineRule="auto" w:before="2" w:after="0"/>
        <w:ind w:left="113" w:right="126" w:firstLine="204"/>
        <w:jc w:val="both"/>
        <w:rPr>
          <w:sz w:val="24"/>
        </w:rPr>
      </w:pPr>
      <w:r>
        <w:rPr>
          <w:w w:val="125"/>
          <w:sz w:val="24"/>
        </w:rPr>
        <w:t>Ha a Felügyelet megállapítja, hogy a közvetítő fióktelepe megsértette a fogyasztónak nyújtott hitelről szóló törvényben, valamint  végrehajtására kiadott jogszabályokban foglalt követelményeket, akkor kötelezi a fióktelepet a jogsértő helyzet megszüntetésére. Ha a Felügyelet határozata ellenére a fióktelep nem szünteti meg a jogsértő helyzetet, a Felügyeletnek meg kell tennie a szükséges intézkedéseket a szabályellenes helyzet megszüntetésére, amelyről egyidejűleg tájékoztatja a másik EGT-állam illetékes felügyeleti hatóságát.</w:t>
      </w:r>
    </w:p>
    <w:p>
      <w:pPr>
        <w:pStyle w:val="ListParagraph"/>
        <w:numPr>
          <w:ilvl w:val="0"/>
          <w:numId w:val="468"/>
        </w:numPr>
        <w:tabs>
          <w:tab w:pos="753" w:val="left" w:leader="none"/>
        </w:tabs>
        <w:spacing w:line="259" w:lineRule="exact" w:before="0" w:after="0"/>
        <w:ind w:left="752" w:right="0" w:hanging="435"/>
        <w:jc w:val="left"/>
        <w:rPr>
          <w:sz w:val="24"/>
        </w:rPr>
      </w:pPr>
      <w:r>
        <w:rPr>
          <w:w w:val="130"/>
          <w:sz w:val="24"/>
        </w:rPr>
        <w:t>Ha a fióktelep a Felügyelet intézkedése ellenére továbbra is megsérti</w:t>
      </w:r>
      <w:r>
        <w:rPr>
          <w:spacing w:val="30"/>
          <w:w w:val="130"/>
          <w:sz w:val="24"/>
        </w:rPr>
        <w:t> </w:t>
      </w:r>
      <w:r>
        <w:rPr>
          <w:w w:val="130"/>
          <w:sz w:val="24"/>
        </w:rPr>
        <w:t>az</w:t>
      </w:r>
    </w:p>
    <w:p>
      <w:pPr>
        <w:pStyle w:val="ListParagraph"/>
        <w:numPr>
          <w:ilvl w:val="0"/>
          <w:numId w:val="469"/>
        </w:numPr>
        <w:tabs>
          <w:tab w:pos="532" w:val="left" w:leader="none"/>
        </w:tabs>
        <w:spacing w:line="225" w:lineRule="auto" w:before="6" w:after="0"/>
        <w:ind w:left="113" w:right="131" w:firstLine="0"/>
        <w:jc w:val="both"/>
        <w:rPr>
          <w:sz w:val="24"/>
        </w:rPr>
      </w:pPr>
      <w:r>
        <w:rPr>
          <w:w w:val="125"/>
          <w:sz w:val="24"/>
        </w:rPr>
        <w:t>bekezdésben foglalt jogszabályi követelményeket, a Felügyelet megtilthatja a fióktelep számára jelzáloghitel közvetítői tevékenysége Magyarországon történő további folytatását, amelyről a  Felügyelet haladéktalanul tájékoztatja  az Európai Bizottságot.</w:t>
      </w:r>
    </w:p>
    <w:p>
      <w:pPr>
        <w:pStyle w:val="ListParagraph"/>
        <w:numPr>
          <w:ilvl w:val="1"/>
          <w:numId w:val="469"/>
        </w:numPr>
        <w:tabs>
          <w:tab w:pos="753" w:val="left" w:leader="none"/>
        </w:tabs>
        <w:spacing w:line="225" w:lineRule="auto" w:before="2" w:after="0"/>
        <w:ind w:left="113" w:right="124" w:firstLine="204"/>
        <w:jc w:val="both"/>
        <w:rPr>
          <w:sz w:val="24"/>
        </w:rPr>
      </w:pPr>
      <w:r>
        <w:rPr>
          <w:w w:val="125"/>
          <w:sz w:val="24"/>
        </w:rPr>
        <w:t>Ha a másik EGT-államban engedéllyel rendelkező jelzáloghitel közvetítői tevékenységet végző közvetítő Magyarországon végzett határon átnyúló szolgáltatása megsérti a Magyarországon hatályos előírásokat vagy  a  fióktelepe megsérti az (1) bekezdésben foglalt jogszabályi követelményeken túli előírásokat vagy a Felügyelet hiányosságot észlel  a  fióktelep működésében, akkor arról a Felügyelet tájékoztatja a másik  EGT-állam illetékes felügyeleti</w:t>
      </w:r>
      <w:r>
        <w:rPr>
          <w:spacing w:val="2"/>
          <w:w w:val="125"/>
          <w:sz w:val="24"/>
        </w:rPr>
        <w:t> </w:t>
      </w:r>
      <w:r>
        <w:rPr>
          <w:w w:val="125"/>
          <w:sz w:val="24"/>
        </w:rPr>
        <w:t>hatóságát.</w:t>
      </w:r>
    </w:p>
    <w:p>
      <w:pPr>
        <w:pStyle w:val="ListParagraph"/>
        <w:numPr>
          <w:ilvl w:val="1"/>
          <w:numId w:val="469"/>
        </w:numPr>
        <w:tabs>
          <w:tab w:pos="818" w:val="left" w:leader="none"/>
        </w:tabs>
        <w:spacing w:line="225" w:lineRule="auto" w:before="4" w:after="0"/>
        <w:ind w:left="113" w:right="129" w:firstLine="204"/>
        <w:jc w:val="both"/>
        <w:rPr>
          <w:sz w:val="24"/>
        </w:rPr>
      </w:pPr>
      <w:r>
        <w:rPr>
          <w:w w:val="130"/>
          <w:sz w:val="24"/>
        </w:rPr>
        <w:t>Ha a másik EGT-állam illetékes felügyeleti hatósága a (4) bekezdés szerinti tájékoztatást követő egy hónapon belül nem teszi meg a szükséges intézkedéseket, vagy a másik EGT-állam illetékes felügyeleti hatósága által megtett lépések ellenére változatlanul fennáll a szabályellenes helyzet, valamint az ügyfelek érdekeinek veszélyeztetése, a</w:t>
      </w:r>
      <w:r>
        <w:rPr>
          <w:spacing w:val="-55"/>
          <w:w w:val="130"/>
          <w:sz w:val="24"/>
        </w:rPr>
        <w:t> </w:t>
      </w:r>
      <w:r>
        <w:rPr>
          <w:w w:val="130"/>
          <w:sz w:val="24"/>
        </w:rPr>
        <w:t>Felügyelet</w:t>
      </w:r>
    </w:p>
    <w:p>
      <w:pPr>
        <w:pStyle w:val="ListParagraph"/>
        <w:numPr>
          <w:ilvl w:val="0"/>
          <w:numId w:val="470"/>
        </w:numPr>
        <w:tabs>
          <w:tab w:pos="556" w:val="left" w:leader="none"/>
        </w:tabs>
        <w:spacing w:line="251" w:lineRule="exact" w:before="0" w:after="0"/>
        <w:ind w:left="555" w:right="0" w:hanging="238"/>
        <w:jc w:val="left"/>
        <w:rPr>
          <w:sz w:val="24"/>
        </w:rPr>
      </w:pPr>
      <w:r>
        <w:rPr>
          <w:i/>
          <w:w w:val="125"/>
          <w:position w:val="3"/>
          <w:sz w:val="18"/>
        </w:rPr>
        <w:t>2 </w:t>
      </w:r>
      <w:r>
        <w:rPr>
          <w:w w:val="125"/>
          <w:sz w:val="24"/>
        </w:rPr>
        <w:t>a szabályellenes helyzet megszüntetése érdekében a másik</w:t>
      </w:r>
      <w:r>
        <w:rPr>
          <w:spacing w:val="-28"/>
          <w:w w:val="125"/>
          <w:sz w:val="24"/>
        </w:rPr>
        <w:t> </w:t>
      </w:r>
      <w:r>
        <w:rPr>
          <w:w w:val="125"/>
          <w:sz w:val="24"/>
        </w:rPr>
        <w:t>EGT-állam</w:t>
      </w:r>
    </w:p>
    <w:p>
      <w:pPr>
        <w:pStyle w:val="BodyText"/>
        <w:spacing w:line="225" w:lineRule="auto" w:before="12"/>
        <w:ind w:right="132" w:firstLine="0"/>
        <w:jc w:val="both"/>
      </w:pPr>
      <w:r>
        <w:rPr>
          <w:w w:val="130"/>
        </w:rPr>
        <w:t>illetékes felügyeleti hatóságának tájékoztatását követően közvetlenül is intézkedhet, amelyről az intézkedés megtételét követően haladéktalanul tájékoztatja az EBH-t,</w:t>
      </w:r>
    </w:p>
    <w:p>
      <w:pPr>
        <w:pStyle w:val="ListParagraph"/>
        <w:numPr>
          <w:ilvl w:val="0"/>
          <w:numId w:val="470"/>
        </w:numPr>
        <w:tabs>
          <w:tab w:pos="698" w:val="left" w:leader="none"/>
        </w:tabs>
        <w:spacing w:line="225" w:lineRule="auto" w:before="2" w:after="0"/>
        <w:ind w:left="113" w:right="125" w:firstLine="204"/>
        <w:jc w:val="both"/>
        <w:rPr>
          <w:sz w:val="24"/>
        </w:rPr>
      </w:pPr>
      <w:r>
        <w:rPr>
          <w:w w:val="130"/>
          <w:sz w:val="24"/>
        </w:rPr>
        <w:t>az európai felügyeleti hatóság (Európai Bankhatóság) létrehozásáról, a 716/2009/EK határozat módosításáról és a 2009/78/EK bizottsági határozat hatályon</w:t>
      </w:r>
      <w:r>
        <w:rPr>
          <w:spacing w:val="-32"/>
          <w:w w:val="130"/>
          <w:sz w:val="24"/>
        </w:rPr>
        <w:t> </w:t>
      </w:r>
      <w:r>
        <w:rPr>
          <w:w w:val="130"/>
          <w:sz w:val="24"/>
        </w:rPr>
        <w:t>kívül</w:t>
      </w:r>
      <w:r>
        <w:rPr>
          <w:spacing w:val="-31"/>
          <w:w w:val="130"/>
          <w:sz w:val="24"/>
        </w:rPr>
        <w:t> </w:t>
      </w:r>
      <w:r>
        <w:rPr>
          <w:w w:val="130"/>
          <w:sz w:val="24"/>
        </w:rPr>
        <w:t>helyezéséről</w:t>
      </w:r>
      <w:r>
        <w:rPr>
          <w:spacing w:val="-31"/>
          <w:w w:val="130"/>
          <w:sz w:val="24"/>
        </w:rPr>
        <w:t> </w:t>
      </w:r>
      <w:r>
        <w:rPr>
          <w:w w:val="130"/>
          <w:sz w:val="24"/>
        </w:rPr>
        <w:t>szóló,</w:t>
      </w:r>
      <w:r>
        <w:rPr>
          <w:spacing w:val="-31"/>
          <w:w w:val="130"/>
          <w:sz w:val="24"/>
        </w:rPr>
        <w:t> </w:t>
      </w:r>
      <w:r>
        <w:rPr>
          <w:w w:val="130"/>
          <w:sz w:val="24"/>
        </w:rPr>
        <w:t>2010.</w:t>
      </w:r>
      <w:r>
        <w:rPr>
          <w:spacing w:val="-31"/>
          <w:w w:val="130"/>
          <w:sz w:val="24"/>
        </w:rPr>
        <w:t> </w:t>
      </w:r>
      <w:r>
        <w:rPr>
          <w:w w:val="130"/>
          <w:sz w:val="24"/>
        </w:rPr>
        <w:t>november</w:t>
      </w:r>
      <w:r>
        <w:rPr>
          <w:spacing w:val="-31"/>
          <w:w w:val="130"/>
          <w:sz w:val="24"/>
        </w:rPr>
        <w:t> </w:t>
      </w:r>
      <w:r>
        <w:rPr>
          <w:w w:val="130"/>
          <w:sz w:val="24"/>
        </w:rPr>
        <w:t>24-i</w:t>
      </w:r>
      <w:r>
        <w:rPr>
          <w:spacing w:val="-31"/>
          <w:w w:val="130"/>
          <w:sz w:val="24"/>
        </w:rPr>
        <w:t> </w:t>
      </w:r>
      <w:r>
        <w:rPr>
          <w:w w:val="130"/>
          <w:sz w:val="24"/>
        </w:rPr>
        <w:t>1093/2010/EU</w:t>
      </w:r>
      <w:r>
        <w:rPr>
          <w:spacing w:val="-31"/>
          <w:w w:val="130"/>
          <w:sz w:val="24"/>
        </w:rPr>
        <w:t> </w:t>
      </w:r>
      <w:r>
        <w:rPr>
          <w:w w:val="130"/>
          <w:sz w:val="24"/>
        </w:rPr>
        <w:t>európai parlamenti</w:t>
      </w:r>
      <w:r>
        <w:rPr>
          <w:spacing w:val="-12"/>
          <w:w w:val="130"/>
          <w:sz w:val="24"/>
        </w:rPr>
        <w:t> </w:t>
      </w:r>
      <w:r>
        <w:rPr>
          <w:w w:val="130"/>
          <w:sz w:val="24"/>
        </w:rPr>
        <w:t>és</w:t>
      </w:r>
      <w:r>
        <w:rPr>
          <w:spacing w:val="-12"/>
          <w:w w:val="130"/>
          <w:sz w:val="24"/>
        </w:rPr>
        <w:t> </w:t>
      </w:r>
      <w:r>
        <w:rPr>
          <w:w w:val="130"/>
          <w:sz w:val="24"/>
        </w:rPr>
        <w:t>tanácsi</w:t>
      </w:r>
      <w:r>
        <w:rPr>
          <w:spacing w:val="-13"/>
          <w:w w:val="130"/>
          <w:sz w:val="24"/>
        </w:rPr>
        <w:t> </w:t>
      </w:r>
      <w:r>
        <w:rPr>
          <w:w w:val="130"/>
          <w:sz w:val="24"/>
        </w:rPr>
        <w:t>rendelet</w:t>
      </w:r>
      <w:r>
        <w:rPr>
          <w:spacing w:val="-11"/>
          <w:w w:val="130"/>
          <w:sz w:val="24"/>
        </w:rPr>
        <w:t> </w:t>
      </w:r>
      <w:r>
        <w:rPr>
          <w:w w:val="130"/>
          <w:sz w:val="24"/>
        </w:rPr>
        <w:t>19.</w:t>
      </w:r>
      <w:r>
        <w:rPr>
          <w:spacing w:val="-9"/>
          <w:w w:val="130"/>
          <w:sz w:val="24"/>
        </w:rPr>
        <w:t> </w:t>
      </w:r>
      <w:r>
        <w:rPr>
          <w:w w:val="130"/>
          <w:sz w:val="24"/>
        </w:rPr>
        <w:t>cikke</w:t>
      </w:r>
      <w:r>
        <w:rPr>
          <w:spacing w:val="-15"/>
          <w:w w:val="130"/>
          <w:sz w:val="24"/>
        </w:rPr>
        <w:t> </w:t>
      </w:r>
      <w:r>
        <w:rPr>
          <w:w w:val="130"/>
          <w:sz w:val="24"/>
        </w:rPr>
        <w:t>alapján</w:t>
      </w:r>
      <w:r>
        <w:rPr>
          <w:spacing w:val="-12"/>
          <w:w w:val="130"/>
          <w:sz w:val="24"/>
        </w:rPr>
        <w:t> </w:t>
      </w:r>
      <w:r>
        <w:rPr>
          <w:w w:val="130"/>
          <w:sz w:val="24"/>
        </w:rPr>
        <w:t>az</w:t>
      </w:r>
      <w:r>
        <w:rPr>
          <w:spacing w:val="-13"/>
          <w:w w:val="130"/>
          <w:sz w:val="24"/>
        </w:rPr>
        <w:t> </w:t>
      </w:r>
      <w:r>
        <w:rPr>
          <w:w w:val="130"/>
          <w:sz w:val="24"/>
        </w:rPr>
        <w:t>EBH-hoz</w:t>
      </w:r>
      <w:r>
        <w:rPr>
          <w:spacing w:val="-12"/>
          <w:w w:val="130"/>
          <w:sz w:val="24"/>
        </w:rPr>
        <w:t> </w:t>
      </w:r>
      <w:r>
        <w:rPr>
          <w:w w:val="130"/>
          <w:sz w:val="24"/>
        </w:rPr>
        <w:t>fordulhat.</w:t>
      </w:r>
    </w:p>
    <w:p>
      <w:pPr>
        <w:pStyle w:val="BodyText"/>
        <w:ind w:left="0" w:firstLine="0"/>
        <w:rPr>
          <w:sz w:val="20"/>
        </w:rPr>
      </w:pPr>
    </w:p>
    <w:p>
      <w:pPr>
        <w:pStyle w:val="BodyText"/>
        <w:ind w:left="0" w:firstLine="0"/>
        <w:rPr>
          <w:sz w:val="20"/>
        </w:rPr>
      </w:pPr>
    </w:p>
    <w:p>
      <w:pPr>
        <w:pStyle w:val="BodyText"/>
        <w:spacing w:before="7"/>
        <w:ind w:left="0" w:firstLine="0"/>
        <w:rPr>
          <w:sz w:val="15"/>
        </w:rPr>
      </w:pPr>
      <w:r>
        <w:rPr/>
        <w:pict>
          <v:line style="position:absolute;mso-position-horizontal-relative:page;mso-position-vertical-relative:paragraph;z-index:1784;mso-wrap-distance-left:0;mso-wrap-distance-right:0" from="56.693001pt,11.221336pt" to="538.583001pt,11.221336pt" stroked="true" strokeweight=".5pt" strokecolor="#000000">
            <v:stroke dashstyle="solid"/>
            <w10:wrap type="topAndBottom"/>
          </v:line>
        </w:pict>
      </w:r>
    </w:p>
    <w:p>
      <w:pPr>
        <w:pStyle w:val="ListParagraph"/>
        <w:numPr>
          <w:ilvl w:val="0"/>
          <w:numId w:val="471"/>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136. §. Hatályos: 2016. III.</w:t>
      </w:r>
      <w:r>
        <w:rPr>
          <w:i/>
          <w:spacing w:val="46"/>
          <w:w w:val="120"/>
          <w:sz w:val="18"/>
        </w:rPr>
        <w:t> </w:t>
      </w:r>
      <w:r>
        <w:rPr>
          <w:i/>
          <w:w w:val="120"/>
          <w:sz w:val="18"/>
        </w:rPr>
        <w:t>21-től.</w:t>
      </w:r>
    </w:p>
    <w:p>
      <w:pPr>
        <w:pStyle w:val="ListParagraph"/>
        <w:numPr>
          <w:ilvl w:val="0"/>
          <w:numId w:val="471"/>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LXIX. törvény 171. §. Hatályos: 2017. VII.</w:t>
      </w:r>
      <w:r>
        <w:rPr>
          <w:i/>
          <w:spacing w:val="-1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before="1"/>
        <w:ind w:left="0" w:firstLine="0"/>
        <w:rPr>
          <w:i/>
          <w:sz w:val="26"/>
        </w:rPr>
      </w:pPr>
    </w:p>
    <w:p>
      <w:pPr>
        <w:pStyle w:val="BodyText"/>
        <w:spacing w:before="99"/>
        <w:ind w:left="3111" w:firstLine="0"/>
      </w:pPr>
      <w:r>
        <w:rPr>
          <w:w w:val="125"/>
        </w:rPr>
        <w:t>82. A Felügyelet adatkezelése</w:t>
      </w:r>
    </w:p>
    <w:p>
      <w:pPr>
        <w:pStyle w:val="ListParagraph"/>
        <w:numPr>
          <w:ilvl w:val="0"/>
          <w:numId w:val="458"/>
        </w:numPr>
        <w:tabs>
          <w:tab w:pos="1108" w:val="left" w:leader="none"/>
        </w:tabs>
        <w:spacing w:line="225" w:lineRule="auto" w:before="237" w:after="0"/>
        <w:ind w:left="113" w:right="128" w:firstLine="204"/>
        <w:jc w:val="both"/>
        <w:rPr>
          <w:sz w:val="24"/>
        </w:rPr>
      </w:pPr>
      <w:r>
        <w:rPr>
          <w:rFonts w:ascii="Arial" w:hAnsi="Arial"/>
          <w:b/>
          <w:w w:val="125"/>
          <w:sz w:val="24"/>
        </w:rPr>
        <w:t>§ </w:t>
      </w:r>
      <w:r>
        <w:rPr>
          <w:w w:val="125"/>
          <w:sz w:val="24"/>
        </w:rPr>
        <w:t>(1) A Felügyelet a pénzügyi közvetítő rendszer felügyeletével kapcsolatos feladatai ellátása céljából szükséges mértékben adatot kezelhet, ideértve az e törvényben meghatározott körben kezelt személyes adatot</w:t>
      </w:r>
      <w:r>
        <w:rPr>
          <w:spacing w:val="19"/>
          <w:w w:val="125"/>
          <w:sz w:val="24"/>
        </w:rPr>
        <w:t> </w:t>
      </w:r>
      <w:r>
        <w:rPr>
          <w:w w:val="125"/>
          <w:sz w:val="24"/>
        </w:rPr>
        <w:t>is.</w:t>
      </w:r>
    </w:p>
    <w:p>
      <w:pPr>
        <w:pStyle w:val="BodyText"/>
        <w:spacing w:line="250" w:lineRule="exact"/>
        <w:ind w:left="317" w:firstLine="0"/>
      </w:pPr>
      <w:r>
        <w:rPr>
          <w:w w:val="125"/>
        </w:rPr>
        <w:t>(2)</w:t>
      </w:r>
      <w:r>
        <w:rPr>
          <w:i/>
          <w:w w:val="125"/>
          <w:position w:val="3"/>
          <w:sz w:val="18"/>
        </w:rPr>
        <w:t>1 </w:t>
      </w:r>
      <w:r>
        <w:rPr>
          <w:w w:val="125"/>
        </w:rPr>
        <w:t>A Felügyelet nyilvántartásba veszi a pénzügyi intézmény</w:t>
      </w:r>
      <w:r>
        <w:rPr>
          <w:spacing w:val="58"/>
          <w:w w:val="125"/>
        </w:rPr>
        <w:t> </w:t>
      </w:r>
      <w:r>
        <w:rPr>
          <w:w w:val="125"/>
        </w:rPr>
        <w:t>következő</w:t>
      </w:r>
    </w:p>
    <w:p>
      <w:pPr>
        <w:pStyle w:val="BodyText"/>
        <w:spacing w:line="267" w:lineRule="exact"/>
        <w:ind w:firstLine="0"/>
      </w:pPr>
      <w:r>
        <w:rPr>
          <w:w w:val="130"/>
        </w:rPr>
        <w:t>adatait:</w:t>
      </w:r>
    </w:p>
    <w:p>
      <w:pPr>
        <w:pStyle w:val="ListParagraph"/>
        <w:numPr>
          <w:ilvl w:val="0"/>
          <w:numId w:val="472"/>
        </w:numPr>
        <w:tabs>
          <w:tab w:pos="631" w:val="left" w:leader="none"/>
        </w:tabs>
        <w:spacing w:line="260" w:lineRule="exact" w:before="0" w:after="0"/>
        <w:ind w:left="630" w:right="0" w:hanging="313"/>
        <w:jc w:val="left"/>
        <w:rPr>
          <w:sz w:val="24"/>
        </w:rPr>
      </w:pPr>
      <w:r>
        <w:rPr>
          <w:w w:val="125"/>
          <w:sz w:val="24"/>
        </w:rPr>
        <w:t>név, székhely,</w:t>
      </w:r>
    </w:p>
    <w:p>
      <w:pPr>
        <w:pStyle w:val="ListParagraph"/>
        <w:numPr>
          <w:ilvl w:val="0"/>
          <w:numId w:val="472"/>
        </w:numPr>
        <w:tabs>
          <w:tab w:pos="653" w:val="left" w:leader="none"/>
        </w:tabs>
        <w:spacing w:line="260" w:lineRule="exact" w:before="0" w:after="0"/>
        <w:ind w:left="652" w:right="0" w:hanging="335"/>
        <w:jc w:val="left"/>
        <w:rPr>
          <w:sz w:val="24"/>
        </w:rPr>
      </w:pPr>
      <w:r>
        <w:rPr>
          <w:w w:val="125"/>
          <w:sz w:val="24"/>
        </w:rPr>
        <w:t>tevékenységi</w:t>
      </w:r>
      <w:r>
        <w:rPr>
          <w:spacing w:val="-11"/>
          <w:w w:val="125"/>
          <w:sz w:val="24"/>
        </w:rPr>
        <w:t> </w:t>
      </w:r>
      <w:r>
        <w:rPr>
          <w:w w:val="125"/>
          <w:sz w:val="24"/>
        </w:rPr>
        <w:t>kör,</w:t>
      </w:r>
    </w:p>
    <w:p>
      <w:pPr>
        <w:pStyle w:val="ListParagraph"/>
        <w:numPr>
          <w:ilvl w:val="0"/>
          <w:numId w:val="472"/>
        </w:numPr>
        <w:tabs>
          <w:tab w:pos="623" w:val="left" w:leader="none"/>
        </w:tabs>
        <w:spacing w:line="260" w:lineRule="exact" w:before="0" w:after="0"/>
        <w:ind w:left="622" w:right="0" w:hanging="305"/>
        <w:jc w:val="left"/>
        <w:rPr>
          <w:sz w:val="24"/>
        </w:rPr>
      </w:pPr>
      <w:r>
        <w:rPr>
          <w:w w:val="130"/>
          <w:sz w:val="24"/>
        </w:rPr>
        <w:t>az alapítás pontos</w:t>
      </w:r>
      <w:r>
        <w:rPr>
          <w:spacing w:val="-12"/>
          <w:w w:val="130"/>
          <w:sz w:val="24"/>
        </w:rPr>
        <w:t> </w:t>
      </w:r>
      <w:r>
        <w:rPr>
          <w:w w:val="130"/>
          <w:sz w:val="24"/>
        </w:rPr>
        <w:t>időpontja,</w:t>
      </w:r>
    </w:p>
    <w:p>
      <w:pPr>
        <w:pStyle w:val="ListParagraph"/>
        <w:numPr>
          <w:ilvl w:val="0"/>
          <w:numId w:val="472"/>
        </w:numPr>
        <w:tabs>
          <w:tab w:pos="653" w:val="left" w:leader="none"/>
        </w:tabs>
        <w:spacing w:line="260" w:lineRule="exact" w:before="0" w:after="0"/>
        <w:ind w:left="652" w:right="0" w:hanging="335"/>
        <w:jc w:val="left"/>
        <w:rPr>
          <w:sz w:val="24"/>
        </w:rPr>
      </w:pPr>
      <w:r>
        <w:rPr>
          <w:w w:val="130"/>
          <w:sz w:val="24"/>
        </w:rPr>
        <w:t>a jegyzett tőke, induló</w:t>
      </w:r>
      <w:r>
        <w:rPr>
          <w:spacing w:val="-26"/>
          <w:w w:val="130"/>
          <w:sz w:val="24"/>
        </w:rPr>
        <w:t> </w:t>
      </w:r>
      <w:r>
        <w:rPr>
          <w:w w:val="130"/>
          <w:sz w:val="24"/>
        </w:rPr>
        <w:t>tőke,</w:t>
      </w:r>
    </w:p>
    <w:p>
      <w:pPr>
        <w:pStyle w:val="ListParagraph"/>
        <w:numPr>
          <w:ilvl w:val="0"/>
          <w:numId w:val="472"/>
        </w:numPr>
        <w:tabs>
          <w:tab w:pos="629" w:val="left" w:leader="none"/>
        </w:tabs>
        <w:spacing w:line="260" w:lineRule="exact" w:before="0" w:after="0"/>
        <w:ind w:left="628" w:right="0" w:hanging="311"/>
        <w:jc w:val="left"/>
        <w:rPr>
          <w:sz w:val="24"/>
        </w:rPr>
      </w:pPr>
      <w:r>
        <w:rPr>
          <w:w w:val="130"/>
          <w:sz w:val="24"/>
        </w:rPr>
        <w:t>befolyásoló részesedéssel rendelkező</w:t>
      </w:r>
      <w:r>
        <w:rPr>
          <w:spacing w:val="-18"/>
          <w:w w:val="130"/>
          <w:sz w:val="24"/>
        </w:rPr>
        <w:t> </w:t>
      </w:r>
      <w:r>
        <w:rPr>
          <w:w w:val="130"/>
          <w:sz w:val="24"/>
        </w:rPr>
        <w:t>tulajdonos,</w:t>
      </w:r>
    </w:p>
    <w:p>
      <w:pPr>
        <w:pStyle w:val="ListParagraph"/>
        <w:numPr>
          <w:ilvl w:val="0"/>
          <w:numId w:val="472"/>
        </w:numPr>
        <w:tabs>
          <w:tab w:pos="577" w:val="left" w:leader="none"/>
        </w:tabs>
        <w:spacing w:line="260" w:lineRule="exact" w:before="0" w:after="0"/>
        <w:ind w:left="576" w:right="0" w:hanging="259"/>
        <w:jc w:val="left"/>
        <w:rPr>
          <w:sz w:val="24"/>
        </w:rPr>
      </w:pPr>
      <w:r>
        <w:rPr>
          <w:w w:val="130"/>
          <w:sz w:val="24"/>
        </w:rPr>
        <w:t>a vezető állású személy</w:t>
      </w:r>
      <w:r>
        <w:rPr>
          <w:spacing w:val="-17"/>
          <w:w w:val="130"/>
          <w:sz w:val="24"/>
        </w:rPr>
        <w:t> </w:t>
      </w:r>
      <w:r>
        <w:rPr>
          <w:w w:val="130"/>
          <w:sz w:val="24"/>
        </w:rPr>
        <w:t>neve,</w:t>
      </w:r>
    </w:p>
    <w:p>
      <w:pPr>
        <w:pStyle w:val="ListParagraph"/>
        <w:numPr>
          <w:ilvl w:val="0"/>
          <w:numId w:val="472"/>
        </w:numPr>
        <w:tabs>
          <w:tab w:pos="653" w:val="left" w:leader="none"/>
        </w:tabs>
        <w:spacing w:line="260" w:lineRule="exact" w:before="0" w:after="0"/>
        <w:ind w:left="652" w:right="0" w:hanging="335"/>
        <w:jc w:val="left"/>
        <w:rPr>
          <w:sz w:val="24"/>
        </w:rPr>
      </w:pPr>
      <w:r>
        <w:rPr>
          <w:w w:val="130"/>
          <w:sz w:val="24"/>
        </w:rPr>
        <w:t>a pénzügyi szolgáltatások megkezdésének</w:t>
      </w:r>
      <w:r>
        <w:rPr>
          <w:spacing w:val="-39"/>
          <w:w w:val="130"/>
          <w:sz w:val="24"/>
        </w:rPr>
        <w:t> </w:t>
      </w:r>
      <w:r>
        <w:rPr>
          <w:w w:val="130"/>
          <w:sz w:val="24"/>
        </w:rPr>
        <w:t>időpontja,</w:t>
      </w:r>
    </w:p>
    <w:p>
      <w:pPr>
        <w:pStyle w:val="ListParagraph"/>
        <w:numPr>
          <w:ilvl w:val="0"/>
          <w:numId w:val="472"/>
        </w:numPr>
        <w:tabs>
          <w:tab w:pos="738" w:val="left" w:leader="none"/>
        </w:tabs>
        <w:spacing w:line="225" w:lineRule="auto" w:before="5" w:after="0"/>
        <w:ind w:left="113" w:right="127" w:firstLine="204"/>
        <w:jc w:val="left"/>
        <w:rPr>
          <w:sz w:val="24"/>
        </w:rPr>
      </w:pPr>
      <w:r>
        <w:rPr>
          <w:w w:val="125"/>
          <w:sz w:val="24"/>
        </w:rPr>
        <w:t>a magyarországi fiókteleppel rendelkező külföldi pénzügyi intézmény vezető állású személyének</w:t>
      </w:r>
      <w:r>
        <w:rPr>
          <w:spacing w:val="9"/>
          <w:w w:val="125"/>
          <w:sz w:val="24"/>
        </w:rPr>
        <w:t> </w:t>
      </w:r>
      <w:r>
        <w:rPr>
          <w:w w:val="125"/>
          <w:sz w:val="24"/>
        </w:rPr>
        <w:t>neve,</w:t>
      </w:r>
    </w:p>
    <w:p>
      <w:pPr>
        <w:pStyle w:val="ListParagraph"/>
        <w:numPr>
          <w:ilvl w:val="0"/>
          <w:numId w:val="472"/>
        </w:numPr>
        <w:tabs>
          <w:tab w:pos="698" w:val="left" w:leader="none"/>
          <w:tab w:pos="699" w:val="left" w:leader="none"/>
        </w:tabs>
        <w:spacing w:line="225" w:lineRule="auto" w:before="1" w:after="0"/>
        <w:ind w:left="113" w:right="132" w:firstLine="204"/>
        <w:jc w:val="left"/>
        <w:rPr>
          <w:sz w:val="24"/>
        </w:rPr>
      </w:pPr>
      <w:r>
        <w:rPr>
          <w:w w:val="125"/>
          <w:sz w:val="24"/>
        </w:rPr>
        <w:t>a hitelintézet leányvállalata, külföldi bankképviselete, illetve külföldi fióktelepe létesítésének időpontja és</w:t>
      </w:r>
      <w:r>
        <w:rPr>
          <w:spacing w:val="5"/>
          <w:w w:val="125"/>
          <w:sz w:val="24"/>
        </w:rPr>
        <w:t> </w:t>
      </w:r>
      <w:r>
        <w:rPr>
          <w:w w:val="125"/>
          <w:sz w:val="24"/>
        </w:rPr>
        <w:t>helye,</w:t>
      </w:r>
    </w:p>
    <w:p>
      <w:pPr>
        <w:pStyle w:val="ListParagraph"/>
        <w:numPr>
          <w:ilvl w:val="0"/>
          <w:numId w:val="472"/>
        </w:numPr>
        <w:tabs>
          <w:tab w:pos="563" w:val="left" w:leader="none"/>
        </w:tabs>
        <w:spacing w:line="256" w:lineRule="exact" w:before="0" w:after="0"/>
        <w:ind w:left="562" w:right="0" w:hanging="245"/>
        <w:jc w:val="left"/>
        <w:rPr>
          <w:sz w:val="24"/>
        </w:rPr>
      </w:pPr>
      <w:r>
        <w:rPr>
          <w:w w:val="125"/>
          <w:sz w:val="24"/>
        </w:rPr>
        <w:t>az </w:t>
      </w:r>
      <w:r>
        <w:rPr>
          <w:i/>
          <w:w w:val="125"/>
          <w:sz w:val="24"/>
        </w:rPr>
        <w:t>i) </w:t>
      </w:r>
      <w:r>
        <w:rPr>
          <w:w w:val="125"/>
          <w:sz w:val="24"/>
        </w:rPr>
        <w:t>pontban felsoroltak vezetésével megbízott személyek neve,</w:t>
      </w:r>
      <w:r>
        <w:rPr>
          <w:spacing w:val="19"/>
          <w:w w:val="125"/>
          <w:sz w:val="24"/>
        </w:rPr>
        <w:t> </w:t>
      </w:r>
      <w:r>
        <w:rPr>
          <w:w w:val="125"/>
          <w:sz w:val="24"/>
        </w:rPr>
        <w:t>és</w:t>
      </w:r>
    </w:p>
    <w:p>
      <w:pPr>
        <w:pStyle w:val="ListParagraph"/>
        <w:numPr>
          <w:ilvl w:val="0"/>
          <w:numId w:val="472"/>
        </w:numPr>
        <w:tabs>
          <w:tab w:pos="633" w:val="left" w:leader="none"/>
        </w:tabs>
        <w:spacing w:line="225" w:lineRule="auto" w:before="6" w:after="0"/>
        <w:ind w:left="317" w:right="2555" w:firstLine="0"/>
        <w:jc w:val="left"/>
        <w:rPr>
          <w:sz w:val="24"/>
        </w:rPr>
      </w:pPr>
      <w:r>
        <w:rPr>
          <w:w w:val="125"/>
          <w:sz w:val="24"/>
        </w:rPr>
        <w:t>az </w:t>
      </w:r>
      <w:r>
        <w:rPr>
          <w:i/>
          <w:w w:val="125"/>
          <w:sz w:val="24"/>
        </w:rPr>
        <w:t>a)-j) </w:t>
      </w:r>
      <w:r>
        <w:rPr>
          <w:w w:val="125"/>
          <w:sz w:val="24"/>
        </w:rPr>
        <w:t>pontban felsorolt adatokban történt változások. (3)</w:t>
      </w:r>
      <w:r>
        <w:rPr>
          <w:i/>
          <w:w w:val="125"/>
          <w:position w:val="3"/>
          <w:sz w:val="18"/>
        </w:rPr>
        <w:t>2 </w:t>
      </w:r>
      <w:r>
        <w:rPr>
          <w:w w:val="125"/>
          <w:sz w:val="24"/>
        </w:rPr>
        <w:t>A Felügyelet nyilvántartásba</w:t>
      </w:r>
      <w:r>
        <w:rPr>
          <w:spacing w:val="-37"/>
          <w:w w:val="125"/>
          <w:sz w:val="24"/>
        </w:rPr>
        <w:t> </w:t>
      </w:r>
      <w:r>
        <w:rPr>
          <w:w w:val="125"/>
          <w:sz w:val="24"/>
        </w:rPr>
        <w:t>veszi:</w:t>
      </w:r>
    </w:p>
    <w:p>
      <w:pPr>
        <w:pStyle w:val="ListParagraph"/>
        <w:numPr>
          <w:ilvl w:val="0"/>
          <w:numId w:val="473"/>
        </w:numPr>
        <w:tabs>
          <w:tab w:pos="655" w:val="left" w:leader="none"/>
        </w:tabs>
        <w:spacing w:line="225" w:lineRule="auto" w:before="1" w:after="0"/>
        <w:ind w:left="113" w:right="128" w:firstLine="204"/>
        <w:jc w:val="left"/>
        <w:rPr>
          <w:sz w:val="24"/>
        </w:rPr>
      </w:pPr>
      <w:r>
        <w:rPr>
          <w:w w:val="130"/>
          <w:sz w:val="24"/>
        </w:rPr>
        <w:t>az összevont alapú vagy a kiegészítő felügyelet alá tartozó hitelintézettel szoros kapcsolatban álló személy</w:t>
      </w:r>
      <w:r>
        <w:rPr>
          <w:spacing w:val="-18"/>
          <w:w w:val="130"/>
          <w:sz w:val="24"/>
        </w:rPr>
        <w:t> </w:t>
      </w:r>
      <w:r>
        <w:rPr>
          <w:w w:val="130"/>
          <w:sz w:val="24"/>
        </w:rPr>
        <w:t>adatait,</w:t>
      </w:r>
    </w:p>
    <w:p>
      <w:pPr>
        <w:pStyle w:val="ListParagraph"/>
        <w:numPr>
          <w:ilvl w:val="0"/>
          <w:numId w:val="473"/>
        </w:numPr>
        <w:tabs>
          <w:tab w:pos="696" w:val="left" w:leader="none"/>
        </w:tabs>
        <w:spacing w:line="225" w:lineRule="auto" w:before="1" w:after="0"/>
        <w:ind w:left="113" w:right="129" w:firstLine="204"/>
        <w:jc w:val="left"/>
        <w:rPr>
          <w:sz w:val="24"/>
        </w:rPr>
      </w:pPr>
      <w:r>
        <w:rPr>
          <w:w w:val="125"/>
          <w:sz w:val="24"/>
        </w:rPr>
        <w:t>az összevont alapú vagy a kiegészítő felügyelet alá tartozó hitelintézet anyavállalatával szoros kapcsolatban álló személy adatait,</w:t>
      </w:r>
      <w:r>
        <w:rPr>
          <w:spacing w:val="14"/>
          <w:w w:val="125"/>
          <w:sz w:val="24"/>
        </w:rPr>
        <w:t> </w:t>
      </w:r>
      <w:r>
        <w:rPr>
          <w:w w:val="125"/>
          <w:sz w:val="24"/>
        </w:rPr>
        <w:t>és</w:t>
      </w:r>
    </w:p>
    <w:p>
      <w:pPr>
        <w:pStyle w:val="ListParagraph"/>
        <w:numPr>
          <w:ilvl w:val="0"/>
          <w:numId w:val="473"/>
        </w:numPr>
        <w:tabs>
          <w:tab w:pos="728" w:val="left" w:leader="none"/>
        </w:tabs>
        <w:spacing w:line="225" w:lineRule="auto" w:before="1" w:after="0"/>
        <w:ind w:left="113" w:right="128" w:firstLine="204"/>
        <w:jc w:val="both"/>
        <w:rPr>
          <w:sz w:val="24"/>
        </w:rPr>
      </w:pPr>
      <w:r>
        <w:rPr>
          <w:w w:val="130"/>
          <w:sz w:val="24"/>
        </w:rPr>
        <w:t>a hitelintézet anyavállalatának - ha az vegyes tevékenységű holding társaság, vagy vegyes pénzügyi holding társaság - azon adatait, amelyek a hitelintézet felügyelete érdekében</w:t>
      </w:r>
      <w:r>
        <w:rPr>
          <w:spacing w:val="-13"/>
          <w:w w:val="130"/>
          <w:sz w:val="24"/>
        </w:rPr>
        <w:t> </w:t>
      </w:r>
      <w:r>
        <w:rPr>
          <w:w w:val="130"/>
          <w:sz w:val="24"/>
        </w:rPr>
        <w:t>szükségesek.</w:t>
      </w:r>
    </w:p>
    <w:p>
      <w:pPr>
        <w:pStyle w:val="ListParagraph"/>
        <w:numPr>
          <w:ilvl w:val="0"/>
          <w:numId w:val="458"/>
        </w:numPr>
        <w:tabs>
          <w:tab w:pos="1186" w:val="left" w:leader="none"/>
          <w:tab w:pos="1187" w:val="left" w:leader="none"/>
          <w:tab w:pos="1597" w:val="left" w:leader="none"/>
          <w:tab w:pos="2048" w:val="left" w:leader="none"/>
          <w:tab w:pos="3608" w:val="left" w:leader="none"/>
          <w:tab w:pos="5365" w:val="left" w:leader="none"/>
          <w:tab w:pos="7533" w:val="left" w:leader="none"/>
          <w:tab w:pos="8412" w:val="left" w:leader="none"/>
          <w:tab w:pos="8833" w:val="left" w:leader="none"/>
        </w:tabs>
        <w:spacing w:line="225" w:lineRule="auto" w:before="1" w:after="0"/>
        <w:ind w:left="113" w:right="128" w:firstLine="204"/>
        <w:jc w:val="left"/>
        <w:rPr>
          <w:sz w:val="24"/>
        </w:rPr>
      </w:pPr>
      <w:r>
        <w:rPr>
          <w:rFonts w:ascii="Arial" w:hAnsi="Arial"/>
          <w:b/>
          <w:w w:val="120"/>
          <w:sz w:val="24"/>
        </w:rPr>
        <w:t>§</w:t>
        <w:tab/>
      </w:r>
      <w:r>
        <w:rPr>
          <w:w w:val="120"/>
          <w:sz w:val="24"/>
        </w:rPr>
        <w:t>A</w:t>
        <w:tab/>
        <w:t>Felügyelet</w:t>
        <w:tab/>
        <w:t>határozattal</w:t>
        <w:tab/>
        <w:t>nyilvántartásba</w:t>
        <w:tab/>
        <w:t>veszi</w:t>
        <w:tab/>
        <w:t>a</w:t>
        <w:tab/>
      </w:r>
      <w:r>
        <w:rPr>
          <w:spacing w:val="-3"/>
          <w:w w:val="120"/>
          <w:sz w:val="24"/>
        </w:rPr>
        <w:t>külföldi </w:t>
      </w:r>
      <w:r>
        <w:rPr>
          <w:w w:val="120"/>
          <w:sz w:val="24"/>
        </w:rPr>
        <w:t>hitelintézetek bankképviseleteinek a következő</w:t>
      </w:r>
      <w:r>
        <w:rPr>
          <w:spacing w:val="46"/>
          <w:w w:val="120"/>
          <w:sz w:val="24"/>
        </w:rPr>
        <w:t> </w:t>
      </w:r>
      <w:r>
        <w:rPr>
          <w:w w:val="120"/>
          <w:sz w:val="24"/>
        </w:rPr>
        <w:t>adatait:</w:t>
      </w:r>
    </w:p>
    <w:p>
      <w:pPr>
        <w:pStyle w:val="ListParagraph"/>
        <w:numPr>
          <w:ilvl w:val="0"/>
          <w:numId w:val="474"/>
        </w:numPr>
        <w:tabs>
          <w:tab w:pos="645" w:val="left" w:leader="none"/>
        </w:tabs>
        <w:spacing w:line="225" w:lineRule="auto" w:before="1" w:after="0"/>
        <w:ind w:left="113" w:right="123" w:firstLine="204"/>
        <w:jc w:val="left"/>
        <w:rPr>
          <w:sz w:val="24"/>
        </w:rPr>
      </w:pPr>
      <w:r>
        <w:rPr>
          <w:w w:val="130"/>
          <w:sz w:val="24"/>
        </w:rPr>
        <w:t>a</w:t>
      </w:r>
      <w:r>
        <w:rPr>
          <w:spacing w:val="-16"/>
          <w:w w:val="130"/>
          <w:sz w:val="24"/>
        </w:rPr>
        <w:t> </w:t>
      </w:r>
      <w:r>
        <w:rPr>
          <w:w w:val="130"/>
          <w:sz w:val="24"/>
        </w:rPr>
        <w:t>képviselt</w:t>
      </w:r>
      <w:r>
        <w:rPr>
          <w:spacing w:val="-15"/>
          <w:w w:val="130"/>
          <w:sz w:val="24"/>
        </w:rPr>
        <w:t> </w:t>
      </w:r>
      <w:r>
        <w:rPr>
          <w:w w:val="130"/>
          <w:sz w:val="24"/>
        </w:rPr>
        <w:t>hitelintézet</w:t>
      </w:r>
      <w:r>
        <w:rPr>
          <w:spacing w:val="-15"/>
          <w:w w:val="130"/>
          <w:sz w:val="24"/>
        </w:rPr>
        <w:t> </w:t>
      </w:r>
      <w:r>
        <w:rPr>
          <w:w w:val="130"/>
          <w:sz w:val="24"/>
        </w:rPr>
        <w:t>neve,</w:t>
      </w:r>
      <w:r>
        <w:rPr>
          <w:spacing w:val="-15"/>
          <w:w w:val="130"/>
          <w:sz w:val="24"/>
        </w:rPr>
        <w:t> </w:t>
      </w:r>
      <w:r>
        <w:rPr>
          <w:w w:val="130"/>
          <w:sz w:val="24"/>
        </w:rPr>
        <w:t>székhelye,</w:t>
      </w:r>
      <w:r>
        <w:rPr>
          <w:spacing w:val="-15"/>
          <w:w w:val="130"/>
          <w:sz w:val="24"/>
        </w:rPr>
        <w:t> </w:t>
      </w:r>
      <w:r>
        <w:rPr>
          <w:w w:val="130"/>
          <w:sz w:val="24"/>
        </w:rPr>
        <w:t>tevékenységi</w:t>
      </w:r>
      <w:r>
        <w:rPr>
          <w:spacing w:val="-15"/>
          <w:w w:val="130"/>
          <w:sz w:val="24"/>
        </w:rPr>
        <w:t> </w:t>
      </w:r>
      <w:r>
        <w:rPr>
          <w:w w:val="130"/>
          <w:sz w:val="24"/>
        </w:rPr>
        <w:t>köre,</w:t>
      </w:r>
      <w:r>
        <w:rPr>
          <w:spacing w:val="-15"/>
          <w:w w:val="130"/>
          <w:sz w:val="24"/>
        </w:rPr>
        <w:t> </w:t>
      </w:r>
      <w:r>
        <w:rPr>
          <w:w w:val="130"/>
          <w:sz w:val="24"/>
        </w:rPr>
        <w:t>a</w:t>
      </w:r>
      <w:r>
        <w:rPr>
          <w:spacing w:val="-10"/>
          <w:w w:val="130"/>
          <w:sz w:val="24"/>
        </w:rPr>
        <w:t> </w:t>
      </w:r>
      <w:r>
        <w:rPr>
          <w:w w:val="130"/>
          <w:sz w:val="24"/>
        </w:rPr>
        <w:t>tevékenység végzésének helyére vonatkozó</w:t>
      </w:r>
      <w:r>
        <w:rPr>
          <w:spacing w:val="-15"/>
          <w:w w:val="130"/>
          <w:sz w:val="24"/>
        </w:rPr>
        <w:t> </w:t>
      </w:r>
      <w:r>
        <w:rPr>
          <w:w w:val="130"/>
          <w:sz w:val="24"/>
        </w:rPr>
        <w:t>adatok;</w:t>
      </w:r>
    </w:p>
    <w:p>
      <w:pPr>
        <w:pStyle w:val="ListParagraph"/>
        <w:numPr>
          <w:ilvl w:val="0"/>
          <w:numId w:val="474"/>
        </w:numPr>
        <w:tabs>
          <w:tab w:pos="653" w:val="left" w:leader="none"/>
        </w:tabs>
        <w:spacing w:line="256" w:lineRule="exact" w:before="0" w:after="0"/>
        <w:ind w:left="652" w:right="0" w:hanging="335"/>
        <w:jc w:val="left"/>
        <w:rPr>
          <w:sz w:val="24"/>
        </w:rPr>
      </w:pPr>
      <w:r>
        <w:rPr>
          <w:w w:val="130"/>
          <w:sz w:val="24"/>
        </w:rPr>
        <w:t>a bankképviselet alapításának, engedélyének</w:t>
      </w:r>
      <w:r>
        <w:rPr>
          <w:spacing w:val="-39"/>
          <w:w w:val="130"/>
          <w:sz w:val="24"/>
        </w:rPr>
        <w:t> </w:t>
      </w:r>
      <w:r>
        <w:rPr>
          <w:w w:val="130"/>
          <w:sz w:val="24"/>
        </w:rPr>
        <w:t>időpontja;</w:t>
      </w:r>
    </w:p>
    <w:p>
      <w:pPr>
        <w:pStyle w:val="ListParagraph"/>
        <w:numPr>
          <w:ilvl w:val="0"/>
          <w:numId w:val="474"/>
        </w:numPr>
        <w:tabs>
          <w:tab w:pos="623" w:val="left" w:leader="none"/>
        </w:tabs>
        <w:spacing w:line="260" w:lineRule="exact" w:before="0" w:after="0"/>
        <w:ind w:left="622" w:right="0" w:hanging="305"/>
        <w:jc w:val="left"/>
        <w:rPr>
          <w:sz w:val="24"/>
        </w:rPr>
      </w:pPr>
      <w:r>
        <w:rPr>
          <w:w w:val="130"/>
          <w:sz w:val="24"/>
        </w:rPr>
        <w:t>a bankképviselet</w:t>
      </w:r>
      <w:r>
        <w:rPr>
          <w:spacing w:val="-8"/>
          <w:w w:val="130"/>
          <w:sz w:val="24"/>
        </w:rPr>
        <w:t> </w:t>
      </w:r>
      <w:r>
        <w:rPr>
          <w:w w:val="130"/>
          <w:sz w:val="24"/>
        </w:rPr>
        <w:t>székhelye;</w:t>
      </w:r>
    </w:p>
    <w:p>
      <w:pPr>
        <w:pStyle w:val="ListParagraph"/>
        <w:numPr>
          <w:ilvl w:val="0"/>
          <w:numId w:val="474"/>
        </w:numPr>
        <w:tabs>
          <w:tab w:pos="653" w:val="left" w:leader="none"/>
        </w:tabs>
        <w:spacing w:line="260" w:lineRule="exact" w:before="0" w:after="0"/>
        <w:ind w:left="652" w:right="0" w:hanging="335"/>
        <w:jc w:val="left"/>
        <w:rPr>
          <w:sz w:val="24"/>
        </w:rPr>
      </w:pPr>
      <w:r>
        <w:rPr>
          <w:w w:val="130"/>
          <w:sz w:val="24"/>
        </w:rPr>
        <w:t>a bankképviselet vezetőjének</w:t>
      </w:r>
      <w:r>
        <w:rPr>
          <w:spacing w:val="-25"/>
          <w:w w:val="130"/>
          <w:sz w:val="24"/>
        </w:rPr>
        <w:t> </w:t>
      </w:r>
      <w:r>
        <w:rPr>
          <w:w w:val="130"/>
          <w:sz w:val="24"/>
        </w:rPr>
        <w:t>neve;</w:t>
      </w:r>
    </w:p>
    <w:p>
      <w:pPr>
        <w:pStyle w:val="ListParagraph"/>
        <w:numPr>
          <w:ilvl w:val="0"/>
          <w:numId w:val="474"/>
        </w:numPr>
        <w:tabs>
          <w:tab w:pos="629" w:val="left" w:leader="none"/>
        </w:tabs>
        <w:spacing w:line="260" w:lineRule="exact" w:before="0" w:after="0"/>
        <w:ind w:left="628" w:right="0" w:hanging="311"/>
        <w:jc w:val="left"/>
        <w:rPr>
          <w:sz w:val="24"/>
        </w:rPr>
      </w:pPr>
      <w:r>
        <w:rPr>
          <w:w w:val="130"/>
          <w:sz w:val="24"/>
        </w:rPr>
        <w:t>a bankképviselet megnyitásának</w:t>
      </w:r>
      <w:r>
        <w:rPr>
          <w:spacing w:val="-16"/>
          <w:w w:val="130"/>
          <w:sz w:val="24"/>
        </w:rPr>
        <w:t> </w:t>
      </w:r>
      <w:r>
        <w:rPr>
          <w:w w:val="130"/>
          <w:sz w:val="24"/>
        </w:rPr>
        <w:t>időpontja;</w:t>
      </w:r>
    </w:p>
    <w:p>
      <w:pPr>
        <w:pStyle w:val="ListParagraph"/>
        <w:numPr>
          <w:ilvl w:val="0"/>
          <w:numId w:val="474"/>
        </w:numPr>
        <w:tabs>
          <w:tab w:pos="577" w:val="left" w:leader="none"/>
        </w:tabs>
        <w:spacing w:line="259" w:lineRule="exact" w:before="0" w:after="0"/>
        <w:ind w:left="576" w:right="0" w:hanging="259"/>
        <w:jc w:val="left"/>
        <w:rPr>
          <w:sz w:val="24"/>
        </w:rPr>
      </w:pPr>
      <w:r>
        <w:rPr>
          <w:w w:val="125"/>
          <w:sz w:val="24"/>
        </w:rPr>
        <w:t>az </w:t>
      </w:r>
      <w:r>
        <w:rPr>
          <w:i/>
          <w:w w:val="125"/>
          <w:sz w:val="24"/>
        </w:rPr>
        <w:t>a)-d) </w:t>
      </w:r>
      <w:r>
        <w:rPr>
          <w:w w:val="125"/>
          <w:sz w:val="24"/>
        </w:rPr>
        <w:t>pontban felsorolt adatokban történt</w:t>
      </w:r>
      <w:r>
        <w:rPr>
          <w:spacing w:val="14"/>
          <w:w w:val="125"/>
          <w:sz w:val="24"/>
        </w:rPr>
        <w:t> </w:t>
      </w:r>
      <w:r>
        <w:rPr>
          <w:w w:val="125"/>
          <w:sz w:val="24"/>
        </w:rPr>
        <w:t>változások.</w:t>
      </w:r>
    </w:p>
    <w:p>
      <w:pPr>
        <w:pStyle w:val="ListParagraph"/>
        <w:numPr>
          <w:ilvl w:val="0"/>
          <w:numId w:val="458"/>
        </w:numPr>
        <w:tabs>
          <w:tab w:pos="994" w:val="left" w:leader="none"/>
        </w:tabs>
        <w:spacing w:line="225" w:lineRule="auto" w:before="5" w:after="0"/>
        <w:ind w:left="113" w:right="133" w:firstLine="204"/>
        <w:jc w:val="both"/>
        <w:rPr>
          <w:sz w:val="24"/>
        </w:rPr>
      </w:pPr>
      <w:r>
        <w:rPr>
          <w:rFonts w:ascii="Arial" w:hAnsi="Arial"/>
          <w:b/>
          <w:w w:val="125"/>
          <w:sz w:val="24"/>
        </w:rPr>
        <w:t>§ </w:t>
      </w:r>
      <w:r>
        <w:rPr>
          <w:w w:val="125"/>
          <w:sz w:val="24"/>
        </w:rPr>
        <w:t>(1) A Felügyelet ellenőrzési tevékenységének ellátása és a fogyasztók érdekeinek védelme céljából nyilvántartást vezet a közvetítőkről és  a  közvetítői alvállalkozókról. A Felügyelet a nyilvántartásban a közvetítők és a közvetítői alvállalkozók következő adatait</w:t>
      </w:r>
      <w:r>
        <w:rPr>
          <w:spacing w:val="-5"/>
          <w:w w:val="125"/>
          <w:sz w:val="24"/>
        </w:rPr>
        <w:t> </w:t>
      </w:r>
      <w:r>
        <w:rPr>
          <w:w w:val="125"/>
          <w:sz w:val="24"/>
        </w:rPr>
        <w:t>kezeli:</w:t>
      </w:r>
    </w:p>
    <w:p>
      <w:pPr>
        <w:pStyle w:val="ListParagraph"/>
        <w:numPr>
          <w:ilvl w:val="0"/>
          <w:numId w:val="475"/>
        </w:numPr>
        <w:tabs>
          <w:tab w:pos="631" w:val="left" w:leader="none"/>
        </w:tabs>
        <w:spacing w:line="257" w:lineRule="exact" w:before="0" w:after="0"/>
        <w:ind w:left="630" w:right="0" w:hanging="313"/>
        <w:jc w:val="left"/>
        <w:rPr>
          <w:sz w:val="24"/>
        </w:rPr>
      </w:pPr>
      <w:r>
        <w:rPr>
          <w:w w:val="130"/>
          <w:sz w:val="24"/>
        </w:rPr>
        <w:t>a neve,</w:t>
      </w:r>
      <w:r>
        <w:rPr>
          <w:spacing w:val="-7"/>
          <w:w w:val="130"/>
          <w:sz w:val="24"/>
        </w:rPr>
        <w:t> </w:t>
      </w:r>
      <w:r>
        <w:rPr>
          <w:w w:val="130"/>
          <w:sz w:val="24"/>
        </w:rPr>
        <w:t>székhelye,</w:t>
      </w:r>
    </w:p>
    <w:p>
      <w:pPr>
        <w:pStyle w:val="ListParagraph"/>
        <w:numPr>
          <w:ilvl w:val="0"/>
          <w:numId w:val="475"/>
        </w:numPr>
        <w:tabs>
          <w:tab w:pos="653" w:val="left" w:leader="none"/>
        </w:tabs>
        <w:spacing w:line="260" w:lineRule="exact" w:before="0" w:after="0"/>
        <w:ind w:left="652" w:right="0" w:hanging="335"/>
        <w:jc w:val="left"/>
        <w:rPr>
          <w:sz w:val="24"/>
        </w:rPr>
      </w:pPr>
      <w:r>
        <w:rPr>
          <w:w w:val="130"/>
          <w:sz w:val="24"/>
        </w:rPr>
        <w:t>a tevékenység végzésének</w:t>
      </w:r>
      <w:r>
        <w:rPr>
          <w:spacing w:val="-24"/>
          <w:w w:val="130"/>
          <w:sz w:val="24"/>
        </w:rPr>
        <w:t> </w:t>
      </w:r>
      <w:r>
        <w:rPr>
          <w:w w:val="130"/>
          <w:sz w:val="24"/>
        </w:rPr>
        <w:t>helye,</w:t>
      </w:r>
    </w:p>
    <w:p>
      <w:pPr>
        <w:pStyle w:val="ListParagraph"/>
        <w:numPr>
          <w:ilvl w:val="0"/>
          <w:numId w:val="475"/>
        </w:numPr>
        <w:tabs>
          <w:tab w:pos="626" w:val="left" w:leader="none"/>
        </w:tabs>
        <w:spacing w:line="225" w:lineRule="auto" w:before="6" w:after="0"/>
        <w:ind w:left="113" w:right="137" w:firstLine="204"/>
        <w:jc w:val="left"/>
        <w:rPr>
          <w:sz w:val="24"/>
        </w:rPr>
      </w:pPr>
      <w:r>
        <w:rPr>
          <w:w w:val="130"/>
          <w:sz w:val="24"/>
        </w:rPr>
        <w:t>a</w:t>
      </w:r>
      <w:r>
        <w:rPr>
          <w:spacing w:val="-21"/>
          <w:w w:val="130"/>
          <w:sz w:val="24"/>
        </w:rPr>
        <w:t> </w:t>
      </w:r>
      <w:r>
        <w:rPr>
          <w:w w:val="130"/>
          <w:sz w:val="24"/>
        </w:rPr>
        <w:t>tevékenység</w:t>
      </w:r>
      <w:r>
        <w:rPr>
          <w:spacing w:val="-21"/>
          <w:w w:val="130"/>
          <w:sz w:val="24"/>
        </w:rPr>
        <w:t> </w:t>
      </w:r>
      <w:r>
        <w:rPr>
          <w:w w:val="130"/>
          <w:sz w:val="24"/>
        </w:rPr>
        <w:t>engedélyezésének,</w:t>
      </w:r>
      <w:r>
        <w:rPr>
          <w:spacing w:val="-21"/>
          <w:w w:val="130"/>
          <w:sz w:val="24"/>
        </w:rPr>
        <w:t> </w:t>
      </w:r>
      <w:r>
        <w:rPr>
          <w:w w:val="130"/>
          <w:sz w:val="24"/>
        </w:rPr>
        <w:t>bejelentéshez</w:t>
      </w:r>
      <w:r>
        <w:rPr>
          <w:spacing w:val="-20"/>
          <w:w w:val="130"/>
          <w:sz w:val="24"/>
        </w:rPr>
        <w:t> </w:t>
      </w:r>
      <w:r>
        <w:rPr>
          <w:w w:val="130"/>
          <w:sz w:val="24"/>
        </w:rPr>
        <w:t>kötött</w:t>
      </w:r>
      <w:r>
        <w:rPr>
          <w:spacing w:val="-10"/>
          <w:w w:val="130"/>
          <w:sz w:val="24"/>
        </w:rPr>
        <w:t> </w:t>
      </w:r>
      <w:r>
        <w:rPr>
          <w:w w:val="130"/>
          <w:sz w:val="24"/>
        </w:rPr>
        <w:t>tevékenység</w:t>
      </w:r>
      <w:r>
        <w:rPr>
          <w:spacing w:val="-32"/>
          <w:w w:val="130"/>
          <w:sz w:val="24"/>
        </w:rPr>
        <w:t> </w:t>
      </w:r>
      <w:r>
        <w:rPr>
          <w:w w:val="130"/>
          <w:sz w:val="24"/>
        </w:rPr>
        <w:t>esetén a bejelentés</w:t>
      </w:r>
      <w:r>
        <w:rPr>
          <w:spacing w:val="-7"/>
          <w:w w:val="130"/>
          <w:sz w:val="24"/>
        </w:rPr>
        <w:t> </w:t>
      </w:r>
      <w:r>
        <w:rPr>
          <w:w w:val="130"/>
          <w:sz w:val="24"/>
        </w:rPr>
        <w:t>időpontja,</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pPr>
      <w:r>
        <w:rPr/>
        <w:pict>
          <v:line style="position:absolute;mso-position-horizontal-relative:page;mso-position-vertical-relative:paragraph;z-index:1808;mso-wrap-distance-left:0;mso-wrap-distance-right:0" from="56.693001pt,16.160395pt" to="538.583001pt,16.160395pt" stroked="true" strokeweight=".5pt" strokecolor="#000000">
            <v:stroke dashstyle="solid"/>
            <w10:wrap type="topAndBottom"/>
          </v:line>
        </w:pict>
      </w:r>
    </w:p>
    <w:p>
      <w:pPr>
        <w:pStyle w:val="ListParagraph"/>
        <w:numPr>
          <w:ilvl w:val="0"/>
          <w:numId w:val="476"/>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LXXXV.</w:t>
      </w:r>
      <w:r>
        <w:rPr>
          <w:i/>
          <w:spacing w:val="-9"/>
          <w:w w:val="125"/>
          <w:sz w:val="18"/>
        </w:rPr>
        <w:t> </w:t>
      </w:r>
      <w:r>
        <w:rPr>
          <w:i/>
          <w:w w:val="125"/>
          <w:sz w:val="18"/>
        </w:rPr>
        <w:t>törvény</w:t>
      </w:r>
      <w:r>
        <w:rPr>
          <w:i/>
          <w:spacing w:val="-9"/>
          <w:w w:val="125"/>
          <w:sz w:val="18"/>
        </w:rPr>
        <w:t> </w:t>
      </w:r>
      <w:r>
        <w:rPr>
          <w:i/>
          <w:w w:val="125"/>
          <w:sz w:val="18"/>
        </w:rPr>
        <w:t>238.</w:t>
      </w:r>
      <w:r>
        <w:rPr>
          <w:i/>
          <w:spacing w:val="-9"/>
          <w:w w:val="125"/>
          <w:sz w:val="18"/>
        </w:rPr>
        <w:t> </w:t>
      </w:r>
      <w:r>
        <w:rPr>
          <w:i/>
          <w:w w:val="125"/>
          <w:sz w:val="18"/>
        </w:rPr>
        <w:t>§</w:t>
      </w:r>
      <w:r>
        <w:rPr>
          <w:i/>
          <w:spacing w:val="-8"/>
          <w:w w:val="125"/>
          <w:sz w:val="18"/>
        </w:rPr>
        <w:t> </w:t>
      </w:r>
      <w:r>
        <w:rPr>
          <w:i/>
          <w:w w:val="125"/>
          <w:sz w:val="18"/>
        </w:rPr>
        <w:t>(2)</w:t>
      </w:r>
      <w:r>
        <w:rPr>
          <w:i/>
          <w:spacing w:val="-9"/>
          <w:w w:val="125"/>
          <w:sz w:val="18"/>
        </w:rPr>
        <w:t> </w:t>
      </w:r>
      <w:r>
        <w:rPr>
          <w:i/>
          <w:w w:val="125"/>
          <w:sz w:val="18"/>
        </w:rPr>
        <w:t>b).</w:t>
      </w:r>
    </w:p>
    <w:p>
      <w:pPr>
        <w:pStyle w:val="ListParagraph"/>
        <w:numPr>
          <w:ilvl w:val="0"/>
          <w:numId w:val="476"/>
        </w:numPr>
        <w:tabs>
          <w:tab w:pos="686" w:val="left" w:leader="none"/>
          <w:tab w:pos="687" w:val="left" w:leader="none"/>
        </w:tabs>
        <w:spacing w:line="203" w:lineRule="exact" w:before="0" w:after="0"/>
        <w:ind w:left="686" w:right="0" w:hanging="344"/>
        <w:jc w:val="left"/>
        <w:rPr>
          <w:i/>
          <w:sz w:val="18"/>
        </w:rPr>
      </w:pPr>
      <w:r>
        <w:rPr>
          <w:i/>
          <w:w w:val="125"/>
          <w:sz w:val="18"/>
        </w:rPr>
        <w:t>Módosította: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LXXXV.</w:t>
      </w:r>
      <w:r>
        <w:rPr>
          <w:i/>
          <w:spacing w:val="-9"/>
          <w:w w:val="125"/>
          <w:sz w:val="18"/>
        </w:rPr>
        <w:t> </w:t>
      </w:r>
      <w:r>
        <w:rPr>
          <w:i/>
          <w:w w:val="125"/>
          <w:sz w:val="18"/>
        </w:rPr>
        <w:t>törvény</w:t>
      </w:r>
      <w:r>
        <w:rPr>
          <w:i/>
          <w:spacing w:val="-9"/>
          <w:w w:val="125"/>
          <w:sz w:val="18"/>
        </w:rPr>
        <w:t> </w:t>
      </w:r>
      <w:r>
        <w:rPr>
          <w:i/>
          <w:w w:val="125"/>
          <w:sz w:val="18"/>
        </w:rPr>
        <w:t>238.</w:t>
      </w:r>
      <w:r>
        <w:rPr>
          <w:i/>
          <w:spacing w:val="-9"/>
          <w:w w:val="125"/>
          <w:sz w:val="18"/>
        </w:rPr>
        <w:t> </w:t>
      </w:r>
      <w:r>
        <w:rPr>
          <w:i/>
          <w:w w:val="125"/>
          <w:sz w:val="18"/>
        </w:rPr>
        <w:t>§</w:t>
      </w:r>
      <w:r>
        <w:rPr>
          <w:i/>
          <w:spacing w:val="-8"/>
          <w:w w:val="125"/>
          <w:sz w:val="18"/>
        </w:rPr>
        <w:t> </w:t>
      </w:r>
      <w:r>
        <w:rPr>
          <w:i/>
          <w:w w:val="125"/>
          <w:sz w:val="18"/>
        </w:rPr>
        <w:t>(2)</w:t>
      </w:r>
      <w:r>
        <w:rPr>
          <w:i/>
          <w:spacing w:val="-9"/>
          <w:w w:val="125"/>
          <w:sz w:val="18"/>
        </w:rPr>
        <w:t> </w:t>
      </w:r>
      <w:r>
        <w:rPr>
          <w:i/>
          <w:w w:val="125"/>
          <w:sz w:val="18"/>
        </w:rPr>
        <w:t>b).</w:t>
      </w:r>
    </w:p>
    <w:p>
      <w:pPr>
        <w:spacing w:after="0" w:line="203" w:lineRule="exact"/>
        <w:jc w:val="left"/>
        <w:rPr>
          <w:sz w:val="18"/>
        </w:rPr>
        <w:sectPr>
          <w:pgSz w:w="11900" w:h="16820"/>
          <w:pgMar w:header="1104" w:footer="0" w:top="1840" w:bottom="280" w:left="1020" w:right="1000"/>
        </w:sectPr>
      </w:pPr>
    </w:p>
    <w:p>
      <w:pPr>
        <w:pStyle w:val="ListParagraph"/>
        <w:numPr>
          <w:ilvl w:val="0"/>
          <w:numId w:val="475"/>
        </w:numPr>
        <w:tabs>
          <w:tab w:pos="567" w:val="left" w:leader="none"/>
        </w:tabs>
        <w:spacing w:line="225" w:lineRule="auto" w:before="173" w:after="0"/>
        <w:ind w:left="113" w:right="130" w:firstLine="204"/>
        <w:jc w:val="both"/>
        <w:rPr>
          <w:sz w:val="24"/>
        </w:rPr>
      </w:pPr>
      <w:r>
        <w:rPr>
          <w:i/>
          <w:w w:val="130"/>
          <w:position w:val="3"/>
          <w:sz w:val="18"/>
        </w:rPr>
        <w:t>1 </w:t>
      </w:r>
      <w:r>
        <w:rPr>
          <w:w w:val="130"/>
          <w:sz w:val="24"/>
        </w:rPr>
        <w:t>az az adat, hogy a nyilvántartásba vett kiemelt közvetítő, függő ügynök, többes</w:t>
      </w:r>
      <w:r>
        <w:rPr>
          <w:spacing w:val="-12"/>
          <w:w w:val="130"/>
          <w:sz w:val="24"/>
        </w:rPr>
        <w:t> </w:t>
      </w:r>
      <w:r>
        <w:rPr>
          <w:w w:val="130"/>
          <w:sz w:val="24"/>
        </w:rPr>
        <w:t>kiemelt</w:t>
      </w:r>
      <w:r>
        <w:rPr>
          <w:spacing w:val="-11"/>
          <w:w w:val="130"/>
          <w:sz w:val="24"/>
        </w:rPr>
        <w:t> </w:t>
      </w:r>
      <w:r>
        <w:rPr>
          <w:w w:val="130"/>
          <w:sz w:val="24"/>
        </w:rPr>
        <w:t>közvetítő,</w:t>
      </w:r>
      <w:r>
        <w:rPr>
          <w:spacing w:val="-12"/>
          <w:w w:val="130"/>
          <w:sz w:val="24"/>
        </w:rPr>
        <w:t> </w:t>
      </w:r>
      <w:r>
        <w:rPr>
          <w:w w:val="130"/>
          <w:sz w:val="24"/>
        </w:rPr>
        <w:t>többes</w:t>
      </w:r>
      <w:r>
        <w:rPr>
          <w:spacing w:val="-11"/>
          <w:w w:val="130"/>
          <w:sz w:val="24"/>
        </w:rPr>
        <w:t> </w:t>
      </w:r>
      <w:r>
        <w:rPr>
          <w:w w:val="130"/>
          <w:sz w:val="24"/>
        </w:rPr>
        <w:t>ügynök,</w:t>
      </w:r>
      <w:r>
        <w:rPr>
          <w:spacing w:val="-11"/>
          <w:w w:val="130"/>
          <w:sz w:val="24"/>
        </w:rPr>
        <w:t> </w:t>
      </w:r>
      <w:r>
        <w:rPr>
          <w:w w:val="130"/>
          <w:sz w:val="24"/>
        </w:rPr>
        <w:t>alkusz</w:t>
      </w:r>
      <w:r>
        <w:rPr>
          <w:spacing w:val="-8"/>
          <w:w w:val="130"/>
          <w:sz w:val="24"/>
        </w:rPr>
        <w:t> </w:t>
      </w:r>
      <w:r>
        <w:rPr>
          <w:w w:val="130"/>
          <w:sz w:val="24"/>
        </w:rPr>
        <w:t>vagy</w:t>
      </w:r>
      <w:r>
        <w:rPr>
          <w:spacing w:val="-15"/>
          <w:w w:val="130"/>
          <w:sz w:val="24"/>
        </w:rPr>
        <w:t> </w:t>
      </w:r>
      <w:r>
        <w:rPr>
          <w:w w:val="130"/>
          <w:sz w:val="24"/>
        </w:rPr>
        <w:t>közvetítői</w:t>
      </w:r>
      <w:r>
        <w:rPr>
          <w:spacing w:val="-11"/>
          <w:w w:val="130"/>
          <w:sz w:val="24"/>
        </w:rPr>
        <w:t> </w:t>
      </w:r>
      <w:r>
        <w:rPr>
          <w:w w:val="130"/>
          <w:sz w:val="24"/>
        </w:rPr>
        <w:t>alvállalkozó, illetve az az adat, hogy a közvetítő jelzáloghitel közvetítői tevékenységet végez, a közvetítői alvállalkozó jelzáloghitel közvetítői tevékenységet végző közvetítő</w:t>
      </w:r>
      <w:r>
        <w:rPr>
          <w:spacing w:val="-5"/>
          <w:w w:val="130"/>
          <w:sz w:val="24"/>
        </w:rPr>
        <w:t> </w:t>
      </w:r>
      <w:r>
        <w:rPr>
          <w:w w:val="130"/>
          <w:sz w:val="24"/>
        </w:rPr>
        <w:t>alvállalkozója,</w:t>
      </w:r>
    </w:p>
    <w:p>
      <w:pPr>
        <w:pStyle w:val="ListParagraph"/>
        <w:numPr>
          <w:ilvl w:val="0"/>
          <w:numId w:val="475"/>
        </w:numPr>
        <w:tabs>
          <w:tab w:pos="555" w:val="left" w:leader="none"/>
        </w:tabs>
        <w:spacing w:line="225" w:lineRule="auto" w:before="3" w:after="0"/>
        <w:ind w:left="113" w:right="134" w:firstLine="204"/>
        <w:jc w:val="both"/>
        <w:rPr>
          <w:sz w:val="24"/>
        </w:rPr>
      </w:pPr>
      <w:r>
        <w:rPr>
          <w:i/>
          <w:w w:val="125"/>
          <w:position w:val="3"/>
          <w:sz w:val="18"/>
        </w:rPr>
        <w:t>2 </w:t>
      </w:r>
      <w:r>
        <w:rPr>
          <w:w w:val="125"/>
          <w:sz w:val="24"/>
        </w:rPr>
        <w:t>a közvetítőt megbízó pénzügyi intézmény, illetve a közvetítői</w:t>
      </w:r>
      <w:r>
        <w:rPr>
          <w:spacing w:val="-42"/>
          <w:w w:val="125"/>
          <w:sz w:val="24"/>
        </w:rPr>
        <w:t> </w:t>
      </w:r>
      <w:r>
        <w:rPr>
          <w:w w:val="125"/>
          <w:sz w:val="24"/>
        </w:rPr>
        <w:t>alvállalkozót megbízó közvetítő</w:t>
      </w:r>
      <w:r>
        <w:rPr>
          <w:spacing w:val="-1"/>
          <w:w w:val="125"/>
          <w:sz w:val="24"/>
        </w:rPr>
        <w:t> </w:t>
      </w:r>
      <w:r>
        <w:rPr>
          <w:w w:val="125"/>
          <w:sz w:val="24"/>
        </w:rPr>
        <w:t>neve,</w:t>
      </w:r>
    </w:p>
    <w:p>
      <w:pPr>
        <w:pStyle w:val="ListParagraph"/>
        <w:numPr>
          <w:ilvl w:val="0"/>
          <w:numId w:val="475"/>
        </w:numPr>
        <w:tabs>
          <w:tab w:pos="504" w:val="left" w:leader="none"/>
        </w:tabs>
        <w:spacing w:line="256" w:lineRule="exact" w:before="0" w:after="0"/>
        <w:ind w:left="503" w:right="0" w:hanging="186"/>
        <w:jc w:val="left"/>
        <w:rPr>
          <w:sz w:val="24"/>
        </w:rPr>
      </w:pPr>
      <w:r>
        <w:rPr>
          <w:i/>
          <w:w w:val="130"/>
          <w:position w:val="3"/>
          <w:sz w:val="18"/>
        </w:rPr>
        <w:t>3 </w:t>
      </w:r>
      <w:r>
        <w:rPr>
          <w:w w:val="130"/>
          <w:sz w:val="24"/>
        </w:rPr>
        <w:t>a közvetített szolgáltatás</w:t>
      </w:r>
      <w:r>
        <w:rPr>
          <w:spacing w:val="2"/>
          <w:w w:val="130"/>
          <w:sz w:val="24"/>
        </w:rPr>
        <w:t> </w:t>
      </w:r>
      <w:r>
        <w:rPr>
          <w:w w:val="130"/>
          <w:sz w:val="24"/>
        </w:rPr>
        <w:t>típusa,</w:t>
      </w:r>
    </w:p>
    <w:p>
      <w:pPr>
        <w:pStyle w:val="ListParagraph"/>
        <w:numPr>
          <w:ilvl w:val="0"/>
          <w:numId w:val="475"/>
        </w:numPr>
        <w:tabs>
          <w:tab w:pos="653" w:val="left" w:leader="none"/>
        </w:tabs>
        <w:spacing w:line="253" w:lineRule="exact" w:before="0" w:after="0"/>
        <w:ind w:left="652" w:right="0" w:hanging="335"/>
        <w:jc w:val="left"/>
        <w:rPr>
          <w:sz w:val="24"/>
        </w:rPr>
      </w:pPr>
      <w:r>
        <w:rPr>
          <w:w w:val="125"/>
          <w:sz w:val="24"/>
        </w:rPr>
        <w:t>a közvetítői alvállalkozó esetén a közvetítő</w:t>
      </w:r>
      <w:r>
        <w:rPr>
          <w:spacing w:val="-11"/>
          <w:w w:val="125"/>
          <w:sz w:val="24"/>
        </w:rPr>
        <w:t> </w:t>
      </w:r>
      <w:r>
        <w:rPr>
          <w:w w:val="125"/>
          <w:sz w:val="24"/>
        </w:rPr>
        <w:t>neve,</w:t>
      </w:r>
    </w:p>
    <w:p>
      <w:pPr>
        <w:pStyle w:val="ListParagraph"/>
        <w:numPr>
          <w:ilvl w:val="0"/>
          <w:numId w:val="475"/>
        </w:numPr>
        <w:tabs>
          <w:tab w:pos="568" w:val="left" w:leader="none"/>
        </w:tabs>
        <w:spacing w:line="260" w:lineRule="exact" w:before="0" w:after="0"/>
        <w:ind w:left="567" w:right="0" w:hanging="250"/>
        <w:jc w:val="left"/>
        <w:rPr>
          <w:sz w:val="24"/>
        </w:rPr>
      </w:pPr>
      <w:r>
        <w:rPr>
          <w:i/>
          <w:w w:val="130"/>
          <w:position w:val="3"/>
          <w:sz w:val="18"/>
        </w:rPr>
        <w:t>4 </w:t>
      </w:r>
      <w:r>
        <w:rPr>
          <w:w w:val="130"/>
          <w:sz w:val="24"/>
        </w:rPr>
        <w:t>a</w:t>
      </w:r>
      <w:r>
        <w:rPr>
          <w:spacing w:val="40"/>
          <w:w w:val="130"/>
          <w:sz w:val="24"/>
        </w:rPr>
        <w:t> </w:t>
      </w:r>
      <w:r>
        <w:rPr>
          <w:w w:val="130"/>
          <w:sz w:val="24"/>
        </w:rPr>
        <w:t>független</w:t>
      </w:r>
      <w:r>
        <w:rPr>
          <w:spacing w:val="39"/>
          <w:w w:val="130"/>
          <w:sz w:val="24"/>
        </w:rPr>
        <w:t> </w:t>
      </w:r>
      <w:r>
        <w:rPr>
          <w:w w:val="130"/>
          <w:sz w:val="24"/>
        </w:rPr>
        <w:t>közvetítőnél,</w:t>
      </w:r>
      <w:r>
        <w:rPr>
          <w:spacing w:val="39"/>
          <w:w w:val="130"/>
          <w:sz w:val="24"/>
        </w:rPr>
        <w:t> </w:t>
      </w:r>
      <w:r>
        <w:rPr>
          <w:w w:val="130"/>
          <w:sz w:val="24"/>
        </w:rPr>
        <w:t>jelzáloghitel</w:t>
      </w:r>
      <w:r>
        <w:rPr>
          <w:spacing w:val="39"/>
          <w:w w:val="130"/>
          <w:sz w:val="24"/>
        </w:rPr>
        <w:t> </w:t>
      </w:r>
      <w:r>
        <w:rPr>
          <w:w w:val="130"/>
          <w:sz w:val="24"/>
        </w:rPr>
        <w:t>közvetítői</w:t>
      </w:r>
      <w:r>
        <w:rPr>
          <w:spacing w:val="39"/>
          <w:w w:val="130"/>
          <w:sz w:val="24"/>
        </w:rPr>
        <w:t> </w:t>
      </w:r>
      <w:r>
        <w:rPr>
          <w:w w:val="130"/>
          <w:sz w:val="24"/>
        </w:rPr>
        <w:t>tevékenységet</w:t>
      </w:r>
      <w:r>
        <w:rPr>
          <w:spacing w:val="39"/>
          <w:w w:val="130"/>
          <w:sz w:val="24"/>
        </w:rPr>
        <w:t> </w:t>
      </w:r>
      <w:r>
        <w:rPr>
          <w:w w:val="130"/>
          <w:sz w:val="24"/>
        </w:rPr>
        <w:t>végző</w:t>
      </w:r>
    </w:p>
    <w:p>
      <w:pPr>
        <w:pStyle w:val="BodyText"/>
        <w:spacing w:line="267" w:lineRule="exact"/>
        <w:ind w:firstLine="0"/>
      </w:pPr>
      <w:r>
        <w:rPr>
          <w:w w:val="125"/>
        </w:rPr>
        <w:t>függő közvetítőnél vezető állású személynek</w:t>
      </w:r>
    </w:p>
    <w:p>
      <w:pPr>
        <w:spacing w:line="260" w:lineRule="exact" w:before="0"/>
        <w:ind w:left="317" w:right="0" w:firstLine="0"/>
        <w:jc w:val="left"/>
        <w:rPr>
          <w:sz w:val="24"/>
        </w:rPr>
      </w:pPr>
      <w:r>
        <w:rPr>
          <w:i/>
          <w:w w:val="130"/>
          <w:sz w:val="24"/>
        </w:rPr>
        <w:t>ha) </w:t>
      </w:r>
      <w:r>
        <w:rPr>
          <w:w w:val="130"/>
          <w:sz w:val="24"/>
        </w:rPr>
        <w:t>a tisztsége,</w:t>
      </w:r>
    </w:p>
    <w:p>
      <w:pPr>
        <w:pStyle w:val="BodyText"/>
        <w:spacing w:line="225" w:lineRule="auto" w:before="5"/>
      </w:pPr>
      <w:r>
        <w:rPr>
          <w:i/>
          <w:w w:val="130"/>
        </w:rPr>
        <w:t>hb) </w:t>
      </w:r>
      <w:r>
        <w:rPr>
          <w:w w:val="130"/>
        </w:rPr>
        <w:t>a 2. </w:t>
      </w:r>
      <w:r>
        <w:rPr>
          <w:i/>
          <w:w w:val="130"/>
        </w:rPr>
        <w:t>mellékletben </w:t>
      </w:r>
      <w:r>
        <w:rPr>
          <w:w w:val="130"/>
        </w:rPr>
        <w:t>meghatározott azonosító adatai közül a vezető állású személy neve, születési helye, ideje és anyja neve,</w:t>
      </w:r>
    </w:p>
    <w:p>
      <w:pPr>
        <w:pStyle w:val="ListParagraph"/>
        <w:numPr>
          <w:ilvl w:val="0"/>
          <w:numId w:val="475"/>
        </w:numPr>
        <w:tabs>
          <w:tab w:pos="490" w:val="left" w:leader="none"/>
        </w:tabs>
        <w:spacing w:line="249" w:lineRule="exact" w:before="0" w:after="0"/>
        <w:ind w:left="489" w:right="0" w:hanging="172"/>
        <w:jc w:val="left"/>
        <w:rPr>
          <w:sz w:val="24"/>
        </w:rPr>
      </w:pPr>
      <w:r>
        <w:rPr>
          <w:i/>
          <w:w w:val="125"/>
          <w:position w:val="3"/>
          <w:sz w:val="18"/>
        </w:rPr>
        <w:t>5 </w:t>
      </w:r>
      <w:r>
        <w:rPr>
          <w:w w:val="125"/>
          <w:sz w:val="24"/>
        </w:rPr>
        <w:t>a</w:t>
      </w:r>
      <w:r>
        <w:rPr>
          <w:spacing w:val="20"/>
          <w:w w:val="125"/>
          <w:sz w:val="24"/>
        </w:rPr>
        <w:t> </w:t>
      </w:r>
      <w:r>
        <w:rPr>
          <w:w w:val="125"/>
          <w:sz w:val="24"/>
        </w:rPr>
        <w:t>288.</w:t>
      </w:r>
      <w:r>
        <w:rPr>
          <w:spacing w:val="19"/>
          <w:w w:val="125"/>
          <w:sz w:val="24"/>
        </w:rPr>
        <w:t> </w:t>
      </w:r>
      <w:r>
        <w:rPr>
          <w:w w:val="125"/>
          <w:sz w:val="24"/>
        </w:rPr>
        <w:t>§</w:t>
      </w:r>
      <w:r>
        <w:rPr>
          <w:spacing w:val="20"/>
          <w:w w:val="125"/>
          <w:sz w:val="24"/>
        </w:rPr>
        <w:t> </w:t>
      </w:r>
      <w:r>
        <w:rPr>
          <w:w w:val="125"/>
          <w:sz w:val="24"/>
        </w:rPr>
        <w:t>(15)</w:t>
      </w:r>
      <w:r>
        <w:rPr>
          <w:spacing w:val="20"/>
          <w:w w:val="125"/>
          <w:sz w:val="24"/>
        </w:rPr>
        <w:t> </w:t>
      </w:r>
      <w:r>
        <w:rPr>
          <w:w w:val="125"/>
          <w:sz w:val="24"/>
        </w:rPr>
        <w:t>bekezdésben</w:t>
      </w:r>
      <w:r>
        <w:rPr>
          <w:spacing w:val="19"/>
          <w:w w:val="125"/>
          <w:sz w:val="24"/>
        </w:rPr>
        <w:t> </w:t>
      </w:r>
      <w:r>
        <w:rPr>
          <w:w w:val="125"/>
          <w:sz w:val="24"/>
        </w:rPr>
        <w:t>meghatározott</w:t>
      </w:r>
      <w:r>
        <w:rPr>
          <w:spacing w:val="20"/>
          <w:w w:val="125"/>
          <w:sz w:val="24"/>
        </w:rPr>
        <w:t> </w:t>
      </w:r>
      <w:r>
        <w:rPr>
          <w:w w:val="125"/>
          <w:sz w:val="24"/>
        </w:rPr>
        <w:t>fogyasztóvédelmi</w:t>
      </w:r>
      <w:r>
        <w:rPr>
          <w:spacing w:val="19"/>
          <w:w w:val="125"/>
          <w:sz w:val="24"/>
        </w:rPr>
        <w:t> </w:t>
      </w:r>
      <w:r>
        <w:rPr>
          <w:w w:val="125"/>
          <w:sz w:val="24"/>
        </w:rPr>
        <w:t>ügyekért</w:t>
      </w:r>
    </w:p>
    <w:p>
      <w:pPr>
        <w:pStyle w:val="BodyText"/>
        <w:spacing w:line="225" w:lineRule="auto" w:before="12"/>
        <w:ind w:firstLine="0"/>
      </w:pPr>
      <w:r>
        <w:rPr>
          <w:w w:val="130"/>
        </w:rPr>
        <w:t>felelős kapcsolattartó azonosító adatai közül a neve, postai és elektronikus</w:t>
      </w:r>
      <w:r>
        <w:rPr>
          <w:spacing w:val="78"/>
          <w:w w:val="130"/>
        </w:rPr>
        <w:t> </w:t>
      </w:r>
      <w:r>
        <w:rPr>
          <w:w w:val="130"/>
        </w:rPr>
        <w:t>elérhetősége,</w:t>
      </w:r>
    </w:p>
    <w:p>
      <w:pPr>
        <w:pStyle w:val="ListParagraph"/>
        <w:numPr>
          <w:ilvl w:val="0"/>
          <w:numId w:val="475"/>
        </w:numPr>
        <w:tabs>
          <w:tab w:pos="487" w:val="left" w:leader="none"/>
        </w:tabs>
        <w:spacing w:line="249" w:lineRule="exact" w:before="0" w:after="0"/>
        <w:ind w:left="486" w:right="0" w:hanging="169"/>
        <w:jc w:val="left"/>
        <w:rPr>
          <w:sz w:val="24"/>
        </w:rPr>
      </w:pPr>
      <w:r>
        <w:rPr>
          <w:i/>
          <w:w w:val="125"/>
          <w:position w:val="3"/>
          <w:sz w:val="18"/>
        </w:rPr>
        <w:t>6 </w:t>
      </w:r>
      <w:r>
        <w:rPr>
          <w:w w:val="125"/>
          <w:sz w:val="24"/>
        </w:rPr>
        <w:t>azon EGT-államok, amelyben a jelzáloghitel közvetítői</w:t>
      </w:r>
      <w:r>
        <w:rPr>
          <w:spacing w:val="71"/>
          <w:w w:val="125"/>
          <w:sz w:val="24"/>
        </w:rPr>
        <w:t> </w:t>
      </w:r>
      <w:r>
        <w:rPr>
          <w:w w:val="125"/>
          <w:sz w:val="24"/>
        </w:rPr>
        <w:t>tevékenységet</w:t>
      </w:r>
    </w:p>
    <w:p>
      <w:pPr>
        <w:pStyle w:val="BodyText"/>
        <w:spacing w:line="267" w:lineRule="exact"/>
        <w:ind w:firstLine="0"/>
      </w:pPr>
      <w:r>
        <w:rPr>
          <w:w w:val="125"/>
        </w:rPr>
        <w:t>végző fióktelepet létesített vagy határon átnyúló szolgáltatást végez.</w:t>
      </w:r>
    </w:p>
    <w:p>
      <w:pPr>
        <w:pStyle w:val="ListParagraph"/>
        <w:numPr>
          <w:ilvl w:val="0"/>
          <w:numId w:val="477"/>
        </w:numPr>
        <w:tabs>
          <w:tab w:pos="808" w:val="left" w:leader="none"/>
        </w:tabs>
        <w:spacing w:line="225" w:lineRule="auto" w:before="5" w:after="0"/>
        <w:ind w:left="113" w:right="131" w:firstLine="204"/>
        <w:jc w:val="both"/>
        <w:rPr>
          <w:sz w:val="24"/>
        </w:rPr>
      </w:pPr>
      <w:r>
        <w:rPr>
          <w:w w:val="130"/>
          <w:sz w:val="24"/>
        </w:rPr>
        <w:t>A Felügyelet az (1) bekezdésben meghatározott adatok változását az</w:t>
      </w:r>
      <w:r>
        <w:rPr>
          <w:spacing w:val="78"/>
          <w:w w:val="130"/>
          <w:sz w:val="24"/>
        </w:rPr>
        <w:t> </w:t>
      </w:r>
      <w:r>
        <w:rPr>
          <w:w w:val="130"/>
          <w:sz w:val="24"/>
        </w:rPr>
        <w:t>adatváltozás</w:t>
      </w:r>
      <w:r>
        <w:rPr>
          <w:spacing w:val="-21"/>
          <w:w w:val="130"/>
          <w:sz w:val="24"/>
        </w:rPr>
        <w:t> </w:t>
      </w:r>
      <w:r>
        <w:rPr>
          <w:w w:val="130"/>
          <w:sz w:val="24"/>
        </w:rPr>
        <w:t>bejelentését</w:t>
      </w:r>
      <w:r>
        <w:rPr>
          <w:spacing w:val="-19"/>
          <w:w w:val="130"/>
          <w:sz w:val="24"/>
        </w:rPr>
        <w:t> </w:t>
      </w:r>
      <w:r>
        <w:rPr>
          <w:w w:val="130"/>
          <w:sz w:val="24"/>
        </w:rPr>
        <w:t>követően</w:t>
      </w:r>
      <w:r>
        <w:rPr>
          <w:spacing w:val="-20"/>
          <w:w w:val="130"/>
          <w:sz w:val="24"/>
        </w:rPr>
        <w:t> </w:t>
      </w:r>
      <w:r>
        <w:rPr>
          <w:w w:val="130"/>
          <w:sz w:val="24"/>
        </w:rPr>
        <w:t>haladéktalanul</w:t>
      </w:r>
      <w:r>
        <w:rPr>
          <w:spacing w:val="-19"/>
          <w:w w:val="130"/>
          <w:sz w:val="24"/>
        </w:rPr>
        <w:t> </w:t>
      </w:r>
      <w:r>
        <w:rPr>
          <w:w w:val="130"/>
          <w:sz w:val="24"/>
        </w:rPr>
        <w:t>átvezeti</w:t>
      </w:r>
      <w:r>
        <w:rPr>
          <w:spacing w:val="-20"/>
          <w:w w:val="130"/>
          <w:sz w:val="24"/>
        </w:rPr>
        <w:t> </w:t>
      </w:r>
      <w:r>
        <w:rPr>
          <w:w w:val="130"/>
          <w:sz w:val="24"/>
        </w:rPr>
        <w:t>a</w:t>
      </w:r>
      <w:r>
        <w:rPr>
          <w:spacing w:val="-20"/>
          <w:w w:val="130"/>
          <w:sz w:val="24"/>
        </w:rPr>
        <w:t> </w:t>
      </w:r>
      <w:r>
        <w:rPr>
          <w:w w:val="130"/>
          <w:sz w:val="24"/>
        </w:rPr>
        <w:t>nyilvántartáson.</w:t>
      </w:r>
    </w:p>
    <w:p>
      <w:pPr>
        <w:pStyle w:val="ListParagraph"/>
        <w:numPr>
          <w:ilvl w:val="0"/>
          <w:numId w:val="477"/>
        </w:numPr>
        <w:tabs>
          <w:tab w:pos="659" w:val="left" w:leader="none"/>
        </w:tabs>
        <w:spacing w:line="225" w:lineRule="auto" w:before="1" w:after="0"/>
        <w:ind w:left="113" w:right="126" w:firstLine="204"/>
        <w:jc w:val="both"/>
        <w:rPr>
          <w:sz w:val="24"/>
        </w:rPr>
      </w:pPr>
      <w:r>
        <w:rPr>
          <w:i/>
          <w:w w:val="125"/>
          <w:position w:val="3"/>
          <w:sz w:val="18"/>
        </w:rPr>
        <w:t>7 </w:t>
      </w:r>
      <w:r>
        <w:rPr>
          <w:w w:val="125"/>
          <w:sz w:val="24"/>
        </w:rPr>
        <w:t>Az (1) bekezdés </w:t>
      </w:r>
      <w:r>
        <w:rPr>
          <w:i/>
          <w:w w:val="125"/>
          <w:sz w:val="24"/>
        </w:rPr>
        <w:t>a)-g) </w:t>
      </w:r>
      <w:r>
        <w:rPr>
          <w:w w:val="125"/>
          <w:sz w:val="24"/>
        </w:rPr>
        <w:t>és </w:t>
      </w:r>
      <w:r>
        <w:rPr>
          <w:i/>
          <w:w w:val="125"/>
          <w:sz w:val="24"/>
        </w:rPr>
        <w:t>j) </w:t>
      </w:r>
      <w:r>
        <w:rPr>
          <w:w w:val="125"/>
          <w:sz w:val="24"/>
        </w:rPr>
        <w:t>pontja szerinti adatot, továbbá a vezető állású személy (1) bekezdés </w:t>
      </w:r>
      <w:r>
        <w:rPr>
          <w:i/>
          <w:w w:val="125"/>
          <w:sz w:val="24"/>
        </w:rPr>
        <w:t>h) </w:t>
      </w:r>
      <w:r>
        <w:rPr>
          <w:w w:val="125"/>
          <w:sz w:val="24"/>
        </w:rPr>
        <w:t>pont </w:t>
      </w:r>
      <w:r>
        <w:rPr>
          <w:i/>
          <w:w w:val="125"/>
          <w:sz w:val="24"/>
        </w:rPr>
        <w:t>ha) </w:t>
      </w:r>
      <w:r>
        <w:rPr>
          <w:w w:val="125"/>
          <w:sz w:val="24"/>
        </w:rPr>
        <w:t>alpontja szerinti adatait és </w:t>
      </w:r>
      <w:r>
        <w:rPr>
          <w:i/>
          <w:w w:val="125"/>
          <w:sz w:val="24"/>
        </w:rPr>
        <w:t>hb) </w:t>
      </w:r>
      <w:r>
        <w:rPr>
          <w:w w:val="125"/>
          <w:sz w:val="24"/>
        </w:rPr>
        <w:t>alpontban foglalt adatok közül a nevét a Felügyelet a honlapján  bárki  számára elérhetően, napra készen</w:t>
      </w:r>
      <w:r>
        <w:rPr>
          <w:spacing w:val="4"/>
          <w:w w:val="125"/>
          <w:sz w:val="24"/>
        </w:rPr>
        <w:t> </w:t>
      </w:r>
      <w:r>
        <w:rPr>
          <w:w w:val="125"/>
          <w:sz w:val="24"/>
        </w:rPr>
        <w:t>közzéteszi.</w:t>
      </w:r>
    </w:p>
    <w:p>
      <w:pPr>
        <w:pStyle w:val="ListParagraph"/>
        <w:numPr>
          <w:ilvl w:val="0"/>
          <w:numId w:val="458"/>
        </w:numPr>
        <w:tabs>
          <w:tab w:pos="1108" w:val="left" w:leader="none"/>
        </w:tabs>
        <w:spacing w:line="225" w:lineRule="auto" w:before="2" w:after="0"/>
        <w:ind w:left="113" w:right="128" w:firstLine="204"/>
        <w:jc w:val="both"/>
        <w:rPr>
          <w:sz w:val="24"/>
        </w:rPr>
      </w:pPr>
      <w:r>
        <w:rPr>
          <w:rFonts w:ascii="Arial" w:hAnsi="Arial"/>
          <w:b/>
          <w:w w:val="125"/>
          <w:sz w:val="24"/>
        </w:rPr>
        <w:t>§ </w:t>
      </w:r>
      <w:r>
        <w:rPr>
          <w:w w:val="125"/>
          <w:sz w:val="24"/>
        </w:rPr>
        <w:t>(1) A Felügyelet a pénzügyi közvetítő rendszer felügyeletével kapcsolatos feladatai ellátása céljából banktitkot, üzleti titkot és egyéb adatot vagy információt kizárólag a 161. § (2) és (3) bekezdésben megjelölt szerveknek - törvényben meghatározott feladataik ellátásához szükséges mértékben - , valamint nemzetközi együttműködési megállapodásban foglaltak szerint</w:t>
      </w:r>
      <w:r>
        <w:rPr>
          <w:spacing w:val="1"/>
          <w:w w:val="125"/>
          <w:sz w:val="24"/>
        </w:rPr>
        <w:t> </w:t>
      </w:r>
      <w:r>
        <w:rPr>
          <w:w w:val="125"/>
          <w:sz w:val="24"/>
        </w:rPr>
        <w:t>szolgáltathat.</w:t>
      </w:r>
    </w:p>
    <w:p>
      <w:pPr>
        <w:pStyle w:val="BodyText"/>
        <w:spacing w:line="225" w:lineRule="auto" w:before="3"/>
        <w:ind w:right="119"/>
        <w:jc w:val="both"/>
      </w:pPr>
      <w:r>
        <w:rPr>
          <w:w w:val="125"/>
        </w:rPr>
        <w:t>(2) A külföldi felügyeleti hatóságtól származó banktitoknak vagy üzleti titoknak minősülő adatot és információt a Felügyelet nem közölheti harmadik féllel. Az ilyen adatot kizárólag a külföldi felügyeleti hatósággal kötött együttműködési megállapodásban foglaltak szerint kezelheti és az érintett külföldi felügyelet hozzájárulásával továbbíthatja. Nem jelenti a banktitok és üzleti titok sérelmét az MNB tv. szerinti ellenőrzési eljárás során az összevont alapú felügyelet esetében a csoportvizsgálati jelentésnek a pénzügyi csoport irányító tagja részére történő átadása.</w:t>
      </w:r>
    </w:p>
    <w:p>
      <w:pPr>
        <w:pStyle w:val="ListParagraph"/>
        <w:numPr>
          <w:ilvl w:val="0"/>
          <w:numId w:val="458"/>
        </w:numPr>
        <w:tabs>
          <w:tab w:pos="1108" w:val="left" w:leader="none"/>
        </w:tabs>
        <w:spacing w:line="225" w:lineRule="auto" w:before="4" w:after="0"/>
        <w:ind w:left="113" w:right="128" w:firstLine="204"/>
        <w:jc w:val="both"/>
        <w:rPr>
          <w:sz w:val="24"/>
        </w:rPr>
      </w:pPr>
      <w:r>
        <w:rPr>
          <w:rFonts w:ascii="Arial" w:hAnsi="Arial"/>
          <w:b/>
          <w:w w:val="125"/>
          <w:sz w:val="24"/>
        </w:rPr>
        <w:t>§ </w:t>
      </w:r>
      <w:r>
        <w:rPr>
          <w:w w:val="125"/>
          <w:sz w:val="24"/>
        </w:rPr>
        <w:t>(1) A Felügyelet a pénzügyi közvetítő rendszer felügyeletével kapcsolatos feladatai ellátása céljából a 200-202. §-ban  meghatározott, valamint az általa elrendelt adatszolgáltatások alapján</w:t>
      </w:r>
      <w:r>
        <w:rPr>
          <w:spacing w:val="37"/>
          <w:w w:val="125"/>
          <w:sz w:val="24"/>
        </w:rPr>
        <w:t> </w:t>
      </w:r>
      <w:r>
        <w:rPr>
          <w:w w:val="125"/>
          <w:sz w:val="24"/>
        </w:rPr>
        <w:t>nyilvántartja:</w:t>
      </w:r>
    </w:p>
    <w:p>
      <w:pPr>
        <w:pStyle w:val="ListParagraph"/>
        <w:numPr>
          <w:ilvl w:val="0"/>
          <w:numId w:val="478"/>
        </w:numPr>
        <w:tabs>
          <w:tab w:pos="658" w:val="left" w:leader="none"/>
        </w:tabs>
        <w:spacing w:line="225" w:lineRule="auto" w:before="1" w:after="0"/>
        <w:ind w:left="113" w:right="128" w:firstLine="204"/>
        <w:jc w:val="both"/>
        <w:rPr>
          <w:sz w:val="24"/>
        </w:rPr>
      </w:pPr>
      <w:r>
        <w:rPr>
          <w:w w:val="130"/>
          <w:sz w:val="24"/>
        </w:rPr>
        <w:t>a</w:t>
      </w:r>
      <w:r>
        <w:rPr>
          <w:spacing w:val="-27"/>
          <w:w w:val="130"/>
          <w:sz w:val="24"/>
        </w:rPr>
        <w:t> </w:t>
      </w:r>
      <w:r>
        <w:rPr>
          <w:w w:val="130"/>
          <w:sz w:val="24"/>
        </w:rPr>
        <w:t>pénzügyi</w:t>
      </w:r>
      <w:r>
        <w:rPr>
          <w:spacing w:val="-19"/>
          <w:w w:val="130"/>
          <w:sz w:val="24"/>
        </w:rPr>
        <w:t> </w:t>
      </w:r>
      <w:r>
        <w:rPr>
          <w:w w:val="130"/>
          <w:sz w:val="24"/>
        </w:rPr>
        <w:t>intézményeket,</w:t>
      </w:r>
      <w:r>
        <w:rPr>
          <w:spacing w:val="-33"/>
          <w:w w:val="130"/>
          <w:sz w:val="24"/>
        </w:rPr>
        <w:t> </w:t>
      </w:r>
      <w:r>
        <w:rPr>
          <w:w w:val="130"/>
          <w:sz w:val="24"/>
        </w:rPr>
        <w:t>bankképviseleteket,</w:t>
      </w:r>
      <w:r>
        <w:rPr>
          <w:spacing w:val="-29"/>
          <w:w w:val="130"/>
          <w:sz w:val="24"/>
        </w:rPr>
        <w:t> </w:t>
      </w:r>
      <w:r>
        <w:rPr>
          <w:w w:val="130"/>
          <w:sz w:val="24"/>
        </w:rPr>
        <w:t>járulékos</w:t>
      </w:r>
      <w:r>
        <w:rPr>
          <w:spacing w:val="-26"/>
          <w:w w:val="130"/>
          <w:sz w:val="24"/>
        </w:rPr>
        <w:t> </w:t>
      </w:r>
      <w:r>
        <w:rPr>
          <w:w w:val="130"/>
          <w:sz w:val="24"/>
        </w:rPr>
        <w:t>vállalkozásokat, a</w:t>
      </w:r>
      <w:r>
        <w:rPr>
          <w:spacing w:val="-4"/>
          <w:w w:val="130"/>
          <w:sz w:val="24"/>
        </w:rPr>
        <w:t> </w:t>
      </w:r>
      <w:r>
        <w:rPr>
          <w:w w:val="130"/>
          <w:sz w:val="24"/>
        </w:rPr>
        <w:t>közvetítőket,</w:t>
      </w:r>
    </w:p>
    <w:p>
      <w:pPr>
        <w:pStyle w:val="ListParagraph"/>
        <w:numPr>
          <w:ilvl w:val="0"/>
          <w:numId w:val="478"/>
        </w:numPr>
        <w:tabs>
          <w:tab w:pos="653" w:val="left" w:leader="none"/>
        </w:tabs>
        <w:spacing w:line="264" w:lineRule="exact" w:before="0" w:after="0"/>
        <w:ind w:left="652" w:right="0" w:hanging="335"/>
        <w:jc w:val="left"/>
        <w:rPr>
          <w:sz w:val="24"/>
        </w:rPr>
      </w:pPr>
      <w:r>
        <w:rPr>
          <w:w w:val="125"/>
          <w:sz w:val="24"/>
        </w:rPr>
        <w:t>a kiegészítő pénzügyi szolgáltatást végző</w:t>
      </w:r>
      <w:r>
        <w:rPr>
          <w:spacing w:val="-6"/>
          <w:w w:val="125"/>
          <w:sz w:val="24"/>
        </w:rPr>
        <w:t> </w:t>
      </w:r>
      <w:r>
        <w:rPr>
          <w:w w:val="125"/>
          <w:sz w:val="24"/>
        </w:rPr>
        <w:t>vállalkozásokat,</w:t>
      </w:r>
    </w:p>
    <w:p>
      <w:pPr>
        <w:pStyle w:val="BodyText"/>
        <w:ind w:left="0" w:firstLine="0"/>
        <w:rPr>
          <w:sz w:val="20"/>
        </w:rPr>
      </w:pPr>
    </w:p>
    <w:p>
      <w:pPr>
        <w:pStyle w:val="BodyText"/>
        <w:spacing w:before="2"/>
        <w:ind w:left="0" w:firstLine="0"/>
        <w:rPr>
          <w:sz w:val="16"/>
        </w:rPr>
      </w:pPr>
      <w:r>
        <w:rPr/>
        <w:pict>
          <v:line style="position:absolute;mso-position-horizontal-relative:page;mso-position-vertical-relative:paragraph;z-index:1832;mso-wrap-distance-left:0;mso-wrap-distance-right:0" from="56.693001pt,11.518903pt" to="538.583001pt,11.518903pt" stroked="true" strokeweight=".5pt" strokecolor="#000000">
            <v:stroke dashstyle="solid"/>
            <w10:wrap type="topAndBottom"/>
          </v:line>
        </w:pict>
      </w:r>
    </w:p>
    <w:p>
      <w:pPr>
        <w:pStyle w:val="ListParagraph"/>
        <w:numPr>
          <w:ilvl w:val="0"/>
          <w:numId w:val="479"/>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137.</w:t>
      </w:r>
      <w:r>
        <w:rPr>
          <w:i/>
          <w:spacing w:val="-12"/>
          <w:w w:val="125"/>
          <w:sz w:val="18"/>
        </w:rPr>
        <w:t> </w:t>
      </w:r>
      <w:r>
        <w:rPr>
          <w:i/>
          <w:w w:val="125"/>
          <w:sz w:val="18"/>
        </w:rPr>
        <w:t>§</w:t>
      </w:r>
      <w:r>
        <w:rPr>
          <w:i/>
          <w:spacing w:val="-12"/>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479"/>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2"/>
          <w:w w:val="125"/>
          <w:sz w:val="18"/>
        </w:rPr>
        <w:t> </w:t>
      </w:r>
      <w:r>
        <w:rPr>
          <w:i/>
          <w:w w:val="125"/>
          <w:sz w:val="18"/>
        </w:rPr>
        <w:t>évi</w:t>
      </w:r>
      <w:r>
        <w:rPr>
          <w:i/>
          <w:spacing w:val="-12"/>
          <w:w w:val="125"/>
          <w:sz w:val="18"/>
        </w:rPr>
        <w:t> </w:t>
      </w:r>
      <w:r>
        <w:rPr>
          <w:i/>
          <w:w w:val="125"/>
          <w:sz w:val="18"/>
        </w:rPr>
        <w:t>CCXV.</w:t>
      </w:r>
      <w:r>
        <w:rPr>
          <w:i/>
          <w:spacing w:val="-12"/>
          <w:w w:val="125"/>
          <w:sz w:val="18"/>
        </w:rPr>
        <w:t> </w:t>
      </w:r>
      <w:r>
        <w:rPr>
          <w:i/>
          <w:w w:val="125"/>
          <w:sz w:val="18"/>
        </w:rPr>
        <w:t>törvény</w:t>
      </w:r>
      <w:r>
        <w:rPr>
          <w:i/>
          <w:spacing w:val="-11"/>
          <w:w w:val="125"/>
          <w:sz w:val="18"/>
        </w:rPr>
        <w:t> </w:t>
      </w:r>
      <w:r>
        <w:rPr>
          <w:i/>
          <w:w w:val="125"/>
          <w:sz w:val="18"/>
        </w:rPr>
        <w:t>137.</w:t>
      </w:r>
      <w:r>
        <w:rPr>
          <w:i/>
          <w:spacing w:val="-12"/>
          <w:w w:val="125"/>
          <w:sz w:val="18"/>
        </w:rPr>
        <w:t> </w:t>
      </w:r>
      <w:r>
        <w:rPr>
          <w:i/>
          <w:w w:val="125"/>
          <w:sz w:val="18"/>
        </w:rPr>
        <w:t>§</w:t>
      </w:r>
      <w:r>
        <w:rPr>
          <w:i/>
          <w:spacing w:val="-12"/>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III.</w:t>
      </w:r>
      <w:r>
        <w:rPr>
          <w:i/>
          <w:spacing w:val="-11"/>
          <w:w w:val="125"/>
          <w:sz w:val="18"/>
        </w:rPr>
        <w:t> </w:t>
      </w:r>
      <w:r>
        <w:rPr>
          <w:i/>
          <w:w w:val="125"/>
          <w:sz w:val="18"/>
        </w:rPr>
        <w:t>21-től.</w:t>
      </w:r>
    </w:p>
    <w:p>
      <w:pPr>
        <w:pStyle w:val="ListParagraph"/>
        <w:numPr>
          <w:ilvl w:val="0"/>
          <w:numId w:val="479"/>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217. § (1). Hatályos: 2015. VII.</w:t>
      </w:r>
      <w:r>
        <w:rPr>
          <w:i/>
          <w:spacing w:val="-30"/>
          <w:w w:val="125"/>
          <w:sz w:val="18"/>
        </w:rPr>
        <w:t> </w:t>
      </w:r>
      <w:r>
        <w:rPr>
          <w:i/>
          <w:w w:val="125"/>
          <w:sz w:val="18"/>
        </w:rPr>
        <w:t>7-től.</w:t>
      </w:r>
    </w:p>
    <w:p>
      <w:pPr>
        <w:pStyle w:val="ListParagraph"/>
        <w:numPr>
          <w:ilvl w:val="0"/>
          <w:numId w:val="479"/>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137. § (2). Hatályos: 2016. III.</w:t>
      </w:r>
      <w:r>
        <w:rPr>
          <w:i/>
          <w:spacing w:val="-28"/>
          <w:w w:val="125"/>
          <w:sz w:val="18"/>
        </w:rPr>
        <w:t> </w:t>
      </w:r>
      <w:r>
        <w:rPr>
          <w:i/>
          <w:w w:val="125"/>
          <w:sz w:val="18"/>
        </w:rPr>
        <w:t>21-től.</w:t>
      </w:r>
    </w:p>
    <w:p>
      <w:pPr>
        <w:pStyle w:val="ListParagraph"/>
        <w:numPr>
          <w:ilvl w:val="0"/>
          <w:numId w:val="479"/>
        </w:numPr>
        <w:tabs>
          <w:tab w:pos="686" w:val="left" w:leader="none"/>
          <w:tab w:pos="687" w:val="left" w:leader="none"/>
        </w:tabs>
        <w:spacing w:line="232" w:lineRule="auto" w:before="2" w:after="0"/>
        <w:ind w:left="342" w:right="2526" w:firstLine="0"/>
        <w:jc w:val="left"/>
        <w:rPr>
          <w:i/>
          <w:sz w:val="18"/>
        </w:rPr>
      </w:pPr>
      <w:r>
        <w:rPr>
          <w:i/>
          <w:w w:val="120"/>
          <w:sz w:val="18"/>
        </w:rPr>
        <w:t>Beiktatta: 2015. évi LXXXV. törvény 217. § (2). Hatályos: 2015. VII. 7-től.  6</w:t>
        <w:tab/>
        <w:t>Beiktatta:</w:t>
      </w:r>
      <w:r>
        <w:rPr>
          <w:i/>
          <w:spacing w:val="12"/>
          <w:w w:val="120"/>
          <w:sz w:val="18"/>
        </w:rPr>
        <w:t> </w:t>
      </w:r>
      <w:r>
        <w:rPr>
          <w:i/>
          <w:w w:val="120"/>
          <w:sz w:val="18"/>
        </w:rPr>
        <w:t>2015.</w:t>
      </w:r>
      <w:r>
        <w:rPr>
          <w:i/>
          <w:spacing w:val="13"/>
          <w:w w:val="120"/>
          <w:sz w:val="18"/>
        </w:rPr>
        <w:t> </w:t>
      </w:r>
      <w:r>
        <w:rPr>
          <w:i/>
          <w:w w:val="120"/>
          <w:sz w:val="18"/>
        </w:rPr>
        <w:t>évi</w:t>
      </w:r>
      <w:r>
        <w:rPr>
          <w:i/>
          <w:spacing w:val="13"/>
          <w:w w:val="120"/>
          <w:sz w:val="18"/>
        </w:rPr>
        <w:t> </w:t>
      </w:r>
      <w:r>
        <w:rPr>
          <w:i/>
          <w:w w:val="120"/>
          <w:sz w:val="18"/>
        </w:rPr>
        <w:t>CCXV.</w:t>
      </w:r>
      <w:r>
        <w:rPr>
          <w:i/>
          <w:spacing w:val="14"/>
          <w:w w:val="120"/>
          <w:sz w:val="18"/>
        </w:rPr>
        <w:t> </w:t>
      </w:r>
      <w:r>
        <w:rPr>
          <w:i/>
          <w:w w:val="120"/>
          <w:sz w:val="18"/>
        </w:rPr>
        <w:t>törvény</w:t>
      </w:r>
      <w:r>
        <w:rPr>
          <w:i/>
          <w:spacing w:val="13"/>
          <w:w w:val="120"/>
          <w:sz w:val="18"/>
        </w:rPr>
        <w:t> </w:t>
      </w:r>
      <w:r>
        <w:rPr>
          <w:i/>
          <w:w w:val="120"/>
          <w:sz w:val="18"/>
        </w:rPr>
        <w:t>137.</w:t>
      </w:r>
      <w:r>
        <w:rPr>
          <w:i/>
          <w:spacing w:val="13"/>
          <w:w w:val="120"/>
          <w:sz w:val="18"/>
        </w:rPr>
        <w:t> </w:t>
      </w:r>
      <w:r>
        <w:rPr>
          <w:i/>
          <w:w w:val="120"/>
          <w:sz w:val="18"/>
        </w:rPr>
        <w:t>§</w:t>
      </w:r>
      <w:r>
        <w:rPr>
          <w:i/>
          <w:spacing w:val="14"/>
          <w:w w:val="120"/>
          <w:sz w:val="18"/>
        </w:rPr>
        <w:t> </w:t>
      </w:r>
      <w:r>
        <w:rPr>
          <w:i/>
          <w:w w:val="120"/>
          <w:sz w:val="18"/>
        </w:rPr>
        <w:t>(3).</w:t>
      </w:r>
      <w:r>
        <w:rPr>
          <w:i/>
          <w:spacing w:val="13"/>
          <w:w w:val="120"/>
          <w:sz w:val="18"/>
        </w:rPr>
        <w:t> </w:t>
      </w:r>
      <w:r>
        <w:rPr>
          <w:i/>
          <w:w w:val="120"/>
          <w:sz w:val="18"/>
        </w:rPr>
        <w:t>Hatályos:</w:t>
      </w:r>
      <w:r>
        <w:rPr>
          <w:i/>
          <w:spacing w:val="14"/>
          <w:w w:val="120"/>
          <w:sz w:val="18"/>
        </w:rPr>
        <w:t> </w:t>
      </w:r>
      <w:r>
        <w:rPr>
          <w:i/>
          <w:w w:val="120"/>
          <w:sz w:val="18"/>
        </w:rPr>
        <w:t>2016.</w:t>
      </w:r>
      <w:r>
        <w:rPr>
          <w:i/>
          <w:spacing w:val="13"/>
          <w:w w:val="120"/>
          <w:sz w:val="18"/>
        </w:rPr>
        <w:t> </w:t>
      </w:r>
      <w:r>
        <w:rPr>
          <w:i/>
          <w:w w:val="120"/>
          <w:sz w:val="18"/>
        </w:rPr>
        <w:t>III.</w:t>
      </w:r>
      <w:r>
        <w:rPr>
          <w:i/>
          <w:spacing w:val="14"/>
          <w:w w:val="120"/>
          <w:sz w:val="18"/>
        </w:rPr>
        <w:t> </w:t>
      </w:r>
      <w:r>
        <w:rPr>
          <w:i/>
          <w:w w:val="120"/>
          <w:sz w:val="18"/>
        </w:rPr>
        <w:t>21-től.</w:t>
      </w:r>
    </w:p>
    <w:p>
      <w:pPr>
        <w:tabs>
          <w:tab w:pos="686" w:val="left" w:leader="none"/>
        </w:tabs>
        <w:spacing w:line="200" w:lineRule="exact" w:before="0"/>
        <w:ind w:left="342" w:right="0" w:firstLine="0"/>
        <w:jc w:val="left"/>
        <w:rPr>
          <w:i/>
          <w:sz w:val="18"/>
        </w:rPr>
      </w:pPr>
      <w:r>
        <w:rPr>
          <w:i/>
          <w:w w:val="125"/>
          <w:sz w:val="18"/>
        </w:rPr>
        <w:t>7</w:t>
        <w:tab/>
        <w:t>Megállapította: 2015. évi CCXV. törvény 137. § (4). Hatályos: 2016. III.</w:t>
      </w:r>
      <w:r>
        <w:rPr>
          <w:i/>
          <w:spacing w:val="-28"/>
          <w:w w:val="125"/>
          <w:sz w:val="18"/>
        </w:rPr>
        <w:t> </w:t>
      </w:r>
      <w:r>
        <w:rPr>
          <w:i/>
          <w:w w:val="125"/>
          <w:sz w:val="18"/>
        </w:rPr>
        <w:t>21-től.</w:t>
      </w:r>
    </w:p>
    <w:p>
      <w:pPr>
        <w:spacing w:after="0" w:line="200" w:lineRule="exact"/>
        <w:jc w:val="left"/>
        <w:rPr>
          <w:sz w:val="18"/>
        </w:rPr>
        <w:sectPr>
          <w:pgSz w:w="11900" w:h="16820"/>
          <w:pgMar w:header="1104" w:footer="0" w:top="1840" w:bottom="280" w:left="1020" w:right="1000"/>
        </w:sectPr>
      </w:pPr>
    </w:p>
    <w:p>
      <w:pPr>
        <w:pStyle w:val="ListParagraph"/>
        <w:numPr>
          <w:ilvl w:val="0"/>
          <w:numId w:val="478"/>
        </w:numPr>
        <w:tabs>
          <w:tab w:pos="547" w:val="left" w:leader="none"/>
        </w:tabs>
        <w:spacing w:line="268" w:lineRule="exact" w:before="159" w:after="0"/>
        <w:ind w:left="546" w:right="0" w:hanging="229"/>
        <w:jc w:val="left"/>
        <w:rPr>
          <w:sz w:val="24"/>
        </w:rPr>
      </w:pPr>
      <w:r>
        <w:rPr>
          <w:i/>
          <w:w w:val="130"/>
          <w:position w:val="3"/>
          <w:sz w:val="18"/>
        </w:rPr>
        <w:t>1 </w:t>
      </w:r>
      <w:r>
        <w:rPr>
          <w:w w:val="130"/>
          <w:sz w:val="24"/>
        </w:rPr>
        <w:t>a pénzügyi intézmény tulajdonosait,</w:t>
      </w:r>
    </w:p>
    <w:p>
      <w:pPr>
        <w:pStyle w:val="ListParagraph"/>
        <w:numPr>
          <w:ilvl w:val="0"/>
          <w:numId w:val="478"/>
        </w:numPr>
        <w:tabs>
          <w:tab w:pos="653" w:val="left" w:leader="none"/>
        </w:tabs>
        <w:spacing w:line="260" w:lineRule="exact" w:before="0" w:after="0"/>
        <w:ind w:left="652" w:right="0" w:hanging="335"/>
        <w:jc w:val="left"/>
        <w:rPr>
          <w:sz w:val="24"/>
        </w:rPr>
      </w:pPr>
      <w:r>
        <w:rPr>
          <w:w w:val="125"/>
          <w:sz w:val="24"/>
        </w:rPr>
        <w:t>a pénzügyi intézmény, a független közvetítő vezető állású</w:t>
      </w:r>
      <w:r>
        <w:rPr>
          <w:spacing w:val="1"/>
          <w:w w:val="125"/>
          <w:sz w:val="24"/>
        </w:rPr>
        <w:t> </w:t>
      </w:r>
      <w:r>
        <w:rPr>
          <w:w w:val="125"/>
          <w:sz w:val="24"/>
        </w:rPr>
        <w:t>személyeit,</w:t>
      </w:r>
    </w:p>
    <w:p>
      <w:pPr>
        <w:pStyle w:val="ListParagraph"/>
        <w:numPr>
          <w:ilvl w:val="0"/>
          <w:numId w:val="478"/>
        </w:numPr>
        <w:tabs>
          <w:tab w:pos="555" w:val="left" w:leader="none"/>
        </w:tabs>
        <w:spacing w:line="260" w:lineRule="exact" w:before="0" w:after="0"/>
        <w:ind w:left="554" w:right="0" w:hanging="237"/>
        <w:jc w:val="left"/>
        <w:rPr>
          <w:sz w:val="24"/>
        </w:rPr>
      </w:pPr>
      <w:r>
        <w:rPr>
          <w:i/>
          <w:w w:val="125"/>
          <w:position w:val="3"/>
          <w:sz w:val="18"/>
        </w:rPr>
        <w:t>2 </w:t>
      </w:r>
      <w:r>
        <w:rPr>
          <w:w w:val="125"/>
          <w:sz w:val="24"/>
        </w:rPr>
        <w:t>a</w:t>
      </w:r>
      <w:r>
        <w:rPr>
          <w:spacing w:val="-38"/>
          <w:w w:val="125"/>
          <w:sz w:val="24"/>
        </w:rPr>
        <w:t> </w:t>
      </w:r>
      <w:r>
        <w:rPr>
          <w:w w:val="125"/>
          <w:sz w:val="24"/>
        </w:rPr>
        <w:t>könyvvizsgálókat,</w:t>
      </w:r>
    </w:p>
    <w:p>
      <w:pPr>
        <w:pStyle w:val="ListParagraph"/>
        <w:numPr>
          <w:ilvl w:val="0"/>
          <w:numId w:val="478"/>
        </w:numPr>
        <w:tabs>
          <w:tab w:pos="504" w:val="left" w:leader="none"/>
        </w:tabs>
        <w:spacing w:line="260" w:lineRule="exact" w:before="0" w:after="0"/>
        <w:ind w:left="503" w:right="0" w:hanging="186"/>
        <w:jc w:val="left"/>
        <w:rPr>
          <w:sz w:val="24"/>
        </w:rPr>
      </w:pPr>
      <w:r>
        <w:rPr>
          <w:i/>
          <w:w w:val="130"/>
          <w:position w:val="3"/>
          <w:sz w:val="18"/>
        </w:rPr>
        <w:t>3</w:t>
      </w:r>
      <w:r>
        <w:rPr>
          <w:i/>
          <w:spacing w:val="4"/>
          <w:w w:val="130"/>
          <w:position w:val="3"/>
          <w:sz w:val="18"/>
        </w:rPr>
        <w:t> </w:t>
      </w:r>
      <w:r>
        <w:rPr>
          <w:w w:val="130"/>
          <w:sz w:val="24"/>
        </w:rPr>
        <w:t>a</w:t>
      </w:r>
      <w:r>
        <w:rPr>
          <w:spacing w:val="-13"/>
          <w:w w:val="130"/>
          <w:sz w:val="24"/>
        </w:rPr>
        <w:t> </w:t>
      </w:r>
      <w:r>
        <w:rPr>
          <w:w w:val="130"/>
          <w:sz w:val="24"/>
        </w:rPr>
        <w:t>pénzügyi</w:t>
      </w:r>
      <w:r>
        <w:rPr>
          <w:spacing w:val="-12"/>
          <w:w w:val="130"/>
          <w:sz w:val="24"/>
        </w:rPr>
        <w:t> </w:t>
      </w:r>
      <w:r>
        <w:rPr>
          <w:w w:val="130"/>
          <w:sz w:val="24"/>
        </w:rPr>
        <w:t>intézmény</w:t>
      </w:r>
      <w:r>
        <w:rPr>
          <w:spacing w:val="-13"/>
          <w:w w:val="130"/>
          <w:sz w:val="24"/>
        </w:rPr>
        <w:t> </w:t>
      </w:r>
      <w:r>
        <w:rPr>
          <w:w w:val="130"/>
          <w:sz w:val="24"/>
        </w:rPr>
        <w:t>részére</w:t>
      </w:r>
      <w:r>
        <w:rPr>
          <w:spacing w:val="-12"/>
          <w:w w:val="130"/>
          <w:sz w:val="24"/>
        </w:rPr>
        <w:t> </w:t>
      </w:r>
      <w:r>
        <w:rPr>
          <w:w w:val="130"/>
          <w:sz w:val="24"/>
        </w:rPr>
        <w:t>kiszervezett</w:t>
      </w:r>
      <w:r>
        <w:rPr>
          <w:spacing w:val="-12"/>
          <w:w w:val="130"/>
          <w:sz w:val="24"/>
        </w:rPr>
        <w:t> </w:t>
      </w:r>
      <w:r>
        <w:rPr>
          <w:w w:val="130"/>
          <w:sz w:val="24"/>
        </w:rPr>
        <w:t>tevékenységet</w:t>
      </w:r>
      <w:r>
        <w:rPr>
          <w:spacing w:val="-4"/>
          <w:w w:val="130"/>
          <w:sz w:val="24"/>
        </w:rPr>
        <w:t> </w:t>
      </w:r>
      <w:r>
        <w:rPr>
          <w:w w:val="130"/>
          <w:sz w:val="24"/>
        </w:rPr>
        <w:t>végzőket,</w:t>
      </w:r>
    </w:p>
    <w:p>
      <w:pPr>
        <w:pStyle w:val="ListParagraph"/>
        <w:numPr>
          <w:ilvl w:val="0"/>
          <w:numId w:val="478"/>
        </w:numPr>
        <w:tabs>
          <w:tab w:pos="567" w:val="left" w:leader="none"/>
        </w:tabs>
        <w:spacing w:line="260" w:lineRule="exact" w:before="0" w:after="0"/>
        <w:ind w:left="566" w:right="0" w:hanging="249"/>
        <w:jc w:val="left"/>
        <w:rPr>
          <w:sz w:val="24"/>
        </w:rPr>
      </w:pPr>
      <w:r>
        <w:rPr>
          <w:i/>
          <w:w w:val="130"/>
          <w:position w:val="3"/>
          <w:sz w:val="18"/>
        </w:rPr>
        <w:t>4</w:t>
      </w:r>
      <w:r>
        <w:rPr>
          <w:i/>
          <w:spacing w:val="11"/>
          <w:w w:val="130"/>
          <w:position w:val="3"/>
          <w:sz w:val="18"/>
        </w:rPr>
        <w:t> </w:t>
      </w:r>
      <w:r>
        <w:rPr>
          <w:w w:val="130"/>
          <w:sz w:val="24"/>
        </w:rPr>
        <w:t>a</w:t>
      </w:r>
      <w:r>
        <w:rPr>
          <w:spacing w:val="-10"/>
          <w:w w:val="130"/>
          <w:sz w:val="24"/>
        </w:rPr>
        <w:t> </w:t>
      </w:r>
      <w:r>
        <w:rPr>
          <w:w w:val="130"/>
          <w:sz w:val="24"/>
        </w:rPr>
        <w:t>belső</w:t>
      </w:r>
      <w:r>
        <w:rPr>
          <w:spacing w:val="-8"/>
          <w:w w:val="130"/>
          <w:sz w:val="24"/>
        </w:rPr>
        <w:t> </w:t>
      </w:r>
      <w:r>
        <w:rPr>
          <w:w w:val="130"/>
          <w:sz w:val="24"/>
        </w:rPr>
        <w:t>ellenőrt,</w:t>
      </w:r>
      <w:r>
        <w:rPr>
          <w:spacing w:val="-9"/>
          <w:w w:val="130"/>
          <w:sz w:val="24"/>
        </w:rPr>
        <w:t> </w:t>
      </w:r>
      <w:r>
        <w:rPr>
          <w:w w:val="130"/>
          <w:sz w:val="24"/>
        </w:rPr>
        <w:t>illetve</w:t>
      </w:r>
      <w:r>
        <w:rPr>
          <w:spacing w:val="-10"/>
          <w:w w:val="130"/>
          <w:sz w:val="24"/>
        </w:rPr>
        <w:t> </w:t>
      </w:r>
      <w:r>
        <w:rPr>
          <w:w w:val="130"/>
          <w:sz w:val="24"/>
        </w:rPr>
        <w:t>a</w:t>
      </w:r>
      <w:r>
        <w:rPr>
          <w:spacing w:val="-9"/>
          <w:w w:val="130"/>
          <w:sz w:val="24"/>
        </w:rPr>
        <w:t> </w:t>
      </w:r>
      <w:r>
        <w:rPr>
          <w:w w:val="130"/>
          <w:sz w:val="24"/>
        </w:rPr>
        <w:t>belső</w:t>
      </w:r>
      <w:r>
        <w:rPr>
          <w:spacing w:val="-9"/>
          <w:w w:val="130"/>
          <w:sz w:val="24"/>
        </w:rPr>
        <w:t> </w:t>
      </w:r>
      <w:r>
        <w:rPr>
          <w:w w:val="130"/>
          <w:sz w:val="24"/>
        </w:rPr>
        <w:t>ellenőrzési</w:t>
      </w:r>
      <w:r>
        <w:rPr>
          <w:spacing w:val="-9"/>
          <w:w w:val="130"/>
          <w:sz w:val="24"/>
        </w:rPr>
        <w:t> </w:t>
      </w:r>
      <w:r>
        <w:rPr>
          <w:w w:val="130"/>
          <w:sz w:val="24"/>
        </w:rPr>
        <w:t>szervezet</w:t>
      </w:r>
      <w:r>
        <w:rPr>
          <w:spacing w:val="-8"/>
          <w:w w:val="130"/>
          <w:sz w:val="24"/>
        </w:rPr>
        <w:t> </w:t>
      </w:r>
      <w:r>
        <w:rPr>
          <w:w w:val="130"/>
          <w:sz w:val="24"/>
        </w:rPr>
        <w:t>vezetőjét,</w:t>
      </w:r>
    </w:p>
    <w:p>
      <w:pPr>
        <w:pStyle w:val="ListParagraph"/>
        <w:numPr>
          <w:ilvl w:val="0"/>
          <w:numId w:val="478"/>
        </w:numPr>
        <w:tabs>
          <w:tab w:pos="568" w:val="left" w:leader="none"/>
        </w:tabs>
        <w:spacing w:line="260" w:lineRule="exact" w:before="0" w:after="0"/>
        <w:ind w:left="567" w:right="0" w:hanging="250"/>
        <w:jc w:val="left"/>
        <w:rPr>
          <w:sz w:val="24"/>
        </w:rPr>
      </w:pPr>
      <w:r>
        <w:rPr>
          <w:i/>
          <w:w w:val="130"/>
          <w:position w:val="3"/>
          <w:sz w:val="18"/>
        </w:rPr>
        <w:t>5 </w:t>
      </w:r>
      <w:r>
        <w:rPr>
          <w:w w:val="130"/>
          <w:sz w:val="24"/>
        </w:rPr>
        <w:t>a</w:t>
      </w:r>
      <w:r>
        <w:rPr>
          <w:spacing w:val="13"/>
          <w:w w:val="130"/>
          <w:sz w:val="24"/>
        </w:rPr>
        <w:t> </w:t>
      </w:r>
      <w:r>
        <w:rPr>
          <w:w w:val="130"/>
          <w:sz w:val="24"/>
        </w:rPr>
        <w:t>kérelmezőket.</w:t>
      </w:r>
    </w:p>
    <w:p>
      <w:pPr>
        <w:pStyle w:val="ListParagraph"/>
        <w:numPr>
          <w:ilvl w:val="0"/>
          <w:numId w:val="480"/>
        </w:numPr>
        <w:tabs>
          <w:tab w:pos="808" w:val="left" w:leader="none"/>
        </w:tabs>
        <w:spacing w:line="225" w:lineRule="auto" w:before="6" w:after="0"/>
        <w:ind w:left="113" w:right="125" w:firstLine="204"/>
        <w:jc w:val="left"/>
        <w:rPr>
          <w:sz w:val="24"/>
        </w:rPr>
      </w:pPr>
      <w:r>
        <w:rPr>
          <w:w w:val="125"/>
          <w:sz w:val="24"/>
        </w:rPr>
        <w:t>A nyilvántartás a 2. mellékletben megjelölt azonosító adatokon túl a következőket tartalmazza:</w:t>
      </w:r>
    </w:p>
    <w:p>
      <w:pPr>
        <w:pStyle w:val="ListParagraph"/>
        <w:numPr>
          <w:ilvl w:val="0"/>
          <w:numId w:val="481"/>
        </w:numPr>
        <w:tabs>
          <w:tab w:pos="732" w:val="left" w:leader="none"/>
        </w:tabs>
        <w:spacing w:line="225" w:lineRule="auto" w:before="1" w:after="0"/>
        <w:ind w:left="113" w:right="119" w:firstLine="204"/>
        <w:jc w:val="left"/>
        <w:rPr>
          <w:sz w:val="24"/>
        </w:rPr>
      </w:pPr>
      <w:r>
        <w:rPr>
          <w:w w:val="130"/>
          <w:sz w:val="24"/>
        </w:rPr>
        <w:t>a befolyásoló részesedéssel összefüggésben a befolyásoló részesedés arányát,</w:t>
      </w:r>
      <w:r>
        <w:rPr>
          <w:spacing w:val="-20"/>
          <w:w w:val="130"/>
          <w:sz w:val="24"/>
        </w:rPr>
        <w:t> </w:t>
      </w:r>
      <w:r>
        <w:rPr>
          <w:w w:val="130"/>
          <w:sz w:val="24"/>
        </w:rPr>
        <w:t>valamint</w:t>
      </w:r>
      <w:r>
        <w:rPr>
          <w:spacing w:val="-19"/>
          <w:w w:val="130"/>
          <w:sz w:val="24"/>
        </w:rPr>
        <w:t> </w:t>
      </w:r>
      <w:r>
        <w:rPr>
          <w:w w:val="130"/>
          <w:sz w:val="24"/>
        </w:rPr>
        <w:t>a</w:t>
      </w:r>
      <w:r>
        <w:rPr>
          <w:spacing w:val="-20"/>
          <w:w w:val="130"/>
          <w:sz w:val="24"/>
        </w:rPr>
        <w:t> </w:t>
      </w:r>
      <w:r>
        <w:rPr>
          <w:w w:val="130"/>
          <w:sz w:val="24"/>
        </w:rPr>
        <w:t>befolyásoló</w:t>
      </w:r>
      <w:r>
        <w:rPr>
          <w:spacing w:val="-19"/>
          <w:w w:val="130"/>
          <w:sz w:val="24"/>
        </w:rPr>
        <w:t> </w:t>
      </w:r>
      <w:r>
        <w:rPr>
          <w:w w:val="130"/>
          <w:sz w:val="24"/>
        </w:rPr>
        <w:t>részesedés</w:t>
      </w:r>
      <w:r>
        <w:rPr>
          <w:spacing w:val="-18"/>
          <w:w w:val="130"/>
          <w:sz w:val="24"/>
        </w:rPr>
        <w:t> </w:t>
      </w:r>
      <w:r>
        <w:rPr>
          <w:w w:val="130"/>
          <w:sz w:val="24"/>
        </w:rPr>
        <w:t>gyakorlását</w:t>
      </w:r>
      <w:r>
        <w:rPr>
          <w:spacing w:val="-19"/>
          <w:w w:val="130"/>
          <w:sz w:val="24"/>
        </w:rPr>
        <w:t> </w:t>
      </w:r>
      <w:r>
        <w:rPr>
          <w:w w:val="130"/>
          <w:sz w:val="24"/>
        </w:rPr>
        <w:t>biztosító</w:t>
      </w:r>
      <w:r>
        <w:rPr>
          <w:spacing w:val="-19"/>
          <w:w w:val="130"/>
          <w:sz w:val="24"/>
        </w:rPr>
        <w:t> </w:t>
      </w:r>
      <w:r>
        <w:rPr>
          <w:w w:val="130"/>
          <w:sz w:val="24"/>
        </w:rPr>
        <w:t>szerződést,</w:t>
      </w:r>
    </w:p>
    <w:p>
      <w:pPr>
        <w:pStyle w:val="ListParagraph"/>
        <w:numPr>
          <w:ilvl w:val="0"/>
          <w:numId w:val="481"/>
        </w:numPr>
        <w:tabs>
          <w:tab w:pos="809" w:val="left" w:leader="none"/>
        </w:tabs>
        <w:spacing w:line="225" w:lineRule="auto" w:before="1" w:after="0"/>
        <w:ind w:left="113" w:right="127" w:firstLine="204"/>
        <w:jc w:val="both"/>
        <w:rPr>
          <w:sz w:val="24"/>
        </w:rPr>
      </w:pPr>
      <w:r>
        <w:rPr>
          <w:w w:val="130"/>
          <w:sz w:val="24"/>
        </w:rPr>
        <w:t>a 200. § (3) bekezdés </w:t>
      </w:r>
      <w:r>
        <w:rPr>
          <w:i/>
          <w:w w:val="130"/>
          <w:sz w:val="24"/>
        </w:rPr>
        <w:t>a)-b) </w:t>
      </w:r>
      <w:r>
        <w:rPr>
          <w:w w:val="130"/>
          <w:sz w:val="24"/>
        </w:rPr>
        <w:t>pontja szerinti szoros kapcsolattal összefüggésben a szoros kapcsolat mértékét, valamint a szoros kapcsolat gyakorlását biztosító</w:t>
      </w:r>
      <w:r>
        <w:rPr>
          <w:spacing w:val="10"/>
          <w:w w:val="130"/>
          <w:sz w:val="24"/>
        </w:rPr>
        <w:t> </w:t>
      </w:r>
      <w:r>
        <w:rPr>
          <w:w w:val="130"/>
          <w:sz w:val="24"/>
        </w:rPr>
        <w:t>szerződést,</w:t>
      </w:r>
    </w:p>
    <w:p>
      <w:pPr>
        <w:pStyle w:val="ListParagraph"/>
        <w:numPr>
          <w:ilvl w:val="0"/>
          <w:numId w:val="481"/>
        </w:numPr>
        <w:tabs>
          <w:tab w:pos="547" w:val="left" w:leader="none"/>
          <w:tab w:pos="951" w:val="left" w:leader="none"/>
          <w:tab w:pos="1385" w:val="left" w:leader="none"/>
          <w:tab w:pos="2461" w:val="left" w:leader="none"/>
          <w:tab w:pos="3469" w:val="left" w:leader="none"/>
          <w:tab w:pos="4733" w:val="left" w:leader="none"/>
          <w:tab w:pos="6272" w:val="left" w:leader="none"/>
          <w:tab w:pos="8075" w:val="left" w:leader="none"/>
        </w:tabs>
        <w:spacing w:line="250" w:lineRule="exact" w:before="0" w:after="0"/>
        <w:ind w:left="546" w:right="0" w:hanging="229"/>
        <w:jc w:val="left"/>
        <w:rPr>
          <w:sz w:val="24"/>
        </w:rPr>
      </w:pPr>
      <w:r>
        <w:rPr>
          <w:i/>
          <w:w w:val="130"/>
          <w:position w:val="3"/>
          <w:sz w:val="18"/>
        </w:rPr>
        <w:t>6</w:t>
        <w:tab/>
      </w:r>
      <w:r>
        <w:rPr>
          <w:w w:val="130"/>
          <w:sz w:val="24"/>
        </w:rPr>
        <w:t>a</w:t>
        <w:tab/>
        <w:t>vezető</w:t>
        <w:tab/>
        <w:t>állású</w:t>
        <w:tab/>
        <w:t>személy</w:t>
        <w:tab/>
        <w:t>tisztségét,</w:t>
        <w:tab/>
        <w:t>elektronikus</w:t>
        <w:tab/>
        <w:t>elérhetőségét</w:t>
      </w:r>
    </w:p>
    <w:p>
      <w:pPr>
        <w:pStyle w:val="BodyText"/>
        <w:spacing w:line="225" w:lineRule="auto" w:before="12"/>
        <w:ind w:right="127" w:firstLine="0"/>
        <w:jc w:val="both"/>
      </w:pPr>
      <w:r>
        <w:rPr>
          <w:w w:val="130"/>
        </w:rPr>
        <w:t>(telefonszámát, illetve elektronikus levélcímét), a betöltött munkakört, a megbízás tárgyát, a jogviszony jellegét, a szakmai önéletrajzot, továbbá a Felügyelet által alkalmazott, a nyilvántartottal kapcsolatos intézkedéseket,</w:t>
      </w:r>
    </w:p>
    <w:p>
      <w:pPr>
        <w:pStyle w:val="ListParagraph"/>
        <w:numPr>
          <w:ilvl w:val="0"/>
          <w:numId w:val="481"/>
        </w:numPr>
        <w:tabs>
          <w:tab w:pos="818" w:val="left" w:leader="none"/>
        </w:tabs>
        <w:spacing w:line="225" w:lineRule="auto" w:before="2" w:after="0"/>
        <w:ind w:left="113" w:right="142" w:firstLine="204"/>
        <w:jc w:val="both"/>
        <w:rPr>
          <w:sz w:val="24"/>
        </w:rPr>
      </w:pPr>
      <w:r>
        <w:rPr>
          <w:w w:val="130"/>
          <w:sz w:val="24"/>
        </w:rPr>
        <w:t>az engedély kiadásával vagy visszaadásával kapcsolatos kérelem</w:t>
      </w:r>
      <w:r>
        <w:rPr>
          <w:spacing w:val="78"/>
          <w:w w:val="130"/>
          <w:sz w:val="24"/>
        </w:rPr>
        <w:t> </w:t>
      </w:r>
      <w:r>
        <w:rPr>
          <w:w w:val="130"/>
          <w:sz w:val="24"/>
        </w:rPr>
        <w:t>tartalmát,</w:t>
      </w:r>
      <w:r>
        <w:rPr>
          <w:spacing w:val="-9"/>
          <w:w w:val="130"/>
          <w:sz w:val="24"/>
        </w:rPr>
        <w:t> </w:t>
      </w:r>
      <w:r>
        <w:rPr>
          <w:w w:val="130"/>
          <w:sz w:val="24"/>
        </w:rPr>
        <w:t>továbbá</w:t>
      </w:r>
      <w:r>
        <w:rPr>
          <w:spacing w:val="-9"/>
          <w:w w:val="130"/>
          <w:sz w:val="24"/>
        </w:rPr>
        <w:t> </w:t>
      </w:r>
      <w:r>
        <w:rPr>
          <w:w w:val="130"/>
          <w:sz w:val="24"/>
        </w:rPr>
        <w:t>a</w:t>
      </w:r>
      <w:r>
        <w:rPr>
          <w:spacing w:val="-9"/>
          <w:w w:val="130"/>
          <w:sz w:val="24"/>
        </w:rPr>
        <w:t> </w:t>
      </w:r>
      <w:r>
        <w:rPr>
          <w:w w:val="130"/>
          <w:sz w:val="24"/>
        </w:rPr>
        <w:t>kérelem</w:t>
      </w:r>
      <w:r>
        <w:rPr>
          <w:spacing w:val="-9"/>
          <w:w w:val="130"/>
          <w:sz w:val="24"/>
        </w:rPr>
        <w:t> </w:t>
      </w:r>
      <w:r>
        <w:rPr>
          <w:w w:val="130"/>
          <w:sz w:val="24"/>
        </w:rPr>
        <w:t>elbírálásához</w:t>
      </w:r>
      <w:r>
        <w:rPr>
          <w:spacing w:val="-9"/>
          <w:w w:val="130"/>
          <w:sz w:val="24"/>
        </w:rPr>
        <w:t> </w:t>
      </w:r>
      <w:r>
        <w:rPr>
          <w:w w:val="130"/>
          <w:sz w:val="24"/>
        </w:rPr>
        <w:t>csatolt</w:t>
      </w:r>
      <w:r>
        <w:rPr>
          <w:spacing w:val="-8"/>
          <w:w w:val="130"/>
          <w:sz w:val="24"/>
        </w:rPr>
        <w:t> </w:t>
      </w:r>
      <w:r>
        <w:rPr>
          <w:w w:val="130"/>
          <w:sz w:val="24"/>
        </w:rPr>
        <w:t>dokumentum</w:t>
      </w:r>
      <w:r>
        <w:rPr>
          <w:spacing w:val="-8"/>
          <w:w w:val="130"/>
          <w:sz w:val="24"/>
        </w:rPr>
        <w:t> </w:t>
      </w:r>
      <w:r>
        <w:rPr>
          <w:w w:val="130"/>
          <w:sz w:val="24"/>
        </w:rPr>
        <w:t>adatait,</w:t>
      </w:r>
    </w:p>
    <w:p>
      <w:pPr>
        <w:pStyle w:val="ListParagraph"/>
        <w:numPr>
          <w:ilvl w:val="0"/>
          <w:numId w:val="481"/>
        </w:numPr>
        <w:tabs>
          <w:tab w:pos="777" w:val="left" w:leader="none"/>
        </w:tabs>
        <w:spacing w:line="225" w:lineRule="auto" w:before="1" w:after="0"/>
        <w:ind w:left="113" w:right="123" w:firstLine="204"/>
        <w:jc w:val="both"/>
        <w:rPr>
          <w:sz w:val="24"/>
        </w:rPr>
      </w:pPr>
      <w:r>
        <w:rPr>
          <w:w w:val="125"/>
          <w:sz w:val="24"/>
        </w:rPr>
        <w:t>a hitelintézet belső szabályait, így különösen az alapszabályt, az üzletszabályzatot, az adós- vagy hitelminősítési szabályzatot, a fizetőképesség biztosítására vonatkozó szabályzatot, a belső</w:t>
      </w:r>
      <w:r>
        <w:rPr>
          <w:spacing w:val="15"/>
          <w:w w:val="125"/>
          <w:sz w:val="24"/>
        </w:rPr>
        <w:t> </w:t>
      </w:r>
      <w:r>
        <w:rPr>
          <w:w w:val="125"/>
          <w:sz w:val="24"/>
        </w:rPr>
        <w:t>hitelszabályzatot,</w:t>
      </w:r>
    </w:p>
    <w:p>
      <w:pPr>
        <w:pStyle w:val="ListParagraph"/>
        <w:numPr>
          <w:ilvl w:val="0"/>
          <w:numId w:val="481"/>
        </w:numPr>
        <w:tabs>
          <w:tab w:pos="752" w:val="left" w:leader="none"/>
        </w:tabs>
        <w:spacing w:line="225" w:lineRule="auto" w:before="2" w:after="0"/>
        <w:ind w:left="113" w:right="128" w:firstLine="204"/>
        <w:jc w:val="both"/>
        <w:rPr>
          <w:sz w:val="24"/>
        </w:rPr>
      </w:pPr>
      <w:r>
        <w:rPr>
          <w:w w:val="130"/>
          <w:sz w:val="24"/>
        </w:rPr>
        <w:t>a pénzügyi intézmény éves beszámolóját, valamint az eredmény felhasználására vonatkozó</w:t>
      </w:r>
      <w:r>
        <w:rPr>
          <w:spacing w:val="-8"/>
          <w:w w:val="130"/>
          <w:sz w:val="24"/>
        </w:rPr>
        <w:t> </w:t>
      </w:r>
      <w:r>
        <w:rPr>
          <w:w w:val="130"/>
          <w:sz w:val="24"/>
        </w:rPr>
        <w:t>határozatot,</w:t>
      </w:r>
    </w:p>
    <w:p>
      <w:pPr>
        <w:pStyle w:val="ListParagraph"/>
        <w:numPr>
          <w:ilvl w:val="0"/>
          <w:numId w:val="481"/>
        </w:numPr>
        <w:tabs>
          <w:tab w:pos="729" w:val="left" w:leader="none"/>
        </w:tabs>
        <w:spacing w:line="225" w:lineRule="auto" w:before="1" w:after="0"/>
        <w:ind w:left="113" w:right="115" w:firstLine="204"/>
        <w:jc w:val="both"/>
        <w:rPr>
          <w:sz w:val="24"/>
        </w:rPr>
      </w:pPr>
      <w:r>
        <w:rPr>
          <w:w w:val="130"/>
          <w:sz w:val="24"/>
        </w:rPr>
        <w:t>a hitelintézet közgyűléséről, az igazgatóság és a felügyelő bizottsági üléséről készült</w:t>
      </w:r>
      <w:r>
        <w:rPr>
          <w:spacing w:val="-10"/>
          <w:w w:val="130"/>
          <w:sz w:val="24"/>
        </w:rPr>
        <w:t> </w:t>
      </w:r>
      <w:r>
        <w:rPr>
          <w:w w:val="130"/>
          <w:sz w:val="24"/>
        </w:rPr>
        <w:t>jegyzőkönyveket,</w:t>
      </w:r>
    </w:p>
    <w:p>
      <w:pPr>
        <w:pStyle w:val="ListParagraph"/>
        <w:numPr>
          <w:ilvl w:val="0"/>
          <w:numId w:val="481"/>
        </w:numPr>
        <w:tabs>
          <w:tab w:pos="687" w:val="left" w:leader="none"/>
        </w:tabs>
        <w:spacing w:line="225" w:lineRule="auto" w:before="1" w:after="0"/>
        <w:ind w:left="113" w:right="129" w:firstLine="204"/>
        <w:jc w:val="both"/>
        <w:rPr>
          <w:sz w:val="24"/>
        </w:rPr>
      </w:pPr>
      <w:r>
        <w:rPr>
          <w:w w:val="130"/>
          <w:sz w:val="24"/>
        </w:rPr>
        <w:t>a panasz vagy közérdekű bejelentés esetén a panasztevő által megjelölt személyes adatokat és a panaszra okot adó eseményt és az érintett pénzügyi, kiegészítő pénzügyi szolgáltatást</w:t>
      </w:r>
      <w:r>
        <w:rPr>
          <w:spacing w:val="-14"/>
          <w:w w:val="130"/>
          <w:sz w:val="24"/>
        </w:rPr>
        <w:t> </w:t>
      </w:r>
      <w:r>
        <w:rPr>
          <w:w w:val="130"/>
          <w:sz w:val="24"/>
        </w:rPr>
        <w:t>nyújtót,</w:t>
      </w:r>
    </w:p>
    <w:p>
      <w:pPr>
        <w:pStyle w:val="ListParagraph"/>
        <w:numPr>
          <w:ilvl w:val="0"/>
          <w:numId w:val="481"/>
        </w:numPr>
        <w:tabs>
          <w:tab w:pos="564" w:val="left" w:leader="none"/>
        </w:tabs>
        <w:spacing w:line="256" w:lineRule="exact" w:before="0" w:after="0"/>
        <w:ind w:left="563" w:right="0" w:hanging="246"/>
        <w:jc w:val="left"/>
        <w:rPr>
          <w:sz w:val="24"/>
        </w:rPr>
      </w:pPr>
      <w:r>
        <w:rPr>
          <w:w w:val="130"/>
          <w:sz w:val="24"/>
        </w:rPr>
        <w:t>a</w:t>
      </w:r>
      <w:r>
        <w:rPr>
          <w:spacing w:val="-14"/>
          <w:w w:val="130"/>
          <w:sz w:val="24"/>
        </w:rPr>
        <w:t> </w:t>
      </w:r>
      <w:r>
        <w:rPr>
          <w:w w:val="130"/>
          <w:sz w:val="24"/>
        </w:rPr>
        <w:t>szavatoló</w:t>
      </w:r>
      <w:r>
        <w:rPr>
          <w:spacing w:val="-12"/>
          <w:w w:val="130"/>
          <w:sz w:val="24"/>
        </w:rPr>
        <w:t> </w:t>
      </w:r>
      <w:r>
        <w:rPr>
          <w:w w:val="130"/>
          <w:sz w:val="24"/>
        </w:rPr>
        <w:t>tőke</w:t>
      </w:r>
      <w:r>
        <w:rPr>
          <w:spacing w:val="-13"/>
          <w:w w:val="130"/>
          <w:sz w:val="24"/>
        </w:rPr>
        <w:t> </w:t>
      </w:r>
      <w:r>
        <w:rPr>
          <w:w w:val="130"/>
          <w:sz w:val="24"/>
        </w:rPr>
        <w:t>és</w:t>
      </w:r>
      <w:r>
        <w:rPr>
          <w:spacing w:val="-13"/>
          <w:w w:val="130"/>
          <w:sz w:val="24"/>
        </w:rPr>
        <w:t> </w:t>
      </w:r>
      <w:r>
        <w:rPr>
          <w:w w:val="130"/>
          <w:sz w:val="24"/>
        </w:rPr>
        <w:t>a</w:t>
      </w:r>
      <w:r>
        <w:rPr>
          <w:spacing w:val="-13"/>
          <w:w w:val="130"/>
          <w:sz w:val="24"/>
        </w:rPr>
        <w:t> </w:t>
      </w:r>
      <w:r>
        <w:rPr>
          <w:w w:val="130"/>
          <w:sz w:val="24"/>
        </w:rPr>
        <w:t>tőkemegfelelés</w:t>
      </w:r>
      <w:r>
        <w:rPr>
          <w:spacing w:val="-13"/>
          <w:w w:val="130"/>
          <w:sz w:val="24"/>
        </w:rPr>
        <w:t> </w:t>
      </w:r>
      <w:r>
        <w:rPr>
          <w:w w:val="130"/>
          <w:sz w:val="24"/>
        </w:rPr>
        <w:t>kiszámításának</w:t>
      </w:r>
      <w:r>
        <w:rPr>
          <w:spacing w:val="-13"/>
          <w:w w:val="130"/>
          <w:sz w:val="24"/>
        </w:rPr>
        <w:t> </w:t>
      </w:r>
      <w:r>
        <w:rPr>
          <w:w w:val="130"/>
          <w:sz w:val="24"/>
        </w:rPr>
        <w:t>dokumentálását,</w:t>
      </w:r>
    </w:p>
    <w:p>
      <w:pPr>
        <w:pStyle w:val="ListParagraph"/>
        <w:numPr>
          <w:ilvl w:val="0"/>
          <w:numId w:val="481"/>
        </w:numPr>
        <w:tabs>
          <w:tab w:pos="687" w:val="left" w:leader="none"/>
        </w:tabs>
        <w:spacing w:line="225" w:lineRule="auto" w:before="5" w:after="0"/>
        <w:ind w:left="113" w:right="128" w:firstLine="204"/>
        <w:jc w:val="both"/>
        <w:rPr>
          <w:sz w:val="24"/>
        </w:rPr>
      </w:pPr>
      <w:r>
        <w:rPr>
          <w:w w:val="130"/>
          <w:sz w:val="24"/>
        </w:rPr>
        <w:t>a nagykockázat, belső hitel, kapcsolódó hitel, befektetési korlát és kockázati céltartalék képzés ellenőrzéséhez szükséges</w:t>
      </w:r>
      <w:r>
        <w:rPr>
          <w:spacing w:val="-37"/>
          <w:w w:val="130"/>
          <w:sz w:val="24"/>
        </w:rPr>
        <w:t> </w:t>
      </w:r>
      <w:r>
        <w:rPr>
          <w:w w:val="130"/>
          <w:sz w:val="24"/>
        </w:rPr>
        <w:t>adatokat,</w:t>
      </w:r>
    </w:p>
    <w:p>
      <w:pPr>
        <w:pStyle w:val="ListParagraph"/>
        <w:numPr>
          <w:ilvl w:val="0"/>
          <w:numId w:val="481"/>
        </w:numPr>
        <w:tabs>
          <w:tab w:pos="644" w:val="left" w:leader="none"/>
        </w:tabs>
        <w:spacing w:line="225" w:lineRule="auto" w:before="1" w:after="0"/>
        <w:ind w:left="113" w:right="127" w:firstLine="204"/>
        <w:jc w:val="both"/>
        <w:rPr>
          <w:sz w:val="24"/>
        </w:rPr>
      </w:pPr>
      <w:r>
        <w:rPr>
          <w:w w:val="130"/>
          <w:sz w:val="24"/>
        </w:rPr>
        <w:t>a</w:t>
      </w:r>
      <w:r>
        <w:rPr>
          <w:spacing w:val="-17"/>
          <w:w w:val="130"/>
          <w:sz w:val="24"/>
        </w:rPr>
        <w:t> </w:t>
      </w:r>
      <w:r>
        <w:rPr>
          <w:w w:val="130"/>
          <w:sz w:val="24"/>
        </w:rPr>
        <w:t>fióktelep</w:t>
      </w:r>
      <w:r>
        <w:rPr>
          <w:spacing w:val="-17"/>
          <w:w w:val="130"/>
          <w:sz w:val="24"/>
        </w:rPr>
        <w:t> </w:t>
      </w:r>
      <w:r>
        <w:rPr>
          <w:w w:val="130"/>
          <w:sz w:val="24"/>
        </w:rPr>
        <w:t>formájában</w:t>
      </w:r>
      <w:r>
        <w:rPr>
          <w:spacing w:val="-17"/>
          <w:w w:val="130"/>
          <w:sz w:val="24"/>
        </w:rPr>
        <w:t> </w:t>
      </w:r>
      <w:r>
        <w:rPr>
          <w:w w:val="130"/>
          <w:sz w:val="24"/>
        </w:rPr>
        <w:t>működő</w:t>
      </w:r>
      <w:r>
        <w:rPr>
          <w:spacing w:val="-16"/>
          <w:w w:val="130"/>
          <w:sz w:val="24"/>
        </w:rPr>
        <w:t> </w:t>
      </w:r>
      <w:r>
        <w:rPr>
          <w:w w:val="130"/>
          <w:sz w:val="24"/>
        </w:rPr>
        <w:t>hitelintézet</w:t>
      </w:r>
      <w:r>
        <w:rPr>
          <w:spacing w:val="-17"/>
          <w:w w:val="130"/>
          <w:sz w:val="24"/>
        </w:rPr>
        <w:t> </w:t>
      </w:r>
      <w:r>
        <w:rPr>
          <w:w w:val="130"/>
          <w:sz w:val="24"/>
        </w:rPr>
        <w:t>esetében</w:t>
      </w:r>
      <w:r>
        <w:rPr>
          <w:spacing w:val="-17"/>
          <w:w w:val="130"/>
          <w:sz w:val="24"/>
        </w:rPr>
        <w:t> </w:t>
      </w:r>
      <w:r>
        <w:rPr>
          <w:w w:val="130"/>
          <w:sz w:val="24"/>
        </w:rPr>
        <w:t>az</w:t>
      </w:r>
      <w:r>
        <w:rPr>
          <w:spacing w:val="-11"/>
          <w:w w:val="130"/>
          <w:sz w:val="24"/>
        </w:rPr>
        <w:t> </w:t>
      </w:r>
      <w:r>
        <w:rPr>
          <w:i/>
          <w:w w:val="130"/>
          <w:sz w:val="24"/>
        </w:rPr>
        <w:t>a)-j)</w:t>
      </w:r>
      <w:r>
        <w:rPr>
          <w:i/>
          <w:spacing w:val="-21"/>
          <w:w w:val="130"/>
          <w:sz w:val="24"/>
        </w:rPr>
        <w:t> </w:t>
      </w:r>
      <w:r>
        <w:rPr>
          <w:w w:val="130"/>
          <w:sz w:val="24"/>
        </w:rPr>
        <w:t>ponton</w:t>
      </w:r>
      <w:r>
        <w:rPr>
          <w:spacing w:val="-17"/>
          <w:w w:val="130"/>
          <w:sz w:val="24"/>
        </w:rPr>
        <w:t> </w:t>
      </w:r>
      <w:r>
        <w:rPr>
          <w:w w:val="130"/>
          <w:sz w:val="24"/>
        </w:rPr>
        <w:t>túl</w:t>
      </w:r>
      <w:r>
        <w:rPr>
          <w:spacing w:val="-17"/>
          <w:w w:val="130"/>
          <w:sz w:val="24"/>
        </w:rPr>
        <w:t> </w:t>
      </w:r>
      <w:r>
        <w:rPr>
          <w:w w:val="130"/>
          <w:sz w:val="24"/>
        </w:rPr>
        <w:t>az eszközfenntartási mutató ellenőrzéséhez szükséges adatokat,</w:t>
      </w:r>
      <w:r>
        <w:rPr>
          <w:spacing w:val="-55"/>
          <w:w w:val="130"/>
          <w:sz w:val="24"/>
        </w:rPr>
        <w:t> </w:t>
      </w:r>
      <w:r>
        <w:rPr>
          <w:w w:val="130"/>
          <w:sz w:val="24"/>
        </w:rPr>
        <w:t>valamint</w:t>
      </w:r>
    </w:p>
    <w:p>
      <w:pPr>
        <w:pStyle w:val="ListParagraph"/>
        <w:numPr>
          <w:ilvl w:val="0"/>
          <w:numId w:val="481"/>
        </w:numPr>
        <w:tabs>
          <w:tab w:pos="649" w:val="left" w:leader="none"/>
        </w:tabs>
        <w:spacing w:line="225" w:lineRule="auto" w:before="2" w:after="0"/>
        <w:ind w:left="113" w:right="124" w:firstLine="204"/>
        <w:jc w:val="both"/>
        <w:rPr>
          <w:sz w:val="24"/>
        </w:rPr>
      </w:pPr>
      <w:r>
        <w:rPr>
          <w:w w:val="125"/>
          <w:sz w:val="24"/>
        </w:rPr>
        <w:t>a 288. § (15) bekezdésében meghatározott fogyasztóvédelmi ügyekért felelős kapcsolattartó</w:t>
      </w:r>
      <w:r>
        <w:rPr>
          <w:spacing w:val="2"/>
          <w:w w:val="125"/>
          <w:sz w:val="24"/>
        </w:rPr>
        <w:t> </w:t>
      </w:r>
      <w:r>
        <w:rPr>
          <w:w w:val="125"/>
          <w:sz w:val="24"/>
        </w:rPr>
        <w:t>nevét,</w:t>
      </w:r>
    </w:p>
    <w:p>
      <w:pPr>
        <w:pStyle w:val="ListParagraph"/>
        <w:numPr>
          <w:ilvl w:val="0"/>
          <w:numId w:val="481"/>
        </w:numPr>
        <w:tabs>
          <w:tab w:pos="641" w:val="left" w:leader="none"/>
          <w:tab w:pos="992" w:val="left" w:leader="none"/>
          <w:tab w:pos="1374" w:val="left" w:leader="none"/>
          <w:tab w:pos="2896" w:val="left" w:leader="none"/>
          <w:tab w:pos="4040" w:val="left" w:leader="none"/>
          <w:tab w:pos="5169" w:val="left" w:leader="none"/>
          <w:tab w:pos="7743" w:val="left" w:leader="none"/>
          <w:tab w:pos="8775" w:val="left" w:leader="none"/>
        </w:tabs>
        <w:spacing w:line="249" w:lineRule="exact" w:before="0" w:after="0"/>
        <w:ind w:left="640" w:right="0" w:hanging="323"/>
        <w:jc w:val="left"/>
        <w:rPr>
          <w:sz w:val="24"/>
        </w:rPr>
      </w:pPr>
      <w:r>
        <w:rPr>
          <w:i/>
          <w:w w:val="130"/>
          <w:position w:val="3"/>
          <w:sz w:val="18"/>
        </w:rPr>
        <w:t>7</w:t>
        <w:tab/>
      </w:r>
      <w:r>
        <w:rPr>
          <w:w w:val="130"/>
          <w:sz w:val="24"/>
        </w:rPr>
        <w:t>a</w:t>
        <w:tab/>
        <w:t>Felügyelet</w:t>
        <w:tab/>
        <w:t>részére</w:t>
        <w:tab/>
        <w:t>történő</w:t>
        <w:tab/>
        <w:t>adatszolgáltatásért</w:t>
        <w:tab/>
        <w:t>felelős</w:t>
        <w:tab/>
        <w:t>személy</w:t>
      </w:r>
    </w:p>
    <w:p>
      <w:pPr>
        <w:pStyle w:val="BodyText"/>
        <w:spacing w:line="260" w:lineRule="exact"/>
        <w:ind w:firstLine="0"/>
      </w:pPr>
      <w:r>
        <w:rPr>
          <w:w w:val="125"/>
        </w:rPr>
        <w:t>elektronikus elérhetőségét (telefonszámát, illetve elektronikus levélcímét),</w:t>
      </w:r>
    </w:p>
    <w:p>
      <w:pPr>
        <w:pStyle w:val="ListParagraph"/>
        <w:numPr>
          <w:ilvl w:val="0"/>
          <w:numId w:val="481"/>
        </w:numPr>
        <w:tabs>
          <w:tab w:pos="568" w:val="left" w:leader="none"/>
          <w:tab w:pos="927" w:val="left" w:leader="none"/>
          <w:tab w:pos="1317" w:val="left" w:leader="none"/>
          <w:tab w:pos="3608" w:val="left" w:leader="none"/>
          <w:tab w:pos="4576" w:val="left" w:leader="none"/>
          <w:tab w:pos="6191" w:val="left" w:leader="none"/>
          <w:tab w:pos="6581" w:val="left" w:leader="none"/>
          <w:tab w:pos="8594" w:val="left" w:leader="none"/>
        </w:tabs>
        <w:spacing w:line="260" w:lineRule="exact" w:before="0" w:after="0"/>
        <w:ind w:left="567" w:right="0" w:hanging="250"/>
        <w:jc w:val="left"/>
        <w:rPr>
          <w:sz w:val="24"/>
        </w:rPr>
      </w:pPr>
      <w:r>
        <w:rPr>
          <w:i/>
          <w:w w:val="130"/>
          <w:position w:val="3"/>
          <w:sz w:val="18"/>
        </w:rPr>
        <w:t>8</w:t>
        <w:tab/>
      </w:r>
      <w:r>
        <w:rPr>
          <w:w w:val="130"/>
          <w:sz w:val="24"/>
        </w:rPr>
        <w:t>a</w:t>
        <w:tab/>
      </w:r>
      <w:r>
        <w:rPr>
          <w:w w:val="125"/>
          <w:sz w:val="24"/>
        </w:rPr>
        <w:t>könyvvizsgálóval</w:t>
        <w:tab/>
      </w:r>
      <w:r>
        <w:rPr>
          <w:w w:val="130"/>
          <w:sz w:val="24"/>
        </w:rPr>
        <w:t>kötött</w:t>
        <w:tab/>
        <w:t>szerződést,</w:t>
        <w:tab/>
        <w:t>a</w:t>
        <w:tab/>
      </w:r>
      <w:r>
        <w:rPr>
          <w:w w:val="125"/>
          <w:sz w:val="24"/>
        </w:rPr>
        <w:t>könyvvizsgálói</w:t>
        <w:tab/>
      </w:r>
      <w:r>
        <w:rPr>
          <w:w w:val="130"/>
          <w:sz w:val="24"/>
        </w:rPr>
        <w:t>megbízás</w:t>
      </w:r>
    </w:p>
    <w:p>
      <w:pPr>
        <w:pStyle w:val="BodyText"/>
        <w:spacing w:line="225" w:lineRule="auto" w:before="12"/>
        <w:ind w:right="135" w:firstLine="0"/>
        <w:jc w:val="both"/>
      </w:pPr>
      <w:r>
        <w:rPr>
          <w:w w:val="130"/>
        </w:rPr>
        <w:t>időtartamát,</w:t>
      </w:r>
      <w:r>
        <w:rPr>
          <w:spacing w:val="-30"/>
          <w:w w:val="130"/>
        </w:rPr>
        <w:t> </w:t>
      </w:r>
      <w:r>
        <w:rPr>
          <w:w w:val="130"/>
        </w:rPr>
        <w:t>a</w:t>
      </w:r>
      <w:r>
        <w:rPr>
          <w:spacing w:val="-29"/>
          <w:w w:val="130"/>
        </w:rPr>
        <w:t> </w:t>
      </w:r>
      <w:r>
        <w:rPr>
          <w:w w:val="130"/>
        </w:rPr>
        <w:t>könyvvizsgáló</w:t>
      </w:r>
      <w:r>
        <w:rPr>
          <w:spacing w:val="-29"/>
          <w:w w:val="130"/>
        </w:rPr>
        <w:t> </w:t>
      </w:r>
      <w:r>
        <w:rPr>
          <w:w w:val="130"/>
        </w:rPr>
        <w:t>által</w:t>
      </w:r>
      <w:r>
        <w:rPr>
          <w:spacing w:val="-29"/>
          <w:w w:val="130"/>
        </w:rPr>
        <w:t> </w:t>
      </w:r>
      <w:r>
        <w:rPr>
          <w:w w:val="130"/>
        </w:rPr>
        <w:t>az</w:t>
      </w:r>
      <w:r>
        <w:rPr>
          <w:spacing w:val="-29"/>
          <w:w w:val="130"/>
        </w:rPr>
        <w:t> </w:t>
      </w:r>
      <w:r>
        <w:rPr>
          <w:w w:val="130"/>
        </w:rPr>
        <w:t>éves</w:t>
      </w:r>
      <w:r>
        <w:rPr>
          <w:spacing w:val="-29"/>
          <w:w w:val="130"/>
        </w:rPr>
        <w:t> </w:t>
      </w:r>
      <w:r>
        <w:rPr>
          <w:w w:val="130"/>
        </w:rPr>
        <w:t>beszámolóval</w:t>
      </w:r>
      <w:r>
        <w:rPr>
          <w:spacing w:val="-29"/>
          <w:w w:val="130"/>
        </w:rPr>
        <w:t> </w:t>
      </w:r>
      <w:r>
        <w:rPr>
          <w:w w:val="130"/>
        </w:rPr>
        <w:t>kapcsolatban</w:t>
      </w:r>
      <w:r>
        <w:rPr>
          <w:spacing w:val="-29"/>
          <w:w w:val="130"/>
        </w:rPr>
        <w:t> </w:t>
      </w:r>
      <w:r>
        <w:rPr>
          <w:w w:val="130"/>
        </w:rPr>
        <w:t>készített jelentést, a könyvvizsgáló elektronikus elérhetőségét (telefonszámát vagy elektronikus</w:t>
      </w:r>
      <w:r>
        <w:rPr>
          <w:spacing w:val="-5"/>
          <w:w w:val="130"/>
        </w:rPr>
        <w:t> </w:t>
      </w:r>
      <w:r>
        <w:rPr>
          <w:w w:val="130"/>
        </w:rPr>
        <w:t>levélcímét),</w:t>
      </w:r>
    </w:p>
    <w:p>
      <w:pPr>
        <w:pStyle w:val="ListParagraph"/>
        <w:numPr>
          <w:ilvl w:val="0"/>
          <w:numId w:val="481"/>
        </w:numPr>
        <w:tabs>
          <w:tab w:pos="558" w:val="left" w:leader="none"/>
        </w:tabs>
        <w:spacing w:line="225" w:lineRule="auto" w:before="2" w:after="0"/>
        <w:ind w:left="113" w:right="141" w:firstLine="204"/>
        <w:jc w:val="left"/>
        <w:rPr>
          <w:sz w:val="24"/>
        </w:rPr>
      </w:pPr>
      <w:r>
        <w:rPr>
          <w:i/>
          <w:w w:val="130"/>
          <w:position w:val="3"/>
          <w:sz w:val="18"/>
        </w:rPr>
        <w:t>9 </w:t>
      </w:r>
      <w:r>
        <w:rPr>
          <w:w w:val="130"/>
          <w:sz w:val="24"/>
        </w:rPr>
        <w:t>a kiszervezésre vonatkozó szerződés keltét, a kiszervezés időtartamát, a kiszervezett</w:t>
      </w:r>
      <w:r>
        <w:rPr>
          <w:spacing w:val="-24"/>
          <w:w w:val="130"/>
          <w:sz w:val="24"/>
        </w:rPr>
        <w:t> </w:t>
      </w:r>
      <w:r>
        <w:rPr>
          <w:w w:val="130"/>
          <w:sz w:val="24"/>
        </w:rPr>
        <w:t>tevékenységet,</w:t>
      </w:r>
      <w:r>
        <w:rPr>
          <w:spacing w:val="-23"/>
          <w:w w:val="130"/>
          <w:sz w:val="24"/>
        </w:rPr>
        <w:t> </w:t>
      </w:r>
      <w:r>
        <w:rPr>
          <w:w w:val="130"/>
          <w:sz w:val="24"/>
        </w:rPr>
        <w:t>a</w:t>
      </w:r>
      <w:r>
        <w:rPr>
          <w:spacing w:val="-23"/>
          <w:w w:val="130"/>
          <w:sz w:val="24"/>
        </w:rPr>
        <w:t> </w:t>
      </w:r>
      <w:r>
        <w:rPr>
          <w:w w:val="130"/>
          <w:sz w:val="24"/>
        </w:rPr>
        <w:t>kiszervezett</w:t>
      </w:r>
      <w:r>
        <w:rPr>
          <w:spacing w:val="-24"/>
          <w:w w:val="130"/>
          <w:sz w:val="24"/>
        </w:rPr>
        <w:t> </w:t>
      </w:r>
      <w:r>
        <w:rPr>
          <w:w w:val="130"/>
          <w:sz w:val="24"/>
        </w:rPr>
        <w:t>tevékenységet</w:t>
      </w:r>
      <w:r>
        <w:rPr>
          <w:spacing w:val="-23"/>
          <w:w w:val="130"/>
          <w:sz w:val="24"/>
        </w:rPr>
        <w:t> </w:t>
      </w:r>
      <w:r>
        <w:rPr>
          <w:w w:val="130"/>
          <w:sz w:val="24"/>
        </w:rPr>
        <w:t>végző</w:t>
      </w:r>
      <w:r>
        <w:rPr>
          <w:spacing w:val="-23"/>
          <w:w w:val="130"/>
          <w:sz w:val="24"/>
        </w:rPr>
        <w:t> </w:t>
      </w:r>
      <w:r>
        <w:rPr>
          <w:w w:val="130"/>
          <w:sz w:val="24"/>
        </w:rPr>
        <w:t>elérhetőségét,</w:t>
      </w:r>
    </w:p>
    <w:p>
      <w:pPr>
        <w:pStyle w:val="BodyText"/>
        <w:spacing w:before="3"/>
        <w:ind w:left="0" w:firstLine="0"/>
      </w:pPr>
      <w:r>
        <w:rPr/>
        <w:pict>
          <v:line style="position:absolute;mso-position-horizontal-relative:page;mso-position-vertical-relative:paragraph;z-index:1856;mso-wrap-distance-left:0;mso-wrap-distance-right:0" from="56.693001pt,16.161180pt" to="538.583001pt,16.161180pt" stroked="true" strokeweight=".5pt" strokecolor="#000000">
            <v:stroke dashstyle="solid"/>
            <w10:wrap type="topAndBottom"/>
          </v:line>
        </w:pict>
      </w:r>
    </w:p>
    <w:p>
      <w:pPr>
        <w:pStyle w:val="ListParagraph"/>
        <w:numPr>
          <w:ilvl w:val="0"/>
          <w:numId w:val="482"/>
        </w:numPr>
        <w:tabs>
          <w:tab w:pos="686" w:val="left" w:leader="none"/>
          <w:tab w:pos="687" w:val="left" w:leader="none"/>
        </w:tabs>
        <w:spacing w:line="203" w:lineRule="exact" w:before="44" w:after="0"/>
        <w:ind w:left="686" w:right="0" w:hanging="344"/>
        <w:jc w:val="left"/>
        <w:rPr>
          <w:i/>
          <w:sz w:val="18"/>
        </w:rPr>
      </w:pPr>
      <w:r>
        <w:rPr>
          <w:i/>
          <w:w w:val="125"/>
          <w:sz w:val="18"/>
        </w:rPr>
        <w:t>Módosította: 2015. évi LXXXV. törvény 238. § (2)</w:t>
      </w:r>
      <w:r>
        <w:rPr>
          <w:i/>
          <w:spacing w:val="-6"/>
          <w:w w:val="125"/>
          <w:sz w:val="18"/>
        </w:rPr>
        <w:t> </w:t>
      </w:r>
      <w:r>
        <w:rPr>
          <w:i/>
          <w:w w:val="125"/>
          <w:sz w:val="18"/>
        </w:rPr>
        <w:t>c).</w:t>
      </w:r>
    </w:p>
    <w:p>
      <w:pPr>
        <w:pStyle w:val="ListParagraph"/>
        <w:numPr>
          <w:ilvl w:val="0"/>
          <w:numId w:val="48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138.</w:t>
      </w:r>
      <w:r>
        <w:rPr>
          <w:i/>
          <w:spacing w:val="-12"/>
          <w:w w:val="125"/>
          <w:sz w:val="18"/>
        </w:rPr>
        <w:t> </w:t>
      </w:r>
      <w:r>
        <w:rPr>
          <w:i/>
          <w:w w:val="125"/>
          <w:sz w:val="18"/>
        </w:rPr>
        <w:t>§</w:t>
      </w:r>
      <w:r>
        <w:rPr>
          <w:i/>
          <w:spacing w:val="-10"/>
          <w:w w:val="125"/>
          <w:sz w:val="18"/>
        </w:rPr>
        <w:t> </w:t>
      </w:r>
      <w:r>
        <w:rPr>
          <w:i/>
          <w:w w:val="125"/>
          <w:sz w:val="18"/>
        </w:rPr>
        <w:t>(1).</w:t>
      </w:r>
      <w:r>
        <w:rPr>
          <w:i/>
          <w:spacing w:val="-11"/>
          <w:w w:val="125"/>
          <w:sz w:val="18"/>
        </w:rPr>
        <w:t> </w:t>
      </w:r>
      <w:r>
        <w:rPr>
          <w:i/>
          <w:w w:val="125"/>
          <w:sz w:val="18"/>
        </w:rPr>
        <w:t>Hatályos:</w:t>
      </w:r>
      <w:r>
        <w:rPr>
          <w:i/>
          <w:spacing w:val="-10"/>
          <w:w w:val="125"/>
          <w:sz w:val="18"/>
        </w:rPr>
        <w:t> </w:t>
      </w:r>
      <w:r>
        <w:rPr>
          <w:i/>
          <w:w w:val="125"/>
          <w:sz w:val="18"/>
        </w:rPr>
        <w:t>2016.</w:t>
      </w:r>
      <w:r>
        <w:rPr>
          <w:i/>
          <w:spacing w:val="-12"/>
          <w:w w:val="125"/>
          <w:sz w:val="18"/>
        </w:rPr>
        <w:t> </w:t>
      </w:r>
      <w:r>
        <w:rPr>
          <w:i/>
          <w:w w:val="125"/>
          <w:sz w:val="18"/>
        </w:rPr>
        <w:t>I.</w:t>
      </w:r>
      <w:r>
        <w:rPr>
          <w:i/>
          <w:spacing w:val="-10"/>
          <w:w w:val="125"/>
          <w:sz w:val="18"/>
        </w:rPr>
        <w:t> </w:t>
      </w:r>
      <w:r>
        <w:rPr>
          <w:i/>
          <w:w w:val="125"/>
          <w:sz w:val="18"/>
        </w:rPr>
        <w:t>1-től.</w:t>
      </w:r>
    </w:p>
    <w:p>
      <w:pPr>
        <w:pStyle w:val="ListParagraph"/>
        <w:numPr>
          <w:ilvl w:val="0"/>
          <w:numId w:val="48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2"/>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138.</w:t>
      </w:r>
      <w:r>
        <w:rPr>
          <w:i/>
          <w:spacing w:val="-12"/>
          <w:w w:val="125"/>
          <w:sz w:val="18"/>
        </w:rPr>
        <w:t> </w:t>
      </w:r>
      <w:r>
        <w:rPr>
          <w:i/>
          <w:w w:val="125"/>
          <w:sz w:val="18"/>
        </w:rPr>
        <w:t>§</w:t>
      </w:r>
      <w:r>
        <w:rPr>
          <w:i/>
          <w:spacing w:val="-10"/>
          <w:w w:val="125"/>
          <w:sz w:val="18"/>
        </w:rPr>
        <w:t> </w:t>
      </w:r>
      <w:r>
        <w:rPr>
          <w:i/>
          <w:w w:val="125"/>
          <w:sz w:val="18"/>
        </w:rPr>
        <w:t>(1).</w:t>
      </w:r>
      <w:r>
        <w:rPr>
          <w:i/>
          <w:spacing w:val="-11"/>
          <w:w w:val="125"/>
          <w:sz w:val="18"/>
        </w:rPr>
        <w:t> </w:t>
      </w:r>
      <w:r>
        <w:rPr>
          <w:i/>
          <w:w w:val="125"/>
          <w:sz w:val="18"/>
        </w:rPr>
        <w:t>Hatályos:</w:t>
      </w:r>
      <w:r>
        <w:rPr>
          <w:i/>
          <w:spacing w:val="-10"/>
          <w:w w:val="125"/>
          <w:sz w:val="18"/>
        </w:rPr>
        <w:t> </w:t>
      </w:r>
      <w:r>
        <w:rPr>
          <w:i/>
          <w:w w:val="125"/>
          <w:sz w:val="18"/>
        </w:rPr>
        <w:t>2016.</w:t>
      </w:r>
      <w:r>
        <w:rPr>
          <w:i/>
          <w:spacing w:val="-12"/>
          <w:w w:val="125"/>
          <w:sz w:val="18"/>
        </w:rPr>
        <w:t> </w:t>
      </w:r>
      <w:r>
        <w:rPr>
          <w:i/>
          <w:w w:val="125"/>
          <w:sz w:val="18"/>
        </w:rPr>
        <w:t>I.</w:t>
      </w:r>
      <w:r>
        <w:rPr>
          <w:i/>
          <w:spacing w:val="-10"/>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4</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(1).</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5</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(1).</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6</w:t>
        <w:tab/>
        <w:t>Megállapította: 2015. évi CCXV. törvény 138. § (2). Hatályos: 2016. I.</w:t>
      </w:r>
      <w:r>
        <w:rPr>
          <w:i/>
          <w:spacing w:val="-24"/>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7</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8</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3" w:lineRule="exact" w:before="0"/>
        <w:ind w:left="342" w:right="0" w:firstLine="0"/>
        <w:jc w:val="left"/>
        <w:rPr>
          <w:i/>
          <w:sz w:val="18"/>
        </w:rPr>
      </w:pPr>
      <w:r>
        <w:rPr>
          <w:i/>
          <w:w w:val="125"/>
          <w:sz w:val="18"/>
        </w:rPr>
        <w:t>9</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481"/>
        </w:numPr>
        <w:tabs>
          <w:tab w:pos="567" w:val="left" w:leader="none"/>
        </w:tabs>
        <w:spacing w:line="261" w:lineRule="exact" w:before="159" w:after="0"/>
        <w:ind w:left="566" w:right="0" w:hanging="249"/>
        <w:jc w:val="left"/>
        <w:rPr>
          <w:sz w:val="24"/>
        </w:rPr>
      </w:pPr>
      <w:r>
        <w:rPr>
          <w:i/>
          <w:w w:val="130"/>
          <w:position w:val="3"/>
          <w:sz w:val="18"/>
        </w:rPr>
        <w:t>1 </w:t>
      </w:r>
      <w:r>
        <w:rPr>
          <w:w w:val="130"/>
          <w:sz w:val="24"/>
        </w:rPr>
        <w:t>belső ellenőr, belső ellenőrzési szervezet vezetője vonatkozásában</w:t>
      </w:r>
      <w:r>
        <w:rPr>
          <w:spacing w:val="-29"/>
          <w:w w:val="130"/>
          <w:sz w:val="24"/>
        </w:rPr>
        <w:t> </w:t>
      </w:r>
      <w:r>
        <w:rPr>
          <w:w w:val="130"/>
          <w:sz w:val="24"/>
        </w:rPr>
        <w:t>a</w:t>
      </w:r>
    </w:p>
    <w:p>
      <w:pPr>
        <w:pStyle w:val="BodyText"/>
        <w:spacing w:line="267" w:lineRule="exact"/>
        <w:ind w:firstLine="0"/>
      </w:pPr>
      <w:r>
        <w:rPr>
          <w:w w:val="125"/>
        </w:rPr>
        <w:t>foglalkoztatási jogviszony jellegét, időtartamát,</w:t>
      </w:r>
    </w:p>
    <w:p>
      <w:pPr>
        <w:pStyle w:val="ListParagraph"/>
        <w:numPr>
          <w:ilvl w:val="0"/>
          <w:numId w:val="481"/>
        </w:numPr>
        <w:tabs>
          <w:tab w:pos="567" w:val="left" w:leader="none"/>
        </w:tabs>
        <w:spacing w:line="260" w:lineRule="exact" w:before="0" w:after="0"/>
        <w:ind w:left="566" w:right="0" w:hanging="249"/>
        <w:jc w:val="left"/>
        <w:rPr>
          <w:sz w:val="24"/>
        </w:rPr>
      </w:pPr>
      <w:r>
        <w:rPr>
          <w:i/>
          <w:w w:val="125"/>
          <w:position w:val="3"/>
          <w:sz w:val="18"/>
        </w:rPr>
        <w:t>2 </w:t>
      </w:r>
      <w:r>
        <w:rPr>
          <w:w w:val="125"/>
          <w:sz w:val="24"/>
        </w:rPr>
        <w:t>az </w:t>
      </w:r>
      <w:r>
        <w:rPr>
          <w:i/>
          <w:w w:val="125"/>
          <w:sz w:val="24"/>
        </w:rPr>
        <w:t>l)-p) </w:t>
      </w:r>
      <w:r>
        <w:rPr>
          <w:w w:val="125"/>
          <w:sz w:val="24"/>
        </w:rPr>
        <w:t>pontokban felsorolt adatokban bekövetkezett</w:t>
      </w:r>
      <w:r>
        <w:rPr>
          <w:spacing w:val="-13"/>
          <w:w w:val="125"/>
          <w:sz w:val="24"/>
        </w:rPr>
        <w:t> </w:t>
      </w:r>
      <w:r>
        <w:rPr>
          <w:w w:val="125"/>
          <w:sz w:val="24"/>
        </w:rPr>
        <w:t>változásokat.</w:t>
      </w:r>
    </w:p>
    <w:p>
      <w:pPr>
        <w:pStyle w:val="ListParagraph"/>
        <w:numPr>
          <w:ilvl w:val="0"/>
          <w:numId w:val="480"/>
        </w:numPr>
        <w:tabs>
          <w:tab w:pos="771" w:val="left" w:leader="none"/>
        </w:tabs>
        <w:spacing w:line="225" w:lineRule="auto" w:before="5" w:after="0"/>
        <w:ind w:left="113" w:right="129" w:firstLine="204"/>
        <w:jc w:val="both"/>
        <w:rPr>
          <w:sz w:val="24"/>
        </w:rPr>
      </w:pPr>
      <w:r>
        <w:rPr>
          <w:w w:val="125"/>
          <w:sz w:val="24"/>
        </w:rPr>
        <w:t>A (2) bekezdésben megjelölt adatokhoz kapcsolódóan a 2. mellékletben felsoroltakon kívül a Felügyelet a pénzügyi intézmény ügyfelének következő személyes adatait</w:t>
      </w:r>
      <w:r>
        <w:rPr>
          <w:spacing w:val="2"/>
          <w:w w:val="125"/>
          <w:sz w:val="24"/>
        </w:rPr>
        <w:t> </w:t>
      </w:r>
      <w:r>
        <w:rPr>
          <w:w w:val="125"/>
          <w:sz w:val="24"/>
        </w:rPr>
        <w:t>kezelheti:</w:t>
      </w:r>
    </w:p>
    <w:p>
      <w:pPr>
        <w:pStyle w:val="ListParagraph"/>
        <w:numPr>
          <w:ilvl w:val="0"/>
          <w:numId w:val="483"/>
        </w:numPr>
        <w:tabs>
          <w:tab w:pos="631" w:val="left" w:leader="none"/>
        </w:tabs>
        <w:spacing w:line="256" w:lineRule="exact" w:before="0" w:after="0"/>
        <w:ind w:left="630" w:right="0" w:hanging="313"/>
        <w:jc w:val="left"/>
        <w:rPr>
          <w:sz w:val="24"/>
        </w:rPr>
      </w:pPr>
      <w:r>
        <w:rPr>
          <w:w w:val="125"/>
          <w:sz w:val="24"/>
        </w:rPr>
        <w:t>az ügyfél</w:t>
      </w:r>
      <w:r>
        <w:rPr>
          <w:spacing w:val="1"/>
          <w:w w:val="125"/>
          <w:sz w:val="24"/>
        </w:rPr>
        <w:t> </w:t>
      </w:r>
      <w:r>
        <w:rPr>
          <w:w w:val="125"/>
          <w:sz w:val="24"/>
        </w:rPr>
        <w:t>hiteladatai,</w:t>
      </w:r>
    </w:p>
    <w:p>
      <w:pPr>
        <w:pStyle w:val="ListParagraph"/>
        <w:numPr>
          <w:ilvl w:val="0"/>
          <w:numId w:val="483"/>
        </w:numPr>
        <w:tabs>
          <w:tab w:pos="653" w:val="left" w:leader="none"/>
        </w:tabs>
        <w:spacing w:line="260" w:lineRule="exact" w:before="0" w:after="0"/>
        <w:ind w:left="652" w:right="0" w:hanging="335"/>
        <w:jc w:val="left"/>
        <w:rPr>
          <w:sz w:val="24"/>
        </w:rPr>
      </w:pPr>
      <w:r>
        <w:rPr>
          <w:w w:val="125"/>
          <w:sz w:val="24"/>
        </w:rPr>
        <w:t>az ügyfél egyéb kockázati</w:t>
      </w:r>
      <w:r>
        <w:rPr>
          <w:spacing w:val="-8"/>
          <w:w w:val="125"/>
          <w:sz w:val="24"/>
        </w:rPr>
        <w:t> </w:t>
      </w:r>
      <w:r>
        <w:rPr>
          <w:w w:val="125"/>
          <w:sz w:val="24"/>
        </w:rPr>
        <w:t>adatai,</w:t>
      </w:r>
    </w:p>
    <w:p>
      <w:pPr>
        <w:pStyle w:val="ListParagraph"/>
        <w:numPr>
          <w:ilvl w:val="0"/>
          <w:numId w:val="483"/>
        </w:numPr>
        <w:tabs>
          <w:tab w:pos="623" w:val="left" w:leader="none"/>
        </w:tabs>
        <w:spacing w:line="260" w:lineRule="exact" w:before="0" w:after="0"/>
        <w:ind w:left="622" w:right="0" w:hanging="305"/>
        <w:jc w:val="left"/>
        <w:rPr>
          <w:sz w:val="24"/>
        </w:rPr>
      </w:pPr>
      <w:r>
        <w:rPr>
          <w:w w:val="130"/>
          <w:sz w:val="24"/>
        </w:rPr>
        <w:t>az ügyfél</w:t>
      </w:r>
      <w:r>
        <w:rPr>
          <w:spacing w:val="-6"/>
          <w:w w:val="130"/>
          <w:sz w:val="24"/>
        </w:rPr>
        <w:t> </w:t>
      </w:r>
      <w:r>
        <w:rPr>
          <w:w w:val="130"/>
          <w:sz w:val="24"/>
        </w:rPr>
        <w:t>betétadatai,</w:t>
      </w:r>
    </w:p>
    <w:p>
      <w:pPr>
        <w:pStyle w:val="ListParagraph"/>
        <w:numPr>
          <w:ilvl w:val="0"/>
          <w:numId w:val="483"/>
        </w:numPr>
        <w:tabs>
          <w:tab w:pos="699" w:val="left" w:leader="none"/>
        </w:tabs>
        <w:spacing w:line="225" w:lineRule="auto" w:before="6" w:after="0"/>
        <w:ind w:left="113" w:right="134" w:firstLine="204"/>
        <w:jc w:val="left"/>
        <w:rPr>
          <w:sz w:val="24"/>
        </w:rPr>
      </w:pPr>
      <w:r>
        <w:rPr>
          <w:w w:val="125"/>
          <w:sz w:val="24"/>
        </w:rPr>
        <w:t>az ügyfél pénzügyi intézménnyel szembeni követelésre vonatkozó egyéb adatai.</w:t>
      </w:r>
    </w:p>
    <w:p>
      <w:pPr>
        <w:pStyle w:val="ListParagraph"/>
        <w:numPr>
          <w:ilvl w:val="0"/>
          <w:numId w:val="480"/>
        </w:numPr>
        <w:tabs>
          <w:tab w:pos="734" w:val="left" w:leader="none"/>
        </w:tabs>
        <w:spacing w:line="246" w:lineRule="exact" w:before="0" w:after="0"/>
        <w:ind w:left="733" w:right="0" w:hanging="416"/>
        <w:jc w:val="left"/>
        <w:rPr>
          <w:sz w:val="24"/>
        </w:rPr>
      </w:pPr>
      <w:r>
        <w:rPr>
          <w:w w:val="125"/>
          <w:sz w:val="24"/>
        </w:rPr>
        <w:t>A Felügyelet engedélye egyúttal a nyilvántartásba vételt is</w:t>
      </w:r>
      <w:r>
        <w:rPr>
          <w:spacing w:val="26"/>
          <w:w w:val="125"/>
          <w:sz w:val="24"/>
        </w:rPr>
        <w:t> </w:t>
      </w:r>
      <w:r>
        <w:rPr>
          <w:w w:val="125"/>
          <w:sz w:val="24"/>
        </w:rPr>
        <w:t>igazolja.</w:t>
      </w:r>
    </w:p>
    <w:p>
      <w:pPr>
        <w:pStyle w:val="BodyText"/>
        <w:tabs>
          <w:tab w:pos="1452" w:val="left" w:leader="none"/>
          <w:tab w:pos="1971" w:val="left" w:leader="none"/>
          <w:tab w:pos="2582" w:val="left" w:leader="none"/>
          <w:tab w:pos="3026" w:val="left" w:leader="none"/>
          <w:tab w:pos="4594" w:val="left" w:leader="none"/>
          <w:tab w:pos="4992" w:val="left" w:leader="none"/>
          <w:tab w:pos="6360" w:val="left" w:leader="none"/>
          <w:tab w:pos="8076" w:val="left" w:leader="none"/>
          <w:tab w:pos="9603" w:val="left" w:leader="none"/>
        </w:tabs>
        <w:spacing w:line="262" w:lineRule="exact"/>
        <w:ind w:left="317" w:firstLine="0"/>
      </w:pPr>
      <w:r>
        <w:rPr>
          <w:rFonts w:ascii="Arial" w:hAnsi="Arial"/>
          <w:b/>
          <w:w w:val="125"/>
        </w:rPr>
        <w:t>204/A.</w:t>
        <w:tab/>
        <w:t>§</w:t>
      </w:r>
      <w:r>
        <w:rPr>
          <w:i/>
          <w:w w:val="125"/>
          <w:position w:val="3"/>
          <w:sz w:val="18"/>
        </w:rPr>
        <w:t>3</w:t>
        <w:tab/>
      </w:r>
      <w:r>
        <w:rPr>
          <w:w w:val="125"/>
        </w:rPr>
        <w:t>(1)</w:t>
        <w:tab/>
        <w:t>A</w:t>
        <w:tab/>
        <w:t>Felügyelet</w:t>
        <w:tab/>
        <w:t>a</w:t>
        <w:tab/>
        <w:t>pénzügyi</w:t>
        <w:tab/>
        <w:t>szolgáltatás</w:t>
        <w:tab/>
        <w:t>közvetítői,</w:t>
        <w:tab/>
        <w:t>a</w:t>
      </w:r>
    </w:p>
    <w:p>
      <w:pPr>
        <w:pStyle w:val="BodyText"/>
        <w:spacing w:line="225" w:lineRule="auto" w:before="12"/>
        <w:ind w:right="125" w:firstLine="0"/>
        <w:jc w:val="both"/>
      </w:pPr>
      <w:r>
        <w:rPr>
          <w:w w:val="125"/>
        </w:rPr>
        <w:t>biztosításközvetítői és a tőkepiaci üzletkötői hatósági képzéssel és hatósági vizsgával összefüggő feladatokról szóló miniszteri rendeletben meghatározott hatósági képzéssel és vizsgáztatással kapcsolatban, a hatósági képzés és vizsgáztatás hatósági ellenőrzésével, továbbá a hatósági képzésre és vizsgára történő jelentkezés lebonyolításával és a sikeres vizsgákat igazoló hatósági tanúsítvány kiadásával, pótlásával kapcsolatos feladatai ellátása érdekében nyilvántartást vezet a képzést vagy képzést és vizsgáztatást végző szervekről   (a továbbiakban együtt: képző szerv), a hatósági vizsgára jelentkező személyekről, a képző szerv által aláíró személyként megjelölt, a képzési igazolás kiállítására és aláírására feljogosított személyekről (a továbbiakban: aláíró személy), az oktatókról, a hatósági vizsga jogszabályban foglalt feltételeknek megfelelő lebonyolításának felügyeletére  jogosult személyekről (a továbbiakban: vizsgabiztos), valamint a hatósági vizsga letételét igazoló tanúsítványokról.</w:t>
      </w:r>
    </w:p>
    <w:p>
      <w:pPr>
        <w:pStyle w:val="ListParagraph"/>
        <w:numPr>
          <w:ilvl w:val="0"/>
          <w:numId w:val="484"/>
        </w:numPr>
        <w:tabs>
          <w:tab w:pos="788" w:val="left" w:leader="none"/>
        </w:tabs>
        <w:spacing w:line="225" w:lineRule="auto" w:before="8" w:after="0"/>
        <w:ind w:left="113" w:right="126" w:firstLine="204"/>
        <w:jc w:val="both"/>
        <w:rPr>
          <w:sz w:val="24"/>
        </w:rPr>
      </w:pPr>
      <w:r>
        <w:rPr>
          <w:w w:val="125"/>
          <w:sz w:val="24"/>
        </w:rPr>
        <w:t>A közvetítői tevékenység gyakorlását lehetővé tevő közvetítői hatósági vizsgának és az ahhoz szükséges képzésnek a pénzügyi szolgáltatás közvetítői, a biztosításközvetítői és a tőkepiaci üzletkötői hatósági képzéssel és hatósági vizsgával összefüggő feladatokról szóló miniszteri rendeletben meghatározott feltételeknek megfelelő képzés és vizsga fogadható</w:t>
      </w:r>
      <w:r>
        <w:rPr>
          <w:spacing w:val="7"/>
          <w:w w:val="125"/>
          <w:sz w:val="24"/>
        </w:rPr>
        <w:t> </w:t>
      </w:r>
      <w:r>
        <w:rPr>
          <w:w w:val="125"/>
          <w:sz w:val="24"/>
        </w:rPr>
        <w:t>el.</w:t>
      </w:r>
    </w:p>
    <w:p>
      <w:pPr>
        <w:pStyle w:val="ListParagraph"/>
        <w:numPr>
          <w:ilvl w:val="0"/>
          <w:numId w:val="484"/>
        </w:numPr>
        <w:tabs>
          <w:tab w:pos="734" w:val="left" w:leader="none"/>
        </w:tabs>
        <w:spacing w:line="257" w:lineRule="exact" w:before="0" w:after="0"/>
        <w:ind w:left="733" w:right="0" w:hanging="416"/>
        <w:jc w:val="left"/>
        <w:rPr>
          <w:sz w:val="24"/>
        </w:rPr>
      </w:pPr>
      <w:r>
        <w:rPr>
          <w:w w:val="125"/>
          <w:sz w:val="24"/>
        </w:rPr>
        <w:t>A képző szervekről vezetett nyilvántartás</w:t>
      </w:r>
      <w:r>
        <w:rPr>
          <w:spacing w:val="11"/>
          <w:w w:val="125"/>
          <w:sz w:val="24"/>
        </w:rPr>
        <w:t> </w:t>
      </w:r>
      <w:r>
        <w:rPr>
          <w:w w:val="125"/>
          <w:sz w:val="24"/>
        </w:rPr>
        <w:t>tartalmazza</w:t>
      </w:r>
    </w:p>
    <w:p>
      <w:pPr>
        <w:pStyle w:val="ListParagraph"/>
        <w:numPr>
          <w:ilvl w:val="0"/>
          <w:numId w:val="485"/>
        </w:numPr>
        <w:tabs>
          <w:tab w:pos="631" w:val="left" w:leader="none"/>
        </w:tabs>
        <w:spacing w:line="260" w:lineRule="exact" w:before="0" w:after="0"/>
        <w:ind w:left="630" w:right="0" w:hanging="313"/>
        <w:jc w:val="left"/>
        <w:rPr>
          <w:sz w:val="24"/>
        </w:rPr>
      </w:pPr>
      <w:r>
        <w:rPr>
          <w:w w:val="130"/>
          <w:sz w:val="24"/>
        </w:rPr>
        <w:t>a szerv megnevezését, székhelyét, levelezési</w:t>
      </w:r>
      <w:r>
        <w:rPr>
          <w:spacing w:val="-34"/>
          <w:w w:val="130"/>
          <w:sz w:val="24"/>
        </w:rPr>
        <w:t> </w:t>
      </w:r>
      <w:r>
        <w:rPr>
          <w:w w:val="130"/>
          <w:sz w:val="24"/>
        </w:rPr>
        <w:t>címét,</w:t>
      </w:r>
    </w:p>
    <w:p>
      <w:pPr>
        <w:pStyle w:val="ListParagraph"/>
        <w:numPr>
          <w:ilvl w:val="0"/>
          <w:numId w:val="485"/>
        </w:numPr>
        <w:tabs>
          <w:tab w:pos="653" w:val="left" w:leader="none"/>
        </w:tabs>
        <w:spacing w:line="260" w:lineRule="exact" w:before="0" w:after="0"/>
        <w:ind w:left="652" w:right="0" w:hanging="335"/>
        <w:jc w:val="left"/>
        <w:rPr>
          <w:sz w:val="24"/>
        </w:rPr>
      </w:pPr>
      <w:r>
        <w:rPr>
          <w:w w:val="125"/>
          <w:sz w:val="24"/>
        </w:rPr>
        <w:t>a hatósági képzés helyszínének, a hatósági vizsga helyszínének</w:t>
      </w:r>
      <w:r>
        <w:rPr>
          <w:spacing w:val="27"/>
          <w:w w:val="125"/>
          <w:sz w:val="24"/>
        </w:rPr>
        <w:t> </w:t>
      </w:r>
      <w:r>
        <w:rPr>
          <w:w w:val="125"/>
          <w:sz w:val="24"/>
        </w:rPr>
        <w:t>címét,</w:t>
      </w:r>
    </w:p>
    <w:p>
      <w:pPr>
        <w:pStyle w:val="ListParagraph"/>
        <w:numPr>
          <w:ilvl w:val="0"/>
          <w:numId w:val="485"/>
        </w:numPr>
        <w:tabs>
          <w:tab w:pos="623" w:val="left" w:leader="none"/>
        </w:tabs>
        <w:spacing w:line="260" w:lineRule="exact" w:before="0" w:after="0"/>
        <w:ind w:left="622" w:right="0" w:hanging="305"/>
        <w:jc w:val="left"/>
        <w:rPr>
          <w:sz w:val="24"/>
        </w:rPr>
      </w:pPr>
      <w:r>
        <w:rPr>
          <w:w w:val="130"/>
          <w:sz w:val="24"/>
        </w:rPr>
        <w:t>a nyilvántartási</w:t>
      </w:r>
      <w:r>
        <w:rPr>
          <w:spacing w:val="-7"/>
          <w:w w:val="130"/>
          <w:sz w:val="24"/>
        </w:rPr>
        <w:t> </w:t>
      </w:r>
      <w:r>
        <w:rPr>
          <w:w w:val="130"/>
          <w:sz w:val="24"/>
        </w:rPr>
        <w:t>számot,</w:t>
      </w:r>
    </w:p>
    <w:p>
      <w:pPr>
        <w:pStyle w:val="ListParagraph"/>
        <w:numPr>
          <w:ilvl w:val="0"/>
          <w:numId w:val="485"/>
        </w:numPr>
        <w:tabs>
          <w:tab w:pos="653" w:val="left" w:leader="none"/>
        </w:tabs>
        <w:spacing w:line="260" w:lineRule="exact" w:before="0" w:after="0"/>
        <w:ind w:left="652" w:right="0" w:hanging="335"/>
        <w:jc w:val="left"/>
        <w:rPr>
          <w:sz w:val="24"/>
        </w:rPr>
      </w:pPr>
      <w:r>
        <w:rPr>
          <w:w w:val="125"/>
          <w:sz w:val="24"/>
        </w:rPr>
        <w:t>az intézményi</w:t>
      </w:r>
      <w:r>
        <w:rPr>
          <w:spacing w:val="-11"/>
          <w:w w:val="125"/>
          <w:sz w:val="24"/>
        </w:rPr>
        <w:t> </w:t>
      </w:r>
      <w:r>
        <w:rPr>
          <w:w w:val="125"/>
          <w:sz w:val="24"/>
        </w:rPr>
        <w:t>kódot,</w:t>
      </w:r>
    </w:p>
    <w:p>
      <w:pPr>
        <w:pStyle w:val="ListParagraph"/>
        <w:numPr>
          <w:ilvl w:val="0"/>
          <w:numId w:val="485"/>
        </w:numPr>
        <w:tabs>
          <w:tab w:pos="629" w:val="left" w:leader="none"/>
        </w:tabs>
        <w:spacing w:line="260" w:lineRule="exact" w:before="0" w:after="0"/>
        <w:ind w:left="628" w:right="0" w:hanging="311"/>
        <w:jc w:val="left"/>
        <w:rPr>
          <w:sz w:val="24"/>
        </w:rPr>
      </w:pPr>
      <w:r>
        <w:rPr>
          <w:w w:val="130"/>
          <w:sz w:val="24"/>
        </w:rPr>
        <w:t>a nyilvántartásba vételről szóló döntés</w:t>
      </w:r>
      <w:r>
        <w:rPr>
          <w:spacing w:val="-30"/>
          <w:w w:val="130"/>
          <w:sz w:val="24"/>
        </w:rPr>
        <w:t> </w:t>
      </w:r>
      <w:r>
        <w:rPr>
          <w:w w:val="130"/>
          <w:sz w:val="24"/>
        </w:rPr>
        <w:t>ügyiratszámát,</w:t>
      </w:r>
    </w:p>
    <w:p>
      <w:pPr>
        <w:pStyle w:val="ListParagraph"/>
        <w:numPr>
          <w:ilvl w:val="0"/>
          <w:numId w:val="485"/>
        </w:numPr>
        <w:tabs>
          <w:tab w:pos="577" w:val="left" w:leader="none"/>
        </w:tabs>
        <w:spacing w:line="260" w:lineRule="exact" w:before="0" w:after="0"/>
        <w:ind w:left="576" w:right="0" w:hanging="259"/>
        <w:jc w:val="left"/>
        <w:rPr>
          <w:sz w:val="24"/>
        </w:rPr>
      </w:pPr>
      <w:r>
        <w:rPr>
          <w:w w:val="125"/>
          <w:sz w:val="24"/>
        </w:rPr>
        <w:t>az aláíró személy és az oktató nevét és személyi kódját</w:t>
      </w:r>
      <w:r>
        <w:rPr>
          <w:spacing w:val="18"/>
          <w:w w:val="125"/>
          <w:sz w:val="24"/>
        </w:rPr>
        <w:t> </w:t>
      </w:r>
      <w:r>
        <w:rPr>
          <w:w w:val="125"/>
          <w:sz w:val="24"/>
        </w:rPr>
        <w:t>és</w:t>
      </w:r>
    </w:p>
    <w:p>
      <w:pPr>
        <w:pStyle w:val="ListParagraph"/>
        <w:numPr>
          <w:ilvl w:val="0"/>
          <w:numId w:val="485"/>
        </w:numPr>
        <w:tabs>
          <w:tab w:pos="653" w:val="left" w:leader="none"/>
        </w:tabs>
        <w:spacing w:line="260" w:lineRule="exact" w:before="0" w:after="0"/>
        <w:ind w:left="652" w:right="0" w:hanging="335"/>
        <w:jc w:val="left"/>
        <w:rPr>
          <w:sz w:val="24"/>
        </w:rPr>
      </w:pPr>
      <w:r>
        <w:rPr>
          <w:w w:val="130"/>
          <w:sz w:val="24"/>
        </w:rPr>
        <w:t>a nyilvántartásba vétel</w:t>
      </w:r>
      <w:r>
        <w:rPr>
          <w:spacing w:val="-22"/>
          <w:w w:val="130"/>
          <w:sz w:val="24"/>
        </w:rPr>
        <w:t> </w:t>
      </w:r>
      <w:r>
        <w:rPr>
          <w:w w:val="130"/>
          <w:sz w:val="24"/>
        </w:rPr>
        <w:t>időpontját.</w:t>
      </w:r>
    </w:p>
    <w:p>
      <w:pPr>
        <w:pStyle w:val="ListParagraph"/>
        <w:numPr>
          <w:ilvl w:val="0"/>
          <w:numId w:val="484"/>
        </w:numPr>
        <w:tabs>
          <w:tab w:pos="788" w:val="left" w:leader="none"/>
        </w:tabs>
        <w:spacing w:line="225" w:lineRule="auto" w:before="6" w:after="0"/>
        <w:ind w:left="113" w:right="131" w:firstLine="204"/>
        <w:jc w:val="left"/>
        <w:rPr>
          <w:sz w:val="24"/>
        </w:rPr>
      </w:pPr>
      <w:r>
        <w:rPr>
          <w:w w:val="130"/>
          <w:sz w:val="24"/>
        </w:rPr>
        <w:t>A Felügyelet a nyilvántartásba vételről szóló döntésben a képző szerv részére nyilvántartási számot és intézményi kódot állapít</w:t>
      </w:r>
      <w:r>
        <w:rPr>
          <w:spacing w:val="-55"/>
          <w:w w:val="130"/>
          <w:sz w:val="24"/>
        </w:rPr>
        <w:t> </w:t>
      </w:r>
      <w:r>
        <w:rPr>
          <w:w w:val="130"/>
          <w:sz w:val="24"/>
        </w:rPr>
        <w:t>meg.</w:t>
      </w:r>
    </w:p>
    <w:p>
      <w:pPr>
        <w:pStyle w:val="ListParagraph"/>
        <w:numPr>
          <w:ilvl w:val="0"/>
          <w:numId w:val="484"/>
        </w:numPr>
        <w:tabs>
          <w:tab w:pos="659" w:val="left" w:leader="none"/>
        </w:tabs>
        <w:spacing w:line="249" w:lineRule="exact" w:before="0" w:after="0"/>
        <w:ind w:left="658" w:right="0" w:hanging="341"/>
        <w:jc w:val="left"/>
        <w:rPr>
          <w:sz w:val="24"/>
        </w:rPr>
      </w:pPr>
      <w:r>
        <w:rPr>
          <w:i/>
          <w:w w:val="130"/>
          <w:position w:val="3"/>
          <w:sz w:val="18"/>
        </w:rPr>
        <w:t>4 </w:t>
      </w:r>
      <w:r>
        <w:rPr>
          <w:w w:val="130"/>
          <w:sz w:val="24"/>
        </w:rPr>
        <w:t>Ha a Felügyelet a képző szerv nyilvántartásból történő</w:t>
      </w:r>
      <w:r>
        <w:rPr>
          <w:spacing w:val="11"/>
          <w:w w:val="130"/>
          <w:sz w:val="24"/>
        </w:rPr>
        <w:t> </w:t>
      </w:r>
      <w:r>
        <w:rPr>
          <w:w w:val="130"/>
          <w:sz w:val="24"/>
        </w:rPr>
        <w:t>törléséről</w:t>
      </w:r>
    </w:p>
    <w:p>
      <w:pPr>
        <w:pStyle w:val="BodyText"/>
        <w:spacing w:line="225" w:lineRule="auto" w:before="12"/>
        <w:ind w:right="129" w:firstLine="0"/>
        <w:jc w:val="both"/>
      </w:pPr>
      <w:r>
        <w:rPr>
          <w:w w:val="130"/>
        </w:rPr>
        <w:t>döntést hozott, a (3) bekezdésben foglalt adatok mellett a törlés időpontját, a törlésről szóló döntés ügyiratszámát, a döntés tényét, okát és a döntés véglegessé válásának időpontját is nyilvántartja.</w:t>
      </w:r>
    </w:p>
    <w:p>
      <w:pPr>
        <w:pStyle w:val="BodyText"/>
        <w:ind w:left="0" w:firstLine="0"/>
        <w:rPr>
          <w:sz w:val="20"/>
        </w:rPr>
      </w:pPr>
    </w:p>
    <w:p>
      <w:pPr>
        <w:pStyle w:val="BodyText"/>
        <w:ind w:left="0" w:firstLine="0"/>
        <w:rPr>
          <w:sz w:val="20"/>
        </w:rPr>
      </w:pPr>
    </w:p>
    <w:p>
      <w:pPr>
        <w:pStyle w:val="BodyText"/>
        <w:spacing w:before="1"/>
        <w:ind w:left="0" w:firstLine="0"/>
        <w:rPr>
          <w:sz w:val="26"/>
        </w:rPr>
      </w:pPr>
      <w:r>
        <w:rPr/>
        <w:pict>
          <v:line style="position:absolute;mso-position-horizontal-relative:page;mso-position-vertical-relative:paragraph;z-index:1880;mso-wrap-distance-left:0;mso-wrap-distance-right:0" from="56.693001pt,17.204929pt" to="538.583001pt,17.204929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2</w:t>
        <w:tab/>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CCXV.</w:t>
      </w:r>
      <w:r>
        <w:rPr>
          <w:i/>
          <w:spacing w:val="-8"/>
          <w:w w:val="125"/>
          <w:sz w:val="18"/>
        </w:rPr>
        <w:t> </w:t>
      </w:r>
      <w:r>
        <w:rPr>
          <w:i/>
          <w:w w:val="125"/>
          <w:sz w:val="18"/>
        </w:rPr>
        <w:t>törvény</w:t>
      </w:r>
      <w:r>
        <w:rPr>
          <w:i/>
          <w:spacing w:val="-9"/>
          <w:w w:val="125"/>
          <w:sz w:val="18"/>
        </w:rPr>
        <w:t> </w:t>
      </w:r>
      <w:r>
        <w:rPr>
          <w:i/>
          <w:w w:val="125"/>
          <w:sz w:val="18"/>
        </w:rPr>
        <w:t>138.</w:t>
      </w:r>
      <w:r>
        <w:rPr>
          <w:i/>
          <w:spacing w:val="-9"/>
          <w:w w:val="125"/>
          <w:sz w:val="18"/>
        </w:rPr>
        <w:t> </w:t>
      </w:r>
      <w:r>
        <w:rPr>
          <w:i/>
          <w:w w:val="125"/>
          <w:sz w:val="18"/>
        </w:rPr>
        <w:t>§</w:t>
      </w:r>
      <w:r>
        <w:rPr>
          <w:i/>
          <w:spacing w:val="-8"/>
          <w:w w:val="125"/>
          <w:sz w:val="18"/>
        </w:rPr>
        <w:t> </w:t>
      </w:r>
      <w:r>
        <w:rPr>
          <w:i/>
          <w:w w:val="125"/>
          <w:sz w:val="18"/>
        </w:rPr>
        <w:t>(3).</w:t>
      </w:r>
      <w:r>
        <w:rPr>
          <w:i/>
          <w:spacing w:val="-8"/>
          <w:w w:val="125"/>
          <w:sz w:val="18"/>
        </w:rPr>
        <w:t> </w:t>
      </w:r>
      <w:r>
        <w:rPr>
          <w:i/>
          <w:w w:val="125"/>
          <w:sz w:val="18"/>
        </w:rPr>
        <w:t>Hatályos:</w:t>
      </w:r>
      <w:r>
        <w:rPr>
          <w:i/>
          <w:spacing w:val="-8"/>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486"/>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172. §. Hatályos: 2017. VII.</w:t>
      </w:r>
      <w:r>
        <w:rPr>
          <w:i/>
          <w:spacing w:val="-19"/>
          <w:w w:val="125"/>
          <w:sz w:val="18"/>
        </w:rPr>
        <w:t> </w:t>
      </w:r>
      <w:r>
        <w:rPr>
          <w:i/>
          <w:w w:val="125"/>
          <w:sz w:val="18"/>
        </w:rPr>
        <w:t>1-től.</w:t>
      </w:r>
    </w:p>
    <w:p>
      <w:pPr>
        <w:pStyle w:val="ListParagraph"/>
        <w:numPr>
          <w:ilvl w:val="0"/>
          <w:numId w:val="486"/>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e).</w:t>
      </w:r>
    </w:p>
    <w:p>
      <w:pPr>
        <w:spacing w:after="0" w:line="203" w:lineRule="exact"/>
        <w:jc w:val="left"/>
        <w:rPr>
          <w:sz w:val="18"/>
        </w:rPr>
        <w:sectPr>
          <w:pgSz w:w="11900" w:h="16820"/>
          <w:pgMar w:header="1104" w:footer="0" w:top="1840" w:bottom="280" w:left="1020" w:right="1000"/>
        </w:sectPr>
      </w:pPr>
    </w:p>
    <w:p>
      <w:pPr>
        <w:pStyle w:val="ListParagraph"/>
        <w:numPr>
          <w:ilvl w:val="0"/>
          <w:numId w:val="484"/>
        </w:numPr>
        <w:tabs>
          <w:tab w:pos="813" w:val="left" w:leader="none"/>
        </w:tabs>
        <w:spacing w:line="225" w:lineRule="auto" w:before="173" w:after="0"/>
        <w:ind w:left="113" w:right="125" w:firstLine="204"/>
        <w:jc w:val="both"/>
        <w:rPr>
          <w:sz w:val="24"/>
        </w:rPr>
      </w:pPr>
      <w:r>
        <w:rPr>
          <w:w w:val="125"/>
          <w:sz w:val="24"/>
        </w:rPr>
        <w:t>Az aláíró személyekről, az oktatókról, a hatósági vizsgára jelentkező személyekről és a vizsgabiztosokról vezetett nyilvántartás tartalmazza az adott személy</w:t>
      </w:r>
    </w:p>
    <w:p>
      <w:pPr>
        <w:pStyle w:val="ListParagraph"/>
        <w:numPr>
          <w:ilvl w:val="0"/>
          <w:numId w:val="487"/>
        </w:numPr>
        <w:tabs>
          <w:tab w:pos="631" w:val="left" w:leader="none"/>
        </w:tabs>
        <w:spacing w:line="256" w:lineRule="exact" w:before="0" w:after="0"/>
        <w:ind w:left="630" w:right="0" w:hanging="313"/>
        <w:jc w:val="left"/>
        <w:rPr>
          <w:sz w:val="24"/>
        </w:rPr>
      </w:pPr>
      <w:r>
        <w:rPr>
          <w:w w:val="130"/>
          <w:sz w:val="24"/>
        </w:rPr>
        <w:t>nevét és születési</w:t>
      </w:r>
      <w:r>
        <w:rPr>
          <w:spacing w:val="-9"/>
          <w:w w:val="130"/>
          <w:sz w:val="24"/>
        </w:rPr>
        <w:t> </w:t>
      </w:r>
      <w:r>
        <w:rPr>
          <w:w w:val="130"/>
          <w:sz w:val="24"/>
        </w:rPr>
        <w:t>nevét,</w:t>
      </w:r>
    </w:p>
    <w:p>
      <w:pPr>
        <w:pStyle w:val="ListParagraph"/>
        <w:numPr>
          <w:ilvl w:val="0"/>
          <w:numId w:val="487"/>
        </w:numPr>
        <w:tabs>
          <w:tab w:pos="653" w:val="left" w:leader="none"/>
        </w:tabs>
        <w:spacing w:line="260" w:lineRule="exact" w:before="0" w:after="0"/>
        <w:ind w:left="652" w:right="0" w:hanging="335"/>
        <w:jc w:val="left"/>
        <w:rPr>
          <w:sz w:val="24"/>
        </w:rPr>
      </w:pPr>
      <w:r>
        <w:rPr>
          <w:w w:val="125"/>
          <w:sz w:val="24"/>
        </w:rPr>
        <w:t>anyja</w:t>
      </w:r>
      <w:r>
        <w:rPr>
          <w:spacing w:val="-10"/>
          <w:w w:val="125"/>
          <w:sz w:val="24"/>
        </w:rPr>
        <w:t> </w:t>
      </w:r>
      <w:r>
        <w:rPr>
          <w:w w:val="125"/>
          <w:sz w:val="24"/>
        </w:rPr>
        <w:t>nevét,</w:t>
      </w:r>
    </w:p>
    <w:p>
      <w:pPr>
        <w:pStyle w:val="ListParagraph"/>
        <w:numPr>
          <w:ilvl w:val="0"/>
          <w:numId w:val="487"/>
        </w:numPr>
        <w:tabs>
          <w:tab w:pos="623" w:val="left" w:leader="none"/>
        </w:tabs>
        <w:spacing w:line="260" w:lineRule="exact" w:before="0" w:after="0"/>
        <w:ind w:left="622" w:right="0" w:hanging="305"/>
        <w:jc w:val="left"/>
        <w:rPr>
          <w:sz w:val="24"/>
        </w:rPr>
      </w:pPr>
      <w:r>
        <w:rPr>
          <w:w w:val="130"/>
          <w:sz w:val="24"/>
        </w:rPr>
        <w:t>születési helyét,</w:t>
      </w:r>
      <w:r>
        <w:rPr>
          <w:spacing w:val="-6"/>
          <w:w w:val="130"/>
          <w:sz w:val="24"/>
        </w:rPr>
        <w:t> </w:t>
      </w:r>
      <w:r>
        <w:rPr>
          <w:w w:val="130"/>
          <w:sz w:val="24"/>
        </w:rPr>
        <w:t>idejét,</w:t>
      </w:r>
    </w:p>
    <w:p>
      <w:pPr>
        <w:pStyle w:val="ListParagraph"/>
        <w:numPr>
          <w:ilvl w:val="0"/>
          <w:numId w:val="487"/>
        </w:numPr>
        <w:tabs>
          <w:tab w:pos="653" w:val="left" w:leader="none"/>
        </w:tabs>
        <w:spacing w:line="260" w:lineRule="exact" w:before="0" w:after="0"/>
        <w:ind w:left="652" w:right="0" w:hanging="335"/>
        <w:jc w:val="left"/>
        <w:rPr>
          <w:sz w:val="24"/>
        </w:rPr>
      </w:pPr>
      <w:r>
        <w:rPr>
          <w:w w:val="125"/>
          <w:sz w:val="24"/>
        </w:rPr>
        <w:t>lakcímét,</w:t>
      </w:r>
    </w:p>
    <w:p>
      <w:pPr>
        <w:pStyle w:val="ListParagraph"/>
        <w:numPr>
          <w:ilvl w:val="0"/>
          <w:numId w:val="487"/>
        </w:numPr>
        <w:tabs>
          <w:tab w:pos="629" w:val="left" w:leader="none"/>
        </w:tabs>
        <w:spacing w:line="260" w:lineRule="exact" w:before="0" w:after="0"/>
        <w:ind w:left="628" w:right="0" w:hanging="311"/>
        <w:jc w:val="left"/>
        <w:rPr>
          <w:sz w:val="24"/>
        </w:rPr>
      </w:pPr>
      <w:r>
        <w:rPr>
          <w:w w:val="125"/>
          <w:sz w:val="24"/>
        </w:rPr>
        <w:t>személyi kódját és</w:t>
      </w:r>
    </w:p>
    <w:p>
      <w:pPr>
        <w:pStyle w:val="ListParagraph"/>
        <w:numPr>
          <w:ilvl w:val="0"/>
          <w:numId w:val="487"/>
        </w:numPr>
        <w:tabs>
          <w:tab w:pos="630" w:val="left" w:leader="none"/>
        </w:tabs>
        <w:spacing w:line="225" w:lineRule="auto" w:before="5" w:after="0"/>
        <w:ind w:left="113" w:right="133" w:firstLine="204"/>
        <w:jc w:val="both"/>
        <w:rPr>
          <w:sz w:val="24"/>
        </w:rPr>
      </w:pPr>
      <w:r>
        <w:rPr>
          <w:w w:val="125"/>
          <w:sz w:val="24"/>
        </w:rPr>
        <w:t>- amennyiben vizsgabiztosi tevékenységet lát el - nyilvántartási számát, valamint a nyilvántartásból való törlése esetén a törlés tényét és</w:t>
      </w:r>
      <w:r>
        <w:rPr>
          <w:spacing w:val="38"/>
          <w:w w:val="125"/>
          <w:sz w:val="24"/>
        </w:rPr>
        <w:t> </w:t>
      </w:r>
      <w:r>
        <w:rPr>
          <w:w w:val="125"/>
          <w:sz w:val="24"/>
        </w:rPr>
        <w:t>időpontját.</w:t>
      </w:r>
    </w:p>
    <w:p>
      <w:pPr>
        <w:pStyle w:val="ListParagraph"/>
        <w:numPr>
          <w:ilvl w:val="0"/>
          <w:numId w:val="484"/>
        </w:numPr>
        <w:tabs>
          <w:tab w:pos="915" w:val="left" w:leader="none"/>
        </w:tabs>
        <w:spacing w:line="225" w:lineRule="auto" w:before="1" w:after="0"/>
        <w:ind w:left="113" w:right="129" w:firstLine="204"/>
        <w:jc w:val="both"/>
        <w:rPr>
          <w:sz w:val="24"/>
        </w:rPr>
      </w:pPr>
      <w:r>
        <w:rPr>
          <w:w w:val="130"/>
          <w:sz w:val="24"/>
        </w:rPr>
        <w:t>A Felügyelet a nyilvántartásba vételről szóló döntésben a (6) bekezdésben</w:t>
      </w:r>
      <w:r>
        <w:rPr>
          <w:spacing w:val="-22"/>
          <w:w w:val="130"/>
          <w:sz w:val="24"/>
        </w:rPr>
        <w:t> </w:t>
      </w:r>
      <w:r>
        <w:rPr>
          <w:w w:val="130"/>
          <w:sz w:val="24"/>
        </w:rPr>
        <w:t>meghatározott</w:t>
      </w:r>
      <w:r>
        <w:rPr>
          <w:spacing w:val="-22"/>
          <w:w w:val="130"/>
          <w:sz w:val="24"/>
        </w:rPr>
        <w:t> </w:t>
      </w:r>
      <w:r>
        <w:rPr>
          <w:w w:val="130"/>
          <w:sz w:val="24"/>
        </w:rPr>
        <w:t>személyek</w:t>
      </w:r>
      <w:r>
        <w:rPr>
          <w:spacing w:val="-14"/>
          <w:w w:val="130"/>
          <w:sz w:val="24"/>
        </w:rPr>
        <w:t> </w:t>
      </w:r>
      <w:r>
        <w:rPr>
          <w:w w:val="130"/>
          <w:sz w:val="24"/>
        </w:rPr>
        <w:t>számára</w:t>
      </w:r>
      <w:r>
        <w:rPr>
          <w:spacing w:val="-30"/>
          <w:w w:val="130"/>
          <w:sz w:val="24"/>
        </w:rPr>
        <w:t> </w:t>
      </w:r>
      <w:r>
        <w:rPr>
          <w:w w:val="130"/>
          <w:sz w:val="24"/>
        </w:rPr>
        <w:t>személyi</w:t>
      </w:r>
      <w:r>
        <w:rPr>
          <w:spacing w:val="-21"/>
          <w:w w:val="130"/>
          <w:sz w:val="24"/>
        </w:rPr>
        <w:t> </w:t>
      </w:r>
      <w:r>
        <w:rPr>
          <w:w w:val="130"/>
          <w:sz w:val="24"/>
        </w:rPr>
        <w:t>kódot</w:t>
      </w:r>
      <w:r>
        <w:rPr>
          <w:spacing w:val="-23"/>
          <w:w w:val="130"/>
          <w:sz w:val="24"/>
        </w:rPr>
        <w:t> </w:t>
      </w:r>
      <w:r>
        <w:rPr>
          <w:w w:val="130"/>
          <w:sz w:val="24"/>
        </w:rPr>
        <w:t>állapít</w:t>
      </w:r>
      <w:r>
        <w:rPr>
          <w:spacing w:val="-22"/>
          <w:w w:val="130"/>
          <w:sz w:val="24"/>
        </w:rPr>
        <w:t> </w:t>
      </w:r>
      <w:r>
        <w:rPr>
          <w:w w:val="130"/>
          <w:sz w:val="24"/>
        </w:rPr>
        <w:t>meg.</w:t>
      </w:r>
    </w:p>
    <w:p>
      <w:pPr>
        <w:pStyle w:val="ListParagraph"/>
        <w:numPr>
          <w:ilvl w:val="0"/>
          <w:numId w:val="484"/>
        </w:numPr>
        <w:tabs>
          <w:tab w:pos="878" w:val="left" w:leader="none"/>
        </w:tabs>
        <w:spacing w:line="225" w:lineRule="auto" w:before="1" w:after="0"/>
        <w:ind w:left="113" w:right="119" w:firstLine="204"/>
        <w:jc w:val="both"/>
        <w:rPr>
          <w:sz w:val="24"/>
        </w:rPr>
      </w:pPr>
      <w:r>
        <w:rPr>
          <w:w w:val="125"/>
          <w:sz w:val="24"/>
        </w:rPr>
        <w:t>A hatósági vizsga letételét igazoló, elveszett vagy megsemmisült tanúsítvány pótlására - erre irányuló kérelem esetén - a Felügyelet a nyilvántartása alapján másodlatot állít ki, amit a kérelmező a pénzügyi szolgáltatás közvetítői, a biztosításközvetítői és a tőkepiaci üzletkötői hatósági képzéssel és hatósági vizsgával összefüggő feladatokról szóló miniszteri rendelet szerinti hatósági vizsgára történő jelentkezési lapban meghatározott - vizsgaidőpontban érvényes - adatainak megadásával</w:t>
      </w:r>
      <w:r>
        <w:rPr>
          <w:spacing w:val="13"/>
          <w:w w:val="125"/>
          <w:sz w:val="24"/>
        </w:rPr>
        <w:t> </w:t>
      </w:r>
      <w:r>
        <w:rPr>
          <w:w w:val="125"/>
          <w:sz w:val="24"/>
        </w:rPr>
        <w:t>igényelhet.</w:t>
      </w:r>
    </w:p>
    <w:p>
      <w:pPr>
        <w:pStyle w:val="ListParagraph"/>
        <w:numPr>
          <w:ilvl w:val="0"/>
          <w:numId w:val="484"/>
        </w:numPr>
        <w:tabs>
          <w:tab w:pos="826" w:val="left" w:leader="none"/>
        </w:tabs>
        <w:spacing w:line="225" w:lineRule="auto" w:before="4" w:after="0"/>
        <w:ind w:left="113" w:right="126" w:firstLine="204"/>
        <w:jc w:val="both"/>
        <w:rPr>
          <w:sz w:val="24"/>
        </w:rPr>
      </w:pPr>
      <w:r>
        <w:rPr>
          <w:w w:val="130"/>
          <w:sz w:val="24"/>
        </w:rPr>
        <w:t>Az e §-ban meghatározott nyilvántartással érintett személyes adatok tekintetében az adatkezelő a</w:t>
      </w:r>
      <w:r>
        <w:rPr>
          <w:spacing w:val="-17"/>
          <w:w w:val="130"/>
          <w:sz w:val="24"/>
        </w:rPr>
        <w:t> </w:t>
      </w:r>
      <w:r>
        <w:rPr>
          <w:w w:val="130"/>
          <w:sz w:val="24"/>
        </w:rPr>
        <w:t>Felügyelet.</w:t>
      </w:r>
    </w:p>
    <w:p>
      <w:pPr>
        <w:pStyle w:val="ListParagraph"/>
        <w:numPr>
          <w:ilvl w:val="0"/>
          <w:numId w:val="484"/>
        </w:numPr>
        <w:tabs>
          <w:tab w:pos="1026" w:val="left" w:leader="none"/>
        </w:tabs>
        <w:spacing w:line="225" w:lineRule="auto" w:before="2" w:after="0"/>
        <w:ind w:left="113" w:right="125" w:firstLine="204"/>
        <w:jc w:val="both"/>
        <w:rPr>
          <w:sz w:val="24"/>
        </w:rPr>
      </w:pPr>
      <w:r>
        <w:rPr>
          <w:w w:val="130"/>
          <w:sz w:val="24"/>
        </w:rPr>
        <w:t>A Felügyelet az (1) bekezdésben meghatározott nyilvántartásban szereplő személyes adatokat az adott személy hatósági képzésben vagy vizsgáztatásban történő közreműködésétől számított tizenöt év elteltével törli a</w:t>
      </w:r>
      <w:r>
        <w:rPr>
          <w:spacing w:val="-8"/>
          <w:w w:val="130"/>
          <w:sz w:val="24"/>
        </w:rPr>
        <w:t> </w:t>
      </w:r>
      <w:r>
        <w:rPr>
          <w:w w:val="130"/>
          <w:sz w:val="24"/>
        </w:rPr>
        <w:t>nyilvántartásból,</w:t>
      </w:r>
      <w:r>
        <w:rPr>
          <w:spacing w:val="-7"/>
          <w:w w:val="130"/>
          <w:sz w:val="24"/>
        </w:rPr>
        <w:t> </w:t>
      </w:r>
      <w:r>
        <w:rPr>
          <w:w w:val="130"/>
          <w:sz w:val="24"/>
        </w:rPr>
        <w:t>ide</w:t>
      </w:r>
      <w:r>
        <w:rPr>
          <w:spacing w:val="-7"/>
          <w:w w:val="130"/>
          <w:sz w:val="24"/>
        </w:rPr>
        <w:t> </w:t>
      </w:r>
      <w:r>
        <w:rPr>
          <w:w w:val="130"/>
          <w:sz w:val="24"/>
        </w:rPr>
        <w:t>nem</w:t>
      </w:r>
      <w:r>
        <w:rPr>
          <w:spacing w:val="2"/>
          <w:w w:val="130"/>
          <w:sz w:val="24"/>
        </w:rPr>
        <w:t> </w:t>
      </w:r>
      <w:r>
        <w:rPr>
          <w:w w:val="130"/>
          <w:sz w:val="24"/>
        </w:rPr>
        <w:t>értve</w:t>
      </w:r>
      <w:r>
        <w:rPr>
          <w:spacing w:val="-16"/>
          <w:w w:val="130"/>
          <w:sz w:val="24"/>
        </w:rPr>
        <w:t> </w:t>
      </w:r>
      <w:r>
        <w:rPr>
          <w:w w:val="130"/>
          <w:sz w:val="24"/>
        </w:rPr>
        <w:t>azokat</w:t>
      </w:r>
      <w:r>
        <w:rPr>
          <w:spacing w:val="-7"/>
          <w:w w:val="130"/>
          <w:sz w:val="24"/>
        </w:rPr>
        <w:t> </w:t>
      </w:r>
      <w:r>
        <w:rPr>
          <w:w w:val="130"/>
          <w:sz w:val="24"/>
        </w:rPr>
        <w:t>az</w:t>
      </w:r>
      <w:r>
        <w:rPr>
          <w:spacing w:val="-7"/>
          <w:w w:val="130"/>
          <w:sz w:val="24"/>
        </w:rPr>
        <w:t> </w:t>
      </w:r>
      <w:r>
        <w:rPr>
          <w:w w:val="130"/>
          <w:sz w:val="24"/>
        </w:rPr>
        <w:t>adatokat,</w:t>
      </w:r>
      <w:r>
        <w:rPr>
          <w:spacing w:val="-7"/>
          <w:w w:val="130"/>
          <w:sz w:val="24"/>
        </w:rPr>
        <w:t> </w:t>
      </w:r>
      <w:r>
        <w:rPr>
          <w:w w:val="130"/>
          <w:sz w:val="24"/>
        </w:rPr>
        <w:t>amelyek</w:t>
      </w:r>
      <w:r>
        <w:rPr>
          <w:spacing w:val="-7"/>
          <w:w w:val="130"/>
          <w:sz w:val="24"/>
        </w:rPr>
        <w:t> </w:t>
      </w:r>
      <w:r>
        <w:rPr>
          <w:w w:val="130"/>
          <w:sz w:val="24"/>
        </w:rPr>
        <w:t>hatósági</w:t>
      </w:r>
      <w:r>
        <w:rPr>
          <w:spacing w:val="-7"/>
          <w:w w:val="130"/>
          <w:sz w:val="24"/>
        </w:rPr>
        <w:t> </w:t>
      </w:r>
      <w:r>
        <w:rPr>
          <w:w w:val="130"/>
          <w:sz w:val="24"/>
        </w:rPr>
        <w:t>vizsga letételét igazoló tanúsítvány nyilvántartásához</w:t>
      </w:r>
      <w:r>
        <w:rPr>
          <w:spacing w:val="-30"/>
          <w:w w:val="130"/>
          <w:sz w:val="24"/>
        </w:rPr>
        <w:t> </w:t>
      </w:r>
      <w:r>
        <w:rPr>
          <w:w w:val="130"/>
          <w:sz w:val="24"/>
        </w:rPr>
        <w:t>szükségesek.</w:t>
      </w:r>
    </w:p>
    <w:p>
      <w:pPr>
        <w:pStyle w:val="ListParagraph"/>
        <w:numPr>
          <w:ilvl w:val="0"/>
          <w:numId w:val="484"/>
        </w:numPr>
        <w:tabs>
          <w:tab w:pos="1057" w:val="left" w:leader="none"/>
        </w:tabs>
        <w:spacing w:line="225" w:lineRule="auto" w:before="3" w:after="0"/>
        <w:ind w:left="113" w:right="135" w:firstLine="204"/>
        <w:jc w:val="both"/>
        <w:rPr>
          <w:sz w:val="24"/>
        </w:rPr>
      </w:pPr>
      <w:r>
        <w:rPr>
          <w:w w:val="125"/>
          <w:sz w:val="24"/>
        </w:rPr>
        <w:t>A Felügyelet jogosult vizsgáztatási tevékenységet folytatni a - vizsgáztatási</w:t>
      </w:r>
      <w:r>
        <w:rPr>
          <w:spacing w:val="30"/>
          <w:w w:val="125"/>
          <w:sz w:val="24"/>
        </w:rPr>
        <w:t> </w:t>
      </w:r>
      <w:r>
        <w:rPr>
          <w:w w:val="125"/>
          <w:sz w:val="24"/>
        </w:rPr>
        <w:t>tevékenységet</w:t>
      </w:r>
      <w:r>
        <w:rPr>
          <w:spacing w:val="31"/>
          <w:w w:val="125"/>
          <w:sz w:val="24"/>
        </w:rPr>
        <w:t> </w:t>
      </w:r>
      <w:r>
        <w:rPr>
          <w:w w:val="125"/>
          <w:sz w:val="24"/>
        </w:rPr>
        <w:t>végző</w:t>
      </w:r>
      <w:r>
        <w:rPr>
          <w:spacing w:val="31"/>
          <w:w w:val="125"/>
          <w:sz w:val="24"/>
        </w:rPr>
        <w:t> </w:t>
      </w:r>
      <w:r>
        <w:rPr>
          <w:w w:val="125"/>
          <w:sz w:val="24"/>
        </w:rPr>
        <w:t>szervekre</w:t>
      </w:r>
      <w:r>
        <w:rPr>
          <w:spacing w:val="31"/>
          <w:w w:val="125"/>
          <w:sz w:val="24"/>
        </w:rPr>
        <w:t> </w:t>
      </w:r>
      <w:r>
        <w:rPr>
          <w:w w:val="125"/>
          <w:sz w:val="24"/>
        </w:rPr>
        <w:t>és</w:t>
      </w:r>
      <w:r>
        <w:rPr>
          <w:spacing w:val="31"/>
          <w:w w:val="125"/>
          <w:sz w:val="24"/>
        </w:rPr>
        <w:t> </w:t>
      </w:r>
      <w:r>
        <w:rPr>
          <w:w w:val="125"/>
          <w:sz w:val="24"/>
        </w:rPr>
        <w:t>a</w:t>
      </w:r>
      <w:r>
        <w:rPr>
          <w:spacing w:val="34"/>
          <w:w w:val="125"/>
          <w:sz w:val="24"/>
        </w:rPr>
        <w:t> </w:t>
      </w:r>
      <w:r>
        <w:rPr>
          <w:w w:val="125"/>
          <w:sz w:val="24"/>
        </w:rPr>
        <w:t>hatósági</w:t>
      </w:r>
      <w:r>
        <w:rPr>
          <w:spacing w:val="27"/>
          <w:w w:val="125"/>
          <w:sz w:val="24"/>
        </w:rPr>
        <w:t> </w:t>
      </w:r>
      <w:r>
        <w:rPr>
          <w:w w:val="125"/>
          <w:sz w:val="24"/>
        </w:rPr>
        <w:t>vizsgára</w:t>
      </w:r>
      <w:r>
        <w:rPr>
          <w:spacing w:val="31"/>
          <w:w w:val="125"/>
          <w:sz w:val="24"/>
        </w:rPr>
        <w:t> </w:t>
      </w:r>
      <w:r>
        <w:rPr>
          <w:w w:val="125"/>
          <w:sz w:val="24"/>
        </w:rPr>
        <w:t>vonatkozó</w:t>
      </w:r>
    </w:p>
    <w:p>
      <w:pPr>
        <w:pStyle w:val="ListParagraph"/>
        <w:numPr>
          <w:ilvl w:val="0"/>
          <w:numId w:val="6"/>
        </w:numPr>
        <w:tabs>
          <w:tab w:pos="271" w:val="left" w:leader="none"/>
        </w:tabs>
        <w:spacing w:line="256" w:lineRule="exact" w:before="0" w:after="0"/>
        <w:ind w:left="270" w:right="0" w:hanging="157"/>
        <w:jc w:val="left"/>
        <w:rPr>
          <w:sz w:val="24"/>
        </w:rPr>
      </w:pPr>
      <w:r>
        <w:rPr>
          <w:w w:val="125"/>
          <w:sz w:val="24"/>
        </w:rPr>
        <w:t>jogszabályi követelmények</w:t>
      </w:r>
      <w:r>
        <w:rPr>
          <w:spacing w:val="9"/>
          <w:w w:val="125"/>
          <w:sz w:val="24"/>
        </w:rPr>
        <w:t> </w:t>
      </w:r>
      <w:r>
        <w:rPr>
          <w:w w:val="125"/>
          <w:sz w:val="24"/>
        </w:rPr>
        <w:t>betartásával.</w:t>
      </w:r>
    </w:p>
    <w:p>
      <w:pPr>
        <w:pStyle w:val="ListParagraph"/>
        <w:numPr>
          <w:ilvl w:val="0"/>
          <w:numId w:val="484"/>
        </w:numPr>
        <w:tabs>
          <w:tab w:pos="890" w:val="left" w:leader="none"/>
        </w:tabs>
        <w:spacing w:line="225" w:lineRule="auto" w:before="5" w:after="0"/>
        <w:ind w:left="113" w:right="135" w:firstLine="204"/>
        <w:jc w:val="both"/>
        <w:rPr>
          <w:sz w:val="24"/>
        </w:rPr>
      </w:pPr>
      <w:r>
        <w:rPr>
          <w:w w:val="130"/>
          <w:sz w:val="24"/>
        </w:rPr>
        <w:t>A</w:t>
      </w:r>
      <w:r>
        <w:rPr>
          <w:spacing w:val="-14"/>
          <w:w w:val="130"/>
          <w:sz w:val="24"/>
        </w:rPr>
        <w:t> </w:t>
      </w:r>
      <w:r>
        <w:rPr>
          <w:w w:val="130"/>
          <w:sz w:val="24"/>
        </w:rPr>
        <w:t>hatósági</w:t>
      </w:r>
      <w:r>
        <w:rPr>
          <w:spacing w:val="-38"/>
          <w:w w:val="130"/>
          <w:sz w:val="24"/>
        </w:rPr>
        <w:t> </w:t>
      </w:r>
      <w:r>
        <w:rPr>
          <w:w w:val="130"/>
          <w:sz w:val="24"/>
        </w:rPr>
        <w:t>képzés</w:t>
      </w:r>
      <w:r>
        <w:rPr>
          <w:spacing w:val="-25"/>
          <w:w w:val="130"/>
          <w:sz w:val="24"/>
        </w:rPr>
        <w:t> </w:t>
      </w:r>
      <w:r>
        <w:rPr>
          <w:w w:val="130"/>
          <w:sz w:val="24"/>
        </w:rPr>
        <w:t>és</w:t>
      </w:r>
      <w:r>
        <w:rPr>
          <w:spacing w:val="-26"/>
          <w:w w:val="130"/>
          <w:sz w:val="24"/>
        </w:rPr>
        <w:t> </w:t>
      </w:r>
      <w:r>
        <w:rPr>
          <w:w w:val="130"/>
          <w:sz w:val="24"/>
        </w:rPr>
        <w:t>vizsgáztatás</w:t>
      </w:r>
      <w:r>
        <w:rPr>
          <w:spacing w:val="-26"/>
          <w:w w:val="130"/>
          <w:sz w:val="24"/>
        </w:rPr>
        <w:t> </w:t>
      </w:r>
      <w:r>
        <w:rPr>
          <w:w w:val="130"/>
          <w:sz w:val="24"/>
        </w:rPr>
        <w:t>során</w:t>
      </w:r>
      <w:r>
        <w:rPr>
          <w:spacing w:val="-25"/>
          <w:w w:val="130"/>
          <w:sz w:val="24"/>
        </w:rPr>
        <w:t> </w:t>
      </w:r>
      <w:r>
        <w:rPr>
          <w:w w:val="130"/>
          <w:sz w:val="24"/>
        </w:rPr>
        <w:t>a</w:t>
      </w:r>
      <w:r>
        <w:rPr>
          <w:spacing w:val="-25"/>
          <w:w w:val="130"/>
          <w:sz w:val="24"/>
        </w:rPr>
        <w:t> </w:t>
      </w:r>
      <w:r>
        <w:rPr>
          <w:w w:val="130"/>
          <w:sz w:val="24"/>
        </w:rPr>
        <w:t>Felügyelet</w:t>
      </w:r>
      <w:r>
        <w:rPr>
          <w:spacing w:val="-22"/>
          <w:w w:val="130"/>
          <w:sz w:val="24"/>
        </w:rPr>
        <w:t> </w:t>
      </w:r>
      <w:r>
        <w:rPr>
          <w:w w:val="130"/>
          <w:sz w:val="24"/>
        </w:rPr>
        <w:t>jogosult</w:t>
      </w:r>
      <w:r>
        <w:rPr>
          <w:spacing w:val="-29"/>
          <w:w w:val="130"/>
          <w:sz w:val="24"/>
        </w:rPr>
        <w:t> </w:t>
      </w:r>
      <w:r>
        <w:rPr>
          <w:w w:val="130"/>
          <w:sz w:val="24"/>
        </w:rPr>
        <w:t>ellenőrizni a hatósági képzést, illetve vizsgáztatást végző, a hatósági képzésben és vizsgáztatásban részt vevő szervezeteket és</w:t>
      </w:r>
      <w:r>
        <w:rPr>
          <w:spacing w:val="-31"/>
          <w:w w:val="130"/>
          <w:sz w:val="24"/>
        </w:rPr>
        <w:t> </w:t>
      </w:r>
      <w:r>
        <w:rPr>
          <w:w w:val="130"/>
          <w:sz w:val="24"/>
        </w:rPr>
        <w:t>személyeket.</w:t>
      </w:r>
    </w:p>
    <w:p>
      <w:pPr>
        <w:pStyle w:val="BodyText"/>
        <w:spacing w:before="228"/>
        <w:ind w:left="3935" w:firstLine="0"/>
      </w:pPr>
      <w:r>
        <w:rPr>
          <w:w w:val="125"/>
        </w:rPr>
        <w:t>83. Tájékoztatás</w:t>
      </w:r>
    </w:p>
    <w:p>
      <w:pPr>
        <w:pStyle w:val="ListParagraph"/>
        <w:numPr>
          <w:ilvl w:val="0"/>
          <w:numId w:val="458"/>
        </w:numPr>
        <w:tabs>
          <w:tab w:pos="1013" w:val="left" w:leader="none"/>
        </w:tabs>
        <w:spacing w:line="225" w:lineRule="auto" w:before="237" w:after="0"/>
        <w:ind w:left="113" w:right="127" w:firstLine="204"/>
        <w:jc w:val="both"/>
        <w:rPr>
          <w:sz w:val="24"/>
        </w:rPr>
      </w:pPr>
      <w:r>
        <w:rPr>
          <w:rFonts w:ascii="Arial" w:hAnsi="Arial"/>
          <w:b/>
          <w:w w:val="125"/>
          <w:sz w:val="24"/>
        </w:rPr>
        <w:t>§ </w:t>
      </w:r>
      <w:r>
        <w:rPr>
          <w:w w:val="125"/>
          <w:sz w:val="24"/>
        </w:rPr>
        <w:t>(1) A Felügyelet az általa kiadott engedélyekről, azok módosításáról vagy visszavonásáról szóló határozatát (ideértve az alapszabály módosításához adott engedélyét is) haladéktalanul megküldi a</w:t>
      </w:r>
      <w:r>
        <w:rPr>
          <w:spacing w:val="24"/>
          <w:w w:val="125"/>
          <w:sz w:val="24"/>
        </w:rPr>
        <w:t> </w:t>
      </w:r>
      <w:r>
        <w:rPr>
          <w:w w:val="125"/>
          <w:sz w:val="24"/>
        </w:rPr>
        <w:t>cégbíróságnak.</w:t>
      </w:r>
    </w:p>
    <w:p>
      <w:pPr>
        <w:pStyle w:val="BodyText"/>
        <w:spacing w:line="225" w:lineRule="auto" w:before="1"/>
        <w:ind w:right="138"/>
        <w:jc w:val="both"/>
      </w:pPr>
      <w:r>
        <w:rPr>
          <w:w w:val="130"/>
        </w:rPr>
        <w:t>(2)</w:t>
      </w:r>
      <w:r>
        <w:rPr>
          <w:i/>
          <w:w w:val="130"/>
          <w:position w:val="3"/>
          <w:sz w:val="18"/>
        </w:rPr>
        <w:t>1 </w:t>
      </w:r>
      <w:r>
        <w:rPr>
          <w:w w:val="130"/>
        </w:rPr>
        <w:t>A Felügyelet az engedély iránti kérelmet elutasító végleges határozatát megküldi a cégbíróságnak.</w:t>
      </w:r>
    </w:p>
    <w:p>
      <w:pPr>
        <w:pStyle w:val="ListParagraph"/>
        <w:numPr>
          <w:ilvl w:val="0"/>
          <w:numId w:val="458"/>
        </w:numPr>
        <w:tabs>
          <w:tab w:pos="1177" w:val="left" w:leader="none"/>
        </w:tabs>
        <w:spacing w:line="225" w:lineRule="auto" w:before="1" w:after="0"/>
        <w:ind w:left="113" w:right="129" w:firstLine="204"/>
        <w:jc w:val="both"/>
        <w:rPr>
          <w:sz w:val="24"/>
        </w:rPr>
      </w:pPr>
      <w:r>
        <w:rPr>
          <w:rFonts w:ascii="Arial" w:hAnsi="Arial"/>
          <w:b/>
          <w:w w:val="125"/>
          <w:sz w:val="24"/>
        </w:rPr>
        <w:t>§ </w:t>
      </w:r>
      <w:r>
        <w:rPr>
          <w:w w:val="125"/>
          <w:sz w:val="24"/>
        </w:rPr>
        <w:t>A tulajdonosi jogok gyakorlásának korlátozására vonatkozó határozatot a cégbíróság a Felügyelet értesítése alapján nyolc napon belül a cégjegyzékbe bejegyzi.</w:t>
      </w:r>
    </w:p>
    <w:p>
      <w:pPr>
        <w:pStyle w:val="ListParagraph"/>
        <w:numPr>
          <w:ilvl w:val="0"/>
          <w:numId w:val="458"/>
        </w:numPr>
        <w:tabs>
          <w:tab w:pos="1004" w:val="left" w:leader="none"/>
        </w:tabs>
        <w:spacing w:line="249" w:lineRule="exact" w:before="0" w:after="0"/>
        <w:ind w:left="1003" w:right="0" w:hanging="686"/>
        <w:jc w:val="left"/>
        <w:rPr>
          <w:sz w:val="24"/>
        </w:rPr>
      </w:pPr>
      <w:r>
        <w:rPr>
          <w:rFonts w:ascii="Arial" w:hAnsi="Arial"/>
          <w:b/>
          <w:w w:val="125"/>
          <w:sz w:val="24"/>
        </w:rPr>
        <w:t>§</w:t>
      </w:r>
      <w:r>
        <w:rPr>
          <w:i/>
          <w:w w:val="125"/>
          <w:position w:val="3"/>
          <w:sz w:val="18"/>
        </w:rPr>
        <w:t>2</w:t>
      </w:r>
      <w:r>
        <w:rPr>
          <w:i/>
          <w:spacing w:val="42"/>
          <w:w w:val="125"/>
          <w:position w:val="3"/>
          <w:sz w:val="18"/>
        </w:rPr>
        <w:t> </w:t>
      </w:r>
      <w:r>
        <w:rPr>
          <w:w w:val="125"/>
          <w:sz w:val="24"/>
        </w:rPr>
        <w:t>A</w:t>
      </w:r>
      <w:r>
        <w:rPr>
          <w:spacing w:val="15"/>
          <w:w w:val="125"/>
          <w:sz w:val="24"/>
        </w:rPr>
        <w:t> </w:t>
      </w:r>
      <w:r>
        <w:rPr>
          <w:w w:val="125"/>
          <w:sz w:val="24"/>
        </w:rPr>
        <w:t>21.</w:t>
      </w:r>
      <w:r>
        <w:rPr>
          <w:spacing w:val="16"/>
          <w:w w:val="125"/>
          <w:sz w:val="24"/>
        </w:rPr>
        <w:t> </w:t>
      </w:r>
      <w:r>
        <w:rPr>
          <w:w w:val="125"/>
          <w:sz w:val="24"/>
        </w:rPr>
        <w:t>§</w:t>
      </w:r>
      <w:r>
        <w:rPr>
          <w:spacing w:val="15"/>
          <w:w w:val="125"/>
          <w:sz w:val="24"/>
        </w:rPr>
        <w:t> </w:t>
      </w:r>
      <w:r>
        <w:rPr>
          <w:w w:val="125"/>
          <w:sz w:val="24"/>
        </w:rPr>
        <w:t>(1)</w:t>
      </w:r>
      <w:r>
        <w:rPr>
          <w:spacing w:val="22"/>
          <w:w w:val="125"/>
          <w:sz w:val="24"/>
        </w:rPr>
        <w:t> </w:t>
      </w:r>
      <w:r>
        <w:rPr>
          <w:w w:val="125"/>
          <w:sz w:val="24"/>
        </w:rPr>
        <w:t>és</w:t>
      </w:r>
      <w:r>
        <w:rPr>
          <w:spacing w:val="15"/>
          <w:w w:val="125"/>
          <w:sz w:val="24"/>
        </w:rPr>
        <w:t> </w:t>
      </w:r>
      <w:r>
        <w:rPr>
          <w:w w:val="125"/>
          <w:sz w:val="24"/>
        </w:rPr>
        <w:t>(2)</w:t>
      </w:r>
      <w:r>
        <w:rPr>
          <w:spacing w:val="10"/>
          <w:w w:val="125"/>
          <w:sz w:val="24"/>
        </w:rPr>
        <w:t> </w:t>
      </w:r>
      <w:r>
        <w:rPr>
          <w:w w:val="125"/>
          <w:sz w:val="24"/>
        </w:rPr>
        <w:t>bekezdésben</w:t>
      </w:r>
      <w:r>
        <w:rPr>
          <w:spacing w:val="16"/>
          <w:w w:val="125"/>
          <w:sz w:val="24"/>
        </w:rPr>
        <w:t> </w:t>
      </w:r>
      <w:r>
        <w:rPr>
          <w:w w:val="125"/>
          <w:sz w:val="24"/>
        </w:rPr>
        <w:t>meghatározott</w:t>
      </w:r>
      <w:r>
        <w:rPr>
          <w:spacing w:val="16"/>
          <w:w w:val="125"/>
          <w:sz w:val="24"/>
        </w:rPr>
        <w:t> </w:t>
      </w:r>
      <w:r>
        <w:rPr>
          <w:w w:val="125"/>
          <w:sz w:val="24"/>
        </w:rPr>
        <w:t>ügynökök</w:t>
      </w:r>
      <w:r>
        <w:rPr>
          <w:spacing w:val="15"/>
          <w:w w:val="125"/>
          <w:sz w:val="24"/>
        </w:rPr>
        <w:t> </w:t>
      </w:r>
      <w:r>
        <w:rPr>
          <w:w w:val="125"/>
          <w:sz w:val="24"/>
        </w:rPr>
        <w:t>jegyzékét</w:t>
      </w:r>
      <w:r>
        <w:rPr>
          <w:spacing w:val="16"/>
          <w:w w:val="125"/>
          <w:sz w:val="24"/>
        </w:rPr>
        <w:t> </w:t>
      </w:r>
      <w:r>
        <w:rPr>
          <w:w w:val="125"/>
          <w:sz w:val="24"/>
        </w:rPr>
        <w:t>a</w:t>
      </w:r>
    </w:p>
    <w:p>
      <w:pPr>
        <w:pStyle w:val="BodyText"/>
        <w:spacing w:line="275" w:lineRule="exact"/>
        <w:ind w:firstLine="0"/>
      </w:pPr>
      <w:r>
        <w:rPr>
          <w:w w:val="125"/>
        </w:rPr>
        <w:t>Felügyelet honlapján napra készen közzéteszi.</w:t>
      </w:r>
    </w:p>
    <w:p>
      <w:pPr>
        <w:pStyle w:val="BodyText"/>
        <w:spacing w:before="224"/>
        <w:ind w:left="3747" w:firstLine="0"/>
      </w:pPr>
      <w:r>
        <w:rPr>
          <w:w w:val="120"/>
        </w:rPr>
        <w:t>84. A felügyeleti díj</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1904;mso-wrap-distance-left:0;mso-wrap-distance-right:0" from="56.693001pt,15.485403pt" to="538.583001pt,15.48540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469. §</w:t>
      </w:r>
      <w:r>
        <w:rPr>
          <w:i/>
          <w:spacing w:val="-2"/>
          <w:w w:val="125"/>
          <w:sz w:val="18"/>
        </w:rPr>
        <w:t> </w:t>
      </w:r>
      <w:r>
        <w:rPr>
          <w:i/>
          <w:w w:val="125"/>
          <w:sz w:val="18"/>
        </w:rPr>
        <w:t>f).</w:t>
      </w:r>
    </w:p>
    <w:p>
      <w:pPr>
        <w:tabs>
          <w:tab w:pos="686" w:val="left" w:leader="none"/>
        </w:tabs>
        <w:spacing w:line="203" w:lineRule="exact" w:before="0"/>
        <w:ind w:left="342" w:right="0" w:firstLine="0"/>
        <w:jc w:val="left"/>
        <w:rPr>
          <w:i/>
          <w:sz w:val="18"/>
        </w:rPr>
      </w:pPr>
      <w:r>
        <w:rPr>
          <w:i/>
          <w:w w:val="125"/>
          <w:sz w:val="18"/>
        </w:rPr>
        <w:t>2</w:t>
        <w:tab/>
        <w:t>Megállapította: 2015. évi LXXXV. törvény 218. §. Hatályos: 2015. VII.</w:t>
      </w:r>
      <w:r>
        <w:rPr>
          <w:i/>
          <w:spacing w:val="-23"/>
          <w:w w:val="125"/>
          <w:sz w:val="18"/>
        </w:rPr>
        <w:t> </w:t>
      </w:r>
      <w:r>
        <w:rPr>
          <w:i/>
          <w:w w:val="125"/>
          <w:sz w:val="18"/>
        </w:rPr>
        <w:t>7-től.</w:t>
      </w:r>
    </w:p>
    <w:p>
      <w:pPr>
        <w:spacing w:after="0" w:line="203" w:lineRule="exact"/>
        <w:jc w:val="left"/>
        <w:rPr>
          <w:sz w:val="18"/>
        </w:rPr>
        <w:sectPr>
          <w:pgSz w:w="11900" w:h="16820"/>
          <w:pgMar w:header="1104" w:footer="0" w:top="1840" w:bottom="280" w:left="1020" w:right="1000"/>
        </w:sectPr>
      </w:pPr>
    </w:p>
    <w:p>
      <w:pPr>
        <w:pStyle w:val="ListParagraph"/>
        <w:numPr>
          <w:ilvl w:val="0"/>
          <w:numId w:val="458"/>
        </w:numPr>
        <w:tabs>
          <w:tab w:pos="1095" w:val="left" w:leader="none"/>
        </w:tabs>
        <w:spacing w:line="225" w:lineRule="auto" w:before="172" w:after="0"/>
        <w:ind w:left="113" w:right="127" w:firstLine="204"/>
        <w:jc w:val="both"/>
        <w:rPr>
          <w:sz w:val="24"/>
        </w:rPr>
      </w:pPr>
      <w:r>
        <w:rPr>
          <w:rFonts w:ascii="Arial" w:hAnsi="Arial"/>
          <w:b/>
          <w:w w:val="125"/>
          <w:sz w:val="24"/>
        </w:rPr>
        <w:t>§ </w:t>
      </w:r>
      <w:r>
        <w:rPr>
          <w:w w:val="125"/>
          <w:sz w:val="24"/>
        </w:rPr>
        <w:t>(1) A pénzügyi intézmény és ezen intézmények magyarországi fióktelepe, a kiegészítő pénzügyi szolgáltatást nyújtó - pénzügyi intézménynek nem minősülő - vállalkozás, a független közvetítő és a bankképviselet a Felügyelet részére felügyeleti díjat</w:t>
      </w:r>
      <w:r>
        <w:rPr>
          <w:spacing w:val="6"/>
          <w:w w:val="125"/>
          <w:sz w:val="24"/>
        </w:rPr>
        <w:t> </w:t>
      </w:r>
      <w:r>
        <w:rPr>
          <w:w w:val="125"/>
          <w:sz w:val="24"/>
        </w:rPr>
        <w:t>fizet.</w:t>
      </w:r>
    </w:p>
    <w:p>
      <w:pPr>
        <w:pStyle w:val="ListParagraph"/>
        <w:numPr>
          <w:ilvl w:val="0"/>
          <w:numId w:val="488"/>
        </w:numPr>
        <w:tabs>
          <w:tab w:pos="759" w:val="left" w:leader="none"/>
        </w:tabs>
        <w:spacing w:line="225" w:lineRule="auto" w:before="2" w:after="0"/>
        <w:ind w:left="113" w:right="125" w:firstLine="204"/>
        <w:jc w:val="both"/>
        <w:rPr>
          <w:sz w:val="24"/>
        </w:rPr>
      </w:pPr>
      <w:r>
        <w:rPr>
          <w:w w:val="125"/>
          <w:sz w:val="24"/>
        </w:rPr>
        <w:t>A felügyeleti díj a (3) és (4) bekezdés szerint számított alapdíj, valamint az (5)-(8) bekezdés szerint számított változó díj</w:t>
      </w:r>
      <w:r>
        <w:rPr>
          <w:spacing w:val="6"/>
          <w:w w:val="125"/>
          <w:sz w:val="24"/>
        </w:rPr>
        <w:t> </w:t>
      </w:r>
      <w:r>
        <w:rPr>
          <w:w w:val="125"/>
          <w:sz w:val="24"/>
        </w:rPr>
        <w:t>összege.</w:t>
      </w:r>
    </w:p>
    <w:p>
      <w:pPr>
        <w:pStyle w:val="ListParagraph"/>
        <w:numPr>
          <w:ilvl w:val="0"/>
          <w:numId w:val="488"/>
        </w:numPr>
        <w:tabs>
          <w:tab w:pos="814" w:val="left" w:leader="none"/>
        </w:tabs>
        <w:spacing w:line="225" w:lineRule="auto" w:before="1" w:after="0"/>
        <w:ind w:left="113" w:right="125" w:firstLine="204"/>
        <w:jc w:val="both"/>
        <w:rPr>
          <w:sz w:val="24"/>
        </w:rPr>
      </w:pPr>
      <w:r>
        <w:rPr>
          <w:w w:val="125"/>
          <w:sz w:val="24"/>
        </w:rPr>
        <w:t>Az alapdíj az alapdíjegység és a (4) bekezdés szerinti szorzószámok szorzata. Az alapdíjegység ötvenezer</w:t>
      </w:r>
      <w:r>
        <w:rPr>
          <w:spacing w:val="4"/>
          <w:w w:val="125"/>
          <w:sz w:val="24"/>
        </w:rPr>
        <w:t> </w:t>
      </w:r>
      <w:r>
        <w:rPr>
          <w:w w:val="125"/>
          <w:sz w:val="24"/>
        </w:rPr>
        <w:t>forint.</w:t>
      </w:r>
    </w:p>
    <w:p>
      <w:pPr>
        <w:pStyle w:val="ListParagraph"/>
        <w:numPr>
          <w:ilvl w:val="0"/>
          <w:numId w:val="488"/>
        </w:numPr>
        <w:tabs>
          <w:tab w:pos="734" w:val="left" w:leader="none"/>
        </w:tabs>
        <w:spacing w:line="256" w:lineRule="exact" w:before="0" w:after="0"/>
        <w:ind w:left="733" w:right="0" w:hanging="416"/>
        <w:jc w:val="left"/>
        <w:rPr>
          <w:sz w:val="24"/>
        </w:rPr>
      </w:pPr>
      <w:r>
        <w:rPr>
          <w:w w:val="115"/>
          <w:sz w:val="24"/>
        </w:rPr>
        <w:t>A</w:t>
      </w:r>
      <w:r>
        <w:rPr>
          <w:spacing w:val="7"/>
          <w:w w:val="115"/>
          <w:sz w:val="24"/>
        </w:rPr>
        <w:t> </w:t>
      </w:r>
      <w:r>
        <w:rPr>
          <w:w w:val="115"/>
          <w:sz w:val="24"/>
        </w:rPr>
        <w:t>szorzószám</w:t>
      </w:r>
    </w:p>
    <w:p>
      <w:pPr>
        <w:pStyle w:val="ListParagraph"/>
        <w:numPr>
          <w:ilvl w:val="0"/>
          <w:numId w:val="489"/>
        </w:numPr>
        <w:tabs>
          <w:tab w:pos="631" w:val="left" w:leader="none"/>
        </w:tabs>
        <w:spacing w:line="260" w:lineRule="exact" w:before="0" w:after="0"/>
        <w:ind w:left="630" w:right="0" w:hanging="313"/>
        <w:jc w:val="left"/>
        <w:rPr>
          <w:sz w:val="24"/>
        </w:rPr>
      </w:pPr>
      <w:r>
        <w:rPr>
          <w:w w:val="130"/>
          <w:sz w:val="24"/>
        </w:rPr>
        <w:t>bank és szakosított hitelintézet esetén:</w:t>
      </w:r>
      <w:r>
        <w:rPr>
          <w:spacing w:val="-22"/>
          <w:w w:val="130"/>
          <w:sz w:val="24"/>
        </w:rPr>
        <w:t> </w:t>
      </w:r>
      <w:r>
        <w:rPr>
          <w:w w:val="130"/>
          <w:sz w:val="24"/>
        </w:rPr>
        <w:t>negyven,</w:t>
      </w:r>
    </w:p>
    <w:p>
      <w:pPr>
        <w:pStyle w:val="ListParagraph"/>
        <w:numPr>
          <w:ilvl w:val="0"/>
          <w:numId w:val="489"/>
        </w:numPr>
        <w:tabs>
          <w:tab w:pos="653" w:val="left" w:leader="none"/>
        </w:tabs>
        <w:spacing w:line="260" w:lineRule="exact" w:before="0" w:after="0"/>
        <w:ind w:left="652" w:right="0" w:hanging="335"/>
        <w:jc w:val="left"/>
        <w:rPr>
          <w:sz w:val="24"/>
        </w:rPr>
      </w:pPr>
      <w:r>
        <w:rPr>
          <w:w w:val="125"/>
          <w:sz w:val="24"/>
        </w:rPr>
        <w:t>szövetkezeti hitelintézet, pénzügyi vállalkozás esetén:</w:t>
      </w:r>
      <w:r>
        <w:rPr>
          <w:spacing w:val="15"/>
          <w:w w:val="125"/>
          <w:sz w:val="24"/>
        </w:rPr>
        <w:t> </w:t>
      </w:r>
      <w:r>
        <w:rPr>
          <w:w w:val="125"/>
          <w:sz w:val="24"/>
        </w:rPr>
        <w:t>négy,</w:t>
      </w:r>
    </w:p>
    <w:p>
      <w:pPr>
        <w:pStyle w:val="ListParagraph"/>
        <w:numPr>
          <w:ilvl w:val="0"/>
          <w:numId w:val="489"/>
        </w:numPr>
        <w:tabs>
          <w:tab w:pos="774" w:val="left" w:leader="none"/>
        </w:tabs>
        <w:spacing w:line="225" w:lineRule="auto" w:before="6" w:after="0"/>
        <w:ind w:left="113" w:right="128" w:firstLine="204"/>
        <w:jc w:val="both"/>
        <w:rPr>
          <w:sz w:val="24"/>
        </w:rPr>
      </w:pPr>
      <w:r>
        <w:rPr>
          <w:w w:val="125"/>
          <w:sz w:val="24"/>
        </w:rPr>
        <w:t>a másik EGT-államban székhellyel rendelkező pénzügyi intézmény magyarországi fióktelepe esetén:</w:t>
      </w:r>
      <w:r>
        <w:rPr>
          <w:spacing w:val="3"/>
          <w:w w:val="125"/>
          <w:sz w:val="24"/>
        </w:rPr>
        <w:t> </w:t>
      </w:r>
      <w:r>
        <w:rPr>
          <w:w w:val="125"/>
          <w:sz w:val="24"/>
        </w:rPr>
        <w:t>négy,</w:t>
      </w:r>
    </w:p>
    <w:p>
      <w:pPr>
        <w:pStyle w:val="ListParagraph"/>
        <w:numPr>
          <w:ilvl w:val="0"/>
          <w:numId w:val="489"/>
        </w:numPr>
        <w:tabs>
          <w:tab w:pos="711" w:val="left" w:leader="none"/>
        </w:tabs>
        <w:spacing w:line="225" w:lineRule="auto" w:before="1" w:after="0"/>
        <w:ind w:left="113" w:right="130" w:firstLine="204"/>
        <w:jc w:val="both"/>
        <w:rPr>
          <w:sz w:val="24"/>
        </w:rPr>
      </w:pPr>
      <w:r>
        <w:rPr>
          <w:w w:val="125"/>
          <w:sz w:val="24"/>
        </w:rPr>
        <w:t>kiegészítő pénzügyi szolgáltatást nyújtó - pénzügyi intézménynek nem minősülő - vállalkozás, bankképviselet és a független közvetítő esetén:</w:t>
      </w:r>
      <w:r>
        <w:rPr>
          <w:spacing w:val="13"/>
          <w:w w:val="125"/>
          <w:sz w:val="24"/>
        </w:rPr>
        <w:t> </w:t>
      </w:r>
      <w:r>
        <w:rPr>
          <w:w w:val="125"/>
          <w:sz w:val="24"/>
        </w:rPr>
        <w:t>egy.</w:t>
      </w:r>
    </w:p>
    <w:p>
      <w:pPr>
        <w:pStyle w:val="ListParagraph"/>
        <w:numPr>
          <w:ilvl w:val="0"/>
          <w:numId w:val="488"/>
        </w:numPr>
        <w:tabs>
          <w:tab w:pos="734" w:val="left" w:leader="none"/>
        </w:tabs>
        <w:spacing w:line="256" w:lineRule="exact" w:before="0" w:after="0"/>
        <w:ind w:left="733" w:right="0" w:hanging="416"/>
        <w:jc w:val="left"/>
        <w:rPr>
          <w:sz w:val="24"/>
        </w:rPr>
      </w:pPr>
      <w:r>
        <w:rPr>
          <w:w w:val="125"/>
          <w:sz w:val="24"/>
        </w:rPr>
        <w:t>A hitelintézet által fizetendő változó díj éves</w:t>
      </w:r>
      <w:r>
        <w:rPr>
          <w:spacing w:val="7"/>
          <w:w w:val="125"/>
          <w:sz w:val="24"/>
        </w:rPr>
        <w:t> </w:t>
      </w:r>
      <w:r>
        <w:rPr>
          <w:w w:val="125"/>
          <w:sz w:val="24"/>
        </w:rPr>
        <w:t>mértéke</w:t>
      </w:r>
    </w:p>
    <w:p>
      <w:pPr>
        <w:pStyle w:val="ListParagraph"/>
        <w:numPr>
          <w:ilvl w:val="0"/>
          <w:numId w:val="490"/>
        </w:numPr>
        <w:tabs>
          <w:tab w:pos="707" w:val="left" w:leader="none"/>
        </w:tabs>
        <w:spacing w:line="225" w:lineRule="auto" w:before="5" w:after="0"/>
        <w:ind w:left="113" w:right="129" w:firstLine="204"/>
        <w:jc w:val="both"/>
        <w:rPr>
          <w:sz w:val="24"/>
        </w:rPr>
      </w:pPr>
      <w:r>
        <w:rPr>
          <w:w w:val="125"/>
          <w:sz w:val="24"/>
        </w:rPr>
        <w:t>a 79. § (2) bekezdés </w:t>
      </w:r>
      <w:r>
        <w:rPr>
          <w:i/>
          <w:w w:val="125"/>
          <w:sz w:val="24"/>
        </w:rPr>
        <w:t>a) </w:t>
      </w:r>
      <w:r>
        <w:rPr>
          <w:w w:val="125"/>
          <w:sz w:val="24"/>
        </w:rPr>
        <w:t>pontja szerint számított tőkekövetelmény 3,8 ezrelékének, és</w:t>
      </w:r>
    </w:p>
    <w:p>
      <w:pPr>
        <w:pStyle w:val="ListParagraph"/>
        <w:numPr>
          <w:ilvl w:val="0"/>
          <w:numId w:val="490"/>
        </w:numPr>
        <w:tabs>
          <w:tab w:pos="677" w:val="left" w:leader="none"/>
        </w:tabs>
        <w:spacing w:line="225" w:lineRule="auto" w:before="1" w:after="0"/>
        <w:ind w:left="113" w:right="116" w:firstLine="204"/>
        <w:jc w:val="both"/>
        <w:rPr>
          <w:sz w:val="24"/>
        </w:rPr>
      </w:pPr>
      <w:r>
        <w:rPr>
          <w:w w:val="130"/>
          <w:sz w:val="24"/>
        </w:rPr>
        <w:t>a Bszt.-ben meghatározott portfóliókezelési tevékenység - ide nem értve az önkéntes kölcsönös biztosító pénztár és a magánnyugdíjpénztár részére</w:t>
      </w:r>
      <w:r>
        <w:rPr>
          <w:spacing w:val="78"/>
          <w:w w:val="130"/>
          <w:sz w:val="24"/>
        </w:rPr>
        <w:t> </w:t>
      </w:r>
      <w:r>
        <w:rPr>
          <w:w w:val="130"/>
          <w:sz w:val="24"/>
        </w:rPr>
        <w:t>történő portfóliókezelési tevékenység - keretében kezelt, piaci értéken</w:t>
      </w:r>
      <w:r>
        <w:rPr>
          <w:spacing w:val="78"/>
          <w:w w:val="130"/>
          <w:sz w:val="24"/>
        </w:rPr>
        <w:t> </w:t>
      </w:r>
      <w:r>
        <w:rPr>
          <w:w w:val="130"/>
          <w:sz w:val="24"/>
        </w:rPr>
        <w:t>számított portfólió eszközértéke 0,25 ezrelékének</w:t>
      </w:r>
      <w:r>
        <w:rPr>
          <w:spacing w:val="-36"/>
          <w:w w:val="130"/>
          <w:sz w:val="24"/>
        </w:rPr>
        <w:t> </w:t>
      </w:r>
      <w:r>
        <w:rPr>
          <w:w w:val="130"/>
          <w:sz w:val="24"/>
        </w:rPr>
        <w:t>összege.</w:t>
      </w:r>
    </w:p>
    <w:p>
      <w:pPr>
        <w:pStyle w:val="ListParagraph"/>
        <w:numPr>
          <w:ilvl w:val="0"/>
          <w:numId w:val="488"/>
        </w:numPr>
        <w:tabs>
          <w:tab w:pos="659" w:val="left" w:leader="none"/>
        </w:tabs>
        <w:spacing w:line="225" w:lineRule="auto" w:before="3" w:after="0"/>
        <w:ind w:left="113" w:right="125" w:firstLine="204"/>
        <w:jc w:val="both"/>
        <w:rPr>
          <w:sz w:val="24"/>
        </w:rPr>
      </w:pPr>
      <w:r>
        <w:rPr>
          <w:i/>
          <w:w w:val="125"/>
          <w:position w:val="3"/>
          <w:sz w:val="18"/>
        </w:rPr>
        <w:t>1 </w:t>
      </w:r>
      <w:r>
        <w:rPr>
          <w:w w:val="125"/>
          <w:sz w:val="24"/>
        </w:rPr>
        <w:t>A pénzügyi vállalkozás valamint a 105/A. § alapján mentesített harmadik országbeli hitelintézet magyarországi fióktelepe által fizetendő változó díj éves mértéke a pénzügyi vállalkozás éves beszámolója szerinti mérlegfőösszeg 0,2 ezreléke azzal, hogy a kizárólag csoportfinanszírozást végző pénzügyi vállalkozás esetén a változó éves díj éves mértéke legfeljebb egymillió forint.</w:t>
      </w:r>
    </w:p>
    <w:p>
      <w:pPr>
        <w:pStyle w:val="ListParagraph"/>
        <w:numPr>
          <w:ilvl w:val="0"/>
          <w:numId w:val="488"/>
        </w:numPr>
        <w:tabs>
          <w:tab w:pos="937" w:val="left" w:leader="none"/>
        </w:tabs>
        <w:spacing w:line="225" w:lineRule="auto" w:before="3" w:after="0"/>
        <w:ind w:left="113" w:right="127" w:firstLine="204"/>
        <w:jc w:val="both"/>
        <w:rPr>
          <w:sz w:val="24"/>
        </w:rPr>
      </w:pPr>
      <w:r>
        <w:rPr>
          <w:w w:val="130"/>
          <w:sz w:val="24"/>
        </w:rPr>
        <w:t>Ha a másik EGT-államában székhellyel rendelkező hitelintézet magyarországi</w:t>
      </w:r>
      <w:r>
        <w:rPr>
          <w:spacing w:val="-31"/>
          <w:w w:val="130"/>
          <w:sz w:val="24"/>
        </w:rPr>
        <w:t> </w:t>
      </w:r>
      <w:r>
        <w:rPr>
          <w:w w:val="130"/>
          <w:sz w:val="24"/>
        </w:rPr>
        <w:t>fióktelepe</w:t>
      </w:r>
      <w:r>
        <w:rPr>
          <w:spacing w:val="-30"/>
          <w:w w:val="130"/>
          <w:sz w:val="24"/>
        </w:rPr>
        <w:t> </w:t>
      </w:r>
      <w:r>
        <w:rPr>
          <w:w w:val="130"/>
          <w:sz w:val="24"/>
        </w:rPr>
        <w:t>által</w:t>
      </w:r>
      <w:r>
        <w:rPr>
          <w:spacing w:val="-31"/>
          <w:w w:val="130"/>
          <w:sz w:val="24"/>
        </w:rPr>
        <w:t> </w:t>
      </w:r>
      <w:r>
        <w:rPr>
          <w:w w:val="130"/>
          <w:sz w:val="24"/>
        </w:rPr>
        <w:t>végez</w:t>
      </w:r>
      <w:r>
        <w:rPr>
          <w:spacing w:val="-31"/>
          <w:w w:val="130"/>
          <w:sz w:val="24"/>
        </w:rPr>
        <w:t> </w:t>
      </w:r>
      <w:r>
        <w:rPr>
          <w:w w:val="130"/>
          <w:sz w:val="24"/>
        </w:rPr>
        <w:t>tevékenységet,</w:t>
      </w:r>
      <w:r>
        <w:rPr>
          <w:spacing w:val="-31"/>
          <w:w w:val="130"/>
          <w:sz w:val="24"/>
        </w:rPr>
        <w:t> </w:t>
      </w:r>
      <w:r>
        <w:rPr>
          <w:w w:val="130"/>
          <w:sz w:val="24"/>
        </w:rPr>
        <w:t>az</w:t>
      </w:r>
      <w:r>
        <w:rPr>
          <w:spacing w:val="-31"/>
          <w:w w:val="130"/>
          <w:sz w:val="24"/>
        </w:rPr>
        <w:t> </w:t>
      </w:r>
      <w:r>
        <w:rPr>
          <w:w w:val="130"/>
          <w:sz w:val="24"/>
        </w:rPr>
        <w:t>általa</w:t>
      </w:r>
      <w:r>
        <w:rPr>
          <w:spacing w:val="-21"/>
          <w:w w:val="130"/>
          <w:sz w:val="24"/>
        </w:rPr>
        <w:t> </w:t>
      </w:r>
      <w:r>
        <w:rPr>
          <w:w w:val="130"/>
          <w:sz w:val="24"/>
        </w:rPr>
        <w:t>fizetendő</w:t>
      </w:r>
      <w:r>
        <w:rPr>
          <w:spacing w:val="-40"/>
          <w:w w:val="130"/>
          <w:sz w:val="24"/>
        </w:rPr>
        <w:t> </w:t>
      </w:r>
      <w:r>
        <w:rPr>
          <w:w w:val="130"/>
          <w:sz w:val="24"/>
        </w:rPr>
        <w:t>változó díj éves</w:t>
      </w:r>
      <w:r>
        <w:rPr>
          <w:spacing w:val="-6"/>
          <w:w w:val="130"/>
          <w:sz w:val="24"/>
        </w:rPr>
        <w:t> </w:t>
      </w:r>
      <w:r>
        <w:rPr>
          <w:w w:val="130"/>
          <w:sz w:val="24"/>
        </w:rPr>
        <w:t>mértéke</w:t>
      </w:r>
    </w:p>
    <w:p>
      <w:pPr>
        <w:pStyle w:val="ListParagraph"/>
        <w:numPr>
          <w:ilvl w:val="0"/>
          <w:numId w:val="491"/>
        </w:numPr>
        <w:tabs>
          <w:tab w:pos="737" w:val="left" w:leader="none"/>
        </w:tabs>
        <w:spacing w:line="225" w:lineRule="auto" w:before="1" w:after="0"/>
        <w:ind w:left="113" w:right="107" w:firstLine="204"/>
        <w:jc w:val="both"/>
        <w:rPr>
          <w:sz w:val="24"/>
        </w:rPr>
      </w:pPr>
      <w:r>
        <w:rPr>
          <w:w w:val="130"/>
          <w:sz w:val="24"/>
        </w:rPr>
        <w:t>a hitelintézet magyarországi fióktelepének éves beszámolója szerinti mérlegfőösszeg 0,1 ezrelékének,</w:t>
      </w:r>
      <w:r>
        <w:rPr>
          <w:spacing w:val="-14"/>
          <w:w w:val="130"/>
          <w:sz w:val="24"/>
        </w:rPr>
        <w:t> </w:t>
      </w:r>
      <w:r>
        <w:rPr>
          <w:w w:val="130"/>
          <w:sz w:val="24"/>
        </w:rPr>
        <w:t>és</w:t>
      </w:r>
    </w:p>
    <w:p>
      <w:pPr>
        <w:pStyle w:val="ListParagraph"/>
        <w:numPr>
          <w:ilvl w:val="0"/>
          <w:numId w:val="491"/>
        </w:numPr>
        <w:tabs>
          <w:tab w:pos="677" w:val="left" w:leader="none"/>
        </w:tabs>
        <w:spacing w:line="225" w:lineRule="auto" w:before="1" w:after="0"/>
        <w:ind w:left="113" w:right="116" w:firstLine="204"/>
        <w:jc w:val="both"/>
        <w:rPr>
          <w:sz w:val="24"/>
        </w:rPr>
      </w:pPr>
      <w:r>
        <w:rPr>
          <w:w w:val="130"/>
          <w:sz w:val="24"/>
        </w:rPr>
        <w:t>a Bszt.-ben meghatározott portfóliókezelési tevékenység - ide nem értve az önkéntes kölcsönös biztosító pénztár és a magánnyugdíjpénztár részére</w:t>
      </w:r>
      <w:r>
        <w:rPr>
          <w:spacing w:val="78"/>
          <w:w w:val="130"/>
          <w:sz w:val="24"/>
        </w:rPr>
        <w:t> </w:t>
      </w:r>
      <w:r>
        <w:rPr>
          <w:w w:val="130"/>
          <w:sz w:val="24"/>
        </w:rPr>
        <w:t>történő portfóliókezelési tevékenység - keretében kezelt, piaci értéken</w:t>
      </w:r>
      <w:r>
        <w:rPr>
          <w:spacing w:val="78"/>
          <w:w w:val="130"/>
          <w:sz w:val="24"/>
        </w:rPr>
        <w:t> </w:t>
      </w:r>
      <w:r>
        <w:rPr>
          <w:w w:val="130"/>
          <w:sz w:val="24"/>
        </w:rPr>
        <w:t>számított portfólió eszközértéke 0,125</w:t>
      </w:r>
      <w:r>
        <w:rPr>
          <w:spacing w:val="-22"/>
          <w:w w:val="130"/>
          <w:sz w:val="24"/>
        </w:rPr>
        <w:t> </w:t>
      </w:r>
      <w:r>
        <w:rPr>
          <w:w w:val="130"/>
          <w:sz w:val="24"/>
        </w:rPr>
        <w:t>ezrelékének</w:t>
      </w:r>
    </w:p>
    <w:p>
      <w:pPr>
        <w:pStyle w:val="BodyText"/>
        <w:spacing w:line="257" w:lineRule="exact"/>
        <w:ind w:firstLine="0"/>
      </w:pPr>
      <w:r>
        <w:rPr>
          <w:w w:val="130"/>
        </w:rPr>
        <w:t>összege.</w:t>
      </w:r>
    </w:p>
    <w:p>
      <w:pPr>
        <w:pStyle w:val="ListParagraph"/>
        <w:numPr>
          <w:ilvl w:val="0"/>
          <w:numId w:val="488"/>
        </w:numPr>
        <w:tabs>
          <w:tab w:pos="789" w:val="left" w:leader="none"/>
        </w:tabs>
        <w:spacing w:line="225" w:lineRule="auto" w:before="6" w:after="0"/>
        <w:ind w:left="113" w:right="129" w:firstLine="204"/>
        <w:jc w:val="both"/>
        <w:rPr>
          <w:sz w:val="24"/>
        </w:rPr>
      </w:pPr>
      <w:r>
        <w:rPr>
          <w:w w:val="125"/>
          <w:sz w:val="24"/>
        </w:rPr>
        <w:t>Ha a másik EGT-államban székhellyel rendelkező pénzügyi vállalkozás magyarországi fióktelepe által végez tevékenységet, az általa fizetendő változó díj éves mértéke a pénzügyi vállalkozás magyarországi fióktelepének éves beszámolója szerinti mérlegfőösszeg 0,1</w:t>
      </w:r>
      <w:r>
        <w:rPr>
          <w:spacing w:val="5"/>
          <w:w w:val="125"/>
          <w:sz w:val="24"/>
        </w:rPr>
        <w:t> </w:t>
      </w:r>
      <w:r>
        <w:rPr>
          <w:w w:val="125"/>
          <w:sz w:val="24"/>
        </w:rPr>
        <w:t>ezreléke.</w:t>
      </w:r>
    </w:p>
    <w:p>
      <w:pPr>
        <w:pStyle w:val="Heading2"/>
        <w:numPr>
          <w:ilvl w:val="0"/>
          <w:numId w:val="321"/>
        </w:numPr>
        <w:tabs>
          <w:tab w:pos="4628" w:val="left" w:leader="none"/>
        </w:tabs>
        <w:spacing w:line="240" w:lineRule="auto" w:before="233" w:after="0"/>
        <w:ind w:left="4627" w:right="0" w:hanging="352"/>
        <w:jc w:val="left"/>
      </w:pPr>
      <w:r>
        <w:rPr>
          <w:w w:val="110"/>
        </w:rPr>
        <w:t>Fejezet</w:t>
      </w:r>
    </w:p>
    <w:p>
      <w:pPr>
        <w:pStyle w:val="BodyText"/>
        <w:spacing w:before="1"/>
        <w:ind w:left="0" w:firstLine="0"/>
        <w:rPr>
          <w:rFonts w:ascii="Georgia-BoldItalic"/>
          <w:b/>
          <w:i/>
          <w:sz w:val="41"/>
        </w:rPr>
      </w:pPr>
    </w:p>
    <w:p>
      <w:pPr>
        <w:spacing w:before="0"/>
        <w:ind w:left="2678" w:right="0" w:firstLine="0"/>
        <w:jc w:val="left"/>
        <w:rPr>
          <w:rFonts w:ascii="Georgia-BoldItalic" w:hAnsi="Georgia-BoldItalic"/>
          <w:b/>
          <w:i/>
          <w:sz w:val="24"/>
        </w:rPr>
      </w:pPr>
      <w:r>
        <w:rPr>
          <w:rFonts w:ascii="Georgia-BoldItalic" w:hAnsi="Georgia-BoldItalic"/>
          <w:b/>
          <w:i/>
          <w:w w:val="105"/>
          <w:sz w:val="24"/>
        </w:rPr>
        <w:t>Az Országos Betétbiztosítási</w:t>
      </w:r>
      <w:r>
        <w:rPr>
          <w:rFonts w:ascii="Georgia-BoldItalic" w:hAnsi="Georgia-BoldItalic"/>
          <w:b/>
          <w:i/>
          <w:spacing w:val="59"/>
          <w:w w:val="105"/>
          <w:sz w:val="24"/>
        </w:rPr>
        <w:t> </w:t>
      </w:r>
      <w:r>
        <w:rPr>
          <w:rFonts w:ascii="Georgia-BoldItalic" w:hAnsi="Georgia-BoldItalic"/>
          <w:b/>
          <w:i/>
          <w:w w:val="105"/>
          <w:sz w:val="24"/>
        </w:rPr>
        <w:t>Alap</w:t>
      </w:r>
    </w:p>
    <w:p>
      <w:pPr>
        <w:pStyle w:val="BodyText"/>
        <w:spacing w:before="9"/>
        <w:ind w:left="0" w:firstLine="0"/>
        <w:rPr>
          <w:rFonts w:ascii="Georgia-BoldItalic"/>
          <w:b/>
          <w:i/>
          <w:sz w:val="40"/>
        </w:rPr>
      </w:pPr>
    </w:p>
    <w:p>
      <w:pPr>
        <w:pStyle w:val="BodyText"/>
        <w:ind w:left="3505" w:firstLine="0"/>
      </w:pPr>
      <w:r>
        <w:rPr>
          <w:w w:val="125"/>
        </w:rPr>
        <w:t>85. Általános szabályok</w:t>
      </w:r>
    </w:p>
    <w:p>
      <w:pPr>
        <w:pStyle w:val="BodyText"/>
        <w:ind w:left="0" w:firstLine="0"/>
        <w:rPr>
          <w:sz w:val="20"/>
        </w:rPr>
      </w:pPr>
    </w:p>
    <w:p>
      <w:pPr>
        <w:pStyle w:val="BodyText"/>
        <w:ind w:left="0" w:firstLine="0"/>
        <w:rPr>
          <w:sz w:val="20"/>
        </w:rPr>
      </w:pPr>
    </w:p>
    <w:p>
      <w:pPr>
        <w:pStyle w:val="BodyText"/>
        <w:spacing w:before="9"/>
        <w:ind w:left="0" w:firstLine="0"/>
        <w:rPr>
          <w:sz w:val="18"/>
        </w:rPr>
      </w:pPr>
      <w:r>
        <w:rPr/>
        <w:pict>
          <v:line style="position:absolute;mso-position-horizontal-relative:page;mso-position-vertical-relative:paragraph;z-index:1928;mso-wrap-distance-left:0;mso-wrap-distance-right:0" from="56.693001pt,13.000697pt" to="538.583001pt,13.00069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71. §. Hatályos: 2015. I.</w:t>
      </w:r>
      <w:r>
        <w:rPr>
          <w:i/>
          <w:spacing w:val="-14"/>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458"/>
        </w:numPr>
        <w:tabs>
          <w:tab w:pos="1064" w:val="left" w:leader="none"/>
        </w:tabs>
        <w:spacing w:line="225" w:lineRule="auto" w:before="172" w:after="0"/>
        <w:ind w:left="113" w:right="127" w:firstLine="204"/>
        <w:jc w:val="left"/>
        <w:rPr>
          <w:sz w:val="24"/>
        </w:rPr>
      </w:pPr>
      <w:r>
        <w:rPr>
          <w:rFonts w:ascii="Arial" w:hAnsi="Arial"/>
          <w:b/>
          <w:w w:val="120"/>
          <w:sz w:val="24"/>
        </w:rPr>
        <w:t>§ </w:t>
      </w:r>
      <w:r>
        <w:rPr>
          <w:w w:val="120"/>
          <w:sz w:val="24"/>
        </w:rPr>
        <w:t>(1) A hitelintézet - a (3) bekezdésben meghatározott kivétellel - csatlakozik az</w:t>
      </w:r>
      <w:r>
        <w:rPr>
          <w:spacing w:val="6"/>
          <w:w w:val="120"/>
          <w:sz w:val="24"/>
        </w:rPr>
        <w:t> </w:t>
      </w:r>
      <w:r>
        <w:rPr>
          <w:w w:val="120"/>
          <w:sz w:val="24"/>
        </w:rPr>
        <w:t>OBA-hoz.</w:t>
      </w:r>
    </w:p>
    <w:p>
      <w:pPr>
        <w:pStyle w:val="ListParagraph"/>
        <w:numPr>
          <w:ilvl w:val="0"/>
          <w:numId w:val="492"/>
        </w:numPr>
        <w:tabs>
          <w:tab w:pos="659" w:val="left" w:leader="none"/>
          <w:tab w:pos="996" w:val="left" w:leader="none"/>
          <w:tab w:pos="2967" w:val="left" w:leader="none"/>
          <w:tab w:pos="4296" w:val="left" w:leader="none"/>
          <w:tab w:pos="5861" w:val="left" w:leader="none"/>
          <w:tab w:pos="7427" w:val="left" w:leader="none"/>
          <w:tab w:pos="9033" w:val="left" w:leader="none"/>
        </w:tabs>
        <w:spacing w:line="249" w:lineRule="exact" w:before="0" w:after="0"/>
        <w:ind w:left="658" w:right="0" w:hanging="341"/>
        <w:jc w:val="left"/>
        <w:rPr>
          <w:sz w:val="24"/>
        </w:rPr>
      </w:pPr>
      <w:r>
        <w:rPr>
          <w:i/>
          <w:w w:val="125"/>
          <w:position w:val="3"/>
          <w:sz w:val="18"/>
        </w:rPr>
        <w:t>1</w:t>
        <w:tab/>
      </w:r>
      <w:r>
        <w:rPr>
          <w:w w:val="125"/>
          <w:sz w:val="24"/>
        </w:rPr>
        <w:t>Magyarország</w:t>
        <w:tab/>
        <w:t>területén</w:t>
        <w:tab/>
        <w:t>székhellyel</w:t>
        <w:tab/>
        <w:t>rendelkező</w:t>
        <w:tab/>
        <w:t>hitelintézet</w:t>
        <w:tab/>
        <w:t>másik</w:t>
      </w:r>
    </w:p>
    <w:p>
      <w:pPr>
        <w:pStyle w:val="BodyText"/>
        <w:spacing w:line="225" w:lineRule="auto" w:before="12"/>
        <w:ind w:right="339" w:firstLine="0"/>
      </w:pPr>
      <w:r>
        <w:rPr>
          <w:w w:val="125"/>
        </w:rPr>
        <w:t>EGT-államban létesített fióktelepére az OBA által nyújtott betétbiztosítás  terjed ki.</w:t>
      </w:r>
    </w:p>
    <w:p>
      <w:pPr>
        <w:pStyle w:val="BodyText"/>
        <w:spacing w:line="249" w:lineRule="exact"/>
        <w:ind w:left="317" w:firstLine="0"/>
      </w:pPr>
      <w:r>
        <w:rPr>
          <w:w w:val="125"/>
        </w:rPr>
        <w:t>(2a)</w:t>
      </w:r>
      <w:r>
        <w:rPr>
          <w:i/>
          <w:w w:val="125"/>
          <w:position w:val="3"/>
          <w:sz w:val="18"/>
        </w:rPr>
        <w:t>2 </w:t>
      </w:r>
      <w:r>
        <w:rPr>
          <w:w w:val="125"/>
        </w:rPr>
        <w:t>Magyarország területén székhellyel rendelkező hitelintézet harmadik</w:t>
      </w:r>
    </w:p>
    <w:p>
      <w:pPr>
        <w:pStyle w:val="BodyText"/>
        <w:spacing w:line="225" w:lineRule="auto" w:before="12"/>
        <w:ind w:right="120" w:firstLine="0"/>
        <w:jc w:val="both"/>
      </w:pPr>
      <w:r>
        <w:rPr>
          <w:w w:val="125"/>
        </w:rPr>
        <w:t>országban létesített fióktelepére az OBA által nyújtott betétbiztosítás terjed ki, kivéve, ha a fióktelep létesítésének helye szerinti ország szabályai ezt nem teszik lehetővé. Magyarország területén székhellyel rendelkező hitelintézet harmadik országban létesített fióktelepe önként csatlakozhat az adott ország betétvédelmi rendszeréhez. A hitelintézet a befogadó ország betétvédelmi rendszeréhez történő kötelező vagy önkéntes csatlakozásról, valamint a csatlakozás feltételéről a tudomásszerzéssel, illetve a kérelem  benyújtásával egy időben tájékoztatja az</w:t>
      </w:r>
      <w:r>
        <w:rPr>
          <w:spacing w:val="-3"/>
          <w:w w:val="125"/>
        </w:rPr>
        <w:t> </w:t>
      </w:r>
      <w:r>
        <w:rPr>
          <w:w w:val="125"/>
        </w:rPr>
        <w:t>OBA-t.</w:t>
      </w:r>
    </w:p>
    <w:p>
      <w:pPr>
        <w:pStyle w:val="ListParagraph"/>
        <w:numPr>
          <w:ilvl w:val="0"/>
          <w:numId w:val="492"/>
        </w:numPr>
        <w:tabs>
          <w:tab w:pos="659" w:val="left" w:leader="none"/>
        </w:tabs>
        <w:spacing w:line="253" w:lineRule="exact" w:before="0" w:after="0"/>
        <w:ind w:left="658" w:right="0" w:hanging="341"/>
        <w:jc w:val="left"/>
        <w:rPr>
          <w:sz w:val="24"/>
        </w:rPr>
      </w:pPr>
      <w:r>
        <w:rPr>
          <w:i/>
          <w:w w:val="125"/>
          <w:position w:val="3"/>
          <w:sz w:val="18"/>
        </w:rPr>
        <w:t>3 </w:t>
      </w:r>
      <w:r>
        <w:rPr>
          <w:w w:val="125"/>
          <w:sz w:val="24"/>
        </w:rPr>
        <w:t>A Felügyelet engedélye esetén nem köteles csatlakozni az</w:t>
      </w:r>
      <w:r>
        <w:rPr>
          <w:spacing w:val="48"/>
          <w:w w:val="125"/>
          <w:sz w:val="24"/>
        </w:rPr>
        <w:t> </w:t>
      </w:r>
      <w:r>
        <w:rPr>
          <w:w w:val="125"/>
          <w:sz w:val="24"/>
        </w:rPr>
        <w:t>OBA-hoz</w:t>
      </w:r>
    </w:p>
    <w:p>
      <w:pPr>
        <w:pStyle w:val="BodyText"/>
        <w:spacing w:line="225" w:lineRule="auto" w:before="12"/>
        <w:ind w:right="125" w:firstLine="0"/>
        <w:jc w:val="both"/>
      </w:pPr>
      <w:r>
        <w:rPr>
          <w:w w:val="130"/>
        </w:rPr>
        <w:t>harmadik országbeli hitelintézet fióktelepe, ha a Felügyelet döntése szerint rendelkezik az Európai Parlament és a Tanács 2014/49/EU irányelve által</w:t>
      </w:r>
      <w:r>
        <w:rPr>
          <w:spacing w:val="78"/>
          <w:w w:val="130"/>
        </w:rPr>
        <w:t> </w:t>
      </w:r>
      <w:r>
        <w:rPr>
          <w:w w:val="130"/>
        </w:rPr>
        <w:t>előírt biztosítással egyenértékű betétbiztosítással.</w:t>
      </w:r>
    </w:p>
    <w:p>
      <w:pPr>
        <w:pStyle w:val="ListParagraph"/>
        <w:numPr>
          <w:ilvl w:val="0"/>
          <w:numId w:val="492"/>
        </w:numPr>
        <w:tabs>
          <w:tab w:pos="807" w:val="left" w:leader="none"/>
        </w:tabs>
        <w:spacing w:line="225" w:lineRule="auto" w:before="2" w:after="0"/>
        <w:ind w:left="113" w:right="129" w:firstLine="204"/>
        <w:jc w:val="left"/>
        <w:rPr>
          <w:sz w:val="24"/>
        </w:rPr>
      </w:pPr>
      <w:r>
        <w:rPr>
          <w:w w:val="125"/>
          <w:sz w:val="24"/>
        </w:rPr>
        <w:t>A betétbiztosítás egyenértékűségének (3) bekezdés szerinti elbírálása során a Felügyelet figyelembe</w:t>
      </w:r>
      <w:r>
        <w:rPr>
          <w:spacing w:val="2"/>
          <w:w w:val="125"/>
          <w:sz w:val="24"/>
        </w:rPr>
        <w:t> </w:t>
      </w:r>
      <w:r>
        <w:rPr>
          <w:w w:val="125"/>
          <w:sz w:val="24"/>
        </w:rPr>
        <w:t>veszi</w:t>
      </w:r>
    </w:p>
    <w:p>
      <w:pPr>
        <w:pStyle w:val="ListParagraph"/>
        <w:numPr>
          <w:ilvl w:val="0"/>
          <w:numId w:val="493"/>
        </w:numPr>
        <w:tabs>
          <w:tab w:pos="631" w:val="left" w:leader="none"/>
        </w:tabs>
        <w:spacing w:line="256" w:lineRule="exact" w:before="0" w:after="0"/>
        <w:ind w:left="630" w:right="0" w:hanging="313"/>
        <w:jc w:val="left"/>
        <w:rPr>
          <w:sz w:val="24"/>
        </w:rPr>
      </w:pPr>
      <w:r>
        <w:rPr>
          <w:w w:val="130"/>
          <w:sz w:val="24"/>
        </w:rPr>
        <w:t>a biztosított betétek</w:t>
      </w:r>
      <w:r>
        <w:rPr>
          <w:spacing w:val="-24"/>
          <w:w w:val="130"/>
          <w:sz w:val="24"/>
        </w:rPr>
        <w:t> </w:t>
      </w:r>
      <w:r>
        <w:rPr>
          <w:w w:val="130"/>
          <w:sz w:val="24"/>
        </w:rPr>
        <w:t>körét,</w:t>
      </w:r>
    </w:p>
    <w:p>
      <w:pPr>
        <w:pStyle w:val="ListParagraph"/>
        <w:numPr>
          <w:ilvl w:val="0"/>
          <w:numId w:val="493"/>
        </w:numPr>
        <w:tabs>
          <w:tab w:pos="653" w:val="left" w:leader="none"/>
        </w:tabs>
        <w:spacing w:line="260" w:lineRule="exact" w:before="0" w:after="0"/>
        <w:ind w:left="652" w:right="0" w:hanging="335"/>
        <w:jc w:val="left"/>
        <w:rPr>
          <w:sz w:val="24"/>
        </w:rPr>
      </w:pPr>
      <w:r>
        <w:rPr>
          <w:w w:val="130"/>
          <w:sz w:val="24"/>
        </w:rPr>
        <w:t>a betétbiztosítással érintett</w:t>
      </w:r>
      <w:r>
        <w:rPr>
          <w:spacing w:val="-21"/>
          <w:w w:val="130"/>
          <w:sz w:val="24"/>
        </w:rPr>
        <w:t> </w:t>
      </w:r>
      <w:r>
        <w:rPr>
          <w:w w:val="130"/>
          <w:sz w:val="24"/>
        </w:rPr>
        <w:t>ügyfélkört,</w:t>
      </w:r>
    </w:p>
    <w:p>
      <w:pPr>
        <w:pStyle w:val="ListParagraph"/>
        <w:numPr>
          <w:ilvl w:val="0"/>
          <w:numId w:val="493"/>
        </w:numPr>
        <w:tabs>
          <w:tab w:pos="623" w:val="left" w:leader="none"/>
        </w:tabs>
        <w:spacing w:line="260" w:lineRule="exact" w:before="0" w:after="0"/>
        <w:ind w:left="622" w:right="0" w:hanging="305"/>
        <w:jc w:val="left"/>
        <w:rPr>
          <w:sz w:val="24"/>
        </w:rPr>
      </w:pPr>
      <w:r>
        <w:rPr>
          <w:w w:val="130"/>
          <w:sz w:val="24"/>
        </w:rPr>
        <w:t>a betétbiztosítás</w:t>
      </w:r>
      <w:r>
        <w:rPr>
          <w:spacing w:val="-5"/>
          <w:w w:val="130"/>
          <w:sz w:val="24"/>
        </w:rPr>
        <w:t> </w:t>
      </w:r>
      <w:r>
        <w:rPr>
          <w:w w:val="130"/>
          <w:sz w:val="24"/>
        </w:rPr>
        <w:t>mértékét,</w:t>
      </w:r>
    </w:p>
    <w:p>
      <w:pPr>
        <w:pStyle w:val="ListParagraph"/>
        <w:numPr>
          <w:ilvl w:val="0"/>
          <w:numId w:val="493"/>
        </w:numPr>
        <w:tabs>
          <w:tab w:pos="653" w:val="left" w:leader="none"/>
        </w:tabs>
        <w:spacing w:line="260" w:lineRule="exact" w:before="0" w:after="0"/>
        <w:ind w:left="652" w:right="0" w:hanging="335"/>
        <w:jc w:val="left"/>
        <w:rPr>
          <w:sz w:val="24"/>
        </w:rPr>
      </w:pPr>
      <w:r>
        <w:rPr>
          <w:w w:val="130"/>
          <w:sz w:val="24"/>
        </w:rPr>
        <w:t>a</w:t>
      </w:r>
      <w:r>
        <w:rPr>
          <w:spacing w:val="-20"/>
          <w:w w:val="130"/>
          <w:sz w:val="24"/>
        </w:rPr>
        <w:t> </w:t>
      </w:r>
      <w:r>
        <w:rPr>
          <w:w w:val="130"/>
          <w:sz w:val="24"/>
        </w:rPr>
        <w:t>betétbiztosítás</w:t>
      </w:r>
      <w:r>
        <w:rPr>
          <w:spacing w:val="-17"/>
          <w:w w:val="130"/>
          <w:sz w:val="24"/>
        </w:rPr>
        <w:t> </w:t>
      </w:r>
      <w:r>
        <w:rPr>
          <w:w w:val="130"/>
          <w:sz w:val="24"/>
        </w:rPr>
        <w:t>eljárásrendje</w:t>
      </w:r>
      <w:r>
        <w:rPr>
          <w:spacing w:val="-14"/>
          <w:w w:val="130"/>
          <w:sz w:val="24"/>
        </w:rPr>
        <w:t> </w:t>
      </w:r>
      <w:r>
        <w:rPr>
          <w:w w:val="130"/>
          <w:sz w:val="24"/>
        </w:rPr>
        <w:t>alapján</w:t>
      </w:r>
      <w:r>
        <w:rPr>
          <w:spacing w:val="-13"/>
          <w:w w:val="130"/>
          <w:sz w:val="24"/>
        </w:rPr>
        <w:t> </w:t>
      </w:r>
      <w:r>
        <w:rPr>
          <w:w w:val="130"/>
          <w:sz w:val="24"/>
        </w:rPr>
        <w:t>a</w:t>
      </w:r>
      <w:r>
        <w:rPr>
          <w:spacing w:val="-14"/>
          <w:w w:val="130"/>
          <w:sz w:val="24"/>
        </w:rPr>
        <w:t> </w:t>
      </w:r>
      <w:r>
        <w:rPr>
          <w:w w:val="130"/>
          <w:sz w:val="24"/>
        </w:rPr>
        <w:t>betétkifizetés</w:t>
      </w:r>
      <w:r>
        <w:rPr>
          <w:spacing w:val="-13"/>
          <w:w w:val="130"/>
          <w:sz w:val="24"/>
        </w:rPr>
        <w:t> </w:t>
      </w:r>
      <w:r>
        <w:rPr>
          <w:w w:val="130"/>
          <w:sz w:val="24"/>
        </w:rPr>
        <w:t>várható</w:t>
      </w:r>
      <w:r>
        <w:rPr>
          <w:spacing w:val="-14"/>
          <w:w w:val="130"/>
          <w:sz w:val="24"/>
        </w:rPr>
        <w:t> </w:t>
      </w:r>
      <w:r>
        <w:rPr>
          <w:w w:val="130"/>
          <w:sz w:val="24"/>
        </w:rPr>
        <w:t>időigényét,</w:t>
      </w:r>
    </w:p>
    <w:p>
      <w:pPr>
        <w:pStyle w:val="ListParagraph"/>
        <w:numPr>
          <w:ilvl w:val="0"/>
          <w:numId w:val="493"/>
        </w:numPr>
        <w:tabs>
          <w:tab w:pos="629" w:val="left" w:leader="none"/>
        </w:tabs>
        <w:spacing w:line="260" w:lineRule="exact" w:before="0" w:after="0"/>
        <w:ind w:left="628" w:right="0" w:hanging="311"/>
        <w:jc w:val="left"/>
        <w:rPr>
          <w:sz w:val="24"/>
        </w:rPr>
      </w:pPr>
      <w:r>
        <w:rPr>
          <w:w w:val="130"/>
          <w:sz w:val="24"/>
        </w:rPr>
        <w:t>a betétkövetelés érvényesítésének lehetőségét,</w:t>
      </w:r>
      <w:r>
        <w:rPr>
          <w:spacing w:val="-16"/>
          <w:w w:val="130"/>
          <w:sz w:val="24"/>
        </w:rPr>
        <w:t> </w:t>
      </w:r>
      <w:r>
        <w:rPr>
          <w:w w:val="130"/>
          <w:sz w:val="24"/>
        </w:rPr>
        <w:t>és</w:t>
      </w:r>
    </w:p>
    <w:p>
      <w:pPr>
        <w:pStyle w:val="ListParagraph"/>
        <w:numPr>
          <w:ilvl w:val="0"/>
          <w:numId w:val="493"/>
        </w:numPr>
        <w:tabs>
          <w:tab w:pos="577" w:val="left" w:leader="none"/>
        </w:tabs>
        <w:spacing w:line="260" w:lineRule="exact" w:before="0" w:after="0"/>
        <w:ind w:left="576" w:right="0" w:hanging="259"/>
        <w:jc w:val="left"/>
        <w:rPr>
          <w:sz w:val="24"/>
        </w:rPr>
      </w:pPr>
      <w:r>
        <w:rPr>
          <w:w w:val="120"/>
          <w:sz w:val="24"/>
        </w:rPr>
        <w:t>az OBA</w:t>
      </w:r>
      <w:r>
        <w:rPr>
          <w:spacing w:val="7"/>
          <w:w w:val="120"/>
          <w:sz w:val="24"/>
        </w:rPr>
        <w:t> </w:t>
      </w:r>
      <w:r>
        <w:rPr>
          <w:w w:val="120"/>
          <w:sz w:val="24"/>
        </w:rPr>
        <w:t>véleményét.</w:t>
      </w:r>
    </w:p>
    <w:p>
      <w:pPr>
        <w:pStyle w:val="ListParagraph"/>
        <w:numPr>
          <w:ilvl w:val="0"/>
          <w:numId w:val="492"/>
        </w:numPr>
        <w:tabs>
          <w:tab w:pos="845" w:val="left" w:leader="none"/>
        </w:tabs>
        <w:spacing w:line="225" w:lineRule="auto" w:before="5" w:after="0"/>
        <w:ind w:left="113" w:right="126" w:firstLine="204"/>
        <w:jc w:val="both"/>
        <w:rPr>
          <w:sz w:val="24"/>
        </w:rPr>
      </w:pPr>
      <w:r>
        <w:rPr>
          <w:w w:val="125"/>
          <w:sz w:val="24"/>
        </w:rPr>
        <w:t>Ha a fióktelep a (3) bekezdés alapján nem köteles csatlakozni az OBA-hoz, önként az OBA-hoz csatlakozhat a (7) bekezdésben meghatározott kiegészítő biztosítás érdekében, ha megfelel az OBA tagjaira vonatkozó követelményeknek.</w:t>
      </w:r>
    </w:p>
    <w:p>
      <w:pPr>
        <w:pStyle w:val="ListParagraph"/>
        <w:numPr>
          <w:ilvl w:val="0"/>
          <w:numId w:val="492"/>
        </w:numPr>
        <w:tabs>
          <w:tab w:pos="659" w:val="left" w:leader="none"/>
        </w:tabs>
        <w:spacing w:line="251" w:lineRule="exact" w:before="0" w:after="0"/>
        <w:ind w:left="658" w:right="0" w:hanging="341"/>
        <w:jc w:val="left"/>
        <w:rPr>
          <w:sz w:val="24"/>
        </w:rPr>
      </w:pPr>
      <w:r>
        <w:rPr>
          <w:i/>
          <w:w w:val="130"/>
          <w:position w:val="3"/>
          <w:sz w:val="18"/>
        </w:rPr>
        <w:t>4 </w:t>
      </w:r>
      <w:r>
        <w:rPr>
          <w:w w:val="130"/>
          <w:sz w:val="24"/>
        </w:rPr>
        <w:t>Ha a Felügyelet döntése szerint a harmadik országbeli</w:t>
      </w:r>
      <w:r>
        <w:rPr>
          <w:spacing w:val="4"/>
          <w:w w:val="130"/>
          <w:sz w:val="24"/>
        </w:rPr>
        <w:t> </w:t>
      </w:r>
      <w:r>
        <w:rPr>
          <w:w w:val="130"/>
          <w:sz w:val="24"/>
        </w:rPr>
        <w:t>hitelintézet</w:t>
      </w:r>
    </w:p>
    <w:p>
      <w:pPr>
        <w:pStyle w:val="BodyText"/>
        <w:spacing w:line="225" w:lineRule="auto" w:before="12"/>
        <w:ind w:right="131" w:firstLine="0"/>
        <w:jc w:val="both"/>
      </w:pPr>
      <w:r>
        <w:rPr>
          <w:w w:val="130"/>
        </w:rPr>
        <w:t>fióktelepe nem rendelkezik az Európai Parlament és a Tanács 2014/49/EU</w:t>
      </w:r>
      <w:r>
        <w:rPr>
          <w:spacing w:val="78"/>
          <w:w w:val="130"/>
        </w:rPr>
        <w:t> </w:t>
      </w:r>
      <w:r>
        <w:rPr>
          <w:w w:val="130"/>
        </w:rPr>
        <w:t>irányelve</w:t>
      </w:r>
      <w:r>
        <w:rPr>
          <w:spacing w:val="-24"/>
          <w:w w:val="130"/>
        </w:rPr>
        <w:t> </w:t>
      </w:r>
      <w:r>
        <w:rPr>
          <w:w w:val="130"/>
        </w:rPr>
        <w:t>által</w:t>
      </w:r>
      <w:r>
        <w:rPr>
          <w:spacing w:val="-24"/>
          <w:w w:val="130"/>
        </w:rPr>
        <w:t> </w:t>
      </w:r>
      <w:r>
        <w:rPr>
          <w:w w:val="130"/>
        </w:rPr>
        <w:t>előírt</w:t>
      </w:r>
      <w:r>
        <w:rPr>
          <w:spacing w:val="-23"/>
          <w:w w:val="130"/>
        </w:rPr>
        <w:t> </w:t>
      </w:r>
      <w:r>
        <w:rPr>
          <w:w w:val="130"/>
        </w:rPr>
        <w:t>biztosítással</w:t>
      </w:r>
      <w:r>
        <w:rPr>
          <w:spacing w:val="-24"/>
          <w:w w:val="130"/>
        </w:rPr>
        <w:t> </w:t>
      </w:r>
      <w:r>
        <w:rPr>
          <w:w w:val="130"/>
        </w:rPr>
        <w:t>egyenértékű</w:t>
      </w:r>
      <w:r>
        <w:rPr>
          <w:spacing w:val="-23"/>
          <w:w w:val="130"/>
        </w:rPr>
        <w:t> </w:t>
      </w:r>
      <w:r>
        <w:rPr>
          <w:w w:val="130"/>
        </w:rPr>
        <w:t>betétbiztosítással,</w:t>
      </w:r>
      <w:r>
        <w:rPr>
          <w:spacing w:val="-24"/>
          <w:w w:val="130"/>
        </w:rPr>
        <w:t> </w:t>
      </w:r>
      <w:r>
        <w:rPr>
          <w:w w:val="130"/>
        </w:rPr>
        <w:t>akkor</w:t>
      </w:r>
      <w:r>
        <w:rPr>
          <w:spacing w:val="-23"/>
          <w:w w:val="130"/>
        </w:rPr>
        <w:t> </w:t>
      </w:r>
      <w:r>
        <w:rPr>
          <w:w w:val="130"/>
        </w:rPr>
        <w:t>köteles csatlakozni az OBA-hoz a teljes biztosítás</w:t>
      </w:r>
      <w:r>
        <w:rPr>
          <w:spacing w:val="-48"/>
          <w:w w:val="130"/>
        </w:rPr>
        <w:t> </w:t>
      </w:r>
      <w:r>
        <w:rPr>
          <w:w w:val="130"/>
        </w:rPr>
        <w:t>érdekében.</w:t>
      </w:r>
    </w:p>
    <w:p>
      <w:pPr>
        <w:pStyle w:val="ListParagraph"/>
        <w:numPr>
          <w:ilvl w:val="0"/>
          <w:numId w:val="492"/>
        </w:numPr>
        <w:tabs>
          <w:tab w:pos="735" w:val="left" w:leader="none"/>
        </w:tabs>
        <w:spacing w:line="225" w:lineRule="auto" w:before="2" w:after="0"/>
        <w:ind w:left="113" w:right="112" w:firstLine="204"/>
        <w:jc w:val="both"/>
        <w:rPr>
          <w:sz w:val="24"/>
        </w:rPr>
      </w:pPr>
      <w:r>
        <w:rPr>
          <w:w w:val="125"/>
          <w:sz w:val="24"/>
        </w:rPr>
        <w:t>Ha az OBA által nyújtott kártalanítás legmagasabb összege, mértéke vagy a biztosított betétek köre meghaladja a fióktelepre érvényes betétbiztosítási rendszer által alkalmazott legmagasabb összeget, mértéket vagy a biztosított betétek körét, akkor a fióktelep kérésére - ha csatlakozott az OBA-hoz  -  az OBA a meghaladó részre kiegészítő biztosítást nyújt. A kiegészítő biztosítás alapján történő kártalanításra akkor kerülhet sor, ha a fióktelep székhely országának illetékes hatósága értesítést küld az OBA részére a betétek befagyásáról. A kiegészítő kártalanítás kifizetésére egyebekben a 217. § előírásait kell alkalmazni.</w:t>
      </w:r>
    </w:p>
    <w:p>
      <w:pPr>
        <w:pStyle w:val="BodyText"/>
        <w:tabs>
          <w:tab w:pos="1616" w:val="left" w:leader="none"/>
          <w:tab w:pos="2361" w:val="left" w:leader="none"/>
          <w:tab w:pos="3960" w:val="left" w:leader="none"/>
          <w:tab w:pos="4893" w:val="left" w:leader="none"/>
          <w:tab w:pos="5358" w:val="left" w:leader="none"/>
          <w:tab w:pos="7381" w:val="left" w:leader="none"/>
          <w:tab w:pos="7724" w:val="left" w:leader="none"/>
          <w:tab w:pos="9597" w:val="left" w:leader="none"/>
        </w:tabs>
        <w:spacing w:line="253" w:lineRule="exact"/>
        <w:ind w:left="317" w:firstLine="0"/>
      </w:pPr>
      <w:r>
        <w:rPr>
          <w:w w:val="125"/>
        </w:rPr>
        <w:t>(7a)</w:t>
      </w:r>
      <w:r>
        <w:rPr>
          <w:i/>
          <w:w w:val="125"/>
          <w:position w:val="3"/>
          <w:sz w:val="18"/>
        </w:rPr>
        <w:t>5 </w:t>
      </w:r>
      <w:r>
        <w:rPr>
          <w:i/>
          <w:spacing w:val="54"/>
          <w:w w:val="125"/>
          <w:position w:val="3"/>
          <w:sz w:val="18"/>
        </w:rPr>
        <w:t> </w:t>
      </w:r>
      <w:r>
        <w:rPr>
          <w:w w:val="125"/>
        </w:rPr>
        <w:t>Az</w:t>
        <w:tab/>
        <w:t>OBA</w:t>
        <w:tab/>
        <w:t>információt</w:t>
        <w:tab/>
        <w:t>cserél</w:t>
        <w:tab/>
        <w:t>és</w:t>
        <w:tab/>
        <w:t>együttműködik</w:t>
        <w:tab/>
        <w:t>a</w:t>
        <w:tab/>
        <w:t>Felügyelettel,</w:t>
        <w:tab/>
        <w:t>a</w:t>
      </w:r>
    </w:p>
    <w:p>
      <w:pPr>
        <w:pStyle w:val="BodyText"/>
        <w:spacing w:line="225" w:lineRule="auto" w:before="12"/>
        <w:ind w:right="124" w:firstLine="0"/>
        <w:jc w:val="both"/>
      </w:pPr>
      <w:r>
        <w:rPr>
          <w:w w:val="130"/>
        </w:rPr>
        <w:t>szanálási feladatkörében eljáró MNB-vel, a hitelintézetekkel, a külföldi betétbiztosítási rendszerekkel, a külföldi felügyeleti hatóságokkal és a</w:t>
      </w:r>
      <w:r>
        <w:rPr>
          <w:spacing w:val="78"/>
          <w:w w:val="130"/>
        </w:rPr>
        <w:t> </w:t>
      </w:r>
      <w:r>
        <w:rPr>
          <w:w w:val="130"/>
        </w:rPr>
        <w:t>nemzetközi betétbiztosítási szervezetekkel.</w:t>
      </w:r>
    </w:p>
    <w:p>
      <w:pPr>
        <w:pStyle w:val="BodyText"/>
        <w:spacing w:before="1"/>
        <w:ind w:left="0" w:firstLine="0"/>
        <w:rPr>
          <w:sz w:val="26"/>
        </w:rPr>
      </w:pPr>
      <w:r>
        <w:rPr/>
        <w:pict>
          <v:line style="position:absolute;mso-position-horizontal-relative:page;mso-position-vertical-relative:paragraph;z-index:1952;mso-wrap-distance-left:0;mso-wrap-distance-right:0" from="56.693001pt,17.202976pt" to="538.583001pt,17.202976pt" stroked="true" strokeweight=".5pt" strokecolor="#000000">
            <v:stroke dashstyle="solid"/>
            <w10:wrap type="topAndBottom"/>
          </v:line>
        </w:pict>
      </w:r>
    </w:p>
    <w:p>
      <w:pPr>
        <w:pStyle w:val="ListParagraph"/>
        <w:numPr>
          <w:ilvl w:val="0"/>
          <w:numId w:val="494"/>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72. § (1). Hatályos: 2015. VII.</w:t>
      </w:r>
      <w:r>
        <w:rPr>
          <w:i/>
          <w:spacing w:val="-22"/>
          <w:w w:val="125"/>
          <w:sz w:val="18"/>
        </w:rPr>
        <w:t> </w:t>
      </w:r>
      <w:r>
        <w:rPr>
          <w:i/>
          <w:w w:val="125"/>
          <w:sz w:val="18"/>
        </w:rPr>
        <w:t>3-tól.</w:t>
      </w:r>
    </w:p>
    <w:p>
      <w:pPr>
        <w:pStyle w:val="ListParagraph"/>
        <w:numPr>
          <w:ilvl w:val="0"/>
          <w:numId w:val="494"/>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72. § (2). Hatályos: 2015. VII.</w:t>
      </w:r>
      <w:r>
        <w:rPr>
          <w:i/>
          <w:spacing w:val="49"/>
          <w:w w:val="120"/>
          <w:sz w:val="18"/>
        </w:rPr>
        <w:t> </w:t>
      </w:r>
      <w:r>
        <w:rPr>
          <w:i/>
          <w:w w:val="120"/>
          <w:sz w:val="18"/>
        </w:rPr>
        <w:t>3-tól.</w:t>
      </w:r>
    </w:p>
    <w:p>
      <w:pPr>
        <w:pStyle w:val="ListParagraph"/>
        <w:numPr>
          <w:ilvl w:val="0"/>
          <w:numId w:val="494"/>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72.</w:t>
      </w:r>
      <w:r>
        <w:rPr>
          <w:i/>
          <w:spacing w:val="-11"/>
          <w:w w:val="125"/>
          <w:sz w:val="18"/>
        </w:rPr>
        <w:t> </w:t>
      </w:r>
      <w:r>
        <w:rPr>
          <w:i/>
          <w:w w:val="125"/>
          <w:sz w:val="18"/>
        </w:rPr>
        <w:t>§</w:t>
      </w:r>
      <w:r>
        <w:rPr>
          <w:i/>
          <w:spacing w:val="-10"/>
          <w:w w:val="125"/>
          <w:sz w:val="18"/>
        </w:rPr>
        <w:t> </w:t>
      </w:r>
      <w:r>
        <w:rPr>
          <w:i/>
          <w:w w:val="125"/>
          <w:sz w:val="18"/>
        </w:rPr>
        <w:t>(3).</w:t>
      </w:r>
      <w:r>
        <w:rPr>
          <w:i/>
          <w:spacing w:val="-10"/>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494"/>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72.</w:t>
      </w:r>
      <w:r>
        <w:rPr>
          <w:i/>
          <w:spacing w:val="-11"/>
          <w:w w:val="125"/>
          <w:sz w:val="18"/>
        </w:rPr>
        <w:t> </w:t>
      </w:r>
      <w:r>
        <w:rPr>
          <w:i/>
          <w:w w:val="125"/>
          <w:sz w:val="18"/>
        </w:rPr>
        <w:t>§</w:t>
      </w:r>
      <w:r>
        <w:rPr>
          <w:i/>
          <w:spacing w:val="-10"/>
          <w:w w:val="125"/>
          <w:sz w:val="18"/>
        </w:rPr>
        <w:t> </w:t>
      </w:r>
      <w:r>
        <w:rPr>
          <w:i/>
          <w:w w:val="125"/>
          <w:sz w:val="18"/>
        </w:rPr>
        <w:t>(4).</w:t>
      </w:r>
      <w:r>
        <w:rPr>
          <w:i/>
          <w:spacing w:val="-10"/>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494"/>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2018.</w:t>
      </w:r>
      <w:r>
        <w:rPr>
          <w:i/>
          <w:spacing w:val="14"/>
          <w:w w:val="120"/>
          <w:sz w:val="18"/>
        </w:rPr>
        <w:t> </w:t>
      </w:r>
      <w:r>
        <w:rPr>
          <w:i/>
          <w:w w:val="120"/>
          <w:sz w:val="18"/>
        </w:rPr>
        <w:t>évi</w:t>
      </w:r>
      <w:r>
        <w:rPr>
          <w:i/>
          <w:spacing w:val="14"/>
          <w:w w:val="120"/>
          <w:sz w:val="18"/>
        </w:rPr>
        <w:t> </w:t>
      </w:r>
      <w:r>
        <w:rPr>
          <w:i/>
          <w:w w:val="120"/>
          <w:sz w:val="18"/>
        </w:rPr>
        <w:t>CXXVI.</w:t>
      </w:r>
      <w:r>
        <w:rPr>
          <w:i/>
          <w:spacing w:val="15"/>
          <w:w w:val="120"/>
          <w:sz w:val="18"/>
        </w:rPr>
        <w:t> </w:t>
      </w:r>
      <w:r>
        <w:rPr>
          <w:i/>
          <w:w w:val="120"/>
          <w:sz w:val="18"/>
        </w:rPr>
        <w:t>törvény</w:t>
      </w:r>
      <w:r>
        <w:rPr>
          <w:i/>
          <w:spacing w:val="14"/>
          <w:w w:val="120"/>
          <w:sz w:val="18"/>
        </w:rPr>
        <w:t> </w:t>
      </w:r>
      <w:r>
        <w:rPr>
          <w:i/>
          <w:w w:val="120"/>
          <w:sz w:val="18"/>
        </w:rPr>
        <w:t>107.</w:t>
      </w:r>
      <w:r>
        <w:rPr>
          <w:i/>
          <w:spacing w:val="14"/>
          <w:w w:val="120"/>
          <w:sz w:val="18"/>
        </w:rPr>
        <w:t> </w:t>
      </w:r>
      <w:r>
        <w:rPr>
          <w:i/>
          <w:w w:val="120"/>
          <w:sz w:val="18"/>
        </w:rPr>
        <w:t>§</w:t>
      </w:r>
      <w:r>
        <w:rPr>
          <w:i/>
          <w:spacing w:val="15"/>
          <w:w w:val="120"/>
          <w:sz w:val="18"/>
        </w:rPr>
        <w:t> </w:t>
      </w:r>
      <w:r>
        <w:rPr>
          <w:i/>
          <w:w w:val="120"/>
          <w:sz w:val="18"/>
        </w:rPr>
        <w:t>(1).</w:t>
      </w:r>
      <w:r>
        <w:rPr>
          <w:i/>
          <w:spacing w:val="15"/>
          <w:w w:val="120"/>
          <w:sz w:val="18"/>
        </w:rPr>
        <w:t> </w:t>
      </w:r>
      <w:r>
        <w:rPr>
          <w:i/>
          <w:w w:val="120"/>
          <w:sz w:val="18"/>
        </w:rPr>
        <w:t>Hatályos:</w:t>
      </w:r>
      <w:r>
        <w:rPr>
          <w:i/>
          <w:spacing w:val="16"/>
          <w:w w:val="120"/>
          <w:sz w:val="18"/>
        </w:rPr>
        <w:t> </w:t>
      </w:r>
      <w:r>
        <w:rPr>
          <w:i/>
          <w:w w:val="120"/>
          <w:sz w:val="18"/>
        </w:rPr>
        <w:t>2018.</w:t>
      </w:r>
      <w:r>
        <w:rPr>
          <w:i/>
          <w:spacing w:val="14"/>
          <w:w w:val="120"/>
          <w:sz w:val="18"/>
        </w:rPr>
        <w:t> </w:t>
      </w:r>
      <w:r>
        <w:rPr>
          <w:i/>
          <w:w w:val="120"/>
          <w:sz w:val="18"/>
        </w:rPr>
        <w:t>XII.</w:t>
      </w:r>
      <w:r>
        <w:rPr>
          <w:i/>
          <w:spacing w:val="14"/>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492"/>
        </w:numPr>
        <w:tabs>
          <w:tab w:pos="907" w:val="left" w:leader="none"/>
        </w:tabs>
        <w:spacing w:line="225" w:lineRule="auto" w:before="173" w:after="0"/>
        <w:ind w:left="113" w:right="114" w:firstLine="204"/>
        <w:jc w:val="both"/>
        <w:rPr>
          <w:sz w:val="24"/>
        </w:rPr>
      </w:pPr>
      <w:r>
        <w:rPr>
          <w:w w:val="130"/>
          <w:sz w:val="24"/>
        </w:rPr>
        <w:t>Az OBA külföldi betétbiztosítási rendszerekkel, valamint külföldi felügyeleti</w:t>
      </w:r>
      <w:r>
        <w:rPr>
          <w:spacing w:val="78"/>
          <w:w w:val="130"/>
          <w:sz w:val="24"/>
        </w:rPr>
        <w:t> </w:t>
      </w:r>
      <w:r>
        <w:rPr>
          <w:w w:val="130"/>
          <w:sz w:val="24"/>
        </w:rPr>
        <w:t>hatóságokkal</w:t>
      </w:r>
      <w:r>
        <w:rPr>
          <w:spacing w:val="78"/>
          <w:w w:val="130"/>
          <w:sz w:val="24"/>
        </w:rPr>
        <w:t> </w:t>
      </w:r>
      <w:r>
        <w:rPr>
          <w:w w:val="130"/>
          <w:sz w:val="24"/>
        </w:rPr>
        <w:t>együttműködési</w:t>
      </w:r>
      <w:r>
        <w:rPr>
          <w:spacing w:val="78"/>
          <w:w w:val="130"/>
          <w:sz w:val="24"/>
        </w:rPr>
        <w:t> </w:t>
      </w:r>
      <w:r>
        <w:rPr>
          <w:w w:val="130"/>
          <w:sz w:val="24"/>
        </w:rPr>
        <w:t>megállapodásokat</w:t>
      </w:r>
      <w:r>
        <w:rPr>
          <w:spacing w:val="78"/>
          <w:w w:val="130"/>
          <w:sz w:val="24"/>
        </w:rPr>
        <w:t> </w:t>
      </w:r>
      <w:r>
        <w:rPr>
          <w:w w:val="130"/>
          <w:sz w:val="24"/>
        </w:rPr>
        <w:t>köthet, információkat cserélhet a betétbiztosítási rendszerek tagjaira és a biztosított betétállományra vonatkozó nyilvántartás, valamint a betétesek kártalanítása érdekében. Az együttműködés során a betétbiztosítási rendszerek egyeztetik, hogy az egyes rendszerek alapján a betétest mekkora összegű kártalanítás illeti</w:t>
      </w:r>
      <w:r>
        <w:rPr>
          <w:spacing w:val="-4"/>
          <w:w w:val="130"/>
          <w:sz w:val="24"/>
        </w:rPr>
        <w:t> </w:t>
      </w:r>
      <w:r>
        <w:rPr>
          <w:w w:val="130"/>
          <w:sz w:val="24"/>
        </w:rPr>
        <w:t>meg.</w:t>
      </w:r>
    </w:p>
    <w:p>
      <w:pPr>
        <w:pStyle w:val="BodyText"/>
        <w:spacing w:line="259" w:lineRule="exact"/>
        <w:ind w:left="317" w:firstLine="0"/>
      </w:pPr>
      <w:r>
        <w:rPr>
          <w:w w:val="120"/>
        </w:rPr>
        <w:t>(8a)</w:t>
      </w:r>
      <w:r>
        <w:rPr>
          <w:i/>
          <w:w w:val="120"/>
          <w:position w:val="3"/>
          <w:sz w:val="18"/>
        </w:rPr>
        <w:t>1 </w:t>
      </w:r>
      <w:r>
        <w:rPr>
          <w:w w:val="120"/>
        </w:rPr>
        <w:t>Az OBA tájékoztatja az EBH-t</w:t>
      </w:r>
    </w:p>
    <w:p>
      <w:pPr>
        <w:pStyle w:val="ListParagraph"/>
        <w:numPr>
          <w:ilvl w:val="0"/>
          <w:numId w:val="495"/>
        </w:numPr>
        <w:tabs>
          <w:tab w:pos="730" w:val="left" w:leader="none"/>
        </w:tabs>
        <w:spacing w:line="225" w:lineRule="auto" w:before="5" w:after="0"/>
        <w:ind w:left="113" w:right="130" w:firstLine="204"/>
        <w:jc w:val="both"/>
        <w:rPr>
          <w:sz w:val="24"/>
        </w:rPr>
      </w:pPr>
      <w:r>
        <w:rPr>
          <w:w w:val="125"/>
          <w:sz w:val="24"/>
        </w:rPr>
        <w:t>a külföldi betétbiztosítási rendszerekkel, valamint külföldi felügyeleti hatóságokkal kötött megállapodásokról és azok</w:t>
      </w:r>
      <w:r>
        <w:rPr>
          <w:spacing w:val="14"/>
          <w:w w:val="125"/>
          <w:sz w:val="24"/>
        </w:rPr>
        <w:t> </w:t>
      </w:r>
      <w:r>
        <w:rPr>
          <w:w w:val="125"/>
          <w:sz w:val="24"/>
        </w:rPr>
        <w:t>tartalmáról,</w:t>
      </w:r>
    </w:p>
    <w:p>
      <w:pPr>
        <w:pStyle w:val="ListParagraph"/>
        <w:numPr>
          <w:ilvl w:val="0"/>
          <w:numId w:val="495"/>
        </w:numPr>
        <w:tabs>
          <w:tab w:pos="650" w:val="left" w:leader="none"/>
        </w:tabs>
        <w:spacing w:line="225" w:lineRule="auto" w:before="1" w:after="0"/>
        <w:ind w:left="113" w:right="128" w:firstLine="204"/>
        <w:jc w:val="both"/>
        <w:rPr>
          <w:sz w:val="24"/>
        </w:rPr>
      </w:pPr>
      <w:r>
        <w:rPr>
          <w:w w:val="130"/>
          <w:sz w:val="24"/>
        </w:rPr>
        <w:t>minden</w:t>
      </w:r>
      <w:r>
        <w:rPr>
          <w:spacing w:val="-5"/>
          <w:w w:val="130"/>
          <w:sz w:val="24"/>
        </w:rPr>
        <w:t> </w:t>
      </w:r>
      <w:r>
        <w:rPr>
          <w:w w:val="130"/>
          <w:sz w:val="24"/>
        </w:rPr>
        <w:t>évben</w:t>
      </w:r>
      <w:r>
        <w:rPr>
          <w:spacing w:val="-30"/>
          <w:w w:val="130"/>
          <w:sz w:val="24"/>
        </w:rPr>
        <w:t> </w:t>
      </w:r>
      <w:r>
        <w:rPr>
          <w:w w:val="130"/>
          <w:sz w:val="24"/>
        </w:rPr>
        <w:t>március</w:t>
      </w:r>
      <w:r>
        <w:rPr>
          <w:spacing w:val="-17"/>
          <w:w w:val="130"/>
          <w:sz w:val="24"/>
        </w:rPr>
        <w:t> </w:t>
      </w:r>
      <w:r>
        <w:rPr>
          <w:w w:val="130"/>
          <w:sz w:val="24"/>
        </w:rPr>
        <w:t>31-éig</w:t>
      </w:r>
      <w:r>
        <w:rPr>
          <w:spacing w:val="-18"/>
          <w:w w:val="130"/>
          <w:sz w:val="24"/>
        </w:rPr>
        <w:t> </w:t>
      </w:r>
      <w:r>
        <w:rPr>
          <w:w w:val="130"/>
          <w:sz w:val="24"/>
        </w:rPr>
        <w:t>a</w:t>
      </w:r>
      <w:r>
        <w:rPr>
          <w:spacing w:val="-13"/>
          <w:w w:val="130"/>
          <w:sz w:val="24"/>
        </w:rPr>
        <w:t> </w:t>
      </w:r>
      <w:r>
        <w:rPr>
          <w:w w:val="130"/>
          <w:sz w:val="24"/>
        </w:rPr>
        <w:t>biztosított</w:t>
      </w:r>
      <w:r>
        <w:rPr>
          <w:spacing w:val="-21"/>
          <w:w w:val="130"/>
          <w:sz w:val="24"/>
        </w:rPr>
        <w:t> </w:t>
      </w:r>
      <w:r>
        <w:rPr>
          <w:w w:val="130"/>
          <w:sz w:val="24"/>
        </w:rPr>
        <w:t>betétek</w:t>
      </w:r>
      <w:r>
        <w:rPr>
          <w:spacing w:val="-17"/>
          <w:w w:val="130"/>
          <w:sz w:val="24"/>
        </w:rPr>
        <w:t> </w:t>
      </w:r>
      <w:r>
        <w:rPr>
          <w:w w:val="130"/>
          <w:sz w:val="24"/>
        </w:rPr>
        <w:t>összegéről,</w:t>
      </w:r>
      <w:r>
        <w:rPr>
          <w:spacing w:val="-17"/>
          <w:w w:val="130"/>
          <w:sz w:val="24"/>
        </w:rPr>
        <w:t> </w:t>
      </w:r>
      <w:r>
        <w:rPr>
          <w:w w:val="130"/>
          <w:sz w:val="24"/>
        </w:rPr>
        <w:t>valamint</w:t>
      </w:r>
      <w:r>
        <w:rPr>
          <w:spacing w:val="-18"/>
          <w:w w:val="130"/>
          <w:sz w:val="24"/>
        </w:rPr>
        <w:t> </w:t>
      </w:r>
      <w:r>
        <w:rPr>
          <w:w w:val="130"/>
          <w:sz w:val="24"/>
        </w:rPr>
        <w:t>az előző</w:t>
      </w:r>
      <w:r>
        <w:rPr>
          <w:spacing w:val="-13"/>
          <w:w w:val="130"/>
          <w:sz w:val="24"/>
        </w:rPr>
        <w:t> </w:t>
      </w:r>
      <w:r>
        <w:rPr>
          <w:w w:val="130"/>
          <w:sz w:val="24"/>
        </w:rPr>
        <w:t>év</w:t>
      </w:r>
      <w:r>
        <w:rPr>
          <w:spacing w:val="-13"/>
          <w:w w:val="130"/>
          <w:sz w:val="24"/>
        </w:rPr>
        <w:t> </w:t>
      </w:r>
      <w:r>
        <w:rPr>
          <w:w w:val="130"/>
          <w:sz w:val="24"/>
        </w:rPr>
        <w:t>december</w:t>
      </w:r>
      <w:r>
        <w:rPr>
          <w:spacing w:val="-12"/>
          <w:w w:val="130"/>
          <w:sz w:val="24"/>
        </w:rPr>
        <w:t> </w:t>
      </w:r>
      <w:r>
        <w:rPr>
          <w:w w:val="130"/>
          <w:sz w:val="24"/>
        </w:rPr>
        <w:t>31-én</w:t>
      </w:r>
      <w:r>
        <w:rPr>
          <w:spacing w:val="-4"/>
          <w:w w:val="130"/>
          <w:sz w:val="24"/>
        </w:rPr>
        <w:t> </w:t>
      </w:r>
      <w:r>
        <w:rPr>
          <w:w w:val="130"/>
          <w:sz w:val="24"/>
        </w:rPr>
        <w:t>rendelkezésére</w:t>
      </w:r>
      <w:r>
        <w:rPr>
          <w:spacing w:val="-20"/>
          <w:w w:val="130"/>
          <w:sz w:val="24"/>
        </w:rPr>
        <w:t> </w:t>
      </w:r>
      <w:r>
        <w:rPr>
          <w:w w:val="130"/>
          <w:sz w:val="24"/>
        </w:rPr>
        <w:t>álló</w:t>
      </w:r>
      <w:r>
        <w:rPr>
          <w:spacing w:val="-13"/>
          <w:w w:val="130"/>
          <w:sz w:val="24"/>
        </w:rPr>
        <w:t> </w:t>
      </w:r>
      <w:r>
        <w:rPr>
          <w:w w:val="130"/>
          <w:sz w:val="24"/>
        </w:rPr>
        <w:t>pénzügyi</w:t>
      </w:r>
      <w:r>
        <w:rPr>
          <w:spacing w:val="-11"/>
          <w:w w:val="130"/>
          <w:sz w:val="24"/>
        </w:rPr>
        <w:t> </w:t>
      </w:r>
      <w:r>
        <w:rPr>
          <w:w w:val="130"/>
          <w:sz w:val="24"/>
        </w:rPr>
        <w:t>eszközeiről.</w:t>
      </w:r>
    </w:p>
    <w:p>
      <w:pPr>
        <w:pStyle w:val="ListParagraph"/>
        <w:numPr>
          <w:ilvl w:val="0"/>
          <w:numId w:val="492"/>
        </w:numPr>
        <w:tabs>
          <w:tab w:pos="659" w:val="left" w:leader="none"/>
        </w:tabs>
        <w:spacing w:line="250" w:lineRule="exact" w:before="0" w:after="0"/>
        <w:ind w:left="658" w:right="0" w:hanging="341"/>
        <w:jc w:val="left"/>
        <w:rPr>
          <w:sz w:val="24"/>
        </w:rPr>
      </w:pPr>
      <w:r>
        <w:rPr>
          <w:i/>
          <w:w w:val="125"/>
          <w:position w:val="3"/>
          <w:sz w:val="18"/>
        </w:rPr>
        <w:t>2</w:t>
      </w:r>
      <w:r>
        <w:rPr>
          <w:i/>
          <w:spacing w:val="2"/>
          <w:w w:val="125"/>
          <w:position w:val="3"/>
          <w:sz w:val="18"/>
        </w:rPr>
        <w:t> </w:t>
      </w:r>
      <w:r>
        <w:rPr>
          <w:w w:val="125"/>
          <w:sz w:val="24"/>
        </w:rPr>
        <w:t>Másik</w:t>
      </w:r>
      <w:r>
        <w:rPr>
          <w:spacing w:val="40"/>
          <w:w w:val="125"/>
          <w:sz w:val="24"/>
        </w:rPr>
        <w:t> </w:t>
      </w:r>
      <w:r>
        <w:rPr>
          <w:w w:val="125"/>
          <w:sz w:val="24"/>
        </w:rPr>
        <w:t>EGT-államban</w:t>
      </w:r>
      <w:r>
        <w:rPr>
          <w:spacing w:val="39"/>
          <w:w w:val="125"/>
          <w:sz w:val="24"/>
        </w:rPr>
        <w:t> </w:t>
      </w:r>
      <w:r>
        <w:rPr>
          <w:w w:val="125"/>
          <w:sz w:val="24"/>
        </w:rPr>
        <w:t>székhellyel</w:t>
      </w:r>
      <w:r>
        <w:rPr>
          <w:spacing w:val="41"/>
          <w:w w:val="125"/>
          <w:sz w:val="24"/>
        </w:rPr>
        <w:t> </w:t>
      </w:r>
      <w:r>
        <w:rPr>
          <w:w w:val="125"/>
          <w:sz w:val="24"/>
        </w:rPr>
        <w:t>rendelkező</w:t>
      </w:r>
      <w:r>
        <w:rPr>
          <w:spacing w:val="40"/>
          <w:w w:val="125"/>
          <w:sz w:val="24"/>
        </w:rPr>
        <w:t> </w:t>
      </w:r>
      <w:r>
        <w:rPr>
          <w:w w:val="125"/>
          <w:sz w:val="24"/>
        </w:rPr>
        <w:t>hitelintézet</w:t>
      </w:r>
      <w:r>
        <w:rPr>
          <w:spacing w:val="41"/>
          <w:w w:val="125"/>
          <w:sz w:val="24"/>
        </w:rPr>
        <w:t> </w:t>
      </w:r>
      <w:r>
        <w:rPr>
          <w:w w:val="125"/>
          <w:sz w:val="24"/>
        </w:rPr>
        <w:t>Magyarország</w:t>
      </w:r>
    </w:p>
    <w:p>
      <w:pPr>
        <w:pStyle w:val="BodyText"/>
        <w:spacing w:line="225" w:lineRule="auto" w:before="12"/>
        <w:ind w:right="121" w:firstLine="0"/>
        <w:jc w:val="both"/>
      </w:pPr>
      <w:r>
        <w:rPr>
          <w:w w:val="130"/>
        </w:rPr>
        <w:t>területén létesített fióktelepe betéteseinek kártalanítását a székhely ország</w:t>
      </w:r>
      <w:r>
        <w:rPr>
          <w:spacing w:val="78"/>
          <w:w w:val="130"/>
        </w:rPr>
        <w:t> </w:t>
      </w:r>
      <w:r>
        <w:rPr>
          <w:w w:val="130"/>
        </w:rPr>
        <w:t>betétbiztosítási rendszere nevében az OBA fizeti ki a székhely ország betétbiztosítási rendszerének rendelkezései alapján és az általa átutalt pénzeszközökből azzal, hogy nem felelős a székhely ország betétbiztosítási rendszerének rendelkezéseinek megfelelő eljárásért. Az OBA a székhely ország betétbiztosítási rendszere nevében tájékoztatja a kártalanítással</w:t>
      </w:r>
      <w:r>
        <w:rPr>
          <w:spacing w:val="78"/>
          <w:w w:val="130"/>
        </w:rPr>
        <w:t> </w:t>
      </w:r>
      <w:r>
        <w:rPr>
          <w:w w:val="130"/>
        </w:rPr>
        <w:t>érintett</w:t>
      </w:r>
      <w:r>
        <w:rPr>
          <w:spacing w:val="-3"/>
          <w:w w:val="130"/>
        </w:rPr>
        <w:t> </w:t>
      </w:r>
      <w:r>
        <w:rPr>
          <w:w w:val="130"/>
        </w:rPr>
        <w:t>betéteseket.</w:t>
      </w:r>
    </w:p>
    <w:p>
      <w:pPr>
        <w:pStyle w:val="ListParagraph"/>
        <w:numPr>
          <w:ilvl w:val="0"/>
          <w:numId w:val="492"/>
        </w:numPr>
        <w:tabs>
          <w:tab w:pos="812" w:val="left" w:leader="none"/>
          <w:tab w:pos="4383" w:val="left" w:leader="none"/>
        </w:tabs>
        <w:spacing w:line="252" w:lineRule="exact" w:before="0" w:after="0"/>
        <w:ind w:left="811" w:right="0" w:hanging="494"/>
        <w:jc w:val="left"/>
        <w:rPr>
          <w:sz w:val="24"/>
        </w:rPr>
      </w:pPr>
      <w:r>
        <w:rPr>
          <w:i/>
          <w:w w:val="125"/>
          <w:position w:val="3"/>
          <w:sz w:val="18"/>
        </w:rPr>
        <w:t>3   </w:t>
      </w:r>
      <w:r>
        <w:rPr>
          <w:i/>
          <w:spacing w:val="12"/>
          <w:w w:val="125"/>
          <w:position w:val="3"/>
          <w:sz w:val="18"/>
        </w:rPr>
        <w:t> </w:t>
      </w:r>
      <w:r>
        <w:rPr>
          <w:w w:val="125"/>
          <w:sz w:val="24"/>
        </w:rPr>
        <w:t>Magyarország  </w:t>
      </w:r>
      <w:r>
        <w:rPr>
          <w:spacing w:val="12"/>
          <w:w w:val="125"/>
          <w:sz w:val="24"/>
        </w:rPr>
        <w:t> </w:t>
      </w:r>
      <w:r>
        <w:rPr>
          <w:w w:val="125"/>
          <w:sz w:val="24"/>
        </w:rPr>
        <w:t>területén</w:t>
        <w:tab/>
        <w:t>székhellyel rendelkező hitelintézet</w:t>
      </w:r>
      <w:r>
        <w:rPr>
          <w:spacing w:val="8"/>
          <w:w w:val="125"/>
          <w:sz w:val="24"/>
        </w:rPr>
        <w:t> </w:t>
      </w:r>
      <w:r>
        <w:rPr>
          <w:w w:val="125"/>
          <w:sz w:val="24"/>
        </w:rPr>
        <w:t>másik</w:t>
      </w:r>
    </w:p>
    <w:p>
      <w:pPr>
        <w:pStyle w:val="BodyText"/>
        <w:spacing w:line="225" w:lineRule="auto" w:before="12"/>
        <w:ind w:right="125" w:firstLine="0"/>
        <w:jc w:val="both"/>
      </w:pPr>
      <w:r>
        <w:rPr>
          <w:w w:val="130"/>
        </w:rPr>
        <w:t>EGT-államban létesített fióktelepe esetén az OBA a kártalanítás kifizetését megelőzően a fióktelep létesítésének helye szerinti ország betétbiztosítási rendszere</w:t>
      </w:r>
      <w:r>
        <w:rPr>
          <w:spacing w:val="78"/>
          <w:w w:val="130"/>
        </w:rPr>
        <w:t> </w:t>
      </w:r>
      <w:r>
        <w:rPr>
          <w:w w:val="130"/>
        </w:rPr>
        <w:t>rendelkezésére</w:t>
      </w:r>
      <w:r>
        <w:rPr>
          <w:spacing w:val="78"/>
          <w:w w:val="130"/>
        </w:rPr>
        <w:t> </w:t>
      </w:r>
      <w:r>
        <w:rPr>
          <w:w w:val="130"/>
        </w:rPr>
        <w:t>bocsátja</w:t>
      </w:r>
      <w:r>
        <w:rPr>
          <w:spacing w:val="78"/>
          <w:w w:val="130"/>
        </w:rPr>
        <w:t> </w:t>
      </w:r>
      <w:r>
        <w:rPr>
          <w:w w:val="130"/>
        </w:rPr>
        <w:t>a</w:t>
      </w:r>
      <w:r>
        <w:rPr>
          <w:spacing w:val="78"/>
          <w:w w:val="130"/>
        </w:rPr>
        <w:t> </w:t>
      </w:r>
      <w:r>
        <w:rPr>
          <w:w w:val="130"/>
        </w:rPr>
        <w:t>kártalanításhoz</w:t>
      </w:r>
      <w:r>
        <w:rPr>
          <w:spacing w:val="78"/>
          <w:w w:val="130"/>
        </w:rPr>
        <w:t> </w:t>
      </w:r>
      <w:r>
        <w:rPr>
          <w:w w:val="130"/>
        </w:rPr>
        <w:t>szükséges pénzeszközöket és megtéríti a kártalanítással kapcsolatban felmerült költségeit. Az OBA biztosítja a fióktelep létesítésének helye szerinti ország betétbiztosítási rendszere részére a kártalanításhoz szükséges adatok rendelkezésre állását azzal, hogy az adatokat kizárólag a kártalanítással kapcsolatos feladatok - ideértve a betétesek tájékoztatását is - ellátása érdekében lehet felhasználni.</w:t>
      </w:r>
    </w:p>
    <w:p>
      <w:pPr>
        <w:pStyle w:val="ListParagraph"/>
        <w:numPr>
          <w:ilvl w:val="0"/>
          <w:numId w:val="458"/>
        </w:numPr>
        <w:tabs>
          <w:tab w:pos="1069" w:val="left" w:leader="none"/>
        </w:tabs>
        <w:spacing w:line="225" w:lineRule="auto" w:before="4" w:after="0"/>
        <w:ind w:left="113" w:right="121" w:firstLine="204"/>
        <w:jc w:val="both"/>
        <w:rPr>
          <w:sz w:val="24"/>
        </w:rPr>
      </w:pPr>
      <w:r>
        <w:rPr>
          <w:rFonts w:ascii="Arial" w:hAnsi="Arial"/>
          <w:b/>
          <w:w w:val="120"/>
          <w:sz w:val="24"/>
        </w:rPr>
        <w:t>§ </w:t>
      </w:r>
      <w:r>
        <w:rPr>
          <w:w w:val="120"/>
          <w:sz w:val="24"/>
        </w:rPr>
        <w:t>Harmadik országbeli hitelintézet fióktelepe által gyűjtött betétre kizárólag az OBA által biztosított mértékig fizethető</w:t>
      </w:r>
      <w:r>
        <w:rPr>
          <w:spacing w:val="30"/>
          <w:w w:val="120"/>
          <w:sz w:val="24"/>
        </w:rPr>
        <w:t> </w:t>
      </w:r>
      <w:r>
        <w:rPr>
          <w:w w:val="120"/>
          <w:sz w:val="24"/>
        </w:rPr>
        <w:t>kártalanítás.</w:t>
      </w:r>
    </w:p>
    <w:p>
      <w:pPr>
        <w:pStyle w:val="ListParagraph"/>
        <w:numPr>
          <w:ilvl w:val="0"/>
          <w:numId w:val="458"/>
        </w:numPr>
        <w:tabs>
          <w:tab w:pos="985" w:val="left" w:leader="none"/>
        </w:tabs>
        <w:spacing w:line="256" w:lineRule="exact" w:before="0" w:after="0"/>
        <w:ind w:left="984" w:right="0" w:hanging="667"/>
        <w:jc w:val="left"/>
        <w:rPr>
          <w:sz w:val="24"/>
        </w:rPr>
      </w:pPr>
      <w:r>
        <w:rPr>
          <w:rFonts w:ascii="Arial" w:hAnsi="Arial"/>
          <w:b/>
          <w:w w:val="115"/>
          <w:sz w:val="24"/>
        </w:rPr>
        <w:t>§ </w:t>
      </w:r>
      <w:r>
        <w:rPr>
          <w:w w:val="115"/>
          <w:sz w:val="24"/>
        </w:rPr>
        <w:t>(1) Az OBA</w:t>
      </w:r>
      <w:r>
        <w:rPr>
          <w:spacing w:val="27"/>
          <w:w w:val="115"/>
          <w:sz w:val="24"/>
        </w:rPr>
        <w:t> </w:t>
      </w:r>
      <w:r>
        <w:rPr>
          <w:w w:val="115"/>
          <w:sz w:val="24"/>
        </w:rPr>
        <w:t>feladata</w:t>
      </w:r>
    </w:p>
    <w:p>
      <w:pPr>
        <w:pStyle w:val="ListParagraph"/>
        <w:numPr>
          <w:ilvl w:val="0"/>
          <w:numId w:val="496"/>
        </w:numPr>
        <w:tabs>
          <w:tab w:pos="556" w:val="left" w:leader="none"/>
        </w:tabs>
        <w:spacing w:line="260" w:lineRule="exact" w:before="0" w:after="0"/>
        <w:ind w:left="555" w:right="0" w:hanging="238"/>
        <w:jc w:val="left"/>
        <w:rPr>
          <w:sz w:val="24"/>
        </w:rPr>
      </w:pPr>
      <w:r>
        <w:rPr>
          <w:i/>
          <w:w w:val="130"/>
          <w:position w:val="3"/>
          <w:sz w:val="18"/>
        </w:rPr>
        <w:t>4 </w:t>
      </w:r>
      <w:r>
        <w:rPr>
          <w:w w:val="130"/>
          <w:sz w:val="24"/>
        </w:rPr>
        <w:t>a betétes magyar nyelvű</w:t>
      </w:r>
      <w:r>
        <w:rPr>
          <w:spacing w:val="2"/>
          <w:w w:val="130"/>
          <w:sz w:val="24"/>
        </w:rPr>
        <w:t> </w:t>
      </w:r>
      <w:r>
        <w:rPr>
          <w:w w:val="130"/>
          <w:sz w:val="24"/>
        </w:rPr>
        <w:t>tájékoztatása,</w:t>
      </w:r>
    </w:p>
    <w:p>
      <w:pPr>
        <w:pStyle w:val="ListParagraph"/>
        <w:numPr>
          <w:ilvl w:val="0"/>
          <w:numId w:val="496"/>
        </w:numPr>
        <w:tabs>
          <w:tab w:pos="567" w:val="left" w:leader="none"/>
        </w:tabs>
        <w:spacing w:line="225" w:lineRule="auto" w:before="5" w:after="0"/>
        <w:ind w:left="113" w:right="126" w:firstLine="204"/>
        <w:jc w:val="both"/>
        <w:rPr>
          <w:sz w:val="24"/>
        </w:rPr>
      </w:pPr>
      <w:r>
        <w:rPr>
          <w:i/>
          <w:w w:val="130"/>
          <w:position w:val="3"/>
          <w:sz w:val="18"/>
        </w:rPr>
        <w:t>5 </w:t>
      </w:r>
      <w:r>
        <w:rPr>
          <w:w w:val="130"/>
          <w:sz w:val="24"/>
        </w:rPr>
        <w:t>a</w:t>
      </w:r>
      <w:r>
        <w:rPr>
          <w:spacing w:val="-18"/>
          <w:w w:val="130"/>
          <w:sz w:val="24"/>
        </w:rPr>
        <w:t> </w:t>
      </w:r>
      <w:r>
        <w:rPr>
          <w:w w:val="130"/>
          <w:sz w:val="24"/>
        </w:rPr>
        <w:t>vele</w:t>
      </w:r>
      <w:r>
        <w:rPr>
          <w:spacing w:val="-19"/>
          <w:w w:val="130"/>
          <w:sz w:val="24"/>
        </w:rPr>
        <w:t> </w:t>
      </w:r>
      <w:r>
        <w:rPr>
          <w:w w:val="130"/>
          <w:sz w:val="24"/>
        </w:rPr>
        <w:t>tagsági</w:t>
      </w:r>
      <w:r>
        <w:rPr>
          <w:spacing w:val="-19"/>
          <w:w w:val="130"/>
          <w:sz w:val="24"/>
        </w:rPr>
        <w:t> </w:t>
      </w:r>
      <w:r>
        <w:rPr>
          <w:w w:val="130"/>
          <w:sz w:val="24"/>
        </w:rPr>
        <w:t>jogviszonyban</w:t>
      </w:r>
      <w:r>
        <w:rPr>
          <w:spacing w:val="-19"/>
          <w:w w:val="130"/>
          <w:sz w:val="24"/>
        </w:rPr>
        <w:t> </w:t>
      </w:r>
      <w:r>
        <w:rPr>
          <w:w w:val="130"/>
          <w:sz w:val="24"/>
        </w:rPr>
        <w:t>álló</w:t>
      </w:r>
      <w:r>
        <w:rPr>
          <w:spacing w:val="-18"/>
          <w:w w:val="130"/>
          <w:sz w:val="24"/>
        </w:rPr>
        <w:t> </w:t>
      </w:r>
      <w:r>
        <w:rPr>
          <w:w w:val="130"/>
          <w:sz w:val="24"/>
        </w:rPr>
        <w:t>hitelintézet</w:t>
      </w:r>
      <w:r>
        <w:rPr>
          <w:spacing w:val="-19"/>
          <w:w w:val="130"/>
          <w:sz w:val="24"/>
        </w:rPr>
        <w:t> </w:t>
      </w:r>
      <w:r>
        <w:rPr>
          <w:w w:val="130"/>
          <w:sz w:val="24"/>
        </w:rPr>
        <w:t>tevékenységi</w:t>
      </w:r>
      <w:r>
        <w:rPr>
          <w:spacing w:val="-19"/>
          <w:w w:val="130"/>
          <w:sz w:val="24"/>
        </w:rPr>
        <w:t> </w:t>
      </w:r>
      <w:r>
        <w:rPr>
          <w:w w:val="130"/>
          <w:sz w:val="24"/>
        </w:rPr>
        <w:t>engedélyének a</w:t>
      </w:r>
      <w:r>
        <w:rPr>
          <w:spacing w:val="-19"/>
          <w:w w:val="130"/>
          <w:sz w:val="24"/>
        </w:rPr>
        <w:t> </w:t>
      </w:r>
      <w:r>
        <w:rPr>
          <w:w w:val="130"/>
          <w:sz w:val="24"/>
        </w:rPr>
        <w:t>Felügyelet</w:t>
      </w:r>
      <w:r>
        <w:rPr>
          <w:spacing w:val="-18"/>
          <w:w w:val="130"/>
          <w:sz w:val="24"/>
        </w:rPr>
        <w:t> </w:t>
      </w:r>
      <w:r>
        <w:rPr>
          <w:w w:val="130"/>
          <w:sz w:val="24"/>
        </w:rPr>
        <w:t>által</w:t>
      </w:r>
      <w:r>
        <w:rPr>
          <w:spacing w:val="-18"/>
          <w:w w:val="130"/>
          <w:sz w:val="24"/>
        </w:rPr>
        <w:t> </w:t>
      </w:r>
      <w:r>
        <w:rPr>
          <w:w w:val="130"/>
          <w:sz w:val="24"/>
        </w:rPr>
        <w:t>a</w:t>
      </w:r>
      <w:r>
        <w:rPr>
          <w:spacing w:val="-18"/>
          <w:w w:val="130"/>
          <w:sz w:val="24"/>
        </w:rPr>
        <w:t> </w:t>
      </w:r>
      <w:r>
        <w:rPr>
          <w:w w:val="130"/>
          <w:sz w:val="24"/>
        </w:rPr>
        <w:t>33.</w:t>
      </w:r>
      <w:r>
        <w:rPr>
          <w:spacing w:val="-18"/>
          <w:w w:val="130"/>
          <w:sz w:val="24"/>
        </w:rPr>
        <w:t> </w:t>
      </w:r>
      <w:r>
        <w:rPr>
          <w:w w:val="130"/>
          <w:sz w:val="24"/>
        </w:rPr>
        <w:t>§</w:t>
      </w:r>
      <w:r>
        <w:rPr>
          <w:spacing w:val="-9"/>
          <w:w w:val="130"/>
          <w:sz w:val="24"/>
        </w:rPr>
        <w:t> </w:t>
      </w:r>
      <w:r>
        <w:rPr>
          <w:w w:val="130"/>
          <w:sz w:val="24"/>
        </w:rPr>
        <w:t>(1)</w:t>
      </w:r>
      <w:r>
        <w:rPr>
          <w:spacing w:val="-27"/>
          <w:w w:val="130"/>
          <w:sz w:val="24"/>
        </w:rPr>
        <w:t> </w:t>
      </w:r>
      <w:r>
        <w:rPr>
          <w:w w:val="130"/>
          <w:sz w:val="24"/>
        </w:rPr>
        <w:t>bekezdésében</w:t>
      </w:r>
      <w:r>
        <w:rPr>
          <w:spacing w:val="-18"/>
          <w:w w:val="130"/>
          <w:sz w:val="24"/>
        </w:rPr>
        <w:t> </w:t>
      </w:r>
      <w:r>
        <w:rPr>
          <w:w w:val="130"/>
          <w:sz w:val="24"/>
        </w:rPr>
        <w:t>és</w:t>
      </w:r>
      <w:r>
        <w:rPr>
          <w:spacing w:val="-18"/>
          <w:w w:val="130"/>
          <w:sz w:val="24"/>
        </w:rPr>
        <w:t> </w:t>
      </w:r>
      <w:r>
        <w:rPr>
          <w:w w:val="130"/>
          <w:sz w:val="24"/>
        </w:rPr>
        <w:t>a</w:t>
      </w:r>
      <w:r>
        <w:rPr>
          <w:spacing w:val="-18"/>
          <w:w w:val="130"/>
          <w:sz w:val="24"/>
        </w:rPr>
        <w:t> </w:t>
      </w:r>
      <w:r>
        <w:rPr>
          <w:w w:val="130"/>
          <w:sz w:val="24"/>
        </w:rPr>
        <w:t>33.</w:t>
      </w:r>
      <w:r>
        <w:rPr>
          <w:spacing w:val="-18"/>
          <w:w w:val="130"/>
          <w:sz w:val="24"/>
        </w:rPr>
        <w:t> </w:t>
      </w:r>
      <w:r>
        <w:rPr>
          <w:w w:val="130"/>
          <w:sz w:val="24"/>
        </w:rPr>
        <w:t>§</w:t>
      </w:r>
      <w:r>
        <w:rPr>
          <w:spacing w:val="-18"/>
          <w:w w:val="130"/>
          <w:sz w:val="24"/>
        </w:rPr>
        <w:t> </w:t>
      </w:r>
      <w:r>
        <w:rPr>
          <w:w w:val="130"/>
          <w:sz w:val="24"/>
        </w:rPr>
        <w:t>(2)</w:t>
      </w:r>
      <w:r>
        <w:rPr>
          <w:spacing w:val="-18"/>
          <w:w w:val="130"/>
          <w:sz w:val="24"/>
        </w:rPr>
        <w:t> </w:t>
      </w:r>
      <w:r>
        <w:rPr>
          <w:w w:val="130"/>
          <w:sz w:val="24"/>
        </w:rPr>
        <w:t>bekezdés</w:t>
      </w:r>
      <w:r>
        <w:rPr>
          <w:spacing w:val="-16"/>
          <w:w w:val="130"/>
          <w:sz w:val="24"/>
        </w:rPr>
        <w:t> </w:t>
      </w:r>
      <w:r>
        <w:rPr>
          <w:i/>
          <w:w w:val="130"/>
          <w:sz w:val="24"/>
        </w:rPr>
        <w:t>c)</w:t>
      </w:r>
      <w:r>
        <w:rPr>
          <w:i/>
          <w:spacing w:val="-18"/>
          <w:w w:val="130"/>
          <w:sz w:val="24"/>
        </w:rPr>
        <w:t> </w:t>
      </w:r>
      <w:r>
        <w:rPr>
          <w:w w:val="130"/>
          <w:sz w:val="24"/>
        </w:rPr>
        <w:t>pontjában meghatározottak szerinti visszavonása alapján indított végelszámolási vagy felszámolási eljárás esetén, a betétes részére a 214. §-ban meghatározott kártalanítási összeg</w:t>
      </w:r>
      <w:r>
        <w:rPr>
          <w:spacing w:val="-7"/>
          <w:w w:val="130"/>
          <w:sz w:val="24"/>
        </w:rPr>
        <w:t> </w:t>
      </w:r>
      <w:r>
        <w:rPr>
          <w:w w:val="130"/>
          <w:sz w:val="24"/>
        </w:rPr>
        <w:t>kifizetése,</w:t>
      </w:r>
    </w:p>
    <w:p>
      <w:pPr>
        <w:pStyle w:val="ListParagraph"/>
        <w:numPr>
          <w:ilvl w:val="0"/>
          <w:numId w:val="496"/>
        </w:numPr>
        <w:tabs>
          <w:tab w:pos="685" w:val="left" w:leader="none"/>
        </w:tabs>
        <w:spacing w:line="225" w:lineRule="auto" w:before="3" w:after="0"/>
        <w:ind w:left="113" w:right="130" w:firstLine="204"/>
        <w:jc w:val="both"/>
        <w:rPr>
          <w:sz w:val="24"/>
        </w:rPr>
      </w:pPr>
      <w:r>
        <w:rPr>
          <w:w w:val="130"/>
          <w:sz w:val="24"/>
        </w:rPr>
        <w:t>az állammal kötött külön megállapodásban foglalt megbízás alapján az állam által egyes betétre vállalt kezesség vagy adott biztosítás teljesítésével kapcsolatos feladatok térítés ellenében történő</w:t>
      </w:r>
      <w:r>
        <w:rPr>
          <w:spacing w:val="-16"/>
          <w:w w:val="130"/>
          <w:sz w:val="24"/>
        </w:rPr>
        <w:t> </w:t>
      </w:r>
      <w:r>
        <w:rPr>
          <w:w w:val="130"/>
          <w:sz w:val="24"/>
        </w:rPr>
        <w:t>ellátása,</w:t>
      </w:r>
    </w:p>
    <w:p>
      <w:pPr>
        <w:pStyle w:val="ListParagraph"/>
        <w:numPr>
          <w:ilvl w:val="0"/>
          <w:numId w:val="496"/>
        </w:numPr>
        <w:tabs>
          <w:tab w:pos="567" w:val="left" w:leader="none"/>
        </w:tabs>
        <w:spacing w:line="256" w:lineRule="exact" w:before="0" w:after="0"/>
        <w:ind w:left="566" w:right="0" w:hanging="249"/>
        <w:jc w:val="left"/>
        <w:rPr>
          <w:sz w:val="24"/>
        </w:rPr>
      </w:pPr>
      <w:r>
        <w:rPr>
          <w:i/>
          <w:w w:val="130"/>
          <w:position w:val="3"/>
          <w:sz w:val="18"/>
        </w:rPr>
        <w:t>6</w:t>
      </w:r>
      <w:r>
        <w:rPr>
          <w:i/>
          <w:spacing w:val="7"/>
          <w:w w:val="130"/>
          <w:position w:val="3"/>
          <w:sz w:val="18"/>
        </w:rPr>
        <w:t> </w:t>
      </w:r>
      <w:r>
        <w:rPr>
          <w:w w:val="130"/>
          <w:sz w:val="24"/>
        </w:rPr>
        <w:t>a</w:t>
      </w:r>
      <w:r>
        <w:rPr>
          <w:spacing w:val="-13"/>
          <w:w w:val="130"/>
          <w:sz w:val="24"/>
        </w:rPr>
        <w:t> </w:t>
      </w:r>
      <w:r>
        <w:rPr>
          <w:w w:val="130"/>
          <w:sz w:val="24"/>
        </w:rPr>
        <w:t>Szantv.</w:t>
      </w:r>
      <w:r>
        <w:rPr>
          <w:spacing w:val="-11"/>
          <w:w w:val="130"/>
          <w:sz w:val="24"/>
        </w:rPr>
        <w:t> </w:t>
      </w:r>
      <w:r>
        <w:rPr>
          <w:w w:val="130"/>
          <w:sz w:val="24"/>
        </w:rPr>
        <w:t>alapján</w:t>
      </w:r>
      <w:r>
        <w:rPr>
          <w:spacing w:val="-13"/>
          <w:w w:val="130"/>
          <w:sz w:val="24"/>
        </w:rPr>
        <w:t> </w:t>
      </w:r>
      <w:r>
        <w:rPr>
          <w:w w:val="130"/>
          <w:sz w:val="24"/>
        </w:rPr>
        <w:t>a</w:t>
      </w:r>
      <w:r>
        <w:rPr>
          <w:spacing w:val="-13"/>
          <w:w w:val="130"/>
          <w:sz w:val="24"/>
        </w:rPr>
        <w:t> </w:t>
      </w:r>
      <w:r>
        <w:rPr>
          <w:w w:val="130"/>
          <w:sz w:val="24"/>
        </w:rPr>
        <w:t>szanálás</w:t>
      </w:r>
      <w:r>
        <w:rPr>
          <w:spacing w:val="-12"/>
          <w:w w:val="130"/>
          <w:sz w:val="24"/>
        </w:rPr>
        <w:t> </w:t>
      </w:r>
      <w:r>
        <w:rPr>
          <w:w w:val="130"/>
          <w:sz w:val="24"/>
        </w:rPr>
        <w:t>finanszírozásához</w:t>
      </w:r>
      <w:r>
        <w:rPr>
          <w:spacing w:val="-11"/>
          <w:w w:val="130"/>
          <w:sz w:val="24"/>
        </w:rPr>
        <w:t> </w:t>
      </w:r>
      <w:r>
        <w:rPr>
          <w:w w:val="130"/>
          <w:sz w:val="24"/>
        </w:rPr>
        <w:t>történő</w:t>
      </w:r>
      <w:r>
        <w:rPr>
          <w:spacing w:val="-13"/>
          <w:w w:val="130"/>
          <w:sz w:val="24"/>
        </w:rPr>
        <w:t> </w:t>
      </w:r>
      <w:r>
        <w:rPr>
          <w:w w:val="130"/>
          <w:sz w:val="24"/>
        </w:rPr>
        <w:t>hozzájárulás.</w:t>
      </w:r>
    </w:p>
    <w:p>
      <w:pPr>
        <w:pStyle w:val="ListParagraph"/>
        <w:numPr>
          <w:ilvl w:val="0"/>
          <w:numId w:val="497"/>
        </w:numPr>
        <w:tabs>
          <w:tab w:pos="751" w:val="left" w:leader="none"/>
        </w:tabs>
        <w:spacing w:line="225" w:lineRule="auto" w:before="6" w:after="0"/>
        <w:ind w:left="113" w:right="118" w:firstLine="204"/>
        <w:jc w:val="both"/>
        <w:rPr>
          <w:sz w:val="24"/>
        </w:rPr>
      </w:pPr>
      <w:r>
        <w:rPr>
          <w:w w:val="130"/>
          <w:sz w:val="24"/>
        </w:rPr>
        <w:t>Az</w:t>
      </w:r>
      <w:r>
        <w:rPr>
          <w:spacing w:val="-21"/>
          <w:w w:val="130"/>
          <w:sz w:val="24"/>
        </w:rPr>
        <w:t> </w:t>
      </w:r>
      <w:r>
        <w:rPr>
          <w:w w:val="130"/>
          <w:sz w:val="24"/>
        </w:rPr>
        <w:t>OBA</w:t>
      </w:r>
      <w:r>
        <w:rPr>
          <w:spacing w:val="-21"/>
          <w:w w:val="130"/>
          <w:sz w:val="24"/>
        </w:rPr>
        <w:t> </w:t>
      </w:r>
      <w:r>
        <w:rPr>
          <w:w w:val="130"/>
          <w:sz w:val="24"/>
        </w:rPr>
        <w:t>az</w:t>
      </w:r>
      <w:r>
        <w:rPr>
          <w:spacing w:val="-21"/>
          <w:w w:val="130"/>
          <w:sz w:val="24"/>
        </w:rPr>
        <w:t> </w:t>
      </w:r>
      <w:r>
        <w:rPr>
          <w:w w:val="130"/>
          <w:sz w:val="24"/>
        </w:rPr>
        <w:t>államtól</w:t>
      </w:r>
      <w:r>
        <w:rPr>
          <w:spacing w:val="-21"/>
          <w:w w:val="130"/>
          <w:sz w:val="24"/>
        </w:rPr>
        <w:t> </w:t>
      </w:r>
      <w:r>
        <w:rPr>
          <w:w w:val="130"/>
          <w:sz w:val="24"/>
        </w:rPr>
        <w:t>kapott</w:t>
      </w:r>
      <w:r>
        <w:rPr>
          <w:spacing w:val="-21"/>
          <w:w w:val="130"/>
          <w:sz w:val="24"/>
        </w:rPr>
        <w:t> </w:t>
      </w:r>
      <w:r>
        <w:rPr>
          <w:w w:val="130"/>
          <w:sz w:val="24"/>
        </w:rPr>
        <w:t>megbízás</w:t>
      </w:r>
      <w:r>
        <w:rPr>
          <w:spacing w:val="-20"/>
          <w:w w:val="130"/>
          <w:sz w:val="24"/>
        </w:rPr>
        <w:t> </w:t>
      </w:r>
      <w:r>
        <w:rPr>
          <w:w w:val="130"/>
          <w:sz w:val="24"/>
        </w:rPr>
        <w:t>alapján</w:t>
      </w:r>
      <w:r>
        <w:rPr>
          <w:spacing w:val="-21"/>
          <w:w w:val="130"/>
          <w:sz w:val="24"/>
        </w:rPr>
        <w:t> </w:t>
      </w:r>
      <w:r>
        <w:rPr>
          <w:w w:val="130"/>
          <w:sz w:val="24"/>
        </w:rPr>
        <w:t>ellátja</w:t>
      </w:r>
      <w:r>
        <w:rPr>
          <w:spacing w:val="-21"/>
          <w:w w:val="130"/>
          <w:sz w:val="24"/>
        </w:rPr>
        <w:t> </w:t>
      </w:r>
      <w:r>
        <w:rPr>
          <w:w w:val="130"/>
          <w:sz w:val="24"/>
        </w:rPr>
        <w:t>az</w:t>
      </w:r>
      <w:r>
        <w:rPr>
          <w:spacing w:val="-12"/>
          <w:w w:val="130"/>
          <w:sz w:val="24"/>
        </w:rPr>
        <w:t> </w:t>
      </w:r>
      <w:r>
        <w:rPr>
          <w:w w:val="130"/>
          <w:sz w:val="24"/>
        </w:rPr>
        <w:t>állam</w:t>
      </w:r>
      <w:r>
        <w:rPr>
          <w:spacing w:val="-22"/>
          <w:w w:val="130"/>
          <w:sz w:val="24"/>
        </w:rPr>
        <w:t> </w:t>
      </w:r>
      <w:r>
        <w:rPr>
          <w:w w:val="130"/>
          <w:sz w:val="24"/>
        </w:rPr>
        <w:t>képviseletét az (1) bekezdésben meghatározott feladatkörében az egyezségi tárgyaláson, és a felszámolási eljárás</w:t>
      </w:r>
      <w:r>
        <w:rPr>
          <w:spacing w:val="-16"/>
          <w:w w:val="130"/>
          <w:sz w:val="24"/>
        </w:rPr>
        <w:t> </w:t>
      </w:r>
      <w:r>
        <w:rPr>
          <w:w w:val="130"/>
          <w:sz w:val="24"/>
        </w:rPr>
        <w:t>során.</w:t>
      </w:r>
    </w:p>
    <w:p>
      <w:pPr>
        <w:pStyle w:val="BodyText"/>
        <w:ind w:left="0" w:firstLine="0"/>
        <w:rPr>
          <w:sz w:val="20"/>
        </w:rPr>
      </w:pPr>
    </w:p>
    <w:p>
      <w:pPr>
        <w:pStyle w:val="BodyText"/>
        <w:spacing w:before="3"/>
        <w:ind w:left="0" w:firstLine="0"/>
        <w:rPr>
          <w:sz w:val="11"/>
        </w:rPr>
      </w:pPr>
      <w:r>
        <w:rPr/>
        <w:pict>
          <v:line style="position:absolute;mso-position-horizontal-relative:page;mso-position-vertical-relative:paragraph;z-index:1976;mso-wrap-distance-left:0;mso-wrap-distance-right:0" from="56.693001pt,8.704187pt" to="538.583001pt,8.704187pt" stroked="true" strokeweight=".5pt" strokecolor="#000000">
            <v:stroke dashstyle="solid"/>
            <w10:wrap type="topAndBottom"/>
          </v:line>
        </w:pict>
      </w:r>
    </w:p>
    <w:p>
      <w:pPr>
        <w:pStyle w:val="ListParagraph"/>
        <w:numPr>
          <w:ilvl w:val="0"/>
          <w:numId w:val="498"/>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107. § (2). Hatályos: 2018. XII.</w:t>
      </w:r>
      <w:r>
        <w:rPr>
          <w:i/>
          <w:spacing w:val="-32"/>
          <w:w w:val="125"/>
          <w:sz w:val="18"/>
        </w:rPr>
        <w:t> </w:t>
      </w:r>
      <w:r>
        <w:rPr>
          <w:i/>
          <w:w w:val="125"/>
          <w:sz w:val="18"/>
        </w:rPr>
        <w:t>29-től.</w:t>
      </w:r>
    </w:p>
    <w:p>
      <w:pPr>
        <w:pStyle w:val="ListParagraph"/>
        <w:numPr>
          <w:ilvl w:val="0"/>
          <w:numId w:val="49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4"/>
          <w:w w:val="125"/>
          <w:sz w:val="18"/>
        </w:rPr>
        <w:t> </w:t>
      </w:r>
      <w:r>
        <w:rPr>
          <w:i/>
          <w:w w:val="125"/>
          <w:sz w:val="18"/>
        </w:rPr>
        <w:t>2014.</w:t>
      </w:r>
      <w:r>
        <w:rPr>
          <w:i/>
          <w:spacing w:val="-3"/>
          <w:w w:val="125"/>
          <w:sz w:val="18"/>
        </w:rPr>
        <w:t> </w:t>
      </w:r>
      <w:r>
        <w:rPr>
          <w:i/>
          <w:w w:val="125"/>
          <w:sz w:val="18"/>
        </w:rPr>
        <w:t>évi</w:t>
      </w:r>
      <w:r>
        <w:rPr>
          <w:i/>
          <w:spacing w:val="-3"/>
          <w:w w:val="125"/>
          <w:sz w:val="18"/>
        </w:rPr>
        <w:t> </w:t>
      </w:r>
      <w:r>
        <w:rPr>
          <w:i/>
          <w:w w:val="125"/>
          <w:sz w:val="18"/>
        </w:rPr>
        <w:t>CIV.</w:t>
      </w:r>
      <w:r>
        <w:rPr>
          <w:i/>
          <w:spacing w:val="-2"/>
          <w:w w:val="125"/>
          <w:sz w:val="18"/>
        </w:rPr>
        <w:t> </w:t>
      </w:r>
      <w:r>
        <w:rPr>
          <w:i/>
          <w:w w:val="125"/>
          <w:sz w:val="18"/>
        </w:rPr>
        <w:t>törvény</w:t>
      </w:r>
      <w:r>
        <w:rPr>
          <w:i/>
          <w:spacing w:val="-3"/>
          <w:w w:val="125"/>
          <w:sz w:val="18"/>
        </w:rPr>
        <w:t> </w:t>
      </w:r>
      <w:r>
        <w:rPr>
          <w:i/>
          <w:w w:val="125"/>
          <w:sz w:val="18"/>
        </w:rPr>
        <w:t>72.</w:t>
      </w:r>
      <w:r>
        <w:rPr>
          <w:i/>
          <w:spacing w:val="-3"/>
          <w:w w:val="125"/>
          <w:sz w:val="18"/>
        </w:rPr>
        <w:t> </w:t>
      </w:r>
      <w:r>
        <w:rPr>
          <w:i/>
          <w:w w:val="125"/>
          <w:sz w:val="18"/>
        </w:rPr>
        <w:t>§</w:t>
      </w:r>
      <w:r>
        <w:rPr>
          <w:i/>
          <w:spacing w:val="-2"/>
          <w:w w:val="125"/>
          <w:sz w:val="18"/>
        </w:rPr>
        <w:t> </w:t>
      </w:r>
      <w:r>
        <w:rPr>
          <w:i/>
          <w:w w:val="125"/>
          <w:sz w:val="18"/>
        </w:rPr>
        <w:t>(5).</w:t>
      </w:r>
      <w:r>
        <w:rPr>
          <w:i/>
          <w:spacing w:val="-2"/>
          <w:w w:val="125"/>
          <w:sz w:val="18"/>
        </w:rPr>
        <w:t> </w:t>
      </w:r>
      <w:r>
        <w:rPr>
          <w:i/>
          <w:w w:val="125"/>
          <w:sz w:val="18"/>
        </w:rPr>
        <w:t>Módosította:</w:t>
      </w:r>
      <w:r>
        <w:rPr>
          <w:i/>
          <w:spacing w:val="-3"/>
          <w:w w:val="125"/>
          <w:sz w:val="18"/>
        </w:rPr>
        <w:t> </w:t>
      </w:r>
      <w:r>
        <w:rPr>
          <w:i/>
          <w:w w:val="125"/>
          <w:sz w:val="18"/>
        </w:rPr>
        <w:t>2018.</w:t>
      </w:r>
      <w:r>
        <w:rPr>
          <w:i/>
          <w:spacing w:val="-3"/>
          <w:w w:val="125"/>
          <w:sz w:val="18"/>
        </w:rPr>
        <w:t> </w:t>
      </w:r>
      <w:r>
        <w:rPr>
          <w:i/>
          <w:w w:val="125"/>
          <w:sz w:val="18"/>
        </w:rPr>
        <w:t>évi</w:t>
      </w:r>
      <w:r>
        <w:rPr>
          <w:i/>
          <w:spacing w:val="-4"/>
          <w:w w:val="125"/>
          <w:sz w:val="18"/>
        </w:rPr>
        <w:t> </w:t>
      </w:r>
      <w:r>
        <w:rPr>
          <w:i/>
          <w:w w:val="125"/>
          <w:sz w:val="18"/>
        </w:rPr>
        <w:t>CXXVI.</w:t>
      </w:r>
      <w:r>
        <w:rPr>
          <w:i/>
          <w:spacing w:val="-2"/>
          <w:w w:val="125"/>
          <w:sz w:val="18"/>
        </w:rPr>
        <w:t> </w:t>
      </w:r>
      <w:r>
        <w:rPr>
          <w:i/>
          <w:w w:val="125"/>
          <w:sz w:val="18"/>
        </w:rPr>
        <w:t>törvény</w:t>
      </w:r>
      <w:r>
        <w:rPr>
          <w:i/>
          <w:spacing w:val="-3"/>
          <w:w w:val="125"/>
          <w:sz w:val="18"/>
        </w:rPr>
        <w:t> </w:t>
      </w:r>
      <w:r>
        <w:rPr>
          <w:i/>
          <w:w w:val="125"/>
          <w:sz w:val="18"/>
        </w:rPr>
        <w:t>120.</w:t>
      </w:r>
      <w:r>
        <w:rPr>
          <w:i/>
          <w:spacing w:val="-3"/>
          <w:w w:val="125"/>
          <w:sz w:val="18"/>
        </w:rPr>
        <w:t> </w:t>
      </w:r>
      <w:r>
        <w:rPr>
          <w:i/>
          <w:w w:val="125"/>
          <w:sz w:val="18"/>
        </w:rPr>
        <w:t>§</w:t>
      </w:r>
      <w:r>
        <w:rPr>
          <w:i/>
          <w:spacing w:val="-2"/>
          <w:w w:val="125"/>
          <w:sz w:val="18"/>
        </w:rPr>
        <w:t> </w:t>
      </w:r>
      <w:r>
        <w:rPr>
          <w:i/>
          <w:w w:val="125"/>
          <w:sz w:val="18"/>
        </w:rPr>
        <w:t>6.</w:t>
      </w:r>
    </w:p>
    <w:p>
      <w:pPr>
        <w:pStyle w:val="ListParagraph"/>
        <w:numPr>
          <w:ilvl w:val="0"/>
          <w:numId w:val="498"/>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72. § (5). Hatályos: 2015. VII.</w:t>
      </w:r>
      <w:r>
        <w:rPr>
          <w:i/>
          <w:spacing w:val="49"/>
          <w:w w:val="120"/>
          <w:sz w:val="18"/>
        </w:rPr>
        <w:t> </w:t>
      </w:r>
      <w:r>
        <w:rPr>
          <w:i/>
          <w:w w:val="120"/>
          <w:sz w:val="18"/>
        </w:rPr>
        <w:t>3-tól.</w:t>
      </w:r>
    </w:p>
    <w:p>
      <w:pPr>
        <w:pStyle w:val="ListParagraph"/>
        <w:numPr>
          <w:ilvl w:val="0"/>
          <w:numId w:val="498"/>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220. §. Hatályos: 2015. VII.</w:t>
      </w:r>
      <w:r>
        <w:rPr>
          <w:i/>
          <w:spacing w:val="-23"/>
          <w:w w:val="125"/>
          <w:sz w:val="18"/>
        </w:rPr>
        <w:t> </w:t>
      </w:r>
      <w:r>
        <w:rPr>
          <w:i/>
          <w:w w:val="125"/>
          <w:sz w:val="18"/>
        </w:rPr>
        <w:t>4-től.</w:t>
      </w:r>
    </w:p>
    <w:p>
      <w:pPr>
        <w:pStyle w:val="ListParagraph"/>
        <w:numPr>
          <w:ilvl w:val="0"/>
          <w:numId w:val="498"/>
        </w:numPr>
        <w:tabs>
          <w:tab w:pos="686" w:val="left" w:leader="none"/>
          <w:tab w:pos="687" w:val="left" w:leader="none"/>
        </w:tabs>
        <w:spacing w:line="232" w:lineRule="auto" w:before="2" w:after="0"/>
        <w:ind w:left="342" w:right="1951" w:firstLine="0"/>
        <w:jc w:val="left"/>
        <w:rPr>
          <w:i/>
          <w:sz w:val="18"/>
        </w:rPr>
      </w:pPr>
      <w:r>
        <w:rPr>
          <w:i/>
          <w:w w:val="125"/>
          <w:sz w:val="18"/>
        </w:rPr>
        <w:t>Megállapította:</w:t>
      </w:r>
      <w:r>
        <w:rPr>
          <w:i/>
          <w:spacing w:val="-12"/>
          <w:w w:val="125"/>
          <w:sz w:val="18"/>
        </w:rPr>
        <w:t> </w:t>
      </w:r>
      <w:r>
        <w:rPr>
          <w:i/>
          <w:w w:val="125"/>
          <w:sz w:val="18"/>
        </w:rPr>
        <w:t>2018.</w:t>
      </w:r>
      <w:r>
        <w:rPr>
          <w:i/>
          <w:spacing w:val="-12"/>
          <w:w w:val="125"/>
          <w:sz w:val="18"/>
        </w:rPr>
        <w:t> </w:t>
      </w:r>
      <w:r>
        <w:rPr>
          <w:i/>
          <w:w w:val="125"/>
          <w:sz w:val="18"/>
        </w:rPr>
        <w:t>évi</w:t>
      </w:r>
      <w:r>
        <w:rPr>
          <w:i/>
          <w:spacing w:val="-12"/>
          <w:w w:val="125"/>
          <w:sz w:val="18"/>
        </w:rPr>
        <w:t> </w:t>
      </w:r>
      <w:r>
        <w:rPr>
          <w:i/>
          <w:w w:val="125"/>
          <w:sz w:val="18"/>
        </w:rPr>
        <w:t>CXXVI.</w:t>
      </w:r>
      <w:r>
        <w:rPr>
          <w:i/>
          <w:spacing w:val="-11"/>
          <w:w w:val="125"/>
          <w:sz w:val="18"/>
        </w:rPr>
        <w:t> </w:t>
      </w:r>
      <w:r>
        <w:rPr>
          <w:i/>
          <w:w w:val="125"/>
          <w:sz w:val="18"/>
        </w:rPr>
        <w:t>törvény</w:t>
      </w:r>
      <w:r>
        <w:rPr>
          <w:i/>
          <w:spacing w:val="-12"/>
          <w:w w:val="125"/>
          <w:sz w:val="18"/>
        </w:rPr>
        <w:t> </w:t>
      </w:r>
      <w:r>
        <w:rPr>
          <w:i/>
          <w:w w:val="125"/>
          <w:sz w:val="18"/>
        </w:rPr>
        <w:t>108.</w:t>
      </w:r>
      <w:r>
        <w:rPr>
          <w:i/>
          <w:spacing w:val="-12"/>
          <w:w w:val="125"/>
          <w:sz w:val="18"/>
        </w:rPr>
        <w:t> </w:t>
      </w:r>
      <w:r>
        <w:rPr>
          <w:i/>
          <w:w w:val="125"/>
          <w:sz w:val="18"/>
        </w:rPr>
        <w:t>§</w:t>
      </w:r>
      <w:r>
        <w:rPr>
          <w:i/>
          <w:spacing w:val="-11"/>
          <w:w w:val="125"/>
          <w:sz w:val="18"/>
        </w:rPr>
        <w:t> </w:t>
      </w:r>
      <w:r>
        <w:rPr>
          <w:i/>
          <w:w w:val="125"/>
          <w:sz w:val="18"/>
        </w:rPr>
        <w:t>(1).</w:t>
      </w:r>
      <w:r>
        <w:rPr>
          <w:i/>
          <w:spacing w:val="-11"/>
          <w:w w:val="125"/>
          <w:sz w:val="18"/>
        </w:rPr>
        <w:t> </w:t>
      </w:r>
      <w:r>
        <w:rPr>
          <w:i/>
          <w:w w:val="125"/>
          <w:sz w:val="18"/>
        </w:rPr>
        <w:t>Hatályos:</w:t>
      </w:r>
      <w:r>
        <w:rPr>
          <w:i/>
          <w:spacing w:val="-11"/>
          <w:w w:val="125"/>
          <w:sz w:val="18"/>
        </w:rPr>
        <w:t> </w:t>
      </w:r>
      <w:r>
        <w:rPr>
          <w:i/>
          <w:w w:val="125"/>
          <w:sz w:val="18"/>
        </w:rPr>
        <w:t>2018.</w:t>
      </w:r>
      <w:r>
        <w:rPr>
          <w:i/>
          <w:spacing w:val="-11"/>
          <w:w w:val="125"/>
          <w:sz w:val="18"/>
        </w:rPr>
        <w:t> </w:t>
      </w:r>
      <w:r>
        <w:rPr>
          <w:i/>
          <w:w w:val="125"/>
          <w:sz w:val="18"/>
        </w:rPr>
        <w:t>XII.</w:t>
      </w:r>
      <w:r>
        <w:rPr>
          <w:i/>
          <w:spacing w:val="-12"/>
          <w:w w:val="125"/>
          <w:sz w:val="18"/>
        </w:rPr>
        <w:t> </w:t>
      </w:r>
      <w:r>
        <w:rPr>
          <w:i/>
          <w:w w:val="125"/>
          <w:sz w:val="18"/>
        </w:rPr>
        <w:t>29-től. 6</w:t>
        <w:tab/>
        <w:t>Beiktatta:</w:t>
      </w:r>
      <w:r>
        <w:rPr>
          <w:i/>
          <w:spacing w:val="-6"/>
          <w:w w:val="125"/>
          <w:sz w:val="18"/>
        </w:rPr>
        <w:t> </w:t>
      </w:r>
      <w:r>
        <w:rPr>
          <w:i/>
          <w:w w:val="125"/>
          <w:sz w:val="18"/>
        </w:rPr>
        <w:t>2014.</w:t>
      </w:r>
      <w:r>
        <w:rPr>
          <w:i/>
          <w:spacing w:val="-6"/>
          <w:w w:val="125"/>
          <w:sz w:val="18"/>
        </w:rPr>
        <w:t> </w:t>
      </w:r>
      <w:r>
        <w:rPr>
          <w:i/>
          <w:w w:val="125"/>
          <w:sz w:val="18"/>
        </w:rPr>
        <w:t>évi</w:t>
      </w:r>
      <w:r>
        <w:rPr>
          <w:i/>
          <w:spacing w:val="-6"/>
          <w:w w:val="125"/>
          <w:sz w:val="18"/>
        </w:rPr>
        <w:t> </w:t>
      </w:r>
      <w:r>
        <w:rPr>
          <w:i/>
          <w:w w:val="125"/>
          <w:sz w:val="18"/>
        </w:rPr>
        <w:t>XXXVII.</w:t>
      </w:r>
      <w:r>
        <w:rPr>
          <w:i/>
          <w:spacing w:val="-6"/>
          <w:w w:val="125"/>
          <w:sz w:val="18"/>
        </w:rPr>
        <w:t> </w:t>
      </w:r>
      <w:r>
        <w:rPr>
          <w:i/>
          <w:w w:val="125"/>
          <w:sz w:val="18"/>
        </w:rPr>
        <w:t>törvény</w:t>
      </w:r>
      <w:r>
        <w:rPr>
          <w:i/>
          <w:spacing w:val="-6"/>
          <w:w w:val="125"/>
          <w:sz w:val="18"/>
        </w:rPr>
        <w:t> </w:t>
      </w:r>
      <w:r>
        <w:rPr>
          <w:i/>
          <w:w w:val="125"/>
          <w:sz w:val="18"/>
        </w:rPr>
        <w:t>161.</w:t>
      </w:r>
      <w:r>
        <w:rPr>
          <w:i/>
          <w:spacing w:val="-6"/>
          <w:w w:val="125"/>
          <w:sz w:val="18"/>
        </w:rPr>
        <w:t> </w:t>
      </w:r>
      <w:r>
        <w:rPr>
          <w:i/>
          <w:w w:val="125"/>
          <w:sz w:val="18"/>
        </w:rPr>
        <w:t>§</w:t>
      </w:r>
      <w:r>
        <w:rPr>
          <w:i/>
          <w:spacing w:val="-5"/>
          <w:w w:val="125"/>
          <w:sz w:val="18"/>
        </w:rPr>
        <w:t> </w:t>
      </w:r>
      <w:r>
        <w:rPr>
          <w:i/>
          <w:w w:val="125"/>
          <w:sz w:val="18"/>
        </w:rPr>
        <w:t>(20).</w:t>
      </w:r>
      <w:r>
        <w:rPr>
          <w:i/>
          <w:spacing w:val="-5"/>
          <w:w w:val="125"/>
          <w:sz w:val="18"/>
        </w:rPr>
        <w:t> </w:t>
      </w:r>
      <w:r>
        <w:rPr>
          <w:i/>
          <w:w w:val="125"/>
          <w:sz w:val="18"/>
        </w:rPr>
        <w:t>Hatályos:</w:t>
      </w:r>
      <w:r>
        <w:rPr>
          <w:i/>
          <w:spacing w:val="-5"/>
          <w:w w:val="125"/>
          <w:sz w:val="18"/>
        </w:rPr>
        <w:t> </w:t>
      </w:r>
      <w:r>
        <w:rPr>
          <w:i/>
          <w:w w:val="125"/>
          <w:sz w:val="18"/>
        </w:rPr>
        <w:t>2014.</w:t>
      </w:r>
      <w:r>
        <w:rPr>
          <w:i/>
          <w:spacing w:val="-6"/>
          <w:w w:val="125"/>
          <w:sz w:val="18"/>
        </w:rPr>
        <w:t> </w:t>
      </w:r>
      <w:r>
        <w:rPr>
          <w:i/>
          <w:w w:val="125"/>
          <w:sz w:val="18"/>
        </w:rPr>
        <w:t>IX.</w:t>
      </w:r>
      <w:r>
        <w:rPr>
          <w:i/>
          <w:spacing w:val="-5"/>
          <w:w w:val="125"/>
          <w:sz w:val="18"/>
        </w:rPr>
        <w:t> </w:t>
      </w:r>
      <w:r>
        <w:rPr>
          <w:i/>
          <w:w w:val="125"/>
          <w:sz w:val="18"/>
        </w:rPr>
        <w:t>16-tól.</w:t>
      </w:r>
    </w:p>
    <w:p>
      <w:pPr>
        <w:spacing w:after="0" w:line="232" w:lineRule="auto"/>
        <w:jc w:val="left"/>
        <w:rPr>
          <w:sz w:val="18"/>
        </w:rPr>
        <w:sectPr>
          <w:pgSz w:w="11900" w:h="16820"/>
          <w:pgMar w:header="1104" w:footer="0" w:top="1840" w:bottom="280" w:left="1020" w:right="1000"/>
        </w:sectPr>
      </w:pPr>
    </w:p>
    <w:p>
      <w:pPr>
        <w:pStyle w:val="ListParagraph"/>
        <w:numPr>
          <w:ilvl w:val="0"/>
          <w:numId w:val="497"/>
        </w:numPr>
        <w:tabs>
          <w:tab w:pos="659" w:val="left" w:leader="none"/>
        </w:tabs>
        <w:spacing w:line="261" w:lineRule="exact" w:before="159" w:after="0"/>
        <w:ind w:left="658" w:right="0" w:hanging="341"/>
        <w:jc w:val="left"/>
        <w:rPr>
          <w:sz w:val="24"/>
        </w:rPr>
      </w:pPr>
      <w:r>
        <w:rPr>
          <w:i/>
          <w:w w:val="130"/>
          <w:position w:val="3"/>
          <w:sz w:val="18"/>
        </w:rPr>
        <w:t>1 </w:t>
      </w:r>
      <w:r>
        <w:rPr>
          <w:w w:val="130"/>
          <w:sz w:val="24"/>
        </w:rPr>
        <w:t>Ha a hitelintézet határon átnyúló szolgáltatás keretében egy</w:t>
      </w:r>
      <w:r>
        <w:rPr>
          <w:spacing w:val="-28"/>
          <w:w w:val="130"/>
          <w:sz w:val="24"/>
        </w:rPr>
        <w:t> </w:t>
      </w:r>
      <w:r>
        <w:rPr>
          <w:w w:val="130"/>
          <w:sz w:val="24"/>
        </w:rPr>
        <w:t>másik</w:t>
      </w:r>
    </w:p>
    <w:p>
      <w:pPr>
        <w:pStyle w:val="BodyText"/>
        <w:spacing w:line="225" w:lineRule="auto" w:before="12"/>
        <w:ind w:right="124" w:firstLine="0"/>
        <w:jc w:val="both"/>
      </w:pPr>
      <w:r>
        <w:rPr>
          <w:w w:val="130"/>
        </w:rPr>
        <w:t>tagállamban</w:t>
      </w:r>
      <w:r>
        <w:rPr>
          <w:spacing w:val="-13"/>
          <w:w w:val="130"/>
        </w:rPr>
        <w:t> </w:t>
      </w:r>
      <w:r>
        <w:rPr>
          <w:w w:val="130"/>
        </w:rPr>
        <w:t>gyűjt</w:t>
      </w:r>
      <w:r>
        <w:rPr>
          <w:spacing w:val="-12"/>
          <w:w w:val="130"/>
        </w:rPr>
        <w:t> </w:t>
      </w:r>
      <w:r>
        <w:rPr>
          <w:w w:val="130"/>
        </w:rPr>
        <w:t>betétet,</w:t>
      </w:r>
      <w:r>
        <w:rPr>
          <w:spacing w:val="-12"/>
          <w:w w:val="130"/>
        </w:rPr>
        <w:t> </w:t>
      </w:r>
      <w:r>
        <w:rPr>
          <w:w w:val="130"/>
        </w:rPr>
        <w:t>az</w:t>
      </w:r>
      <w:r>
        <w:rPr>
          <w:spacing w:val="-13"/>
          <w:w w:val="130"/>
        </w:rPr>
        <w:t> </w:t>
      </w:r>
      <w:r>
        <w:rPr>
          <w:w w:val="130"/>
        </w:rPr>
        <w:t>(1)</w:t>
      </w:r>
      <w:r>
        <w:rPr>
          <w:spacing w:val="-12"/>
          <w:w w:val="130"/>
        </w:rPr>
        <w:t> </w:t>
      </w:r>
      <w:r>
        <w:rPr>
          <w:w w:val="130"/>
        </w:rPr>
        <w:t>bekezdés</w:t>
      </w:r>
      <w:r>
        <w:rPr>
          <w:spacing w:val="-11"/>
          <w:w w:val="130"/>
        </w:rPr>
        <w:t> </w:t>
      </w:r>
      <w:r>
        <w:rPr>
          <w:i/>
          <w:w w:val="130"/>
        </w:rPr>
        <w:t>a)</w:t>
      </w:r>
      <w:r>
        <w:rPr>
          <w:i/>
          <w:spacing w:val="-12"/>
          <w:w w:val="130"/>
        </w:rPr>
        <w:t> </w:t>
      </w:r>
      <w:r>
        <w:rPr>
          <w:w w:val="130"/>
        </w:rPr>
        <w:t>pontjától</w:t>
      </w:r>
      <w:r>
        <w:rPr>
          <w:spacing w:val="-12"/>
          <w:w w:val="130"/>
        </w:rPr>
        <w:t> </w:t>
      </w:r>
      <w:r>
        <w:rPr>
          <w:w w:val="130"/>
        </w:rPr>
        <w:t>eltérően</w:t>
      </w:r>
      <w:r>
        <w:rPr>
          <w:spacing w:val="-9"/>
          <w:w w:val="130"/>
        </w:rPr>
        <w:t> </w:t>
      </w:r>
      <w:r>
        <w:rPr>
          <w:w w:val="130"/>
        </w:rPr>
        <w:t>a</w:t>
      </w:r>
      <w:r>
        <w:rPr>
          <w:spacing w:val="-16"/>
          <w:w w:val="130"/>
        </w:rPr>
        <w:t> </w:t>
      </w:r>
      <w:r>
        <w:rPr>
          <w:w w:val="130"/>
        </w:rPr>
        <w:t>tájékoztatást azon a nyelven kell megadni, amelyet a betétes a szerződés megkötésekor</w:t>
      </w:r>
      <w:r>
        <w:rPr>
          <w:spacing w:val="78"/>
          <w:w w:val="130"/>
        </w:rPr>
        <w:t> </w:t>
      </w:r>
      <w:r>
        <w:rPr>
          <w:w w:val="130"/>
        </w:rPr>
        <w:t>választott.</w:t>
      </w:r>
    </w:p>
    <w:p>
      <w:pPr>
        <w:pStyle w:val="BodyText"/>
        <w:spacing w:before="3"/>
        <w:ind w:left="0" w:firstLine="0"/>
        <w:rPr>
          <w:sz w:val="11"/>
        </w:rPr>
      </w:pPr>
    </w:p>
    <w:p>
      <w:pPr>
        <w:pStyle w:val="BodyText"/>
        <w:spacing w:before="99"/>
        <w:ind w:left="2788" w:firstLine="0"/>
      </w:pPr>
      <w:r>
        <w:rPr>
          <w:w w:val="125"/>
        </w:rPr>
        <w:t>86. Az OBA által biztosított betétek</w:t>
      </w:r>
    </w:p>
    <w:p>
      <w:pPr>
        <w:pStyle w:val="ListParagraph"/>
        <w:numPr>
          <w:ilvl w:val="0"/>
          <w:numId w:val="458"/>
        </w:numPr>
        <w:tabs>
          <w:tab w:pos="1007" w:val="left" w:leader="none"/>
        </w:tabs>
        <w:spacing w:line="225" w:lineRule="auto" w:before="237" w:after="0"/>
        <w:ind w:left="113" w:right="124" w:firstLine="204"/>
        <w:jc w:val="both"/>
        <w:rPr>
          <w:sz w:val="24"/>
        </w:rPr>
      </w:pPr>
      <w:r>
        <w:rPr>
          <w:rFonts w:ascii="Arial" w:hAnsi="Arial"/>
          <w:b/>
          <w:w w:val="120"/>
          <w:sz w:val="24"/>
        </w:rPr>
        <w:t>§ </w:t>
      </w:r>
      <w:r>
        <w:rPr>
          <w:w w:val="120"/>
          <w:sz w:val="24"/>
        </w:rPr>
        <w:t>(1) Az OBA által nyújtott biztosítás csak a névre szóló betétre terjed   </w:t>
      </w:r>
      <w:r>
        <w:rPr>
          <w:spacing w:val="72"/>
          <w:w w:val="120"/>
          <w:sz w:val="24"/>
        </w:rPr>
        <w:t> </w:t>
      </w:r>
      <w:r>
        <w:rPr>
          <w:w w:val="120"/>
          <w:sz w:val="24"/>
        </w:rPr>
        <w:t>ki.</w:t>
      </w:r>
    </w:p>
    <w:p>
      <w:pPr>
        <w:pStyle w:val="ListParagraph"/>
        <w:numPr>
          <w:ilvl w:val="0"/>
          <w:numId w:val="499"/>
        </w:numPr>
        <w:tabs>
          <w:tab w:pos="747" w:val="left" w:leader="none"/>
        </w:tabs>
        <w:spacing w:line="225" w:lineRule="auto" w:before="1" w:after="0"/>
        <w:ind w:left="113" w:right="126" w:firstLine="204"/>
        <w:jc w:val="both"/>
        <w:rPr>
          <w:sz w:val="24"/>
        </w:rPr>
      </w:pPr>
      <w:r>
        <w:rPr>
          <w:w w:val="125"/>
          <w:sz w:val="24"/>
        </w:rPr>
        <w:t>Az OBA által nyújtott biztosítás - a 213. §-ban meghatározott kivétellel - a betétek számától és pénznemétől függetlenül kiterjed minden olyan betétre, amelyet</w:t>
      </w:r>
    </w:p>
    <w:p>
      <w:pPr>
        <w:pStyle w:val="ListParagraph"/>
        <w:numPr>
          <w:ilvl w:val="0"/>
          <w:numId w:val="500"/>
        </w:numPr>
        <w:tabs>
          <w:tab w:pos="706" w:val="left" w:leader="none"/>
        </w:tabs>
        <w:spacing w:line="225" w:lineRule="auto" w:before="1" w:after="0"/>
        <w:ind w:left="113" w:right="128" w:firstLine="204"/>
        <w:jc w:val="both"/>
        <w:rPr>
          <w:sz w:val="24"/>
        </w:rPr>
      </w:pPr>
      <w:r>
        <w:rPr>
          <w:w w:val="125"/>
          <w:sz w:val="24"/>
        </w:rPr>
        <w:t>1993. június 30-ig jogszabályban vállalt állami garancia, illetve állami helytállás nélkül,</w:t>
      </w:r>
      <w:r>
        <w:rPr>
          <w:spacing w:val="2"/>
          <w:w w:val="125"/>
          <w:sz w:val="24"/>
        </w:rPr>
        <w:t> </w:t>
      </w:r>
      <w:r>
        <w:rPr>
          <w:w w:val="125"/>
          <w:sz w:val="24"/>
        </w:rPr>
        <w:t>valamint</w:t>
      </w:r>
    </w:p>
    <w:p>
      <w:pPr>
        <w:pStyle w:val="ListParagraph"/>
        <w:numPr>
          <w:ilvl w:val="0"/>
          <w:numId w:val="500"/>
        </w:numPr>
        <w:tabs>
          <w:tab w:pos="653" w:val="left" w:leader="none"/>
        </w:tabs>
        <w:spacing w:line="256" w:lineRule="exact" w:before="0" w:after="0"/>
        <w:ind w:left="652" w:right="0" w:hanging="335"/>
        <w:jc w:val="left"/>
        <w:rPr>
          <w:sz w:val="24"/>
        </w:rPr>
      </w:pPr>
      <w:r>
        <w:rPr>
          <w:w w:val="125"/>
          <w:sz w:val="24"/>
        </w:rPr>
        <w:t>1993. június 30-át követően állami garancia</w:t>
      </w:r>
      <w:r>
        <w:rPr>
          <w:spacing w:val="-5"/>
          <w:w w:val="125"/>
          <w:sz w:val="24"/>
        </w:rPr>
        <w:t> </w:t>
      </w:r>
      <w:r>
        <w:rPr>
          <w:w w:val="125"/>
          <w:sz w:val="24"/>
        </w:rPr>
        <w:t>nélkül</w:t>
      </w:r>
    </w:p>
    <w:p>
      <w:pPr>
        <w:pStyle w:val="BodyText"/>
        <w:spacing w:line="260" w:lineRule="exact"/>
        <w:ind w:firstLine="0"/>
      </w:pPr>
      <w:r>
        <w:rPr>
          <w:w w:val="130"/>
        </w:rPr>
        <w:t>az OBA-ban tagsággal rendelkező hitelintézetnél helyeztek el.</w:t>
      </w:r>
    </w:p>
    <w:p>
      <w:pPr>
        <w:pStyle w:val="ListParagraph"/>
        <w:numPr>
          <w:ilvl w:val="0"/>
          <w:numId w:val="499"/>
        </w:numPr>
        <w:tabs>
          <w:tab w:pos="749" w:val="left" w:leader="none"/>
        </w:tabs>
        <w:spacing w:line="225" w:lineRule="auto" w:before="6" w:after="0"/>
        <w:ind w:left="113" w:right="127" w:firstLine="204"/>
        <w:jc w:val="both"/>
        <w:rPr>
          <w:sz w:val="24"/>
        </w:rPr>
      </w:pPr>
      <w:r>
        <w:rPr>
          <w:w w:val="130"/>
          <w:sz w:val="24"/>
        </w:rPr>
        <w:t>Az</w:t>
      </w:r>
      <w:r>
        <w:rPr>
          <w:spacing w:val="-23"/>
          <w:w w:val="130"/>
          <w:sz w:val="24"/>
        </w:rPr>
        <w:t> </w:t>
      </w:r>
      <w:r>
        <w:rPr>
          <w:w w:val="130"/>
          <w:sz w:val="24"/>
        </w:rPr>
        <w:t>OBA</w:t>
      </w:r>
      <w:r>
        <w:rPr>
          <w:spacing w:val="-22"/>
          <w:w w:val="130"/>
          <w:sz w:val="24"/>
        </w:rPr>
        <w:t> </w:t>
      </w:r>
      <w:r>
        <w:rPr>
          <w:w w:val="130"/>
          <w:sz w:val="24"/>
        </w:rPr>
        <w:t>által</w:t>
      </w:r>
      <w:r>
        <w:rPr>
          <w:spacing w:val="-22"/>
          <w:w w:val="130"/>
          <w:sz w:val="24"/>
        </w:rPr>
        <w:t> </w:t>
      </w:r>
      <w:r>
        <w:rPr>
          <w:w w:val="130"/>
          <w:sz w:val="24"/>
        </w:rPr>
        <w:t>nyújtott</w:t>
      </w:r>
      <w:r>
        <w:rPr>
          <w:spacing w:val="-22"/>
          <w:w w:val="130"/>
          <w:sz w:val="24"/>
        </w:rPr>
        <w:t> </w:t>
      </w:r>
      <w:r>
        <w:rPr>
          <w:w w:val="130"/>
          <w:sz w:val="24"/>
        </w:rPr>
        <w:t>biztosítás</w:t>
      </w:r>
      <w:r>
        <w:rPr>
          <w:spacing w:val="-22"/>
          <w:w w:val="130"/>
          <w:sz w:val="24"/>
        </w:rPr>
        <w:t> </w:t>
      </w:r>
      <w:r>
        <w:rPr>
          <w:w w:val="130"/>
          <w:sz w:val="24"/>
        </w:rPr>
        <w:t>kiterjed</w:t>
      </w:r>
      <w:r>
        <w:rPr>
          <w:spacing w:val="-23"/>
          <w:w w:val="130"/>
          <w:sz w:val="24"/>
        </w:rPr>
        <w:t> </w:t>
      </w:r>
      <w:r>
        <w:rPr>
          <w:w w:val="130"/>
          <w:sz w:val="24"/>
        </w:rPr>
        <w:t>az</w:t>
      </w:r>
      <w:r>
        <w:rPr>
          <w:spacing w:val="-22"/>
          <w:w w:val="130"/>
          <w:sz w:val="24"/>
        </w:rPr>
        <w:t> </w:t>
      </w:r>
      <w:r>
        <w:rPr>
          <w:w w:val="130"/>
          <w:sz w:val="24"/>
        </w:rPr>
        <w:t>1993.</w:t>
      </w:r>
      <w:r>
        <w:rPr>
          <w:spacing w:val="-22"/>
          <w:w w:val="130"/>
          <w:sz w:val="24"/>
        </w:rPr>
        <w:t> </w:t>
      </w:r>
      <w:r>
        <w:rPr>
          <w:w w:val="130"/>
          <w:sz w:val="24"/>
        </w:rPr>
        <w:t>június</w:t>
      </w:r>
      <w:r>
        <w:rPr>
          <w:spacing w:val="-19"/>
          <w:w w:val="130"/>
          <w:sz w:val="24"/>
        </w:rPr>
        <w:t> </w:t>
      </w:r>
      <w:r>
        <w:rPr>
          <w:w w:val="130"/>
          <w:sz w:val="24"/>
        </w:rPr>
        <w:t>30-ig</w:t>
      </w:r>
      <w:r>
        <w:rPr>
          <w:spacing w:val="-26"/>
          <w:w w:val="130"/>
          <w:sz w:val="24"/>
        </w:rPr>
        <w:t> </w:t>
      </w:r>
      <w:r>
        <w:rPr>
          <w:w w:val="130"/>
          <w:sz w:val="24"/>
        </w:rPr>
        <w:t>sorozatban értékpapírszerűen kibocsátott vagy forgalomba hozott betéti okiratra, tekintet nélkül annak</w:t>
      </w:r>
      <w:r>
        <w:rPr>
          <w:spacing w:val="-7"/>
          <w:w w:val="130"/>
          <w:sz w:val="24"/>
        </w:rPr>
        <w:t> </w:t>
      </w:r>
      <w:r>
        <w:rPr>
          <w:w w:val="130"/>
          <w:sz w:val="24"/>
        </w:rPr>
        <w:t>elnevezésére.</w:t>
      </w:r>
    </w:p>
    <w:p>
      <w:pPr>
        <w:pStyle w:val="ListParagraph"/>
        <w:numPr>
          <w:ilvl w:val="0"/>
          <w:numId w:val="499"/>
        </w:numPr>
        <w:tabs>
          <w:tab w:pos="854" w:val="left" w:leader="none"/>
        </w:tabs>
        <w:spacing w:line="225" w:lineRule="auto" w:before="2" w:after="0"/>
        <w:ind w:left="113" w:right="125" w:firstLine="204"/>
        <w:jc w:val="both"/>
        <w:rPr>
          <w:sz w:val="24"/>
        </w:rPr>
      </w:pPr>
      <w:r>
        <w:rPr>
          <w:w w:val="125"/>
          <w:sz w:val="24"/>
        </w:rPr>
        <w:t>Az 1993. június 30-át megelőzően kötött betétszerződések alapján elhelyezett - állami garanciával (helytállással) biztosított - betétekbe az 1993. június 30-át követően teljesített új befizetés e törvény rendelkezéseinek megfelelően - az OBA által -</w:t>
      </w:r>
      <w:r>
        <w:rPr>
          <w:spacing w:val="-7"/>
          <w:w w:val="125"/>
          <w:sz w:val="24"/>
        </w:rPr>
        <w:t> </w:t>
      </w:r>
      <w:r>
        <w:rPr>
          <w:w w:val="125"/>
          <w:sz w:val="24"/>
        </w:rPr>
        <w:t>biztosított.</w:t>
      </w:r>
    </w:p>
    <w:p>
      <w:pPr>
        <w:pStyle w:val="ListParagraph"/>
        <w:numPr>
          <w:ilvl w:val="0"/>
          <w:numId w:val="458"/>
        </w:numPr>
        <w:tabs>
          <w:tab w:pos="985" w:val="left" w:leader="none"/>
        </w:tabs>
        <w:spacing w:line="257" w:lineRule="exact" w:before="0" w:after="0"/>
        <w:ind w:left="984" w:right="0" w:hanging="667"/>
        <w:jc w:val="left"/>
        <w:rPr>
          <w:sz w:val="24"/>
        </w:rPr>
      </w:pPr>
      <w:r>
        <w:rPr>
          <w:rFonts w:ascii="Arial" w:hAnsi="Arial"/>
          <w:b/>
          <w:w w:val="120"/>
          <w:sz w:val="24"/>
        </w:rPr>
        <w:t>§ </w:t>
      </w:r>
      <w:r>
        <w:rPr>
          <w:w w:val="120"/>
          <w:sz w:val="24"/>
        </w:rPr>
        <w:t>(1) Az OBA által nyújtott biztosítás nem terjed</w:t>
      </w:r>
      <w:r>
        <w:rPr>
          <w:spacing w:val="65"/>
          <w:w w:val="120"/>
          <w:sz w:val="24"/>
        </w:rPr>
        <w:t> </w:t>
      </w:r>
      <w:r>
        <w:rPr>
          <w:w w:val="120"/>
          <w:sz w:val="24"/>
        </w:rPr>
        <w:t>ki</w:t>
      </w:r>
    </w:p>
    <w:p>
      <w:pPr>
        <w:pStyle w:val="ListParagraph"/>
        <w:numPr>
          <w:ilvl w:val="0"/>
          <w:numId w:val="501"/>
        </w:numPr>
        <w:tabs>
          <w:tab w:pos="631" w:val="left" w:leader="none"/>
        </w:tabs>
        <w:spacing w:line="260" w:lineRule="exact" w:before="0" w:after="0"/>
        <w:ind w:left="630" w:right="0" w:hanging="313"/>
        <w:jc w:val="left"/>
        <w:rPr>
          <w:sz w:val="24"/>
        </w:rPr>
      </w:pPr>
      <w:r>
        <w:rPr>
          <w:w w:val="130"/>
          <w:sz w:val="24"/>
        </w:rPr>
        <w:t>a költségvetési</w:t>
      </w:r>
      <w:r>
        <w:rPr>
          <w:spacing w:val="9"/>
          <w:w w:val="130"/>
          <w:sz w:val="24"/>
        </w:rPr>
        <w:t> </w:t>
      </w:r>
      <w:r>
        <w:rPr>
          <w:w w:val="130"/>
          <w:sz w:val="24"/>
        </w:rPr>
        <w:t>szerv,</w:t>
      </w:r>
    </w:p>
    <w:p>
      <w:pPr>
        <w:pStyle w:val="ListParagraph"/>
        <w:numPr>
          <w:ilvl w:val="0"/>
          <w:numId w:val="501"/>
        </w:numPr>
        <w:tabs>
          <w:tab w:pos="567" w:val="left" w:leader="none"/>
        </w:tabs>
        <w:spacing w:line="260" w:lineRule="exact" w:before="0" w:after="0"/>
        <w:ind w:left="566" w:right="0" w:hanging="249"/>
        <w:jc w:val="left"/>
        <w:rPr>
          <w:sz w:val="18"/>
        </w:rPr>
      </w:pPr>
      <w:r>
        <w:rPr>
          <w:i/>
          <w:w w:val="127"/>
          <w:position w:val="3"/>
          <w:sz w:val="18"/>
        </w:rPr>
        <w:t>2</w:t>
      </w:r>
      <w:r>
        <w:rPr>
          <w:sz w:val="18"/>
        </w:rPr>
      </w:r>
    </w:p>
    <w:p>
      <w:pPr>
        <w:pStyle w:val="ListParagraph"/>
        <w:numPr>
          <w:ilvl w:val="0"/>
          <w:numId w:val="501"/>
        </w:numPr>
        <w:tabs>
          <w:tab w:pos="547" w:val="left" w:leader="none"/>
        </w:tabs>
        <w:spacing w:line="253" w:lineRule="exact" w:before="0" w:after="0"/>
        <w:ind w:left="546" w:right="0" w:hanging="229"/>
        <w:jc w:val="left"/>
        <w:rPr>
          <w:sz w:val="24"/>
        </w:rPr>
      </w:pPr>
      <w:r>
        <w:rPr>
          <w:i/>
          <w:w w:val="125"/>
          <w:position w:val="3"/>
          <w:sz w:val="18"/>
        </w:rPr>
        <w:t>3 </w:t>
      </w:r>
      <w:r>
        <w:rPr>
          <w:w w:val="125"/>
          <w:sz w:val="24"/>
        </w:rPr>
        <w:t>a helyi</w:t>
      </w:r>
      <w:r>
        <w:rPr>
          <w:spacing w:val="-36"/>
          <w:w w:val="125"/>
          <w:sz w:val="24"/>
        </w:rPr>
        <w:t> </w:t>
      </w:r>
      <w:r>
        <w:rPr>
          <w:w w:val="125"/>
          <w:sz w:val="24"/>
        </w:rPr>
        <w:t>önkormányzat,</w:t>
      </w:r>
    </w:p>
    <w:p>
      <w:pPr>
        <w:pStyle w:val="ListParagraph"/>
        <w:numPr>
          <w:ilvl w:val="0"/>
          <w:numId w:val="501"/>
        </w:numPr>
        <w:tabs>
          <w:tab w:pos="567" w:val="left" w:leader="none"/>
        </w:tabs>
        <w:spacing w:line="260" w:lineRule="exact" w:before="0" w:after="0"/>
        <w:ind w:left="566" w:right="0" w:hanging="249"/>
        <w:jc w:val="left"/>
        <w:rPr>
          <w:sz w:val="24"/>
        </w:rPr>
      </w:pPr>
      <w:r>
        <w:rPr>
          <w:i/>
          <w:w w:val="125"/>
          <w:position w:val="3"/>
          <w:sz w:val="18"/>
        </w:rPr>
        <w:t>4 </w:t>
      </w:r>
      <w:r>
        <w:rPr>
          <w:w w:val="125"/>
          <w:sz w:val="24"/>
        </w:rPr>
        <w:t>a biztosító, a viszontbiztosító, az önkéntes kölcsönös biztosító</w:t>
      </w:r>
      <w:r>
        <w:rPr>
          <w:spacing w:val="49"/>
          <w:w w:val="125"/>
          <w:sz w:val="24"/>
        </w:rPr>
        <w:t> </w:t>
      </w:r>
      <w:r>
        <w:rPr>
          <w:w w:val="125"/>
          <w:sz w:val="24"/>
        </w:rPr>
        <w:t>pénztár,</w:t>
      </w:r>
    </w:p>
    <w:p>
      <w:pPr>
        <w:pStyle w:val="BodyText"/>
        <w:spacing w:line="267" w:lineRule="exact"/>
        <w:ind w:firstLine="0"/>
      </w:pPr>
      <w:r>
        <w:rPr>
          <w:w w:val="130"/>
        </w:rPr>
        <w:t>valamint a magánnyugdíjpénztár,</w:t>
      </w:r>
    </w:p>
    <w:p>
      <w:pPr>
        <w:pStyle w:val="ListParagraph"/>
        <w:numPr>
          <w:ilvl w:val="0"/>
          <w:numId w:val="501"/>
        </w:numPr>
        <w:tabs>
          <w:tab w:pos="555" w:val="left" w:leader="none"/>
        </w:tabs>
        <w:spacing w:line="253" w:lineRule="exact" w:before="0" w:after="0"/>
        <w:ind w:left="554" w:right="0" w:hanging="237"/>
        <w:jc w:val="left"/>
        <w:rPr>
          <w:sz w:val="24"/>
        </w:rPr>
      </w:pPr>
      <w:r>
        <w:rPr>
          <w:i/>
          <w:w w:val="130"/>
          <w:position w:val="3"/>
          <w:sz w:val="18"/>
        </w:rPr>
        <w:t>5 </w:t>
      </w:r>
      <w:r>
        <w:rPr>
          <w:w w:val="130"/>
          <w:sz w:val="24"/>
        </w:rPr>
        <w:t>a befektetési alap, a befektetési</w:t>
      </w:r>
      <w:r>
        <w:rPr>
          <w:spacing w:val="-4"/>
          <w:w w:val="130"/>
          <w:sz w:val="24"/>
        </w:rPr>
        <w:t> </w:t>
      </w:r>
      <w:r>
        <w:rPr>
          <w:w w:val="130"/>
          <w:sz w:val="24"/>
        </w:rPr>
        <w:t>alapkezelő,</w:t>
      </w:r>
    </w:p>
    <w:p>
      <w:pPr>
        <w:pStyle w:val="ListParagraph"/>
        <w:numPr>
          <w:ilvl w:val="0"/>
          <w:numId w:val="501"/>
        </w:numPr>
        <w:tabs>
          <w:tab w:pos="504" w:val="left" w:leader="none"/>
          <w:tab w:pos="839" w:val="left" w:leader="none"/>
          <w:tab w:pos="1206" w:val="left" w:leader="none"/>
          <w:tab w:pos="3626" w:val="left" w:leader="none"/>
          <w:tab w:pos="4397" w:val="left" w:leader="none"/>
          <w:tab w:pos="5672" w:val="left" w:leader="none"/>
          <w:tab w:pos="6450" w:val="left" w:leader="none"/>
          <w:tab w:pos="7449" w:val="left" w:leader="none"/>
          <w:tab w:pos="9116" w:val="left" w:leader="none"/>
          <w:tab w:pos="9605" w:val="left" w:leader="none"/>
        </w:tabs>
        <w:spacing w:line="260" w:lineRule="exact" w:before="0" w:after="0"/>
        <w:ind w:left="503" w:right="0" w:hanging="186"/>
        <w:jc w:val="left"/>
        <w:rPr>
          <w:sz w:val="24"/>
        </w:rPr>
      </w:pPr>
      <w:r>
        <w:rPr>
          <w:i/>
          <w:w w:val="125"/>
          <w:position w:val="3"/>
          <w:sz w:val="18"/>
        </w:rPr>
        <w:t>6</w:t>
        <w:tab/>
      </w:r>
      <w:r>
        <w:rPr>
          <w:w w:val="125"/>
          <w:sz w:val="24"/>
        </w:rPr>
        <w:t>a</w:t>
        <w:tab/>
        <w:t>Nyugdíjbiztosítási</w:t>
        <w:tab/>
        <w:t>Alap</w:t>
        <w:tab/>
        <w:t>valamint</w:t>
        <w:tab/>
        <w:t>ezek</w:t>
        <w:tab/>
        <w:t>kezelő</w:t>
        <w:tab/>
        <w:t>szervezetei,</w:t>
        <w:tab/>
        <w:t>és</w:t>
        <w:tab/>
        <w:t>a</w:t>
      </w:r>
    </w:p>
    <w:p>
      <w:pPr>
        <w:pStyle w:val="BodyText"/>
        <w:spacing w:line="267" w:lineRule="exact"/>
        <w:ind w:firstLine="0"/>
      </w:pPr>
      <w:r>
        <w:rPr>
          <w:w w:val="125"/>
        </w:rPr>
        <w:t>nyugdíjbiztosítási igazgatási szerv,</w:t>
      </w:r>
    </w:p>
    <w:p>
      <w:pPr>
        <w:pStyle w:val="ListParagraph"/>
        <w:numPr>
          <w:ilvl w:val="0"/>
          <w:numId w:val="501"/>
        </w:numPr>
        <w:tabs>
          <w:tab w:pos="653" w:val="left" w:leader="none"/>
        </w:tabs>
        <w:spacing w:line="260" w:lineRule="exact" w:before="0" w:after="0"/>
        <w:ind w:left="652" w:right="0" w:hanging="335"/>
        <w:jc w:val="left"/>
        <w:rPr>
          <w:sz w:val="24"/>
        </w:rPr>
      </w:pPr>
      <w:r>
        <w:rPr>
          <w:w w:val="125"/>
          <w:sz w:val="24"/>
        </w:rPr>
        <w:t>az elkülönített állami</w:t>
      </w:r>
      <w:r>
        <w:rPr>
          <w:spacing w:val="-9"/>
          <w:w w:val="125"/>
          <w:sz w:val="24"/>
        </w:rPr>
        <w:t> </w:t>
      </w:r>
      <w:r>
        <w:rPr>
          <w:w w:val="125"/>
          <w:sz w:val="24"/>
        </w:rPr>
        <w:t>pénzalap,</w:t>
      </w:r>
    </w:p>
    <w:p>
      <w:pPr>
        <w:pStyle w:val="ListParagraph"/>
        <w:numPr>
          <w:ilvl w:val="0"/>
          <w:numId w:val="501"/>
        </w:numPr>
        <w:tabs>
          <w:tab w:pos="568" w:val="left" w:leader="none"/>
        </w:tabs>
        <w:spacing w:line="260" w:lineRule="exact" w:before="0" w:after="0"/>
        <w:ind w:left="567" w:right="0" w:hanging="250"/>
        <w:jc w:val="left"/>
        <w:rPr>
          <w:sz w:val="24"/>
        </w:rPr>
      </w:pPr>
      <w:r>
        <w:rPr>
          <w:i/>
          <w:w w:val="125"/>
          <w:position w:val="3"/>
          <w:sz w:val="18"/>
        </w:rPr>
        <w:t>7 </w:t>
      </w:r>
      <w:r>
        <w:rPr>
          <w:w w:val="125"/>
          <w:sz w:val="24"/>
        </w:rPr>
        <w:t>a pénzügyi intézmény és a pénzforgalmi</w:t>
      </w:r>
      <w:r>
        <w:rPr>
          <w:spacing w:val="-32"/>
          <w:w w:val="125"/>
          <w:sz w:val="24"/>
        </w:rPr>
        <w:t> </w:t>
      </w:r>
      <w:r>
        <w:rPr>
          <w:w w:val="125"/>
          <w:sz w:val="24"/>
        </w:rPr>
        <w:t>intézmény,</w:t>
      </w:r>
    </w:p>
    <w:p>
      <w:pPr>
        <w:pStyle w:val="ListParagraph"/>
        <w:numPr>
          <w:ilvl w:val="0"/>
          <w:numId w:val="501"/>
        </w:numPr>
        <w:tabs>
          <w:tab w:pos="564" w:val="left" w:leader="none"/>
        </w:tabs>
        <w:spacing w:line="260" w:lineRule="exact" w:before="0" w:after="0"/>
        <w:ind w:left="563" w:right="0" w:hanging="246"/>
        <w:jc w:val="left"/>
        <w:rPr>
          <w:sz w:val="24"/>
        </w:rPr>
      </w:pPr>
      <w:r>
        <w:rPr>
          <w:w w:val="120"/>
          <w:sz w:val="24"/>
        </w:rPr>
        <w:t>az</w:t>
      </w:r>
      <w:r>
        <w:rPr>
          <w:spacing w:val="2"/>
          <w:w w:val="120"/>
          <w:sz w:val="24"/>
        </w:rPr>
        <w:t> </w:t>
      </w:r>
      <w:r>
        <w:rPr>
          <w:w w:val="120"/>
          <w:sz w:val="24"/>
        </w:rPr>
        <w:t>MNB,</w:t>
      </w:r>
    </w:p>
    <w:p>
      <w:pPr>
        <w:pStyle w:val="ListParagraph"/>
        <w:numPr>
          <w:ilvl w:val="0"/>
          <w:numId w:val="501"/>
        </w:numPr>
        <w:tabs>
          <w:tab w:pos="563" w:val="left" w:leader="none"/>
        </w:tabs>
        <w:spacing w:line="260" w:lineRule="exact" w:before="0" w:after="0"/>
        <w:ind w:left="562" w:right="0" w:hanging="245"/>
        <w:jc w:val="left"/>
        <w:rPr>
          <w:sz w:val="24"/>
        </w:rPr>
      </w:pPr>
      <w:r>
        <w:rPr>
          <w:w w:val="130"/>
          <w:sz w:val="24"/>
        </w:rPr>
        <w:t>a befektetési</w:t>
      </w:r>
      <w:r>
        <w:rPr>
          <w:spacing w:val="-60"/>
          <w:w w:val="130"/>
          <w:sz w:val="24"/>
        </w:rPr>
        <w:t> </w:t>
      </w:r>
      <w:r>
        <w:rPr>
          <w:w w:val="130"/>
          <w:sz w:val="24"/>
        </w:rPr>
        <w:t>vállalkozás, a tőzsdetag, az árutőzsdei szolgáltató,</w:t>
      </w:r>
    </w:p>
    <w:p>
      <w:pPr>
        <w:pStyle w:val="ListParagraph"/>
        <w:numPr>
          <w:ilvl w:val="0"/>
          <w:numId w:val="501"/>
        </w:numPr>
        <w:tabs>
          <w:tab w:pos="913" w:val="left" w:leader="none"/>
          <w:tab w:pos="914" w:val="left" w:leader="none"/>
          <w:tab w:pos="1413" w:val="left" w:leader="none"/>
          <w:tab w:pos="2784" w:val="left" w:leader="none"/>
          <w:tab w:pos="3706" w:val="left" w:leader="none"/>
          <w:tab w:pos="5166" w:val="left" w:leader="none"/>
          <w:tab w:pos="7465" w:val="left" w:leader="none"/>
        </w:tabs>
        <w:spacing w:line="225" w:lineRule="auto" w:before="5" w:after="0"/>
        <w:ind w:left="113" w:right="128" w:firstLine="204"/>
        <w:jc w:val="left"/>
        <w:rPr>
          <w:sz w:val="24"/>
        </w:rPr>
      </w:pPr>
      <w:r>
        <w:rPr>
          <w:w w:val="125"/>
          <w:sz w:val="24"/>
        </w:rPr>
        <w:t>a</w:t>
        <w:tab/>
        <w:t>kötelező</w:t>
        <w:tab/>
        <w:t>vagy</w:t>
        <w:tab/>
        <w:t>önkéntes</w:t>
        <w:tab/>
        <w:t>betétbiztosítási,</w:t>
        <w:tab/>
      </w:r>
      <w:r>
        <w:rPr>
          <w:spacing w:val="-1"/>
          <w:w w:val="125"/>
          <w:sz w:val="24"/>
        </w:rPr>
        <w:t>intézményvédelmi, </w:t>
      </w:r>
      <w:r>
        <w:rPr>
          <w:w w:val="125"/>
          <w:sz w:val="24"/>
        </w:rPr>
        <w:t>befektetővédelmi alap, illetve a Pénztárak Garancia</w:t>
      </w:r>
      <w:r>
        <w:rPr>
          <w:spacing w:val="16"/>
          <w:w w:val="125"/>
          <w:sz w:val="24"/>
        </w:rPr>
        <w:t> </w:t>
      </w:r>
      <w:r>
        <w:rPr>
          <w:w w:val="125"/>
          <w:sz w:val="24"/>
        </w:rPr>
        <w:t>Alapja,</w:t>
      </w:r>
    </w:p>
    <w:p>
      <w:pPr>
        <w:spacing w:line="225" w:lineRule="auto" w:before="1"/>
        <w:ind w:left="317" w:right="8859" w:firstLine="0"/>
        <w:jc w:val="left"/>
        <w:rPr>
          <w:i/>
          <w:sz w:val="18"/>
        </w:rPr>
      </w:pPr>
      <w:r>
        <w:rPr>
          <w:i/>
          <w:w w:val="120"/>
          <w:sz w:val="24"/>
        </w:rPr>
        <w:t>l)-m)</w:t>
      </w:r>
      <w:r>
        <w:rPr>
          <w:i/>
          <w:w w:val="120"/>
          <w:position w:val="3"/>
          <w:sz w:val="18"/>
        </w:rPr>
        <w:t>8 </w:t>
      </w:r>
      <w:r>
        <w:rPr>
          <w:i/>
          <w:w w:val="125"/>
          <w:sz w:val="24"/>
        </w:rPr>
        <w:t>n)</w:t>
      </w:r>
      <w:r>
        <w:rPr>
          <w:i/>
          <w:w w:val="125"/>
          <w:position w:val="3"/>
          <w:sz w:val="18"/>
        </w:rPr>
        <w:t>9</w:t>
      </w:r>
    </w:p>
    <w:p>
      <w:pPr>
        <w:pStyle w:val="BodyText"/>
        <w:spacing w:line="264" w:lineRule="exact"/>
        <w:ind w:firstLine="0"/>
      </w:pPr>
      <w:r>
        <w:rPr>
          <w:w w:val="125"/>
        </w:rPr>
        <w:t>betéteire, valamint a felsoroltak külföldi megfelelőinek betéteire.</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5"/>
        </w:rPr>
      </w:pPr>
      <w:r>
        <w:rPr/>
        <w:pict>
          <v:line style="position:absolute;mso-position-horizontal-relative:page;mso-position-vertical-relative:paragraph;z-index:2000;mso-wrap-distance-left:0;mso-wrap-distance-right:0" from="56.693001pt,11.016169pt" to="538.583001pt,11.016169pt" stroked="true" strokeweight=".5pt" strokecolor="#000000">
            <v:stroke dashstyle="solid"/>
            <w10:wrap type="topAndBottom"/>
          </v:line>
        </w:pict>
      </w:r>
    </w:p>
    <w:p>
      <w:pPr>
        <w:pStyle w:val="ListParagraph"/>
        <w:numPr>
          <w:ilvl w:val="0"/>
          <w:numId w:val="502"/>
        </w:numPr>
        <w:tabs>
          <w:tab w:pos="686" w:val="left" w:leader="none"/>
          <w:tab w:pos="687" w:val="left" w:leader="none"/>
        </w:tabs>
        <w:spacing w:line="203" w:lineRule="exact" w:before="44" w:after="0"/>
        <w:ind w:left="686" w:right="0" w:hanging="344"/>
        <w:jc w:val="left"/>
        <w:rPr>
          <w:i/>
          <w:sz w:val="18"/>
        </w:rPr>
      </w:pPr>
      <w:r>
        <w:rPr>
          <w:i/>
          <w:w w:val="120"/>
          <w:sz w:val="18"/>
        </w:rPr>
        <w:t>Beiktatta: 2018. évi CXXVI. törvény 108. § (2). Hatályos: 2018. XII.</w:t>
      </w:r>
      <w:r>
        <w:rPr>
          <w:i/>
          <w:spacing w:val="52"/>
          <w:w w:val="120"/>
          <w:sz w:val="18"/>
        </w:rPr>
        <w:t> </w:t>
      </w:r>
      <w:r>
        <w:rPr>
          <w:i/>
          <w:w w:val="120"/>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7"/>
          <w:w w:val="120"/>
          <w:sz w:val="18"/>
        </w:rPr>
        <w:t> </w:t>
      </w:r>
      <w:r>
        <w:rPr>
          <w:i/>
          <w:w w:val="120"/>
          <w:sz w:val="18"/>
        </w:rPr>
        <w:t>helyezte:</w:t>
      </w:r>
      <w:r>
        <w:rPr>
          <w:i/>
          <w:spacing w:val="10"/>
          <w:w w:val="120"/>
          <w:sz w:val="18"/>
        </w:rPr>
        <w:t> </w:t>
      </w:r>
      <w:r>
        <w:rPr>
          <w:i/>
          <w:w w:val="120"/>
          <w:sz w:val="18"/>
        </w:rPr>
        <w:t>2018.</w:t>
      </w:r>
      <w:r>
        <w:rPr>
          <w:i/>
          <w:spacing w:val="7"/>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d).</w:t>
      </w:r>
      <w:r>
        <w:rPr>
          <w:i/>
          <w:spacing w:val="9"/>
          <w:w w:val="120"/>
          <w:sz w:val="18"/>
        </w:rPr>
        <w:t> </w:t>
      </w:r>
      <w:r>
        <w:rPr>
          <w:i/>
          <w:w w:val="120"/>
          <w:sz w:val="18"/>
        </w:rPr>
        <w:t>Hatálytalan:</w:t>
      </w:r>
      <w:r>
        <w:rPr>
          <w:i/>
          <w:spacing w:val="9"/>
          <w:w w:val="120"/>
          <w:sz w:val="18"/>
        </w:rPr>
        <w:t> </w:t>
      </w:r>
      <w:r>
        <w:rPr>
          <w:i/>
          <w:w w:val="120"/>
          <w:sz w:val="18"/>
        </w:rPr>
        <w:t>2018.</w:t>
      </w:r>
      <w:r>
        <w:rPr>
          <w:i/>
          <w:spacing w:val="8"/>
          <w:w w:val="120"/>
          <w:sz w:val="18"/>
        </w:rPr>
        <w:t> </w:t>
      </w:r>
      <w:r>
        <w:rPr>
          <w:i/>
          <w:w w:val="120"/>
          <w:sz w:val="18"/>
        </w:rPr>
        <w:t>XII.</w:t>
      </w:r>
      <w:r>
        <w:rPr>
          <w:i/>
          <w:spacing w:val="8"/>
          <w:w w:val="120"/>
          <w:sz w:val="18"/>
        </w:rPr>
        <w:t> </w:t>
      </w:r>
      <w:r>
        <w:rPr>
          <w:i/>
          <w:w w:val="120"/>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CIV. törvény 74. § (1). Hatályos: 2015. VII.</w:t>
      </w:r>
      <w:r>
        <w:rPr>
          <w:i/>
          <w:spacing w:val="-22"/>
          <w:w w:val="125"/>
          <w:sz w:val="18"/>
        </w:rPr>
        <w:t> </w:t>
      </w:r>
      <w:r>
        <w:rPr>
          <w:i/>
          <w:w w:val="125"/>
          <w:sz w:val="18"/>
        </w:rPr>
        <w:t>3-tól.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109. § (1). Hatályos: 2018. XII.</w:t>
      </w:r>
      <w:r>
        <w:rPr>
          <w:i/>
          <w:spacing w:val="-32"/>
          <w:w w:val="125"/>
          <w:sz w:val="18"/>
        </w:rPr>
        <w:t> </w:t>
      </w:r>
      <w:r>
        <w:rPr>
          <w:i/>
          <w:w w:val="125"/>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221. §. Hatályos: 2015. VII.</w:t>
      </w:r>
      <w:r>
        <w:rPr>
          <w:i/>
          <w:spacing w:val="-23"/>
          <w:w w:val="125"/>
          <w:sz w:val="18"/>
        </w:rPr>
        <w:t> </w:t>
      </w:r>
      <w:r>
        <w:rPr>
          <w:i/>
          <w:w w:val="125"/>
          <w:sz w:val="18"/>
        </w:rPr>
        <w:t>7-től.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Módosította: 2014. évi CIV. törvény 97. §</w:t>
      </w:r>
      <w:r>
        <w:rPr>
          <w:i/>
          <w:spacing w:val="-3"/>
          <w:w w:val="125"/>
          <w:sz w:val="18"/>
        </w:rPr>
        <w:t> </w:t>
      </w:r>
      <w:r>
        <w:rPr>
          <w:i/>
          <w:w w:val="125"/>
          <w:sz w:val="18"/>
        </w:rPr>
        <w:t>d).</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109. § (2). Hatályos: 2018. XII.</w:t>
      </w:r>
      <w:r>
        <w:rPr>
          <w:i/>
          <w:spacing w:val="-32"/>
          <w:w w:val="125"/>
          <w:sz w:val="18"/>
        </w:rPr>
        <w:t> </w:t>
      </w:r>
      <w:r>
        <w:rPr>
          <w:i/>
          <w:w w:val="125"/>
          <w:sz w:val="18"/>
        </w:rPr>
        <w:t>29-től.</w:t>
      </w:r>
    </w:p>
    <w:p>
      <w:pPr>
        <w:pStyle w:val="ListParagraph"/>
        <w:numPr>
          <w:ilvl w:val="0"/>
          <w:numId w:val="5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7"/>
          <w:w w:val="120"/>
          <w:sz w:val="18"/>
        </w:rPr>
        <w:t> </w:t>
      </w:r>
      <w:r>
        <w:rPr>
          <w:i/>
          <w:w w:val="120"/>
          <w:sz w:val="18"/>
        </w:rPr>
        <w:t>évi</w:t>
      </w:r>
      <w:r>
        <w:rPr>
          <w:i/>
          <w:spacing w:val="6"/>
          <w:w w:val="120"/>
          <w:sz w:val="18"/>
        </w:rPr>
        <w:t> </w:t>
      </w:r>
      <w:r>
        <w:rPr>
          <w:i/>
          <w:w w:val="120"/>
          <w:sz w:val="18"/>
        </w:rPr>
        <w:t>CIV.</w:t>
      </w:r>
      <w:r>
        <w:rPr>
          <w:i/>
          <w:spacing w:val="8"/>
          <w:w w:val="120"/>
          <w:sz w:val="18"/>
        </w:rPr>
        <w:t> </w:t>
      </w:r>
      <w:r>
        <w:rPr>
          <w:i/>
          <w:w w:val="120"/>
          <w:sz w:val="18"/>
        </w:rPr>
        <w:t>törvény</w:t>
      </w:r>
      <w:r>
        <w:rPr>
          <w:i/>
          <w:spacing w:val="7"/>
          <w:w w:val="120"/>
          <w:sz w:val="18"/>
        </w:rPr>
        <w:t> </w:t>
      </w:r>
      <w:r>
        <w:rPr>
          <w:i/>
          <w:w w:val="120"/>
          <w:sz w:val="18"/>
        </w:rPr>
        <w:t>97.</w:t>
      </w:r>
      <w:r>
        <w:rPr>
          <w:i/>
          <w:spacing w:val="7"/>
          <w:w w:val="120"/>
          <w:sz w:val="18"/>
        </w:rPr>
        <w:t> </w:t>
      </w:r>
      <w:r>
        <w:rPr>
          <w:i/>
          <w:w w:val="120"/>
          <w:sz w:val="18"/>
        </w:rPr>
        <w:t>§</w:t>
      </w:r>
      <w:r>
        <w:rPr>
          <w:i/>
          <w:spacing w:val="7"/>
          <w:w w:val="120"/>
          <w:sz w:val="18"/>
        </w:rPr>
        <w:t> </w:t>
      </w:r>
      <w:r>
        <w:rPr>
          <w:i/>
          <w:w w:val="120"/>
          <w:sz w:val="18"/>
        </w:rPr>
        <w:t>e).</w:t>
      </w:r>
      <w:r>
        <w:rPr>
          <w:i/>
          <w:spacing w:val="7"/>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VII.</w:t>
      </w:r>
      <w:r>
        <w:rPr>
          <w:i/>
          <w:spacing w:val="8"/>
          <w:w w:val="120"/>
          <w:sz w:val="18"/>
        </w:rPr>
        <w:t> </w:t>
      </w:r>
      <w:r>
        <w:rPr>
          <w:i/>
          <w:w w:val="120"/>
          <w:sz w:val="18"/>
        </w:rPr>
        <w:t>3-tól.</w:t>
      </w:r>
    </w:p>
    <w:p>
      <w:pPr>
        <w:pStyle w:val="ListParagraph"/>
        <w:numPr>
          <w:ilvl w:val="0"/>
          <w:numId w:val="50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7"/>
          <w:w w:val="120"/>
          <w:sz w:val="18"/>
        </w:rPr>
        <w:t> </w:t>
      </w:r>
      <w:r>
        <w:rPr>
          <w:i/>
          <w:w w:val="120"/>
          <w:sz w:val="18"/>
        </w:rPr>
        <w:t>helyezte:</w:t>
      </w:r>
      <w:r>
        <w:rPr>
          <w:i/>
          <w:spacing w:val="10"/>
          <w:w w:val="120"/>
          <w:sz w:val="18"/>
        </w:rPr>
        <w:t> </w:t>
      </w:r>
      <w:r>
        <w:rPr>
          <w:i/>
          <w:w w:val="120"/>
          <w:sz w:val="18"/>
        </w:rPr>
        <w:t>2018.</w:t>
      </w:r>
      <w:r>
        <w:rPr>
          <w:i/>
          <w:spacing w:val="7"/>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d).</w:t>
      </w:r>
      <w:r>
        <w:rPr>
          <w:i/>
          <w:spacing w:val="9"/>
          <w:w w:val="120"/>
          <w:sz w:val="18"/>
        </w:rPr>
        <w:t> </w:t>
      </w:r>
      <w:r>
        <w:rPr>
          <w:i/>
          <w:w w:val="120"/>
          <w:sz w:val="18"/>
        </w:rPr>
        <w:t>Hatálytalan:</w:t>
      </w:r>
      <w:r>
        <w:rPr>
          <w:i/>
          <w:spacing w:val="9"/>
          <w:w w:val="120"/>
          <w:sz w:val="18"/>
        </w:rPr>
        <w:t> </w:t>
      </w:r>
      <w:r>
        <w:rPr>
          <w:i/>
          <w:w w:val="120"/>
          <w:sz w:val="18"/>
        </w:rPr>
        <w:t>2018.</w:t>
      </w:r>
      <w:r>
        <w:rPr>
          <w:i/>
          <w:spacing w:val="8"/>
          <w:w w:val="120"/>
          <w:sz w:val="18"/>
        </w:rPr>
        <w:t> </w:t>
      </w:r>
      <w:r>
        <w:rPr>
          <w:i/>
          <w:w w:val="120"/>
          <w:sz w:val="18"/>
        </w:rPr>
        <w:t>XII.</w:t>
      </w:r>
      <w:r>
        <w:rPr>
          <w:i/>
          <w:spacing w:val="8"/>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ListParagraph"/>
        <w:numPr>
          <w:ilvl w:val="0"/>
          <w:numId w:val="503"/>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Az OBA által nyújtott biztosítás</w:t>
      </w:r>
      <w:r>
        <w:rPr>
          <w:spacing w:val="32"/>
          <w:w w:val="125"/>
          <w:sz w:val="24"/>
        </w:rPr>
        <w:t> </w:t>
      </w:r>
      <w:r>
        <w:rPr>
          <w:w w:val="125"/>
          <w:sz w:val="24"/>
        </w:rPr>
        <w:t>nem terjed ki az olyan betétre, amelyről</w:t>
      </w:r>
    </w:p>
    <w:p>
      <w:pPr>
        <w:pStyle w:val="BodyText"/>
        <w:spacing w:line="225" w:lineRule="auto" w:before="12"/>
        <w:ind w:right="129" w:firstLine="0"/>
        <w:jc w:val="both"/>
      </w:pPr>
      <w:r>
        <w:rPr>
          <w:w w:val="130"/>
        </w:rPr>
        <w:t>bíróság jogerős ítélettel megállapította, hogy az abban elhelyezett összeg pénzmosásból</w:t>
      </w:r>
      <w:r>
        <w:rPr>
          <w:spacing w:val="-18"/>
          <w:w w:val="130"/>
        </w:rPr>
        <w:t> </w:t>
      </w:r>
      <w:r>
        <w:rPr>
          <w:w w:val="130"/>
        </w:rPr>
        <w:t>származik,</w:t>
      </w:r>
      <w:r>
        <w:rPr>
          <w:spacing w:val="-17"/>
          <w:w w:val="130"/>
        </w:rPr>
        <w:t> </w:t>
      </w:r>
      <w:r>
        <w:rPr>
          <w:w w:val="130"/>
        </w:rPr>
        <w:t>valamint</w:t>
      </w:r>
      <w:r>
        <w:rPr>
          <w:spacing w:val="-18"/>
          <w:w w:val="130"/>
        </w:rPr>
        <w:t> </w:t>
      </w:r>
      <w:r>
        <w:rPr>
          <w:w w:val="130"/>
        </w:rPr>
        <w:t>a</w:t>
      </w:r>
      <w:r>
        <w:rPr>
          <w:spacing w:val="-17"/>
          <w:w w:val="130"/>
        </w:rPr>
        <w:t> </w:t>
      </w:r>
      <w:r>
        <w:rPr>
          <w:w w:val="130"/>
        </w:rPr>
        <w:t>hitelintézet</w:t>
      </w:r>
      <w:r>
        <w:rPr>
          <w:spacing w:val="-18"/>
          <w:w w:val="130"/>
        </w:rPr>
        <w:t> </w:t>
      </w:r>
      <w:r>
        <w:rPr>
          <w:w w:val="130"/>
        </w:rPr>
        <w:t>szavatoló</w:t>
      </w:r>
      <w:r>
        <w:rPr>
          <w:spacing w:val="-12"/>
          <w:w w:val="130"/>
        </w:rPr>
        <w:t> </w:t>
      </w:r>
      <w:r>
        <w:rPr>
          <w:w w:val="130"/>
        </w:rPr>
        <w:t>tőkéjére,</w:t>
      </w:r>
      <w:r>
        <w:rPr>
          <w:spacing w:val="-22"/>
          <w:w w:val="130"/>
        </w:rPr>
        <w:t> </w:t>
      </w:r>
      <w:r>
        <w:rPr>
          <w:w w:val="130"/>
        </w:rPr>
        <w:t>továbbá</w:t>
      </w:r>
      <w:r>
        <w:rPr>
          <w:spacing w:val="-18"/>
          <w:w w:val="130"/>
        </w:rPr>
        <w:t> </w:t>
      </w:r>
      <w:r>
        <w:rPr>
          <w:w w:val="130"/>
        </w:rPr>
        <w:t>a hitelintézet által kibocsátott hitelviszonyt megtestesítő értékpapírra és saját váltóra.</w:t>
      </w:r>
    </w:p>
    <w:p>
      <w:pPr>
        <w:pStyle w:val="ListParagraph"/>
        <w:numPr>
          <w:ilvl w:val="0"/>
          <w:numId w:val="503"/>
        </w:numPr>
        <w:tabs>
          <w:tab w:pos="659" w:val="left" w:leader="none"/>
        </w:tabs>
        <w:spacing w:line="251" w:lineRule="exact" w:before="0" w:after="0"/>
        <w:ind w:left="658" w:right="0" w:hanging="341"/>
        <w:jc w:val="left"/>
        <w:rPr>
          <w:sz w:val="24"/>
        </w:rPr>
      </w:pPr>
      <w:r>
        <w:rPr>
          <w:i/>
          <w:w w:val="125"/>
          <w:position w:val="3"/>
          <w:sz w:val="18"/>
        </w:rPr>
        <w:t>2 </w:t>
      </w:r>
      <w:r>
        <w:rPr>
          <w:w w:val="125"/>
          <w:sz w:val="24"/>
        </w:rPr>
        <w:t>Az</w:t>
      </w:r>
      <w:r>
        <w:rPr>
          <w:spacing w:val="18"/>
          <w:w w:val="125"/>
          <w:sz w:val="24"/>
        </w:rPr>
        <w:t> </w:t>
      </w:r>
      <w:r>
        <w:rPr>
          <w:w w:val="125"/>
          <w:sz w:val="24"/>
        </w:rPr>
        <w:t>(1)</w:t>
      </w:r>
      <w:r>
        <w:rPr>
          <w:spacing w:val="19"/>
          <w:w w:val="125"/>
          <w:sz w:val="24"/>
        </w:rPr>
        <w:t> </w:t>
      </w:r>
      <w:r>
        <w:rPr>
          <w:w w:val="125"/>
          <w:sz w:val="24"/>
        </w:rPr>
        <w:t>bekezdés</w:t>
      </w:r>
      <w:r>
        <w:rPr>
          <w:spacing w:val="19"/>
          <w:w w:val="125"/>
          <w:sz w:val="24"/>
        </w:rPr>
        <w:t> </w:t>
      </w:r>
      <w:r>
        <w:rPr>
          <w:i/>
          <w:w w:val="125"/>
          <w:sz w:val="24"/>
        </w:rPr>
        <w:t>a)</w:t>
      </w:r>
      <w:r>
        <w:rPr>
          <w:i/>
          <w:spacing w:val="19"/>
          <w:w w:val="125"/>
          <w:sz w:val="24"/>
        </w:rPr>
        <w:t> </w:t>
      </w:r>
      <w:r>
        <w:rPr>
          <w:w w:val="125"/>
          <w:sz w:val="24"/>
        </w:rPr>
        <w:t>és</w:t>
      </w:r>
      <w:r>
        <w:rPr>
          <w:spacing w:val="19"/>
          <w:w w:val="125"/>
          <w:sz w:val="24"/>
        </w:rPr>
        <w:t> </w:t>
      </w:r>
      <w:r>
        <w:rPr>
          <w:i/>
          <w:w w:val="125"/>
          <w:sz w:val="24"/>
        </w:rPr>
        <w:t>c)</w:t>
      </w:r>
      <w:r>
        <w:rPr>
          <w:i/>
          <w:spacing w:val="19"/>
          <w:w w:val="125"/>
          <w:sz w:val="24"/>
        </w:rPr>
        <w:t> </w:t>
      </w:r>
      <w:r>
        <w:rPr>
          <w:w w:val="125"/>
          <w:sz w:val="24"/>
        </w:rPr>
        <w:t>pontjától</w:t>
      </w:r>
      <w:r>
        <w:rPr>
          <w:spacing w:val="35"/>
          <w:w w:val="125"/>
          <w:sz w:val="24"/>
        </w:rPr>
        <w:t> </w:t>
      </w:r>
      <w:r>
        <w:rPr>
          <w:w w:val="125"/>
          <w:sz w:val="24"/>
        </w:rPr>
        <w:t>eltérően</w:t>
      </w:r>
      <w:r>
        <w:rPr>
          <w:spacing w:val="2"/>
          <w:w w:val="125"/>
          <w:sz w:val="24"/>
        </w:rPr>
        <w:t> </w:t>
      </w:r>
      <w:r>
        <w:rPr>
          <w:w w:val="125"/>
          <w:sz w:val="24"/>
        </w:rPr>
        <w:t>az</w:t>
      </w:r>
      <w:r>
        <w:rPr>
          <w:spacing w:val="19"/>
          <w:w w:val="125"/>
          <w:sz w:val="24"/>
        </w:rPr>
        <w:t> </w:t>
      </w:r>
      <w:r>
        <w:rPr>
          <w:w w:val="125"/>
          <w:sz w:val="24"/>
        </w:rPr>
        <w:t>OBA</w:t>
      </w:r>
      <w:r>
        <w:rPr>
          <w:spacing w:val="19"/>
          <w:w w:val="125"/>
          <w:sz w:val="24"/>
        </w:rPr>
        <w:t> </w:t>
      </w:r>
      <w:r>
        <w:rPr>
          <w:w w:val="125"/>
          <w:sz w:val="24"/>
        </w:rPr>
        <w:t>által</w:t>
      </w:r>
      <w:r>
        <w:rPr>
          <w:spacing w:val="19"/>
          <w:w w:val="125"/>
          <w:sz w:val="24"/>
        </w:rPr>
        <w:t> </w:t>
      </w:r>
      <w:r>
        <w:rPr>
          <w:w w:val="125"/>
          <w:sz w:val="24"/>
        </w:rPr>
        <w:t>nyújtott</w:t>
      </w:r>
    </w:p>
    <w:p>
      <w:pPr>
        <w:pStyle w:val="BodyText"/>
        <w:spacing w:line="225" w:lineRule="auto" w:before="12"/>
        <w:ind w:right="125" w:firstLine="0"/>
        <w:jc w:val="both"/>
      </w:pPr>
      <w:r>
        <w:rPr>
          <w:w w:val="125"/>
        </w:rPr>
        <w:t>biztosítás kiterjed a helyi önkormányzat, valamint a helyi önkormányzat által alapított költségvetési szerv betétjére, amennyiben a tárgyévet két évvel megelőző évi beszámolója adatai alapján a helyi önkormányzat költségvetési mérlegfőösszege nem haladja meg az ötszázezer eurót.</w:t>
      </w:r>
    </w:p>
    <w:p>
      <w:pPr>
        <w:pStyle w:val="ListParagraph"/>
        <w:numPr>
          <w:ilvl w:val="0"/>
          <w:numId w:val="503"/>
        </w:numPr>
        <w:tabs>
          <w:tab w:pos="659" w:val="left" w:leader="none"/>
        </w:tabs>
        <w:spacing w:line="225" w:lineRule="auto" w:before="2" w:after="0"/>
        <w:ind w:left="113" w:right="125" w:firstLine="204"/>
        <w:jc w:val="both"/>
        <w:rPr>
          <w:sz w:val="24"/>
        </w:rPr>
      </w:pPr>
      <w:r>
        <w:rPr>
          <w:i/>
          <w:w w:val="125"/>
          <w:position w:val="3"/>
          <w:sz w:val="18"/>
        </w:rPr>
        <w:t>3 </w:t>
      </w:r>
      <w:r>
        <w:rPr>
          <w:w w:val="125"/>
          <w:sz w:val="24"/>
        </w:rPr>
        <w:t>A (3) bekezdésben meghatározott összeghatár forintösszegét a tárgyévet két évvel megelőző év utolsó munkanapján érvényes, a jegybanki feladatkörében eljáró MNB által közzétett hivatalos devizaárfolyam  alapján kell meghatározni.</w:t>
      </w:r>
    </w:p>
    <w:p>
      <w:pPr>
        <w:pStyle w:val="ListParagraph"/>
        <w:numPr>
          <w:ilvl w:val="0"/>
          <w:numId w:val="503"/>
        </w:numPr>
        <w:tabs>
          <w:tab w:pos="659" w:val="left" w:leader="none"/>
          <w:tab w:pos="992" w:val="left" w:leader="none"/>
          <w:tab w:pos="1386" w:val="left" w:leader="none"/>
          <w:tab w:pos="3125" w:val="left" w:leader="none"/>
          <w:tab w:pos="3607" w:val="left" w:leader="none"/>
          <w:tab w:pos="4373" w:val="left" w:leader="none"/>
          <w:tab w:pos="5129" w:val="left" w:leader="none"/>
          <w:tab w:pos="6581" w:val="left" w:leader="none"/>
          <w:tab w:pos="7957" w:val="left" w:leader="none"/>
          <w:tab w:pos="8447" w:val="left" w:leader="none"/>
          <w:tab w:pos="9213" w:val="left" w:leader="none"/>
        </w:tabs>
        <w:spacing w:line="251" w:lineRule="exact" w:before="0" w:after="0"/>
        <w:ind w:left="658" w:right="0" w:hanging="341"/>
        <w:jc w:val="left"/>
        <w:rPr>
          <w:sz w:val="24"/>
        </w:rPr>
      </w:pPr>
      <w:r>
        <w:rPr>
          <w:i/>
          <w:w w:val="125"/>
          <w:position w:val="3"/>
          <w:sz w:val="18"/>
        </w:rPr>
        <w:t>4</w:t>
        <w:tab/>
      </w:r>
      <w:r>
        <w:rPr>
          <w:w w:val="125"/>
          <w:sz w:val="24"/>
        </w:rPr>
        <w:t>A</w:t>
        <w:tab/>
        <w:t>tagintézetek</w:t>
        <w:tab/>
        <w:t>az</w:t>
        <w:tab/>
        <w:t>OBA</w:t>
        <w:tab/>
        <w:t>által</w:t>
        <w:tab/>
        <w:t>biztosított</w:t>
        <w:tab/>
        <w:t>betéteket</w:t>
        <w:tab/>
        <w:t>az</w:t>
        <w:tab/>
        <w:t>OBA</w:t>
        <w:tab/>
        <w:t>által</w:t>
      </w:r>
    </w:p>
    <w:p>
      <w:pPr>
        <w:pStyle w:val="BodyText"/>
        <w:spacing w:line="275" w:lineRule="exact"/>
        <w:ind w:firstLine="0"/>
      </w:pPr>
      <w:r>
        <w:rPr>
          <w:w w:val="125"/>
        </w:rPr>
        <w:t>meghatározott módon megjelölik.</w:t>
      </w:r>
    </w:p>
    <w:p>
      <w:pPr>
        <w:pStyle w:val="BodyText"/>
        <w:spacing w:before="224"/>
        <w:ind w:left="2717" w:firstLine="0"/>
      </w:pPr>
      <w:r>
        <w:rPr>
          <w:w w:val="125"/>
        </w:rPr>
        <w:t>87. Az OBA által fizetett kártalanítás</w:t>
      </w:r>
    </w:p>
    <w:p>
      <w:pPr>
        <w:pStyle w:val="BodyText"/>
        <w:spacing w:before="7"/>
        <w:ind w:left="0" w:firstLine="0"/>
        <w:rPr>
          <w:sz w:val="10"/>
        </w:rPr>
      </w:pPr>
    </w:p>
    <w:p>
      <w:pPr>
        <w:pStyle w:val="ListParagraph"/>
        <w:numPr>
          <w:ilvl w:val="0"/>
          <w:numId w:val="458"/>
        </w:numPr>
        <w:tabs>
          <w:tab w:pos="1122" w:val="left" w:leader="none"/>
          <w:tab w:pos="1123" w:val="left" w:leader="none"/>
          <w:tab w:pos="1470" w:val="left" w:leader="none"/>
          <w:tab w:pos="2138" w:val="left" w:leader="none"/>
          <w:tab w:pos="2652" w:val="left" w:leader="none"/>
          <w:tab w:pos="3411" w:val="left" w:leader="none"/>
          <w:tab w:pos="3768" w:val="left" w:leader="none"/>
          <w:tab w:pos="5690" w:val="left" w:leader="none"/>
          <w:tab w:pos="6872" w:val="left" w:leader="none"/>
          <w:tab w:pos="8059" w:val="left" w:leader="none"/>
          <w:tab w:pos="9178" w:val="left" w:leader="none"/>
        </w:tabs>
        <w:spacing w:line="262" w:lineRule="exact" w:before="101" w:after="0"/>
        <w:ind w:left="1122" w:right="0" w:hanging="805"/>
        <w:jc w:val="left"/>
        <w:rPr>
          <w:sz w:val="24"/>
        </w:rPr>
      </w:pPr>
      <w:r>
        <w:rPr>
          <w:rFonts w:ascii="Arial" w:hAnsi="Arial"/>
          <w:b/>
          <w:w w:val="120"/>
          <w:sz w:val="24"/>
        </w:rPr>
        <w:t>§</w:t>
        <w:tab/>
      </w:r>
      <w:r>
        <w:rPr>
          <w:w w:val="120"/>
          <w:sz w:val="24"/>
        </w:rPr>
        <w:t>(1)</w:t>
      </w:r>
      <w:r>
        <w:rPr>
          <w:i/>
          <w:w w:val="120"/>
          <w:position w:val="3"/>
          <w:sz w:val="18"/>
        </w:rPr>
        <w:t>5</w:t>
        <w:tab/>
      </w:r>
      <w:r>
        <w:rPr>
          <w:w w:val="120"/>
          <w:sz w:val="24"/>
        </w:rPr>
        <w:t>Az</w:t>
        <w:tab/>
        <w:t>OBA</w:t>
        <w:tab/>
        <w:t>a</w:t>
        <w:tab/>
        <w:t>kártalanításra</w:t>
        <w:tab/>
        <w:t>jogosult</w:t>
        <w:tab/>
        <w:t>személy</w:t>
        <w:tab/>
        <w:t>részére</w:t>
        <w:tab/>
        <w:t>azon</w:t>
      </w:r>
    </w:p>
    <w:p>
      <w:pPr>
        <w:pStyle w:val="BodyText"/>
        <w:spacing w:line="225" w:lineRule="auto" w:before="12"/>
        <w:ind w:right="120" w:firstLine="0"/>
        <w:jc w:val="both"/>
      </w:pPr>
      <w:r>
        <w:rPr>
          <w:w w:val="130"/>
        </w:rPr>
        <w:t>betétkövetelésből, amely olyan hitelintézettel szemben áll fenn, amelynek engedélyét</w:t>
      </w:r>
      <w:r>
        <w:rPr>
          <w:spacing w:val="-23"/>
          <w:w w:val="130"/>
        </w:rPr>
        <w:t> </w:t>
      </w:r>
      <w:r>
        <w:rPr>
          <w:w w:val="130"/>
        </w:rPr>
        <w:t>a</w:t>
      </w:r>
      <w:r>
        <w:rPr>
          <w:spacing w:val="-22"/>
          <w:w w:val="130"/>
        </w:rPr>
        <w:t> </w:t>
      </w:r>
      <w:r>
        <w:rPr>
          <w:w w:val="130"/>
        </w:rPr>
        <w:t>Felügyelet</w:t>
      </w:r>
      <w:r>
        <w:rPr>
          <w:spacing w:val="-22"/>
          <w:w w:val="130"/>
        </w:rPr>
        <w:t> </w:t>
      </w:r>
      <w:r>
        <w:rPr>
          <w:w w:val="130"/>
        </w:rPr>
        <w:t>a</w:t>
      </w:r>
      <w:r>
        <w:rPr>
          <w:spacing w:val="-22"/>
          <w:w w:val="130"/>
        </w:rPr>
        <w:t> </w:t>
      </w:r>
      <w:r>
        <w:rPr>
          <w:w w:val="130"/>
        </w:rPr>
        <w:t>33.</w:t>
      </w:r>
      <w:r>
        <w:rPr>
          <w:spacing w:val="-22"/>
          <w:w w:val="130"/>
        </w:rPr>
        <w:t> </w:t>
      </w:r>
      <w:r>
        <w:rPr>
          <w:w w:val="130"/>
        </w:rPr>
        <w:t>§</w:t>
      </w:r>
      <w:r>
        <w:rPr>
          <w:spacing w:val="-22"/>
          <w:w w:val="130"/>
        </w:rPr>
        <w:t> </w:t>
      </w:r>
      <w:r>
        <w:rPr>
          <w:w w:val="130"/>
        </w:rPr>
        <w:t>(1)</w:t>
      </w:r>
      <w:r>
        <w:rPr>
          <w:spacing w:val="-23"/>
          <w:w w:val="130"/>
        </w:rPr>
        <w:t> </w:t>
      </w:r>
      <w:r>
        <w:rPr>
          <w:w w:val="130"/>
        </w:rPr>
        <w:t>bekezdése</w:t>
      </w:r>
      <w:r>
        <w:rPr>
          <w:spacing w:val="-22"/>
          <w:w w:val="130"/>
        </w:rPr>
        <w:t> </w:t>
      </w:r>
      <w:r>
        <w:rPr>
          <w:w w:val="130"/>
        </w:rPr>
        <w:t>vagy</w:t>
      </w:r>
      <w:r>
        <w:rPr>
          <w:spacing w:val="-22"/>
          <w:w w:val="130"/>
        </w:rPr>
        <w:t> </w:t>
      </w:r>
      <w:r>
        <w:rPr>
          <w:w w:val="130"/>
        </w:rPr>
        <w:t>33.</w:t>
      </w:r>
      <w:r>
        <w:rPr>
          <w:spacing w:val="-22"/>
          <w:w w:val="130"/>
        </w:rPr>
        <w:t> </w:t>
      </w:r>
      <w:r>
        <w:rPr>
          <w:w w:val="130"/>
        </w:rPr>
        <w:t>§</w:t>
      </w:r>
      <w:r>
        <w:rPr>
          <w:spacing w:val="-22"/>
          <w:w w:val="130"/>
        </w:rPr>
        <w:t> </w:t>
      </w:r>
      <w:r>
        <w:rPr>
          <w:w w:val="130"/>
        </w:rPr>
        <w:t>(2)</w:t>
      </w:r>
      <w:r>
        <w:rPr>
          <w:spacing w:val="-22"/>
          <w:w w:val="130"/>
        </w:rPr>
        <w:t> </w:t>
      </w:r>
      <w:r>
        <w:rPr>
          <w:w w:val="130"/>
        </w:rPr>
        <w:t>bekezdés</w:t>
      </w:r>
      <w:r>
        <w:rPr>
          <w:spacing w:val="-19"/>
          <w:w w:val="130"/>
        </w:rPr>
        <w:t> </w:t>
      </w:r>
      <w:r>
        <w:rPr>
          <w:i/>
          <w:w w:val="130"/>
        </w:rPr>
        <w:t>c)</w:t>
      </w:r>
      <w:r>
        <w:rPr>
          <w:i/>
          <w:spacing w:val="-22"/>
          <w:w w:val="130"/>
        </w:rPr>
        <w:t> </w:t>
      </w:r>
      <w:r>
        <w:rPr>
          <w:w w:val="130"/>
        </w:rPr>
        <w:t>pontja alapján vonta vissza, vagy amelynek felszámolását a bíróság elrendelte, először a tőke, majd a kamat összegét személyenként és hitelintézetenként összevontan</w:t>
      </w:r>
      <w:r>
        <w:rPr>
          <w:spacing w:val="-22"/>
          <w:w w:val="130"/>
        </w:rPr>
        <w:t> </w:t>
      </w:r>
      <w:r>
        <w:rPr>
          <w:w w:val="130"/>
        </w:rPr>
        <w:t>legfeljebb</w:t>
      </w:r>
      <w:r>
        <w:rPr>
          <w:spacing w:val="-22"/>
          <w:w w:val="130"/>
        </w:rPr>
        <w:t> </w:t>
      </w:r>
      <w:r>
        <w:rPr>
          <w:w w:val="130"/>
        </w:rPr>
        <w:t>százezer</w:t>
      </w:r>
      <w:r>
        <w:rPr>
          <w:spacing w:val="-22"/>
          <w:w w:val="130"/>
        </w:rPr>
        <w:t> </w:t>
      </w:r>
      <w:r>
        <w:rPr>
          <w:w w:val="130"/>
        </w:rPr>
        <w:t>euró</w:t>
      </w:r>
      <w:r>
        <w:rPr>
          <w:spacing w:val="-22"/>
          <w:w w:val="130"/>
        </w:rPr>
        <w:t> </w:t>
      </w:r>
      <w:r>
        <w:rPr>
          <w:w w:val="130"/>
        </w:rPr>
        <w:t>összeghatárig</w:t>
      </w:r>
      <w:r>
        <w:rPr>
          <w:spacing w:val="-22"/>
          <w:w w:val="130"/>
        </w:rPr>
        <w:t> </w:t>
      </w:r>
      <w:r>
        <w:rPr>
          <w:w w:val="130"/>
        </w:rPr>
        <w:t>-</w:t>
      </w:r>
      <w:r>
        <w:rPr>
          <w:spacing w:val="-22"/>
          <w:w w:val="130"/>
        </w:rPr>
        <w:t> </w:t>
      </w:r>
      <w:r>
        <w:rPr>
          <w:w w:val="130"/>
        </w:rPr>
        <w:t>a</w:t>
      </w:r>
      <w:r>
        <w:rPr>
          <w:spacing w:val="-22"/>
          <w:w w:val="130"/>
        </w:rPr>
        <w:t> </w:t>
      </w:r>
      <w:r>
        <w:rPr>
          <w:w w:val="130"/>
        </w:rPr>
        <w:t>(4)</w:t>
      </w:r>
      <w:r>
        <w:rPr>
          <w:spacing w:val="-22"/>
          <w:w w:val="130"/>
        </w:rPr>
        <w:t> </w:t>
      </w:r>
      <w:r>
        <w:rPr>
          <w:w w:val="130"/>
        </w:rPr>
        <w:t>bekezdésben</w:t>
      </w:r>
      <w:r>
        <w:rPr>
          <w:spacing w:val="-22"/>
          <w:w w:val="130"/>
        </w:rPr>
        <w:t> </w:t>
      </w:r>
      <w:r>
        <w:rPr>
          <w:w w:val="130"/>
        </w:rPr>
        <w:t>foglalt kivétellel - forintban fizeti ki</w:t>
      </w:r>
      <w:r>
        <w:rPr>
          <w:spacing w:val="-28"/>
          <w:w w:val="130"/>
        </w:rPr>
        <w:t> </w:t>
      </w:r>
      <w:r>
        <w:rPr>
          <w:w w:val="130"/>
        </w:rPr>
        <w:t>kártalanításként.</w:t>
      </w:r>
    </w:p>
    <w:p>
      <w:pPr>
        <w:pStyle w:val="ListParagraph"/>
        <w:numPr>
          <w:ilvl w:val="0"/>
          <w:numId w:val="504"/>
        </w:numPr>
        <w:tabs>
          <w:tab w:pos="817" w:val="left" w:leader="none"/>
        </w:tabs>
        <w:spacing w:line="225" w:lineRule="auto" w:before="3" w:after="0"/>
        <w:ind w:left="113" w:right="114" w:firstLine="204"/>
        <w:jc w:val="both"/>
        <w:rPr>
          <w:sz w:val="24"/>
        </w:rPr>
      </w:pPr>
      <w:r>
        <w:rPr>
          <w:w w:val="125"/>
          <w:sz w:val="24"/>
        </w:rPr>
        <w:t>A kártalanítás forintösszegét a kártalanítás 217. § (1) bekezdésében meghatározott kezdő időpontjának napját megelőző napon érvényes  a jegybanki feladatkörében eljáró MNB által közzétett hivatalos devizaárfolyam alapján kell meghatározni.</w:t>
      </w:r>
    </w:p>
    <w:p>
      <w:pPr>
        <w:pStyle w:val="ListParagraph"/>
        <w:numPr>
          <w:ilvl w:val="0"/>
          <w:numId w:val="504"/>
        </w:numPr>
        <w:tabs>
          <w:tab w:pos="790" w:val="left" w:leader="none"/>
        </w:tabs>
        <w:spacing w:line="225" w:lineRule="auto" w:before="3" w:after="0"/>
        <w:ind w:left="113" w:right="129" w:firstLine="204"/>
        <w:jc w:val="both"/>
        <w:rPr>
          <w:sz w:val="24"/>
        </w:rPr>
      </w:pPr>
      <w:r>
        <w:rPr>
          <w:w w:val="125"/>
          <w:sz w:val="24"/>
        </w:rPr>
        <w:t>Devizabetét esetén a kártalanítás összegének, valamint az e bekezdés szerinti összeghatárának  megállapítása - a  kifizetés időpontjától függetlenül -  a kártalanítás 217. § (1) bekezdésében meghatározott kezdő időpontjának  napját megelőző napon érvényes, a jegybanki feladatkörében eljáró MNB által közzétett hivatalos devizaárfolyamon</w:t>
      </w:r>
      <w:r>
        <w:rPr>
          <w:spacing w:val="3"/>
          <w:w w:val="125"/>
          <w:sz w:val="24"/>
        </w:rPr>
        <w:t> </w:t>
      </w:r>
      <w:r>
        <w:rPr>
          <w:w w:val="125"/>
          <w:sz w:val="24"/>
        </w:rPr>
        <w:t>történik.</w:t>
      </w:r>
    </w:p>
    <w:p>
      <w:pPr>
        <w:pStyle w:val="ListParagraph"/>
        <w:numPr>
          <w:ilvl w:val="0"/>
          <w:numId w:val="504"/>
        </w:numPr>
        <w:tabs>
          <w:tab w:pos="976" w:val="left" w:leader="none"/>
        </w:tabs>
        <w:spacing w:line="225" w:lineRule="auto" w:before="3" w:after="0"/>
        <w:ind w:left="113" w:right="117" w:firstLine="204"/>
        <w:jc w:val="both"/>
        <w:rPr>
          <w:sz w:val="24"/>
        </w:rPr>
      </w:pPr>
      <w:r>
        <w:rPr>
          <w:w w:val="125"/>
          <w:sz w:val="24"/>
        </w:rPr>
        <w:t>A Magyarországon székhellyel rendelkező hitelintézet külföldi fióktelepénél elhelyezett betétek alapján járó kártalanítást az OBA a fióktelep országának hivatalos devizanemében fizeti ki. Ha a fióktelep országának hivatalos devizája nem euró, először a kártalanítási összeghatárnak megfelelő forintösszeget kell a 217. § (1) bekezdésében meghatározott kezdő időpontot megelőző napon érvényes, a jegybanki feladatkörében eljáró MNB által közzétett hivatalos devizaárfolyamon megállapítani, majd ugyanezen napi a jegybanki feladatkörében eljáró MNB által közzétett hivatalos forint/devizaárfolyamon a fióktelep országának hivatalos devizájában a kártalanítás összegét</w:t>
      </w:r>
      <w:r>
        <w:rPr>
          <w:spacing w:val="4"/>
          <w:w w:val="125"/>
          <w:sz w:val="24"/>
        </w:rPr>
        <w:t> </w:t>
      </w:r>
      <w:r>
        <w:rPr>
          <w:w w:val="125"/>
          <w:sz w:val="24"/>
        </w:rPr>
        <w:t>megállapítani.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
        <w:ind w:left="0" w:firstLine="0"/>
        <w:rPr>
          <w:sz w:val="15"/>
        </w:rPr>
      </w:pPr>
      <w:r>
        <w:rPr/>
        <w:pict>
          <v:line style="position:absolute;mso-position-horizontal-relative:page;mso-position-vertical-relative:paragraph;z-index:2024;mso-wrap-distance-left:0;mso-wrap-distance-right:0" from="56.693001pt,10.896269pt" to="538.583001pt,10.896269pt" stroked="true" strokeweight=".5pt" strokecolor="#000000">
            <v:stroke dashstyle="solid"/>
            <w10:wrap type="topAndBottom"/>
          </v:line>
        </w:pict>
      </w:r>
    </w:p>
    <w:p>
      <w:pPr>
        <w:pStyle w:val="ListParagraph"/>
        <w:numPr>
          <w:ilvl w:val="0"/>
          <w:numId w:val="505"/>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109. § (3). Hatályos: 2018. XII.</w:t>
      </w:r>
      <w:r>
        <w:rPr>
          <w:i/>
          <w:spacing w:val="-32"/>
          <w:w w:val="125"/>
          <w:sz w:val="18"/>
        </w:rPr>
        <w:t> </w:t>
      </w:r>
      <w:r>
        <w:rPr>
          <w:i/>
          <w:w w:val="125"/>
          <w:sz w:val="18"/>
        </w:rPr>
        <w:t>29-től.</w:t>
      </w:r>
    </w:p>
    <w:p>
      <w:pPr>
        <w:pStyle w:val="ListParagraph"/>
        <w:numPr>
          <w:ilvl w:val="0"/>
          <w:numId w:val="505"/>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74.</w:t>
      </w:r>
      <w:r>
        <w:rPr>
          <w:i/>
          <w:spacing w:val="14"/>
          <w:w w:val="120"/>
          <w:sz w:val="18"/>
        </w:rPr>
        <w:t> </w:t>
      </w:r>
      <w:r>
        <w:rPr>
          <w:i/>
          <w:w w:val="120"/>
          <w:sz w:val="18"/>
        </w:rPr>
        <w:t>§</w:t>
      </w:r>
      <w:r>
        <w:rPr>
          <w:i/>
          <w:spacing w:val="15"/>
          <w:w w:val="120"/>
          <w:sz w:val="18"/>
        </w:rPr>
        <w:t> </w:t>
      </w:r>
      <w:r>
        <w:rPr>
          <w:i/>
          <w:w w:val="120"/>
          <w:sz w:val="18"/>
        </w:rPr>
        <w:t>(3).</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05"/>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74.</w:t>
      </w:r>
      <w:r>
        <w:rPr>
          <w:i/>
          <w:spacing w:val="14"/>
          <w:w w:val="120"/>
          <w:sz w:val="18"/>
        </w:rPr>
        <w:t> </w:t>
      </w:r>
      <w:r>
        <w:rPr>
          <w:i/>
          <w:w w:val="120"/>
          <w:sz w:val="18"/>
        </w:rPr>
        <w:t>§</w:t>
      </w:r>
      <w:r>
        <w:rPr>
          <w:i/>
          <w:spacing w:val="15"/>
          <w:w w:val="120"/>
          <w:sz w:val="18"/>
        </w:rPr>
        <w:t> </w:t>
      </w:r>
      <w:r>
        <w:rPr>
          <w:i/>
          <w:w w:val="120"/>
          <w:sz w:val="18"/>
        </w:rPr>
        <w:t>(3).</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05"/>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74.</w:t>
      </w:r>
      <w:r>
        <w:rPr>
          <w:i/>
          <w:spacing w:val="14"/>
          <w:w w:val="120"/>
          <w:sz w:val="18"/>
        </w:rPr>
        <w:t> </w:t>
      </w:r>
      <w:r>
        <w:rPr>
          <w:i/>
          <w:w w:val="120"/>
          <w:sz w:val="18"/>
        </w:rPr>
        <w:t>§</w:t>
      </w:r>
      <w:r>
        <w:rPr>
          <w:i/>
          <w:spacing w:val="15"/>
          <w:w w:val="120"/>
          <w:sz w:val="18"/>
        </w:rPr>
        <w:t> </w:t>
      </w:r>
      <w:r>
        <w:rPr>
          <w:i/>
          <w:w w:val="120"/>
          <w:sz w:val="18"/>
        </w:rPr>
        <w:t>(3).</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tabs>
          <w:tab w:pos="686" w:val="left" w:leader="none"/>
        </w:tabs>
        <w:spacing w:line="203" w:lineRule="exact" w:before="0"/>
        <w:ind w:left="342" w:right="0" w:firstLine="0"/>
        <w:jc w:val="left"/>
        <w:rPr>
          <w:i/>
          <w:sz w:val="18"/>
        </w:rPr>
      </w:pPr>
      <w:r>
        <w:rPr>
          <w:i/>
          <w:w w:val="125"/>
          <w:sz w:val="18"/>
        </w:rPr>
        <w:t>5</w:t>
        <w:tab/>
        <w:t>Módosította: 2017. évi CXLV. törvény 134. § c), 2018. évi CXXVI. törvény 120. §</w:t>
      </w:r>
      <w:r>
        <w:rPr>
          <w:i/>
          <w:spacing w:val="-31"/>
          <w:w w:val="125"/>
          <w:sz w:val="18"/>
        </w:rPr>
        <w:t> </w:t>
      </w:r>
      <w:r>
        <w:rPr>
          <w:i/>
          <w:w w:val="125"/>
          <w:sz w:val="18"/>
        </w:rPr>
        <w:t>7.</w:t>
      </w:r>
    </w:p>
    <w:p>
      <w:pPr>
        <w:spacing w:after="0" w:line="203" w:lineRule="exact"/>
        <w:jc w:val="left"/>
        <w:rPr>
          <w:sz w:val="18"/>
        </w:rPr>
        <w:sectPr>
          <w:pgSz w:w="11900" w:h="16820"/>
          <w:pgMar w:header="1104" w:footer="0" w:top="1840" w:bottom="280" w:left="1020" w:right="1000"/>
        </w:sectPr>
      </w:pPr>
    </w:p>
    <w:p>
      <w:pPr>
        <w:pStyle w:val="ListParagraph"/>
        <w:numPr>
          <w:ilvl w:val="0"/>
          <w:numId w:val="504"/>
        </w:numPr>
        <w:tabs>
          <w:tab w:pos="659" w:val="left" w:leader="none"/>
          <w:tab w:pos="1063" w:val="left" w:leader="none"/>
          <w:tab w:pos="1647" w:val="left" w:leader="none"/>
          <w:tab w:pos="2481" w:val="left" w:leader="none"/>
          <w:tab w:pos="3337" w:val="left" w:leader="none"/>
          <w:tab w:pos="5403" w:val="left" w:leader="none"/>
          <w:tab w:pos="7170" w:val="left" w:leader="none"/>
          <w:tab w:pos="8083" w:val="left" w:leader="none"/>
          <w:tab w:pos="9095" w:val="left" w:leader="none"/>
        </w:tabs>
        <w:spacing w:line="261" w:lineRule="exact" w:before="159" w:after="0"/>
        <w:ind w:left="658" w:right="0" w:hanging="341"/>
        <w:jc w:val="left"/>
        <w:rPr>
          <w:sz w:val="24"/>
        </w:rPr>
      </w:pPr>
      <w:r>
        <w:rPr>
          <w:i/>
          <w:w w:val="125"/>
          <w:position w:val="3"/>
          <w:sz w:val="18"/>
        </w:rPr>
        <w:t>1</w:t>
        <w:tab/>
      </w:r>
      <w:r>
        <w:rPr>
          <w:w w:val="125"/>
          <w:sz w:val="24"/>
        </w:rPr>
        <w:t>Az</w:t>
        <w:tab/>
        <w:t>OBA</w:t>
        <w:tab/>
        <w:t>azon</w:t>
        <w:tab/>
        <w:t>betétkövetelés</w:t>
        <w:tab/>
        <w:t>tőkeösszege</w:t>
        <w:tab/>
        <w:t>után,</w:t>
        <w:tab/>
        <w:t>amely</w:t>
        <w:tab/>
        <w:t>olyan</w:t>
      </w:r>
    </w:p>
    <w:p>
      <w:pPr>
        <w:pStyle w:val="BodyText"/>
        <w:spacing w:line="225" w:lineRule="auto" w:before="12"/>
        <w:ind w:right="128" w:firstLine="0"/>
        <w:jc w:val="both"/>
      </w:pPr>
      <w:r>
        <w:rPr>
          <w:w w:val="130"/>
        </w:rPr>
        <w:t>hitelintézettel</w:t>
      </w:r>
      <w:r>
        <w:rPr>
          <w:spacing w:val="-6"/>
          <w:w w:val="130"/>
        </w:rPr>
        <w:t> </w:t>
      </w:r>
      <w:r>
        <w:rPr>
          <w:w w:val="130"/>
        </w:rPr>
        <w:t>szemben</w:t>
      </w:r>
      <w:r>
        <w:rPr>
          <w:spacing w:val="-5"/>
          <w:w w:val="130"/>
        </w:rPr>
        <w:t> </w:t>
      </w:r>
      <w:r>
        <w:rPr>
          <w:w w:val="130"/>
        </w:rPr>
        <w:t>áll</w:t>
      </w:r>
      <w:r>
        <w:rPr>
          <w:spacing w:val="-6"/>
          <w:w w:val="130"/>
        </w:rPr>
        <w:t> </w:t>
      </w:r>
      <w:r>
        <w:rPr>
          <w:w w:val="130"/>
        </w:rPr>
        <w:t>fenn,</w:t>
      </w:r>
      <w:r>
        <w:rPr>
          <w:spacing w:val="-5"/>
          <w:w w:val="130"/>
        </w:rPr>
        <w:t> </w:t>
      </w:r>
      <w:r>
        <w:rPr>
          <w:w w:val="130"/>
        </w:rPr>
        <w:t>amelynek</w:t>
      </w:r>
      <w:r>
        <w:rPr>
          <w:spacing w:val="-6"/>
          <w:w w:val="130"/>
        </w:rPr>
        <w:t> </w:t>
      </w:r>
      <w:r>
        <w:rPr>
          <w:w w:val="130"/>
        </w:rPr>
        <w:t>engedélyét</w:t>
      </w:r>
      <w:r>
        <w:rPr>
          <w:spacing w:val="-6"/>
          <w:w w:val="130"/>
        </w:rPr>
        <w:t> </w:t>
      </w:r>
      <w:r>
        <w:rPr>
          <w:w w:val="130"/>
        </w:rPr>
        <w:t>a</w:t>
      </w:r>
      <w:r>
        <w:rPr>
          <w:spacing w:val="6"/>
          <w:w w:val="130"/>
        </w:rPr>
        <w:t> </w:t>
      </w:r>
      <w:r>
        <w:rPr>
          <w:w w:val="130"/>
        </w:rPr>
        <w:t>Felügyelet</w:t>
      </w:r>
      <w:r>
        <w:rPr>
          <w:spacing w:val="-6"/>
          <w:w w:val="130"/>
        </w:rPr>
        <w:t> </w:t>
      </w:r>
      <w:r>
        <w:rPr>
          <w:w w:val="130"/>
        </w:rPr>
        <w:t>a</w:t>
      </w:r>
      <w:r>
        <w:rPr>
          <w:spacing w:val="-17"/>
          <w:w w:val="130"/>
        </w:rPr>
        <w:t> </w:t>
      </w:r>
      <w:r>
        <w:rPr>
          <w:w w:val="130"/>
        </w:rPr>
        <w:t>33.</w:t>
      </w:r>
      <w:r>
        <w:rPr>
          <w:spacing w:val="-5"/>
          <w:w w:val="130"/>
        </w:rPr>
        <w:t> </w:t>
      </w:r>
      <w:r>
        <w:rPr>
          <w:w w:val="130"/>
        </w:rPr>
        <w:t>§</w:t>
      </w:r>
      <w:r>
        <w:rPr>
          <w:spacing w:val="-6"/>
          <w:w w:val="130"/>
        </w:rPr>
        <w:t> </w:t>
      </w:r>
      <w:r>
        <w:rPr>
          <w:w w:val="130"/>
        </w:rPr>
        <w:t>(1) bekezdése vagy 33. § (2) bekezdés </w:t>
      </w:r>
      <w:r>
        <w:rPr>
          <w:i/>
          <w:w w:val="130"/>
        </w:rPr>
        <w:t>c) </w:t>
      </w:r>
      <w:r>
        <w:rPr>
          <w:w w:val="130"/>
        </w:rPr>
        <w:t>pontja alapján vonta vissza, vagy amelynek felszámolását a bíróság elrendelte, a még nem tőkésített és ki nem fizetett kamatot a kártalanítás 217. § (1) bekezdésében meghatározott kezdő időpontját megelőző napig legfeljebb az (1) bekezdésben meghatározott összeghatárig a szerződés szerinti kamatlábbal téríti meg a kártalanításra jogosult személy</w:t>
      </w:r>
      <w:r>
        <w:rPr>
          <w:spacing w:val="-6"/>
          <w:w w:val="130"/>
        </w:rPr>
        <w:t> </w:t>
      </w:r>
      <w:r>
        <w:rPr>
          <w:w w:val="130"/>
        </w:rPr>
        <w:t>részére.</w:t>
      </w:r>
    </w:p>
    <w:p>
      <w:pPr>
        <w:pStyle w:val="ListParagraph"/>
        <w:numPr>
          <w:ilvl w:val="0"/>
          <w:numId w:val="504"/>
        </w:numPr>
        <w:tabs>
          <w:tab w:pos="918" w:val="left" w:leader="none"/>
        </w:tabs>
        <w:spacing w:line="225" w:lineRule="auto" w:before="4" w:after="0"/>
        <w:ind w:left="113" w:right="127" w:firstLine="204"/>
        <w:jc w:val="both"/>
        <w:rPr>
          <w:sz w:val="24"/>
        </w:rPr>
      </w:pPr>
      <w:r>
        <w:rPr>
          <w:w w:val="130"/>
          <w:sz w:val="24"/>
        </w:rPr>
        <w:t>Nyereménybetétek esetén - a betét elhelyezésének időpontjától függetlenül - a betétes legfeljebb az (1) bekezdésben meghatározott összeghatárig</w:t>
      </w:r>
      <w:r>
        <w:rPr>
          <w:spacing w:val="-17"/>
          <w:w w:val="130"/>
          <w:sz w:val="24"/>
        </w:rPr>
        <w:t> </w:t>
      </w:r>
      <w:r>
        <w:rPr>
          <w:w w:val="130"/>
          <w:sz w:val="24"/>
        </w:rPr>
        <w:t>a</w:t>
      </w:r>
      <w:r>
        <w:rPr>
          <w:spacing w:val="-16"/>
          <w:w w:val="130"/>
          <w:sz w:val="24"/>
        </w:rPr>
        <w:t> </w:t>
      </w:r>
      <w:r>
        <w:rPr>
          <w:w w:val="130"/>
          <w:sz w:val="24"/>
        </w:rPr>
        <w:t>betét</w:t>
      </w:r>
      <w:r>
        <w:rPr>
          <w:spacing w:val="-17"/>
          <w:w w:val="130"/>
          <w:sz w:val="24"/>
        </w:rPr>
        <w:t> </w:t>
      </w:r>
      <w:r>
        <w:rPr>
          <w:w w:val="130"/>
          <w:sz w:val="24"/>
        </w:rPr>
        <w:t>névértékének</w:t>
      </w:r>
      <w:r>
        <w:rPr>
          <w:spacing w:val="-2"/>
          <w:w w:val="130"/>
          <w:sz w:val="24"/>
        </w:rPr>
        <w:t> </w:t>
      </w:r>
      <w:r>
        <w:rPr>
          <w:w w:val="130"/>
          <w:sz w:val="24"/>
        </w:rPr>
        <w:t>megfelelő</w:t>
      </w:r>
      <w:r>
        <w:rPr>
          <w:spacing w:val="-31"/>
          <w:w w:val="130"/>
          <w:sz w:val="24"/>
        </w:rPr>
        <w:t> </w:t>
      </w:r>
      <w:r>
        <w:rPr>
          <w:w w:val="130"/>
          <w:sz w:val="24"/>
        </w:rPr>
        <w:t>összegű</w:t>
      </w:r>
      <w:r>
        <w:rPr>
          <w:spacing w:val="-16"/>
          <w:w w:val="130"/>
          <w:sz w:val="24"/>
        </w:rPr>
        <w:t> </w:t>
      </w:r>
      <w:r>
        <w:rPr>
          <w:w w:val="130"/>
          <w:sz w:val="24"/>
        </w:rPr>
        <w:t>kártalanításra</w:t>
      </w:r>
      <w:r>
        <w:rPr>
          <w:spacing w:val="-5"/>
          <w:w w:val="130"/>
          <w:sz w:val="24"/>
        </w:rPr>
        <w:t> </w:t>
      </w:r>
      <w:r>
        <w:rPr>
          <w:w w:val="130"/>
          <w:sz w:val="24"/>
        </w:rPr>
        <w:t>jogosult.</w:t>
      </w:r>
    </w:p>
    <w:p>
      <w:pPr>
        <w:pStyle w:val="ListParagraph"/>
        <w:numPr>
          <w:ilvl w:val="0"/>
          <w:numId w:val="504"/>
        </w:numPr>
        <w:tabs>
          <w:tab w:pos="747" w:val="left" w:leader="none"/>
        </w:tabs>
        <w:spacing w:line="225" w:lineRule="auto" w:before="2" w:after="0"/>
        <w:ind w:left="113" w:right="130" w:firstLine="204"/>
        <w:jc w:val="both"/>
        <w:rPr>
          <w:sz w:val="24"/>
        </w:rPr>
      </w:pPr>
      <w:r>
        <w:rPr>
          <w:w w:val="125"/>
          <w:sz w:val="24"/>
        </w:rPr>
        <w:t>A betétes az (1)-(6) bekezdés szerinti kártalanítást meghaladó kifizetésre az OBA-val szemben semmilyen jogcímen nem tarthat</w:t>
      </w:r>
      <w:r>
        <w:rPr>
          <w:spacing w:val="-9"/>
          <w:w w:val="125"/>
          <w:sz w:val="24"/>
        </w:rPr>
        <w:t> </w:t>
      </w:r>
      <w:r>
        <w:rPr>
          <w:w w:val="125"/>
          <w:sz w:val="24"/>
        </w:rPr>
        <w:t>igényt.</w:t>
      </w:r>
    </w:p>
    <w:p>
      <w:pPr>
        <w:pStyle w:val="ListParagraph"/>
        <w:numPr>
          <w:ilvl w:val="0"/>
          <w:numId w:val="504"/>
        </w:numPr>
        <w:tabs>
          <w:tab w:pos="786" w:val="left" w:leader="none"/>
        </w:tabs>
        <w:spacing w:line="225" w:lineRule="auto" w:before="1" w:after="0"/>
        <w:ind w:left="113" w:right="126" w:firstLine="204"/>
        <w:jc w:val="both"/>
        <w:rPr>
          <w:sz w:val="24"/>
        </w:rPr>
      </w:pPr>
      <w:r>
        <w:rPr>
          <w:w w:val="125"/>
          <w:sz w:val="24"/>
        </w:rPr>
        <w:t>Közös betét esetén az (1)-(3) bekezdésben meghatározott kártalanítási összeghatárt a kártalanításra jogosult minden személy esetén külön kell számításba venni. A kártalanítási összeg számítása szempontjából - eltérő szerződési kikötés hiányában - a betét összege a betéteseket azonos arányban illeti</w:t>
      </w:r>
      <w:r>
        <w:rPr>
          <w:spacing w:val="-1"/>
          <w:w w:val="125"/>
          <w:sz w:val="24"/>
        </w:rPr>
        <w:t> </w:t>
      </w:r>
      <w:r>
        <w:rPr>
          <w:w w:val="125"/>
          <w:sz w:val="24"/>
        </w:rPr>
        <w:t>meg.</w:t>
      </w:r>
    </w:p>
    <w:p>
      <w:pPr>
        <w:pStyle w:val="ListParagraph"/>
        <w:numPr>
          <w:ilvl w:val="0"/>
          <w:numId w:val="504"/>
        </w:numPr>
        <w:tabs>
          <w:tab w:pos="659" w:val="left" w:leader="none"/>
          <w:tab w:pos="1058" w:val="left" w:leader="none"/>
          <w:tab w:pos="3068" w:val="left" w:leader="none"/>
          <w:tab w:pos="4686" w:val="left" w:leader="none"/>
          <w:tab w:pos="5545" w:val="left" w:leader="none"/>
          <w:tab w:pos="7186" w:val="left" w:leader="none"/>
          <w:tab w:pos="8697" w:val="left" w:leader="none"/>
        </w:tabs>
        <w:spacing w:line="251" w:lineRule="exact" w:before="0" w:after="0"/>
        <w:ind w:left="658" w:right="0" w:hanging="341"/>
        <w:jc w:val="left"/>
        <w:rPr>
          <w:sz w:val="24"/>
        </w:rPr>
      </w:pPr>
      <w:r>
        <w:rPr>
          <w:i/>
          <w:w w:val="125"/>
          <w:position w:val="3"/>
          <w:sz w:val="18"/>
        </w:rPr>
        <w:t>2</w:t>
        <w:tab/>
      </w:r>
      <w:r>
        <w:rPr>
          <w:w w:val="125"/>
          <w:sz w:val="24"/>
        </w:rPr>
        <w:t>Hitelintézetek</w:t>
        <w:tab/>
        <w:t>egyesülése</w:t>
        <w:tab/>
        <w:t>vagy</w:t>
        <w:tab/>
        <w:t>fiókteleppé</w:t>
        <w:tab/>
        <w:t>alakulása,</w:t>
        <w:tab/>
        <w:t>valamint</w:t>
      </w:r>
    </w:p>
    <w:p>
      <w:pPr>
        <w:pStyle w:val="BodyText"/>
        <w:spacing w:line="225" w:lineRule="auto" w:before="12"/>
        <w:ind w:right="130" w:firstLine="0"/>
        <w:jc w:val="both"/>
      </w:pPr>
      <w:r>
        <w:rPr>
          <w:w w:val="125"/>
        </w:rPr>
        <w:t>betétállomány átruházása esetén a betéteseket legalább egy hónappal  a változást megelőzően írásban tájékoztatni kell a változásról, kivéve, ha a szanálási jogkörében eljáró MNB vagy a Felügyelet üzleti titok vagy a  pénzügyi stabilitás védelme érdekében rövidebb határidőt tesz</w:t>
      </w:r>
      <w:r>
        <w:rPr>
          <w:spacing w:val="61"/>
          <w:w w:val="125"/>
        </w:rPr>
        <w:t> </w:t>
      </w:r>
      <w:r>
        <w:rPr>
          <w:w w:val="125"/>
        </w:rPr>
        <w:t>lehetővé.</w:t>
      </w:r>
    </w:p>
    <w:p>
      <w:pPr>
        <w:pStyle w:val="ListParagraph"/>
        <w:numPr>
          <w:ilvl w:val="0"/>
          <w:numId w:val="504"/>
        </w:numPr>
        <w:tabs>
          <w:tab w:pos="812" w:val="left" w:leader="none"/>
        </w:tabs>
        <w:spacing w:line="250" w:lineRule="exact" w:before="0" w:after="0"/>
        <w:ind w:left="811" w:right="0" w:hanging="494"/>
        <w:jc w:val="left"/>
        <w:rPr>
          <w:sz w:val="24"/>
        </w:rPr>
      </w:pPr>
      <w:r>
        <w:rPr>
          <w:i/>
          <w:w w:val="125"/>
          <w:position w:val="3"/>
          <w:sz w:val="18"/>
        </w:rPr>
        <w:t>3 </w:t>
      </w:r>
      <w:r>
        <w:rPr>
          <w:w w:val="125"/>
          <w:sz w:val="24"/>
        </w:rPr>
        <w:t>A hitelintézetek egyesülése vagy fiókteleppé alakulása, valamint</w:t>
      </w:r>
      <w:r>
        <w:rPr>
          <w:spacing w:val="44"/>
          <w:w w:val="125"/>
          <w:sz w:val="24"/>
        </w:rPr>
        <w:t> </w:t>
      </w:r>
      <w:r>
        <w:rPr>
          <w:w w:val="125"/>
          <w:sz w:val="24"/>
        </w:rPr>
        <w:t>a</w:t>
      </w:r>
    </w:p>
    <w:p>
      <w:pPr>
        <w:pStyle w:val="BodyText"/>
        <w:spacing w:line="225" w:lineRule="auto" w:before="12"/>
        <w:ind w:right="125" w:firstLine="0"/>
        <w:jc w:val="both"/>
      </w:pPr>
      <w:r>
        <w:rPr>
          <w:w w:val="130"/>
        </w:rPr>
        <w:t>betétállomány átruházása esetén az (1)-(3) bekezdés szerinti összeghatár szempontjából 3 hónapig külön betétnek minősülnek egyazon betétesnek az egyesülés, átruházás, illetve a fiókteleppé alakulás előtt az összeolvadó, beolvadó, átadó, átvevő vagy átalakuló hitelintézetnél elhelyezett betétei.</w:t>
      </w:r>
    </w:p>
    <w:p>
      <w:pPr>
        <w:pStyle w:val="ListParagraph"/>
        <w:numPr>
          <w:ilvl w:val="0"/>
          <w:numId w:val="504"/>
        </w:numPr>
        <w:tabs>
          <w:tab w:pos="812" w:val="left" w:leader="none"/>
          <w:tab w:pos="1253" w:val="left" w:leader="none"/>
          <w:tab w:pos="1882" w:val="left" w:leader="none"/>
          <w:tab w:pos="2866" w:val="left" w:leader="none"/>
          <w:tab w:pos="4158" w:val="left" w:leader="none"/>
          <w:tab w:pos="5507" w:val="left" w:leader="none"/>
          <w:tab w:pos="7442" w:val="left" w:leader="none"/>
          <w:tab w:pos="9109" w:val="left" w:leader="none"/>
        </w:tabs>
        <w:spacing w:line="250" w:lineRule="exact" w:before="0" w:after="0"/>
        <w:ind w:left="811" w:right="0" w:hanging="494"/>
        <w:jc w:val="left"/>
        <w:rPr>
          <w:sz w:val="24"/>
        </w:rPr>
      </w:pPr>
      <w:r>
        <w:rPr>
          <w:i/>
          <w:w w:val="125"/>
          <w:position w:val="3"/>
          <w:sz w:val="18"/>
        </w:rPr>
        <w:t>4</w:t>
        <w:tab/>
      </w:r>
      <w:r>
        <w:rPr>
          <w:w w:val="125"/>
          <w:sz w:val="24"/>
        </w:rPr>
        <w:t>Az</w:t>
        <w:tab/>
        <w:t>olyan</w:t>
        <w:tab/>
        <w:t>betétre,</w:t>
        <w:tab/>
        <w:t>amellyel</w:t>
        <w:tab/>
        <w:t>kapcsolatban</w:t>
        <w:tab/>
        <w:t>pénzmosás</w:t>
        <w:tab/>
        <w:t>miatt</w:t>
      </w:r>
    </w:p>
    <w:p>
      <w:pPr>
        <w:pStyle w:val="BodyText"/>
        <w:spacing w:line="225" w:lineRule="auto" w:before="12"/>
        <w:ind w:right="126" w:firstLine="0"/>
        <w:jc w:val="both"/>
      </w:pPr>
      <w:r>
        <w:rPr>
          <w:w w:val="130"/>
        </w:rPr>
        <w:t>büntetőeljárás van folyamatban, a büntetőeljárásnak a bíróság jogerős ügydöntő</w:t>
      </w:r>
      <w:r>
        <w:rPr>
          <w:spacing w:val="-32"/>
          <w:w w:val="130"/>
        </w:rPr>
        <w:t> </w:t>
      </w:r>
      <w:r>
        <w:rPr>
          <w:w w:val="130"/>
        </w:rPr>
        <w:t>határozatával</w:t>
      </w:r>
      <w:r>
        <w:rPr>
          <w:spacing w:val="-32"/>
          <w:w w:val="130"/>
        </w:rPr>
        <w:t> </w:t>
      </w:r>
      <w:r>
        <w:rPr>
          <w:w w:val="130"/>
        </w:rPr>
        <w:t>vagy</w:t>
      </w:r>
      <w:r>
        <w:rPr>
          <w:spacing w:val="-32"/>
          <w:w w:val="130"/>
        </w:rPr>
        <w:t> </w:t>
      </w:r>
      <w:r>
        <w:rPr>
          <w:w w:val="130"/>
        </w:rPr>
        <w:t>véglegessé</w:t>
      </w:r>
      <w:r>
        <w:rPr>
          <w:spacing w:val="-32"/>
          <w:w w:val="130"/>
        </w:rPr>
        <w:t> </w:t>
      </w:r>
      <w:r>
        <w:rPr>
          <w:w w:val="130"/>
        </w:rPr>
        <w:t>vált</w:t>
      </w:r>
      <w:r>
        <w:rPr>
          <w:spacing w:val="-33"/>
          <w:w w:val="130"/>
        </w:rPr>
        <w:t> </w:t>
      </w:r>
      <w:r>
        <w:rPr>
          <w:w w:val="130"/>
        </w:rPr>
        <w:t>nem</w:t>
      </w:r>
      <w:r>
        <w:rPr>
          <w:spacing w:val="-31"/>
          <w:w w:val="130"/>
        </w:rPr>
        <w:t> </w:t>
      </w:r>
      <w:r>
        <w:rPr>
          <w:w w:val="130"/>
        </w:rPr>
        <w:t>ügydöntő</w:t>
      </w:r>
      <w:r>
        <w:rPr>
          <w:spacing w:val="-32"/>
          <w:w w:val="130"/>
        </w:rPr>
        <w:t> </w:t>
      </w:r>
      <w:r>
        <w:rPr>
          <w:w w:val="130"/>
        </w:rPr>
        <w:t>végzésével</w:t>
      </w:r>
      <w:r>
        <w:rPr>
          <w:spacing w:val="-32"/>
          <w:w w:val="130"/>
        </w:rPr>
        <w:t> </w:t>
      </w:r>
      <w:r>
        <w:rPr>
          <w:w w:val="130"/>
        </w:rPr>
        <w:t>történő befejezéséig, valamint az ügyészségnek vagy a nyomozó hatóságnak a feltételes ügyészi felfüggesztés vagy közvetítői eljárás céljából történő felfüggesztésről szóló, illetve további jogorvoslattal nem támadható eljárást megszüntető határozata meghozataláig kártalanítás nem fizethető</w:t>
      </w:r>
      <w:r>
        <w:rPr>
          <w:spacing w:val="-36"/>
          <w:w w:val="130"/>
        </w:rPr>
        <w:t> </w:t>
      </w:r>
      <w:r>
        <w:rPr>
          <w:w w:val="130"/>
        </w:rPr>
        <w:t>ki.</w:t>
      </w:r>
    </w:p>
    <w:p>
      <w:pPr>
        <w:pStyle w:val="BodyText"/>
        <w:spacing w:line="266" w:lineRule="exact"/>
        <w:ind w:left="317" w:firstLine="0"/>
        <w:rPr>
          <w:i/>
          <w:sz w:val="18"/>
        </w:rPr>
      </w:pPr>
      <w:r>
        <w:rPr>
          <w:w w:val="125"/>
        </w:rPr>
        <w:t>(12)</w:t>
      </w:r>
      <w:r>
        <w:rPr>
          <w:i/>
          <w:w w:val="125"/>
          <w:position w:val="3"/>
          <w:sz w:val="18"/>
        </w:rPr>
        <w:t>5</w:t>
      </w: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spacing w:before="5"/>
        <w:ind w:left="0" w:firstLine="0"/>
        <w:rPr>
          <w:i/>
          <w:sz w:val="14"/>
        </w:rPr>
      </w:pPr>
      <w:r>
        <w:rPr/>
        <w:pict>
          <v:line style="position:absolute;mso-position-horizontal-relative:page;mso-position-vertical-relative:paragraph;z-index:2048;mso-wrap-distance-left:0;mso-wrap-distance-right:0" from="56.693001pt,10.501726pt" to="538.583001pt,10.501726pt" stroked="true" strokeweight=".5pt" strokecolor="#000000">
            <v:stroke dashstyle="solid"/>
            <w10:wrap type="topAndBottom"/>
          </v:line>
        </w:pict>
      </w:r>
    </w:p>
    <w:p>
      <w:pPr>
        <w:pStyle w:val="ListParagraph"/>
        <w:numPr>
          <w:ilvl w:val="0"/>
          <w:numId w:val="506"/>
        </w:numPr>
        <w:tabs>
          <w:tab w:pos="686" w:val="left" w:leader="none"/>
          <w:tab w:pos="687" w:val="left" w:leader="none"/>
        </w:tabs>
        <w:spacing w:line="203" w:lineRule="exact" w:before="44" w:after="0"/>
        <w:ind w:left="686" w:right="0" w:hanging="344"/>
        <w:jc w:val="left"/>
        <w:rPr>
          <w:i/>
          <w:sz w:val="18"/>
        </w:rPr>
      </w:pPr>
      <w:r>
        <w:rPr>
          <w:i/>
          <w:w w:val="125"/>
          <w:sz w:val="18"/>
        </w:rPr>
        <w:t>Módosította: 2018. évi CXXVI. törvény 120. §</w:t>
      </w:r>
      <w:r>
        <w:rPr>
          <w:i/>
          <w:spacing w:val="-5"/>
          <w:w w:val="125"/>
          <w:sz w:val="18"/>
        </w:rPr>
        <w:t> </w:t>
      </w:r>
      <w:r>
        <w:rPr>
          <w:i/>
          <w:w w:val="125"/>
          <w:sz w:val="18"/>
        </w:rPr>
        <w:t>8.</w:t>
      </w:r>
    </w:p>
    <w:p>
      <w:pPr>
        <w:pStyle w:val="ListParagraph"/>
        <w:numPr>
          <w:ilvl w:val="0"/>
          <w:numId w:val="5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75.</w:t>
      </w:r>
      <w:r>
        <w:rPr>
          <w:i/>
          <w:spacing w:val="-11"/>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5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75.</w:t>
      </w:r>
      <w:r>
        <w:rPr>
          <w:i/>
          <w:spacing w:val="-11"/>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pStyle w:val="ListParagraph"/>
        <w:numPr>
          <w:ilvl w:val="0"/>
          <w:numId w:val="506"/>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CXCVII. törvény 407. §. Hatályos: 2018. VII.</w:t>
      </w:r>
      <w:r>
        <w:rPr>
          <w:i/>
          <w:spacing w:val="-25"/>
          <w:w w:val="125"/>
          <w:sz w:val="18"/>
        </w:rPr>
        <w:t> </w:t>
      </w:r>
      <w:r>
        <w:rPr>
          <w:i/>
          <w:w w:val="125"/>
          <w:sz w:val="18"/>
        </w:rPr>
        <w:t>1-től.</w:t>
      </w:r>
    </w:p>
    <w:p>
      <w:pPr>
        <w:pStyle w:val="ListParagraph"/>
        <w:numPr>
          <w:ilvl w:val="0"/>
          <w:numId w:val="506"/>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2014.</w:t>
      </w:r>
      <w:r>
        <w:rPr>
          <w:i/>
          <w:spacing w:val="7"/>
          <w:w w:val="120"/>
          <w:sz w:val="18"/>
        </w:rPr>
        <w:t> </w:t>
      </w:r>
      <w:r>
        <w:rPr>
          <w:i/>
          <w:w w:val="120"/>
          <w:sz w:val="18"/>
        </w:rPr>
        <w:t>évi</w:t>
      </w:r>
      <w:r>
        <w:rPr>
          <w:i/>
          <w:spacing w:val="6"/>
          <w:w w:val="120"/>
          <w:sz w:val="18"/>
        </w:rPr>
        <w:t> </w:t>
      </w:r>
      <w:r>
        <w:rPr>
          <w:i/>
          <w:w w:val="120"/>
          <w:sz w:val="18"/>
        </w:rPr>
        <w:t>CIV.</w:t>
      </w:r>
      <w:r>
        <w:rPr>
          <w:i/>
          <w:spacing w:val="8"/>
          <w:w w:val="120"/>
          <w:sz w:val="18"/>
        </w:rPr>
        <w:t> </w:t>
      </w:r>
      <w:r>
        <w:rPr>
          <w:i/>
          <w:w w:val="120"/>
          <w:sz w:val="18"/>
        </w:rPr>
        <w:t>törvény</w:t>
      </w:r>
      <w:r>
        <w:rPr>
          <w:i/>
          <w:spacing w:val="7"/>
          <w:w w:val="120"/>
          <w:sz w:val="18"/>
        </w:rPr>
        <w:t> </w:t>
      </w:r>
      <w:r>
        <w:rPr>
          <w:i/>
          <w:w w:val="120"/>
          <w:sz w:val="18"/>
        </w:rPr>
        <w:t>97.</w:t>
      </w:r>
      <w:r>
        <w:rPr>
          <w:i/>
          <w:spacing w:val="6"/>
          <w:w w:val="120"/>
          <w:sz w:val="18"/>
        </w:rPr>
        <w:t> </w:t>
      </w:r>
      <w:r>
        <w:rPr>
          <w:i/>
          <w:w w:val="120"/>
          <w:sz w:val="18"/>
        </w:rPr>
        <w:t>§</w:t>
      </w:r>
      <w:r>
        <w:rPr>
          <w:i/>
          <w:spacing w:val="8"/>
          <w:w w:val="120"/>
          <w:sz w:val="18"/>
        </w:rPr>
        <w:t> </w:t>
      </w:r>
      <w:r>
        <w:rPr>
          <w:i/>
          <w:w w:val="120"/>
          <w:sz w:val="18"/>
        </w:rPr>
        <w:t>f).</w:t>
      </w:r>
      <w:r>
        <w:rPr>
          <w:i/>
          <w:spacing w:val="7"/>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VII.</w:t>
      </w:r>
      <w:r>
        <w:rPr>
          <w:i/>
          <w:spacing w:val="7"/>
          <w:w w:val="120"/>
          <w:sz w:val="18"/>
        </w:rPr>
        <w:t> </w:t>
      </w:r>
      <w:r>
        <w:rPr>
          <w:i/>
          <w:w w:val="120"/>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07"/>
        </w:numPr>
        <w:tabs>
          <w:tab w:pos="812" w:val="left" w:leader="none"/>
        </w:tabs>
        <w:spacing w:line="261" w:lineRule="exact" w:before="159" w:after="0"/>
        <w:ind w:left="811" w:right="0" w:hanging="494"/>
        <w:jc w:val="left"/>
        <w:rPr>
          <w:sz w:val="24"/>
        </w:rPr>
      </w:pPr>
      <w:r>
        <w:rPr>
          <w:i/>
          <w:w w:val="125"/>
          <w:position w:val="3"/>
          <w:sz w:val="18"/>
        </w:rPr>
        <w:t>1 </w:t>
      </w:r>
      <w:r>
        <w:rPr>
          <w:w w:val="125"/>
          <w:sz w:val="24"/>
        </w:rPr>
        <w:t>A betétes elhalálozása esetén - a betétek elhelyezésének</w:t>
      </w:r>
      <w:r>
        <w:rPr>
          <w:spacing w:val="-36"/>
          <w:w w:val="125"/>
          <w:sz w:val="24"/>
        </w:rPr>
        <w:t> </w:t>
      </w:r>
      <w:r>
        <w:rPr>
          <w:w w:val="125"/>
          <w:sz w:val="24"/>
        </w:rPr>
        <w:t>időpontjától</w:t>
      </w:r>
    </w:p>
    <w:p>
      <w:pPr>
        <w:pStyle w:val="BodyText"/>
        <w:spacing w:line="225" w:lineRule="auto" w:before="12"/>
        <w:ind w:right="124" w:firstLine="0"/>
        <w:jc w:val="both"/>
      </w:pPr>
      <w:r>
        <w:rPr>
          <w:w w:val="130"/>
        </w:rPr>
        <w:t>függetlenül - az örökhagyó és az örökösök betétjét a hagyatékátadó végzés vagy a bírósági ítélet jogerőre emelkedésétől számított egy évig vagy a rögzített</w:t>
      </w:r>
      <w:r>
        <w:rPr>
          <w:spacing w:val="-23"/>
          <w:w w:val="130"/>
        </w:rPr>
        <w:t> </w:t>
      </w:r>
      <w:r>
        <w:rPr>
          <w:w w:val="130"/>
        </w:rPr>
        <w:t>kamatozású</w:t>
      </w:r>
      <w:r>
        <w:rPr>
          <w:spacing w:val="-22"/>
          <w:w w:val="130"/>
        </w:rPr>
        <w:t> </w:t>
      </w:r>
      <w:r>
        <w:rPr>
          <w:w w:val="130"/>
        </w:rPr>
        <w:t>kamatperiódus</w:t>
      </w:r>
      <w:r>
        <w:rPr>
          <w:spacing w:val="-23"/>
          <w:w w:val="130"/>
        </w:rPr>
        <w:t> </w:t>
      </w:r>
      <w:r>
        <w:rPr>
          <w:w w:val="130"/>
        </w:rPr>
        <w:t>végéig</w:t>
      </w:r>
      <w:r>
        <w:rPr>
          <w:spacing w:val="-22"/>
          <w:w w:val="130"/>
        </w:rPr>
        <w:t> </w:t>
      </w:r>
      <w:r>
        <w:rPr>
          <w:w w:val="130"/>
        </w:rPr>
        <w:t>-</w:t>
      </w:r>
      <w:r>
        <w:rPr>
          <w:spacing w:val="-23"/>
          <w:w w:val="130"/>
        </w:rPr>
        <w:t> </w:t>
      </w:r>
      <w:r>
        <w:rPr>
          <w:w w:val="130"/>
        </w:rPr>
        <w:t>a</w:t>
      </w:r>
      <w:r>
        <w:rPr>
          <w:spacing w:val="-22"/>
          <w:w w:val="130"/>
        </w:rPr>
        <w:t> </w:t>
      </w:r>
      <w:r>
        <w:rPr>
          <w:w w:val="130"/>
        </w:rPr>
        <w:t>kettő</w:t>
      </w:r>
      <w:r>
        <w:rPr>
          <w:spacing w:val="-22"/>
          <w:w w:val="130"/>
        </w:rPr>
        <w:t> </w:t>
      </w:r>
      <w:r>
        <w:rPr>
          <w:w w:val="130"/>
        </w:rPr>
        <w:t>közül</w:t>
      </w:r>
      <w:r>
        <w:rPr>
          <w:spacing w:val="-23"/>
          <w:w w:val="130"/>
        </w:rPr>
        <w:t> </w:t>
      </w:r>
      <w:r>
        <w:rPr>
          <w:w w:val="130"/>
        </w:rPr>
        <w:t>a</w:t>
      </w:r>
      <w:r>
        <w:rPr>
          <w:spacing w:val="-14"/>
          <w:w w:val="130"/>
        </w:rPr>
        <w:t> </w:t>
      </w:r>
      <w:r>
        <w:rPr>
          <w:w w:val="130"/>
        </w:rPr>
        <w:t>későbbi</w:t>
      </w:r>
      <w:r>
        <w:rPr>
          <w:spacing w:val="-31"/>
          <w:w w:val="130"/>
        </w:rPr>
        <w:t> </w:t>
      </w:r>
      <w:r>
        <w:rPr>
          <w:w w:val="130"/>
        </w:rPr>
        <w:t>időpontig</w:t>
      </w:r>
    </w:p>
    <w:p>
      <w:pPr>
        <w:pStyle w:val="ListParagraph"/>
        <w:numPr>
          <w:ilvl w:val="0"/>
          <w:numId w:val="6"/>
        </w:numPr>
        <w:tabs>
          <w:tab w:pos="330" w:val="left" w:leader="none"/>
        </w:tabs>
        <w:spacing w:line="225" w:lineRule="auto" w:before="2" w:after="0"/>
        <w:ind w:left="113" w:right="124" w:firstLine="0"/>
        <w:jc w:val="both"/>
        <w:rPr>
          <w:sz w:val="24"/>
        </w:rPr>
      </w:pPr>
      <w:r>
        <w:rPr>
          <w:w w:val="130"/>
          <w:sz w:val="24"/>
        </w:rPr>
        <w:t>külön betétnek kell tekinteni, és az (1)-(3) bekezdés szerinti kártalanítási</w:t>
      </w:r>
      <w:r>
        <w:rPr>
          <w:spacing w:val="78"/>
          <w:w w:val="130"/>
          <w:sz w:val="24"/>
        </w:rPr>
        <w:t> </w:t>
      </w:r>
      <w:r>
        <w:rPr>
          <w:w w:val="130"/>
          <w:sz w:val="24"/>
        </w:rPr>
        <w:t>összeghatár meghatározásánál nem kell összevonni az örökösök más betéteivel. Az örökhagyó betétje után a kártalanítás az (1)-(3) bekezdésben meghatározott összeghatárig fizetendő ki, függetlenül az örökösök számától. Ezt a rendelkezést a közös betétekre is alkalmazni kell. Ha az örökhagyót a 214/A.</w:t>
      </w:r>
      <w:r>
        <w:rPr>
          <w:spacing w:val="-15"/>
          <w:w w:val="130"/>
          <w:sz w:val="24"/>
        </w:rPr>
        <w:t> </w:t>
      </w:r>
      <w:r>
        <w:rPr>
          <w:w w:val="130"/>
          <w:sz w:val="24"/>
        </w:rPr>
        <w:t>§</w:t>
      </w:r>
      <w:r>
        <w:rPr>
          <w:spacing w:val="-14"/>
          <w:w w:val="130"/>
          <w:sz w:val="24"/>
        </w:rPr>
        <w:t> </w:t>
      </w:r>
      <w:r>
        <w:rPr>
          <w:w w:val="130"/>
          <w:sz w:val="24"/>
        </w:rPr>
        <w:t>alapján</w:t>
      </w:r>
      <w:r>
        <w:rPr>
          <w:spacing w:val="-14"/>
          <w:w w:val="130"/>
          <w:sz w:val="24"/>
        </w:rPr>
        <w:t> </w:t>
      </w:r>
      <w:r>
        <w:rPr>
          <w:w w:val="130"/>
          <w:sz w:val="24"/>
        </w:rPr>
        <w:t>elhelyezett</w:t>
      </w:r>
      <w:r>
        <w:rPr>
          <w:spacing w:val="-14"/>
          <w:w w:val="130"/>
          <w:sz w:val="24"/>
        </w:rPr>
        <w:t> </w:t>
      </w:r>
      <w:r>
        <w:rPr>
          <w:w w:val="130"/>
          <w:sz w:val="24"/>
        </w:rPr>
        <w:t>betétei</w:t>
      </w:r>
      <w:r>
        <w:rPr>
          <w:spacing w:val="-15"/>
          <w:w w:val="130"/>
          <w:sz w:val="24"/>
        </w:rPr>
        <w:t> </w:t>
      </w:r>
      <w:r>
        <w:rPr>
          <w:w w:val="130"/>
          <w:sz w:val="24"/>
        </w:rPr>
        <w:t>után</w:t>
      </w:r>
      <w:r>
        <w:rPr>
          <w:spacing w:val="-13"/>
          <w:w w:val="130"/>
          <w:sz w:val="24"/>
        </w:rPr>
        <w:t> </w:t>
      </w:r>
      <w:r>
        <w:rPr>
          <w:w w:val="130"/>
          <w:sz w:val="24"/>
        </w:rPr>
        <w:t>magasabb</w:t>
      </w:r>
      <w:r>
        <w:rPr>
          <w:spacing w:val="-15"/>
          <w:w w:val="130"/>
          <w:sz w:val="24"/>
        </w:rPr>
        <w:t> </w:t>
      </w:r>
      <w:r>
        <w:rPr>
          <w:w w:val="130"/>
          <w:sz w:val="24"/>
        </w:rPr>
        <w:t>összegű</w:t>
      </w:r>
      <w:r>
        <w:rPr>
          <w:spacing w:val="-13"/>
          <w:w w:val="130"/>
          <w:sz w:val="24"/>
        </w:rPr>
        <w:t> </w:t>
      </w:r>
      <w:r>
        <w:rPr>
          <w:w w:val="130"/>
          <w:sz w:val="24"/>
        </w:rPr>
        <w:t>kártalanítás</w:t>
      </w:r>
      <w:r>
        <w:rPr>
          <w:spacing w:val="-15"/>
          <w:w w:val="130"/>
          <w:sz w:val="24"/>
        </w:rPr>
        <w:t> </w:t>
      </w:r>
      <w:r>
        <w:rPr>
          <w:w w:val="130"/>
          <w:sz w:val="24"/>
        </w:rPr>
        <w:t>illette volna</w:t>
      </w:r>
      <w:r>
        <w:rPr>
          <w:spacing w:val="-14"/>
          <w:w w:val="130"/>
          <w:sz w:val="24"/>
        </w:rPr>
        <w:t> </w:t>
      </w:r>
      <w:r>
        <w:rPr>
          <w:w w:val="130"/>
          <w:sz w:val="24"/>
        </w:rPr>
        <w:t>meg,</w:t>
      </w:r>
      <w:r>
        <w:rPr>
          <w:spacing w:val="-13"/>
          <w:w w:val="130"/>
          <w:sz w:val="24"/>
        </w:rPr>
        <w:t> </w:t>
      </w:r>
      <w:r>
        <w:rPr>
          <w:w w:val="130"/>
          <w:sz w:val="24"/>
        </w:rPr>
        <w:t>akkor</w:t>
      </w:r>
      <w:r>
        <w:rPr>
          <w:spacing w:val="-13"/>
          <w:w w:val="130"/>
          <w:sz w:val="24"/>
        </w:rPr>
        <w:t> </w:t>
      </w:r>
      <w:r>
        <w:rPr>
          <w:w w:val="130"/>
          <w:sz w:val="24"/>
        </w:rPr>
        <w:t>az</w:t>
      </w:r>
      <w:r>
        <w:rPr>
          <w:spacing w:val="-10"/>
          <w:w w:val="130"/>
          <w:sz w:val="24"/>
        </w:rPr>
        <w:t> </w:t>
      </w:r>
      <w:r>
        <w:rPr>
          <w:w w:val="130"/>
          <w:sz w:val="24"/>
        </w:rPr>
        <w:t>örökösöket</w:t>
      </w:r>
      <w:r>
        <w:rPr>
          <w:spacing w:val="-16"/>
          <w:w w:val="130"/>
          <w:sz w:val="24"/>
        </w:rPr>
        <w:t> </w:t>
      </w:r>
      <w:r>
        <w:rPr>
          <w:w w:val="130"/>
          <w:sz w:val="24"/>
        </w:rPr>
        <w:t>megilleti</w:t>
      </w:r>
      <w:r>
        <w:rPr>
          <w:spacing w:val="-13"/>
          <w:w w:val="130"/>
          <w:sz w:val="24"/>
        </w:rPr>
        <w:t> </w:t>
      </w:r>
      <w:r>
        <w:rPr>
          <w:w w:val="130"/>
          <w:sz w:val="24"/>
        </w:rPr>
        <w:t>a</w:t>
      </w:r>
      <w:r>
        <w:rPr>
          <w:spacing w:val="-13"/>
          <w:w w:val="130"/>
          <w:sz w:val="24"/>
        </w:rPr>
        <w:t> </w:t>
      </w:r>
      <w:r>
        <w:rPr>
          <w:w w:val="130"/>
          <w:sz w:val="24"/>
        </w:rPr>
        <w:t>magasabb</w:t>
      </w:r>
      <w:r>
        <w:rPr>
          <w:spacing w:val="-14"/>
          <w:w w:val="130"/>
          <w:sz w:val="24"/>
        </w:rPr>
        <w:t> </w:t>
      </w:r>
      <w:r>
        <w:rPr>
          <w:w w:val="130"/>
          <w:sz w:val="24"/>
        </w:rPr>
        <w:t>összeg</w:t>
      </w:r>
      <w:r>
        <w:rPr>
          <w:spacing w:val="-13"/>
          <w:w w:val="130"/>
          <w:sz w:val="24"/>
        </w:rPr>
        <w:t> </w:t>
      </w:r>
      <w:r>
        <w:rPr>
          <w:w w:val="130"/>
          <w:sz w:val="24"/>
        </w:rPr>
        <w:t>a</w:t>
      </w:r>
      <w:r>
        <w:rPr>
          <w:spacing w:val="-13"/>
          <w:w w:val="130"/>
          <w:sz w:val="24"/>
        </w:rPr>
        <w:t> </w:t>
      </w:r>
      <w:r>
        <w:rPr>
          <w:w w:val="130"/>
          <w:sz w:val="24"/>
        </w:rPr>
        <w:t>hagyatékátadó végzés</w:t>
      </w:r>
      <w:r>
        <w:rPr>
          <w:spacing w:val="-20"/>
          <w:w w:val="130"/>
          <w:sz w:val="24"/>
        </w:rPr>
        <w:t> </w:t>
      </w:r>
      <w:r>
        <w:rPr>
          <w:w w:val="130"/>
          <w:sz w:val="24"/>
        </w:rPr>
        <w:t>vagy</w:t>
      </w:r>
      <w:r>
        <w:rPr>
          <w:spacing w:val="-20"/>
          <w:w w:val="130"/>
          <w:sz w:val="24"/>
        </w:rPr>
        <w:t> </w:t>
      </w:r>
      <w:r>
        <w:rPr>
          <w:w w:val="130"/>
          <w:sz w:val="24"/>
        </w:rPr>
        <w:t>a</w:t>
      </w:r>
      <w:r>
        <w:rPr>
          <w:spacing w:val="-19"/>
          <w:w w:val="130"/>
          <w:sz w:val="24"/>
        </w:rPr>
        <w:t> </w:t>
      </w:r>
      <w:r>
        <w:rPr>
          <w:w w:val="130"/>
          <w:sz w:val="24"/>
        </w:rPr>
        <w:t>bírósági</w:t>
      </w:r>
      <w:r>
        <w:rPr>
          <w:spacing w:val="-20"/>
          <w:w w:val="130"/>
          <w:sz w:val="24"/>
        </w:rPr>
        <w:t> </w:t>
      </w:r>
      <w:r>
        <w:rPr>
          <w:w w:val="130"/>
          <w:sz w:val="24"/>
        </w:rPr>
        <w:t>ítélet</w:t>
      </w:r>
      <w:r>
        <w:rPr>
          <w:spacing w:val="-20"/>
          <w:w w:val="130"/>
          <w:sz w:val="24"/>
        </w:rPr>
        <w:t> </w:t>
      </w:r>
      <w:r>
        <w:rPr>
          <w:w w:val="130"/>
          <w:sz w:val="24"/>
        </w:rPr>
        <w:t>jogerőre</w:t>
      </w:r>
      <w:r>
        <w:rPr>
          <w:spacing w:val="-19"/>
          <w:w w:val="130"/>
          <w:sz w:val="24"/>
        </w:rPr>
        <w:t> </w:t>
      </w:r>
      <w:r>
        <w:rPr>
          <w:w w:val="130"/>
          <w:sz w:val="24"/>
        </w:rPr>
        <w:t>emelkedésétől</w:t>
      </w:r>
      <w:r>
        <w:rPr>
          <w:spacing w:val="-20"/>
          <w:w w:val="130"/>
          <w:sz w:val="24"/>
        </w:rPr>
        <w:t> </w:t>
      </w:r>
      <w:r>
        <w:rPr>
          <w:w w:val="130"/>
          <w:sz w:val="24"/>
        </w:rPr>
        <w:t>számított</w:t>
      </w:r>
      <w:r>
        <w:rPr>
          <w:spacing w:val="-19"/>
          <w:w w:val="130"/>
          <w:sz w:val="24"/>
        </w:rPr>
        <w:t> </w:t>
      </w:r>
      <w:r>
        <w:rPr>
          <w:w w:val="130"/>
          <w:sz w:val="24"/>
        </w:rPr>
        <w:t>három</w:t>
      </w:r>
      <w:r>
        <w:rPr>
          <w:spacing w:val="-20"/>
          <w:w w:val="130"/>
          <w:sz w:val="24"/>
        </w:rPr>
        <w:t> </w:t>
      </w:r>
      <w:r>
        <w:rPr>
          <w:w w:val="130"/>
          <w:sz w:val="24"/>
        </w:rPr>
        <w:t>hónapig, a 214/A. § (1) bekezdésében meghatározott összeghatárig, függetlenül az örökösök</w:t>
      </w:r>
      <w:r>
        <w:rPr>
          <w:spacing w:val="-4"/>
          <w:w w:val="130"/>
          <w:sz w:val="24"/>
        </w:rPr>
        <w:t> </w:t>
      </w:r>
      <w:r>
        <w:rPr>
          <w:w w:val="130"/>
          <w:sz w:val="24"/>
        </w:rPr>
        <w:t>számától.</w:t>
      </w:r>
    </w:p>
    <w:p>
      <w:pPr>
        <w:pStyle w:val="ListParagraph"/>
        <w:numPr>
          <w:ilvl w:val="0"/>
          <w:numId w:val="507"/>
        </w:numPr>
        <w:tabs>
          <w:tab w:pos="1007" w:val="left" w:leader="none"/>
        </w:tabs>
        <w:spacing w:line="225" w:lineRule="auto" w:before="6" w:after="0"/>
        <w:ind w:left="113" w:right="129" w:firstLine="204"/>
        <w:jc w:val="both"/>
        <w:rPr>
          <w:sz w:val="24"/>
        </w:rPr>
      </w:pPr>
      <w:r>
        <w:rPr>
          <w:w w:val="125"/>
          <w:sz w:val="24"/>
        </w:rPr>
        <w:t>Az (1)-(3) bekezdés alkalmazása során az egyéni vállalkozó által elhelyezett betét - elhelyezésének időpontjától függetlenül - az ugyanazon személy által magánszemélyként elhelyezett betéttől külön betétnek</w:t>
      </w:r>
      <w:r>
        <w:rPr>
          <w:spacing w:val="-2"/>
          <w:w w:val="125"/>
          <w:sz w:val="24"/>
        </w:rPr>
        <w:t> </w:t>
      </w:r>
      <w:r>
        <w:rPr>
          <w:w w:val="125"/>
          <w:sz w:val="24"/>
        </w:rPr>
        <w:t>minősül.</w:t>
      </w:r>
    </w:p>
    <w:p>
      <w:pPr>
        <w:pStyle w:val="ListParagraph"/>
        <w:numPr>
          <w:ilvl w:val="0"/>
          <w:numId w:val="507"/>
        </w:numPr>
        <w:tabs>
          <w:tab w:pos="1047" w:val="left" w:leader="none"/>
        </w:tabs>
        <w:spacing w:line="225" w:lineRule="auto" w:before="2" w:after="0"/>
        <w:ind w:left="113" w:right="125" w:firstLine="204"/>
        <w:jc w:val="both"/>
        <w:rPr>
          <w:sz w:val="24"/>
        </w:rPr>
      </w:pPr>
      <w:r>
        <w:rPr>
          <w:w w:val="125"/>
          <w:sz w:val="24"/>
        </w:rPr>
        <w:t>A közjegyzői, végrehajtói, ügyvédi letéti, őrzési tevékenységhez kapcsolódóan a hitelintézetnél nyitott számlák - amelyeket a hitelintézet nem</w:t>
      </w:r>
      <w:r>
        <w:rPr>
          <w:spacing w:val="52"/>
          <w:w w:val="125"/>
          <w:sz w:val="24"/>
        </w:rPr>
        <w:t> </w:t>
      </w:r>
      <w:r>
        <w:rPr>
          <w:w w:val="125"/>
          <w:sz w:val="24"/>
        </w:rPr>
        <w:t>a</w:t>
      </w:r>
    </w:p>
    <w:p>
      <w:pPr>
        <w:pStyle w:val="ListParagraph"/>
        <w:numPr>
          <w:ilvl w:val="0"/>
          <w:numId w:val="508"/>
        </w:numPr>
        <w:tabs>
          <w:tab w:pos="499" w:val="left" w:leader="none"/>
        </w:tabs>
        <w:spacing w:line="225" w:lineRule="auto" w:before="1" w:after="0"/>
        <w:ind w:left="113" w:right="113" w:firstLine="0"/>
        <w:jc w:val="both"/>
        <w:rPr>
          <w:sz w:val="24"/>
        </w:rPr>
      </w:pPr>
      <w:r>
        <w:rPr>
          <w:w w:val="125"/>
          <w:sz w:val="24"/>
        </w:rPr>
        <w:t>§ (1) bekezdése szerinti letéti szolgáltatás keretében vezet - az (1)-(3) bekezdésének alkalmazása során elhelyezésének időpontjától függetlenül a kártalanítási összeghatár szempontjából külön betétnek minősülnek a közjegyzőnek, végrehajtónak, ügyvédnek a hitelintézetnél lévő  más betéteitől. E számlára (több számla esetén valamennyi számlára külön-külön) a közjegyzővel, végrehajtóval, ügyvéddel szemben a 213. § (1) bekezdés </w:t>
      </w:r>
      <w:r>
        <w:rPr>
          <w:i/>
          <w:w w:val="125"/>
          <w:sz w:val="24"/>
        </w:rPr>
        <w:t>l) </w:t>
      </w:r>
      <w:r>
        <w:rPr>
          <w:w w:val="125"/>
          <w:sz w:val="24"/>
        </w:rPr>
        <w:t>pontjában rögzített kizáró ok fennállása esetén is kiterjed az OBA által nyújtott biztosítás. Az OBA jogosult - a 217. § szerinti kártalanítási eljárás során - az ügyvédi kamarai szabályzatban előírt letéti nyilvántartásnak az ügyvédtől (ügyvédi irodától) való bekérésével ellenőrizni, hogy a kártalanítási  összeghatár szempontjából külön betétnek minősül-e az ügyvédi letéti számlán elhelyezett összeg.</w:t>
      </w:r>
    </w:p>
    <w:p>
      <w:pPr>
        <w:pStyle w:val="BodyText"/>
        <w:tabs>
          <w:tab w:pos="1411" w:val="left" w:leader="none"/>
          <w:tab w:pos="1889" w:val="left" w:leader="none"/>
          <w:tab w:pos="2458" w:val="left" w:leader="none"/>
          <w:tab w:pos="2861" w:val="left" w:leader="none"/>
          <w:tab w:pos="3625" w:val="left" w:leader="none"/>
          <w:tab w:pos="3975" w:val="left" w:leader="none"/>
          <w:tab w:pos="4544" w:val="left" w:leader="none"/>
          <w:tab w:pos="6352" w:val="left" w:leader="none"/>
          <w:tab w:pos="8363" w:val="left" w:leader="none"/>
        </w:tabs>
        <w:spacing w:line="255" w:lineRule="exact"/>
        <w:ind w:left="317" w:firstLine="0"/>
      </w:pPr>
      <w:r>
        <w:rPr>
          <w:rFonts w:ascii="Arial" w:hAnsi="Arial"/>
          <w:b/>
          <w:w w:val="120"/>
        </w:rPr>
        <w:t>214/A.</w:t>
        <w:tab/>
        <w:t>§</w:t>
      </w:r>
      <w:r>
        <w:rPr>
          <w:i/>
          <w:w w:val="120"/>
          <w:position w:val="3"/>
          <w:sz w:val="18"/>
        </w:rPr>
        <w:t>2</w:t>
        <w:tab/>
      </w:r>
      <w:r>
        <w:rPr>
          <w:w w:val="120"/>
        </w:rPr>
        <w:t>(1)</w:t>
        <w:tab/>
        <w:t>A</w:t>
        <w:tab/>
        <w:t>214.</w:t>
        <w:tab/>
        <w:t>§</w:t>
        <w:tab/>
        <w:t>(1)</w:t>
        <w:tab/>
        <w:t>bekezdésben</w:t>
        <w:tab/>
        <w:t>meghatározott</w:t>
        <w:tab/>
        <w:t>értékhatárt</w:t>
      </w:r>
    </w:p>
    <w:p>
      <w:pPr>
        <w:pStyle w:val="BodyText"/>
        <w:spacing w:line="225" w:lineRule="auto" w:before="12"/>
        <w:ind w:right="127" w:firstLine="0"/>
        <w:jc w:val="both"/>
      </w:pPr>
      <w:r>
        <w:rPr>
          <w:w w:val="130"/>
        </w:rPr>
        <w:t>meghaladóan az OBA a kártalanításra jogosult természetes személy részére további legfeljebb ötvenezer euró összeghatárig fizet kártalanítást azon betétkövetelések esetén, amelyeket a kártalanítás kezdő napját megelőző három hónapban elkülönített számlán helyeztek el és a (2) bekezdésben meghatározott eredetüket a (3) bekezdésben foglaltaknak megfelelően igazolták a tagintézet részére.</w:t>
      </w:r>
    </w:p>
    <w:p>
      <w:pPr>
        <w:pStyle w:val="ListParagraph"/>
        <w:numPr>
          <w:ilvl w:val="0"/>
          <w:numId w:val="509"/>
        </w:numPr>
        <w:tabs>
          <w:tab w:pos="734" w:val="left" w:leader="none"/>
        </w:tabs>
        <w:spacing w:line="258" w:lineRule="exact" w:before="0" w:after="0"/>
        <w:ind w:left="733" w:right="0" w:hanging="416"/>
        <w:jc w:val="left"/>
        <w:rPr>
          <w:sz w:val="24"/>
        </w:rPr>
      </w:pPr>
      <w:r>
        <w:rPr>
          <w:w w:val="125"/>
          <w:sz w:val="24"/>
        </w:rPr>
        <w:t>Az (1) bekezdés abban az esetben alkalmazandó, ha a betét</w:t>
      </w:r>
      <w:r>
        <w:rPr>
          <w:spacing w:val="64"/>
          <w:w w:val="125"/>
          <w:sz w:val="24"/>
        </w:rPr>
        <w:t> </w:t>
      </w:r>
      <w:r>
        <w:rPr>
          <w:w w:val="125"/>
          <w:sz w:val="24"/>
        </w:rPr>
        <w:t>forrása</w:t>
      </w:r>
    </w:p>
    <w:p>
      <w:pPr>
        <w:pStyle w:val="ListParagraph"/>
        <w:numPr>
          <w:ilvl w:val="0"/>
          <w:numId w:val="510"/>
        </w:numPr>
        <w:tabs>
          <w:tab w:pos="631" w:val="left" w:leader="none"/>
        </w:tabs>
        <w:spacing w:line="260" w:lineRule="exact" w:before="0" w:after="0"/>
        <w:ind w:left="630" w:right="0" w:hanging="313"/>
        <w:jc w:val="left"/>
        <w:rPr>
          <w:sz w:val="24"/>
        </w:rPr>
      </w:pPr>
      <w:r>
        <w:rPr>
          <w:w w:val="130"/>
          <w:sz w:val="24"/>
        </w:rPr>
        <w:t>lakóingatlan</w:t>
      </w:r>
      <w:r>
        <w:rPr>
          <w:spacing w:val="-12"/>
          <w:w w:val="130"/>
          <w:sz w:val="24"/>
        </w:rPr>
        <w:t> </w:t>
      </w:r>
      <w:r>
        <w:rPr>
          <w:w w:val="130"/>
          <w:sz w:val="24"/>
        </w:rPr>
        <w:t>eladása,</w:t>
      </w:r>
      <w:r>
        <w:rPr>
          <w:spacing w:val="-11"/>
          <w:w w:val="130"/>
          <w:sz w:val="24"/>
        </w:rPr>
        <w:t> </w:t>
      </w:r>
      <w:r>
        <w:rPr>
          <w:w w:val="130"/>
          <w:sz w:val="24"/>
        </w:rPr>
        <w:t>lakásbérleti</w:t>
      </w:r>
      <w:r>
        <w:rPr>
          <w:spacing w:val="-11"/>
          <w:w w:val="130"/>
          <w:sz w:val="24"/>
        </w:rPr>
        <w:t> </w:t>
      </w:r>
      <w:r>
        <w:rPr>
          <w:w w:val="130"/>
          <w:sz w:val="24"/>
        </w:rPr>
        <w:t>vagy</w:t>
      </w:r>
      <w:r>
        <w:rPr>
          <w:spacing w:val="-11"/>
          <w:w w:val="130"/>
          <w:sz w:val="24"/>
        </w:rPr>
        <w:t> </w:t>
      </w:r>
      <w:r>
        <w:rPr>
          <w:w w:val="130"/>
          <w:sz w:val="24"/>
        </w:rPr>
        <w:t>lakáshasználati</w:t>
      </w:r>
      <w:r>
        <w:rPr>
          <w:spacing w:val="-11"/>
          <w:w w:val="130"/>
          <w:sz w:val="24"/>
        </w:rPr>
        <w:t> </w:t>
      </w:r>
      <w:r>
        <w:rPr>
          <w:w w:val="130"/>
          <w:sz w:val="24"/>
        </w:rPr>
        <w:t>jog</w:t>
      </w:r>
      <w:r>
        <w:rPr>
          <w:spacing w:val="-10"/>
          <w:w w:val="130"/>
          <w:sz w:val="24"/>
        </w:rPr>
        <w:t> </w:t>
      </w:r>
      <w:r>
        <w:rPr>
          <w:w w:val="130"/>
          <w:sz w:val="24"/>
        </w:rPr>
        <w:t>eladása,</w:t>
      </w:r>
    </w:p>
    <w:p>
      <w:pPr>
        <w:pStyle w:val="ListParagraph"/>
        <w:numPr>
          <w:ilvl w:val="0"/>
          <w:numId w:val="510"/>
        </w:numPr>
        <w:tabs>
          <w:tab w:pos="653" w:val="left" w:leader="none"/>
        </w:tabs>
        <w:spacing w:line="260" w:lineRule="exact" w:before="0" w:after="0"/>
        <w:ind w:left="652" w:right="0" w:hanging="335"/>
        <w:jc w:val="left"/>
        <w:rPr>
          <w:sz w:val="24"/>
        </w:rPr>
      </w:pPr>
      <w:r>
        <w:rPr>
          <w:w w:val="125"/>
          <w:sz w:val="24"/>
        </w:rPr>
        <w:t>munkaviszony megszűnéséhez, nyugdíjazáshoz kapcsolódó</w:t>
      </w:r>
      <w:r>
        <w:rPr>
          <w:spacing w:val="-5"/>
          <w:w w:val="125"/>
          <w:sz w:val="24"/>
        </w:rPr>
        <w:t> </w:t>
      </w:r>
      <w:r>
        <w:rPr>
          <w:w w:val="125"/>
          <w:sz w:val="24"/>
        </w:rPr>
        <w:t>juttatás,</w:t>
      </w:r>
    </w:p>
    <w:p>
      <w:pPr>
        <w:pStyle w:val="ListParagraph"/>
        <w:numPr>
          <w:ilvl w:val="0"/>
          <w:numId w:val="510"/>
        </w:numPr>
        <w:tabs>
          <w:tab w:pos="623" w:val="left" w:leader="none"/>
        </w:tabs>
        <w:spacing w:line="260" w:lineRule="exact" w:before="0" w:after="0"/>
        <w:ind w:left="622" w:right="0" w:hanging="305"/>
        <w:jc w:val="left"/>
        <w:rPr>
          <w:sz w:val="24"/>
        </w:rPr>
      </w:pPr>
      <w:r>
        <w:rPr>
          <w:w w:val="125"/>
          <w:sz w:val="24"/>
        </w:rPr>
        <w:t>biztosítási összeg</w:t>
      </w:r>
      <w:r>
        <w:rPr>
          <w:spacing w:val="1"/>
          <w:w w:val="125"/>
          <w:sz w:val="24"/>
        </w:rPr>
        <w:t> </w:t>
      </w:r>
      <w:r>
        <w:rPr>
          <w:w w:val="125"/>
          <w:sz w:val="24"/>
        </w:rPr>
        <w:t>vagy</w:t>
      </w:r>
    </w:p>
    <w:p>
      <w:pPr>
        <w:pStyle w:val="ListParagraph"/>
        <w:numPr>
          <w:ilvl w:val="0"/>
          <w:numId w:val="510"/>
        </w:numPr>
        <w:tabs>
          <w:tab w:pos="653" w:val="left" w:leader="none"/>
        </w:tabs>
        <w:spacing w:line="260" w:lineRule="exact" w:before="0" w:after="0"/>
        <w:ind w:left="652" w:right="0" w:hanging="335"/>
        <w:jc w:val="left"/>
        <w:rPr>
          <w:sz w:val="24"/>
        </w:rPr>
      </w:pPr>
      <w:r>
        <w:rPr>
          <w:w w:val="125"/>
          <w:sz w:val="24"/>
        </w:rPr>
        <w:t>bűncselekmény áldozatainak vagy tévesen elítélteknek járó</w:t>
      </w:r>
      <w:r>
        <w:rPr>
          <w:spacing w:val="59"/>
          <w:w w:val="125"/>
          <w:sz w:val="24"/>
        </w:rPr>
        <w:t> </w:t>
      </w:r>
      <w:r>
        <w:rPr>
          <w:w w:val="125"/>
          <w:sz w:val="24"/>
        </w:rPr>
        <w:t>kártérítés.</w:t>
      </w:r>
    </w:p>
    <w:p>
      <w:pPr>
        <w:pStyle w:val="ListParagraph"/>
        <w:numPr>
          <w:ilvl w:val="0"/>
          <w:numId w:val="509"/>
        </w:numPr>
        <w:tabs>
          <w:tab w:pos="798" w:val="left" w:leader="none"/>
        </w:tabs>
        <w:spacing w:line="225" w:lineRule="auto" w:before="5" w:after="0"/>
        <w:ind w:left="113" w:right="130" w:firstLine="204"/>
        <w:jc w:val="left"/>
        <w:rPr>
          <w:sz w:val="24"/>
        </w:rPr>
      </w:pPr>
      <w:r>
        <w:rPr>
          <w:w w:val="125"/>
          <w:sz w:val="24"/>
        </w:rPr>
        <w:t>A jogosult a betét forrását az elkülönített számlán történő elhelyezés napján a következő okiratokkal</w:t>
      </w:r>
      <w:r>
        <w:rPr>
          <w:spacing w:val="3"/>
          <w:w w:val="125"/>
          <w:sz w:val="24"/>
        </w:rPr>
        <w:t> </w:t>
      </w:r>
      <w:r>
        <w:rPr>
          <w:w w:val="125"/>
          <w:sz w:val="24"/>
        </w:rPr>
        <w:t>igazolja:</w:t>
      </w:r>
    </w:p>
    <w:p>
      <w:pPr>
        <w:pStyle w:val="ListParagraph"/>
        <w:numPr>
          <w:ilvl w:val="0"/>
          <w:numId w:val="511"/>
        </w:numPr>
        <w:tabs>
          <w:tab w:pos="729" w:val="left" w:leader="none"/>
        </w:tabs>
        <w:spacing w:line="225" w:lineRule="auto" w:before="1" w:after="0"/>
        <w:ind w:left="113" w:right="128" w:firstLine="204"/>
        <w:jc w:val="both"/>
        <w:rPr>
          <w:sz w:val="24"/>
        </w:rPr>
      </w:pPr>
      <w:r>
        <w:rPr>
          <w:w w:val="130"/>
          <w:sz w:val="24"/>
        </w:rPr>
        <w:t>a (2) bekezdés </w:t>
      </w:r>
      <w:r>
        <w:rPr>
          <w:i/>
          <w:w w:val="130"/>
          <w:sz w:val="24"/>
        </w:rPr>
        <w:t>a) </w:t>
      </w:r>
      <w:r>
        <w:rPr>
          <w:w w:val="130"/>
          <w:sz w:val="24"/>
        </w:rPr>
        <w:t>pontjában meghatározott esetben 30 napnál nem régebbi adásvételi szerződés vagy tulajdonjog, bérleti jog, használati jog átruházására irányuló egyéb okirat</w:t>
      </w:r>
      <w:r>
        <w:rPr>
          <w:spacing w:val="-16"/>
          <w:w w:val="130"/>
          <w:sz w:val="24"/>
        </w:rPr>
        <w:t> </w:t>
      </w:r>
      <w:r>
        <w:rPr>
          <w:w w:val="130"/>
          <w:sz w:val="24"/>
        </w:rPr>
        <w:t>másolata,</w:t>
      </w:r>
    </w:p>
    <w:p>
      <w:pPr>
        <w:pStyle w:val="ListParagraph"/>
        <w:numPr>
          <w:ilvl w:val="0"/>
          <w:numId w:val="511"/>
        </w:numPr>
        <w:tabs>
          <w:tab w:pos="738" w:val="left" w:leader="none"/>
        </w:tabs>
        <w:spacing w:line="225" w:lineRule="auto" w:before="2" w:after="0"/>
        <w:ind w:left="113" w:right="128" w:firstLine="204"/>
        <w:jc w:val="left"/>
        <w:rPr>
          <w:sz w:val="24"/>
        </w:rPr>
      </w:pPr>
      <w:r>
        <w:rPr>
          <w:w w:val="125"/>
          <w:sz w:val="24"/>
        </w:rPr>
        <w:t>a (2) bekezdés </w:t>
      </w:r>
      <w:r>
        <w:rPr>
          <w:i/>
          <w:w w:val="125"/>
          <w:sz w:val="24"/>
        </w:rPr>
        <w:t>b) </w:t>
      </w:r>
      <w:r>
        <w:rPr>
          <w:w w:val="125"/>
          <w:sz w:val="24"/>
        </w:rPr>
        <w:t>pontjában meghatározott esetben 30 napnál  nem  régebbi munkáltatói, kifizetői</w:t>
      </w:r>
      <w:r>
        <w:rPr>
          <w:spacing w:val="1"/>
          <w:w w:val="125"/>
          <w:sz w:val="24"/>
        </w:rPr>
        <w:t> </w:t>
      </w:r>
      <w:r>
        <w:rPr>
          <w:w w:val="125"/>
          <w:sz w:val="24"/>
        </w:rPr>
        <w:t>igazolás,</w:t>
      </w:r>
    </w:p>
    <w:p>
      <w:pPr>
        <w:pStyle w:val="BodyText"/>
        <w:spacing w:before="4"/>
        <w:ind w:left="0" w:firstLine="0"/>
        <w:rPr>
          <w:sz w:val="10"/>
        </w:rPr>
      </w:pPr>
      <w:r>
        <w:rPr/>
        <w:pict>
          <v:line style="position:absolute;mso-position-horizontal-relative:page;mso-position-vertical-relative:paragraph;z-index:2072;mso-wrap-distance-left:0;mso-wrap-distance-right:0" from="56.693001pt,8.192171pt" to="538.583001pt,8.192171pt" stroked="true" strokeweight=".5pt" strokecolor="#000000">
            <v:stroke dashstyle="solid"/>
            <w10:wrap type="topAndBottom"/>
          </v:line>
        </w:pict>
      </w:r>
    </w:p>
    <w:p>
      <w:pPr>
        <w:pStyle w:val="ListParagraph"/>
        <w:numPr>
          <w:ilvl w:val="0"/>
          <w:numId w:val="512"/>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110. §. Hatályos: 2018. XII.</w:t>
      </w:r>
      <w:r>
        <w:rPr>
          <w:i/>
          <w:spacing w:val="-25"/>
          <w:w w:val="125"/>
          <w:sz w:val="18"/>
        </w:rPr>
        <w:t> </w:t>
      </w:r>
      <w:r>
        <w:rPr>
          <w:i/>
          <w:w w:val="125"/>
          <w:sz w:val="18"/>
        </w:rPr>
        <w:t>29-től.</w:t>
      </w:r>
    </w:p>
    <w:p>
      <w:pPr>
        <w:pStyle w:val="ListParagraph"/>
        <w:numPr>
          <w:ilvl w:val="0"/>
          <w:numId w:val="512"/>
        </w:numPr>
        <w:tabs>
          <w:tab w:pos="686" w:val="left" w:leader="none"/>
          <w:tab w:pos="687" w:val="left" w:leader="none"/>
        </w:tabs>
        <w:spacing w:line="203" w:lineRule="exact" w:before="0" w:after="0"/>
        <w:ind w:left="686" w:right="0" w:hanging="344"/>
        <w:jc w:val="left"/>
        <w:rPr>
          <w:i/>
          <w:sz w:val="18"/>
        </w:rPr>
      </w:pPr>
      <w:r>
        <w:rPr>
          <w:i/>
          <w:w w:val="125"/>
          <w:sz w:val="18"/>
        </w:rPr>
        <w:t>Beiktatta: 2014. évi CIV. törvény 76. §. Hatályos: 2015. VII.</w:t>
      </w:r>
      <w:r>
        <w:rPr>
          <w:i/>
          <w:spacing w:val="-11"/>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11"/>
        </w:numPr>
        <w:tabs>
          <w:tab w:pos="647" w:val="left" w:leader="none"/>
        </w:tabs>
        <w:spacing w:line="225" w:lineRule="auto" w:before="173" w:after="0"/>
        <w:ind w:left="113" w:right="127" w:firstLine="204"/>
        <w:jc w:val="left"/>
        <w:rPr>
          <w:sz w:val="24"/>
        </w:rPr>
      </w:pPr>
      <w:r>
        <w:rPr>
          <w:w w:val="130"/>
          <w:sz w:val="24"/>
        </w:rPr>
        <w:t>a (2) bekezdés </w:t>
      </w:r>
      <w:r>
        <w:rPr>
          <w:i/>
          <w:w w:val="130"/>
          <w:sz w:val="24"/>
        </w:rPr>
        <w:t>c) </w:t>
      </w:r>
      <w:r>
        <w:rPr>
          <w:w w:val="130"/>
          <w:sz w:val="24"/>
        </w:rPr>
        <w:t>pontjában meghatározott esetben a biztosító 30 napnál nem régebbi</w:t>
      </w:r>
      <w:r>
        <w:rPr>
          <w:spacing w:val="-6"/>
          <w:w w:val="130"/>
          <w:sz w:val="24"/>
        </w:rPr>
        <w:t> </w:t>
      </w:r>
      <w:r>
        <w:rPr>
          <w:w w:val="130"/>
          <w:sz w:val="24"/>
        </w:rPr>
        <w:t>igazolása,</w:t>
      </w:r>
    </w:p>
    <w:p>
      <w:pPr>
        <w:pStyle w:val="ListParagraph"/>
        <w:numPr>
          <w:ilvl w:val="0"/>
          <w:numId w:val="511"/>
        </w:numPr>
        <w:tabs>
          <w:tab w:pos="674" w:val="left" w:leader="none"/>
        </w:tabs>
        <w:spacing w:line="225" w:lineRule="auto" w:before="1" w:after="0"/>
        <w:ind w:left="113" w:right="128" w:firstLine="204"/>
        <w:jc w:val="left"/>
        <w:rPr>
          <w:sz w:val="24"/>
        </w:rPr>
      </w:pPr>
      <w:r>
        <w:rPr>
          <w:w w:val="130"/>
          <w:sz w:val="24"/>
        </w:rPr>
        <w:t>a (2) bekezdés </w:t>
      </w:r>
      <w:r>
        <w:rPr>
          <w:i/>
          <w:w w:val="130"/>
          <w:sz w:val="24"/>
        </w:rPr>
        <w:t>d) </w:t>
      </w:r>
      <w:r>
        <w:rPr>
          <w:w w:val="130"/>
          <w:sz w:val="24"/>
        </w:rPr>
        <w:t>pontjában meghatározott esetben a bíróság 30 napnál nem régebbi</w:t>
      </w:r>
      <w:r>
        <w:rPr>
          <w:spacing w:val="-5"/>
          <w:w w:val="130"/>
          <w:sz w:val="24"/>
        </w:rPr>
        <w:t> </w:t>
      </w:r>
      <w:r>
        <w:rPr>
          <w:w w:val="130"/>
          <w:sz w:val="24"/>
        </w:rPr>
        <w:t>határozata.</w:t>
      </w:r>
    </w:p>
    <w:p>
      <w:pPr>
        <w:pStyle w:val="ListParagraph"/>
        <w:numPr>
          <w:ilvl w:val="1"/>
          <w:numId w:val="508"/>
        </w:numPr>
        <w:tabs>
          <w:tab w:pos="1051" w:val="left" w:leader="none"/>
        </w:tabs>
        <w:spacing w:line="249" w:lineRule="exact" w:before="0" w:after="0"/>
        <w:ind w:left="1050" w:right="0" w:hanging="733"/>
        <w:jc w:val="left"/>
        <w:rPr>
          <w:sz w:val="24"/>
        </w:rPr>
      </w:pPr>
      <w:r>
        <w:rPr>
          <w:rFonts w:ascii="Arial" w:hAnsi="Arial"/>
          <w:b/>
          <w:w w:val="125"/>
          <w:sz w:val="24"/>
        </w:rPr>
        <w:t>§</w:t>
      </w:r>
      <w:r>
        <w:rPr>
          <w:i/>
          <w:w w:val="125"/>
          <w:position w:val="3"/>
          <w:sz w:val="18"/>
        </w:rPr>
        <w:t>1 </w:t>
      </w:r>
      <w:r>
        <w:rPr>
          <w:w w:val="125"/>
          <w:sz w:val="24"/>
        </w:rPr>
        <w:t>(1) Az OBA által biztosított betétek esetében a hitelintézet és</w:t>
      </w:r>
      <w:r>
        <w:rPr>
          <w:spacing w:val="-14"/>
          <w:w w:val="125"/>
          <w:sz w:val="24"/>
        </w:rPr>
        <w:t> </w:t>
      </w:r>
      <w:r>
        <w:rPr>
          <w:w w:val="125"/>
          <w:sz w:val="24"/>
        </w:rPr>
        <w:t>a</w:t>
      </w:r>
    </w:p>
    <w:p>
      <w:pPr>
        <w:pStyle w:val="BodyText"/>
        <w:spacing w:line="225" w:lineRule="auto" w:before="12"/>
        <w:ind w:right="108" w:firstLine="0"/>
        <w:jc w:val="both"/>
      </w:pPr>
      <w:r>
        <w:rPr>
          <w:w w:val="130"/>
        </w:rPr>
        <w:t>betétes közötti beszámításnak kizárólag akkor van helye, ha a betétesnek a hitelintézettel szemben a kártalanítás 217. § (1) bekezdésében meghatározott kezdő</w:t>
      </w:r>
      <w:r>
        <w:rPr>
          <w:spacing w:val="-22"/>
          <w:w w:val="130"/>
        </w:rPr>
        <w:t> </w:t>
      </w:r>
      <w:r>
        <w:rPr>
          <w:w w:val="130"/>
        </w:rPr>
        <w:t>időpontját</w:t>
      </w:r>
      <w:r>
        <w:rPr>
          <w:spacing w:val="-22"/>
          <w:w w:val="130"/>
        </w:rPr>
        <w:t> </w:t>
      </w:r>
      <w:r>
        <w:rPr>
          <w:w w:val="130"/>
        </w:rPr>
        <w:t>megelőzően</w:t>
      </w:r>
      <w:r>
        <w:rPr>
          <w:spacing w:val="-22"/>
          <w:w w:val="130"/>
        </w:rPr>
        <w:t> </w:t>
      </w:r>
      <w:r>
        <w:rPr>
          <w:w w:val="130"/>
        </w:rPr>
        <w:t>lejárt</w:t>
      </w:r>
      <w:r>
        <w:rPr>
          <w:spacing w:val="-21"/>
          <w:w w:val="130"/>
        </w:rPr>
        <w:t> </w:t>
      </w:r>
      <w:r>
        <w:rPr>
          <w:w w:val="130"/>
        </w:rPr>
        <w:t>tartozása</w:t>
      </w:r>
      <w:r>
        <w:rPr>
          <w:spacing w:val="-22"/>
          <w:w w:val="130"/>
        </w:rPr>
        <w:t> </w:t>
      </w:r>
      <w:r>
        <w:rPr>
          <w:w w:val="130"/>
        </w:rPr>
        <w:t>van.</w:t>
      </w:r>
      <w:r>
        <w:rPr>
          <w:spacing w:val="-22"/>
          <w:w w:val="130"/>
        </w:rPr>
        <w:t> </w:t>
      </w:r>
      <w:r>
        <w:rPr>
          <w:w w:val="130"/>
        </w:rPr>
        <w:t>A</w:t>
      </w:r>
      <w:r>
        <w:rPr>
          <w:spacing w:val="-21"/>
          <w:w w:val="130"/>
        </w:rPr>
        <w:t> </w:t>
      </w:r>
      <w:r>
        <w:rPr>
          <w:w w:val="130"/>
        </w:rPr>
        <w:t>beszámítás</w:t>
      </w:r>
      <w:r>
        <w:rPr>
          <w:spacing w:val="-11"/>
          <w:w w:val="130"/>
        </w:rPr>
        <w:t> </w:t>
      </w:r>
      <w:r>
        <w:rPr>
          <w:w w:val="130"/>
        </w:rPr>
        <w:t>feltétele,</w:t>
      </w:r>
      <w:r>
        <w:rPr>
          <w:spacing w:val="-32"/>
          <w:w w:val="130"/>
        </w:rPr>
        <w:t> </w:t>
      </w:r>
      <w:r>
        <w:rPr>
          <w:w w:val="130"/>
        </w:rPr>
        <w:t>hogy a hitelintézet a betétre vonatkozó szerződés megkötésekor a vonatkozó szerződési</w:t>
      </w:r>
      <w:r>
        <w:rPr>
          <w:spacing w:val="-9"/>
          <w:w w:val="130"/>
        </w:rPr>
        <w:t> </w:t>
      </w:r>
      <w:r>
        <w:rPr>
          <w:w w:val="130"/>
        </w:rPr>
        <w:t>feltételek</w:t>
      </w:r>
      <w:r>
        <w:rPr>
          <w:spacing w:val="-9"/>
          <w:w w:val="130"/>
        </w:rPr>
        <w:t> </w:t>
      </w:r>
      <w:r>
        <w:rPr>
          <w:w w:val="130"/>
        </w:rPr>
        <w:t>rögzítésével</w:t>
      </w:r>
      <w:r>
        <w:rPr>
          <w:spacing w:val="-9"/>
          <w:w w:val="130"/>
        </w:rPr>
        <w:t> </w:t>
      </w:r>
      <w:r>
        <w:rPr>
          <w:w w:val="130"/>
        </w:rPr>
        <w:t>tájékoztatja</w:t>
      </w:r>
      <w:r>
        <w:rPr>
          <w:spacing w:val="-10"/>
          <w:w w:val="130"/>
        </w:rPr>
        <w:t> </w:t>
      </w:r>
      <w:r>
        <w:rPr>
          <w:w w:val="130"/>
        </w:rPr>
        <w:t>a</w:t>
      </w:r>
      <w:r>
        <w:rPr>
          <w:spacing w:val="-9"/>
          <w:w w:val="130"/>
        </w:rPr>
        <w:t> </w:t>
      </w:r>
      <w:r>
        <w:rPr>
          <w:w w:val="130"/>
        </w:rPr>
        <w:t>betétest</w:t>
      </w:r>
      <w:r>
        <w:rPr>
          <w:spacing w:val="-9"/>
          <w:w w:val="130"/>
        </w:rPr>
        <w:t> </w:t>
      </w:r>
      <w:r>
        <w:rPr>
          <w:w w:val="130"/>
        </w:rPr>
        <w:t>az</w:t>
      </w:r>
      <w:r>
        <w:rPr>
          <w:spacing w:val="-9"/>
          <w:w w:val="130"/>
        </w:rPr>
        <w:t> </w:t>
      </w:r>
      <w:r>
        <w:rPr>
          <w:w w:val="130"/>
        </w:rPr>
        <w:t>e</w:t>
      </w:r>
      <w:r>
        <w:rPr>
          <w:spacing w:val="-10"/>
          <w:w w:val="130"/>
        </w:rPr>
        <w:t> </w:t>
      </w:r>
      <w:r>
        <w:rPr>
          <w:w w:val="130"/>
        </w:rPr>
        <w:t>bekezdés</w:t>
      </w:r>
      <w:r>
        <w:rPr>
          <w:spacing w:val="5"/>
          <w:w w:val="130"/>
        </w:rPr>
        <w:t> </w:t>
      </w:r>
      <w:r>
        <w:rPr>
          <w:w w:val="130"/>
        </w:rPr>
        <w:t>szerinti beszámításról a kártalanítási összeg</w:t>
      </w:r>
      <w:r>
        <w:rPr>
          <w:spacing w:val="-17"/>
          <w:w w:val="130"/>
        </w:rPr>
        <w:t> </w:t>
      </w:r>
      <w:r>
        <w:rPr>
          <w:w w:val="130"/>
        </w:rPr>
        <w:t>meghatározásánál.</w:t>
      </w:r>
    </w:p>
    <w:p>
      <w:pPr>
        <w:pStyle w:val="ListParagraph"/>
        <w:numPr>
          <w:ilvl w:val="0"/>
          <w:numId w:val="513"/>
        </w:numPr>
        <w:tabs>
          <w:tab w:pos="897" w:val="left" w:leader="none"/>
        </w:tabs>
        <w:spacing w:line="225" w:lineRule="auto" w:before="3" w:after="0"/>
        <w:ind w:left="113" w:right="123" w:firstLine="204"/>
        <w:jc w:val="both"/>
        <w:rPr>
          <w:sz w:val="24"/>
        </w:rPr>
      </w:pPr>
      <w:r>
        <w:rPr>
          <w:w w:val="125"/>
          <w:sz w:val="24"/>
        </w:rPr>
        <w:t>A hitelintézet kártalanítás esetén a betétekre vonatkozó adatok  átadásával egyidejűleg köteles a beszámítási igényét az OBA-val közölni. A hitelintézet köteles a szerződési feltételek bemutatásával igazolni, hogy az (1) bekezdésnek megfelelően tájékoztatta a betétest. Ha a beszámításra sor kerül, akkor az OBA a 214. § szerinti összegből a hitelintézetet megillető és részére átutalt</w:t>
      </w:r>
      <w:r>
        <w:rPr>
          <w:spacing w:val="16"/>
          <w:w w:val="125"/>
          <w:sz w:val="24"/>
        </w:rPr>
        <w:t> </w:t>
      </w:r>
      <w:r>
        <w:rPr>
          <w:w w:val="125"/>
          <w:sz w:val="24"/>
        </w:rPr>
        <w:t>összeg</w:t>
      </w:r>
      <w:r>
        <w:rPr>
          <w:spacing w:val="18"/>
          <w:w w:val="125"/>
          <w:sz w:val="24"/>
        </w:rPr>
        <w:t> </w:t>
      </w:r>
      <w:r>
        <w:rPr>
          <w:w w:val="125"/>
          <w:sz w:val="24"/>
        </w:rPr>
        <w:t>levonása</w:t>
      </w:r>
      <w:r>
        <w:rPr>
          <w:spacing w:val="17"/>
          <w:w w:val="125"/>
          <w:sz w:val="24"/>
        </w:rPr>
        <w:t> </w:t>
      </w:r>
      <w:r>
        <w:rPr>
          <w:w w:val="125"/>
          <w:sz w:val="24"/>
        </w:rPr>
        <w:t>után</w:t>
      </w:r>
      <w:r>
        <w:rPr>
          <w:spacing w:val="18"/>
          <w:w w:val="125"/>
          <w:sz w:val="24"/>
        </w:rPr>
        <w:t> </w:t>
      </w:r>
      <w:r>
        <w:rPr>
          <w:w w:val="125"/>
          <w:sz w:val="24"/>
        </w:rPr>
        <w:t>fennmaradó</w:t>
      </w:r>
      <w:r>
        <w:rPr>
          <w:spacing w:val="18"/>
          <w:w w:val="125"/>
          <w:sz w:val="24"/>
        </w:rPr>
        <w:t> </w:t>
      </w:r>
      <w:r>
        <w:rPr>
          <w:w w:val="125"/>
          <w:sz w:val="24"/>
        </w:rPr>
        <w:t>összeget</w:t>
      </w:r>
      <w:r>
        <w:rPr>
          <w:spacing w:val="18"/>
          <w:w w:val="125"/>
          <w:sz w:val="24"/>
        </w:rPr>
        <w:t> </w:t>
      </w:r>
      <w:r>
        <w:rPr>
          <w:w w:val="125"/>
          <w:sz w:val="24"/>
        </w:rPr>
        <w:t>fizeti</w:t>
      </w:r>
      <w:r>
        <w:rPr>
          <w:spacing w:val="19"/>
          <w:w w:val="125"/>
          <w:sz w:val="24"/>
        </w:rPr>
        <w:t> </w:t>
      </w:r>
      <w:r>
        <w:rPr>
          <w:w w:val="125"/>
          <w:sz w:val="24"/>
        </w:rPr>
        <w:t>ki</w:t>
      </w:r>
      <w:r>
        <w:rPr>
          <w:spacing w:val="16"/>
          <w:w w:val="125"/>
          <w:sz w:val="24"/>
        </w:rPr>
        <w:t> </w:t>
      </w:r>
      <w:r>
        <w:rPr>
          <w:w w:val="125"/>
          <w:sz w:val="24"/>
        </w:rPr>
        <w:t>a</w:t>
      </w:r>
      <w:r>
        <w:rPr>
          <w:spacing w:val="17"/>
          <w:w w:val="125"/>
          <w:sz w:val="24"/>
        </w:rPr>
        <w:t> </w:t>
      </w:r>
      <w:r>
        <w:rPr>
          <w:w w:val="125"/>
          <w:sz w:val="24"/>
        </w:rPr>
        <w:t>betétes</w:t>
      </w:r>
      <w:r>
        <w:rPr>
          <w:spacing w:val="18"/>
          <w:w w:val="125"/>
          <w:sz w:val="24"/>
        </w:rPr>
        <w:t> </w:t>
      </w:r>
      <w:r>
        <w:rPr>
          <w:w w:val="125"/>
          <w:sz w:val="24"/>
        </w:rPr>
        <w:t>részére.</w:t>
      </w:r>
    </w:p>
    <w:p>
      <w:pPr>
        <w:pStyle w:val="ListParagraph"/>
        <w:numPr>
          <w:ilvl w:val="0"/>
          <w:numId w:val="513"/>
        </w:numPr>
        <w:tabs>
          <w:tab w:pos="809" w:val="left" w:leader="none"/>
        </w:tabs>
        <w:spacing w:line="225" w:lineRule="auto" w:before="4" w:after="0"/>
        <w:ind w:left="113" w:right="129" w:firstLine="204"/>
        <w:jc w:val="both"/>
        <w:rPr>
          <w:sz w:val="24"/>
        </w:rPr>
      </w:pPr>
      <w:r>
        <w:rPr>
          <w:w w:val="125"/>
          <w:sz w:val="24"/>
        </w:rPr>
        <w:t>A kártalanítás mértékének megállapítása során az ügyfélnek az OBA tagjánál fennálló valamennyi betétkövetelését össze kell</w:t>
      </w:r>
      <w:r>
        <w:rPr>
          <w:spacing w:val="19"/>
          <w:w w:val="125"/>
          <w:sz w:val="24"/>
        </w:rPr>
        <w:t> </w:t>
      </w:r>
      <w:r>
        <w:rPr>
          <w:w w:val="125"/>
          <w:sz w:val="24"/>
        </w:rPr>
        <w:t>számítani.</w:t>
      </w:r>
    </w:p>
    <w:p>
      <w:pPr>
        <w:pStyle w:val="ListParagraph"/>
        <w:numPr>
          <w:ilvl w:val="0"/>
          <w:numId w:val="513"/>
        </w:numPr>
        <w:tabs>
          <w:tab w:pos="659" w:val="left" w:leader="none"/>
        </w:tabs>
        <w:spacing w:line="249" w:lineRule="exact" w:before="0" w:after="0"/>
        <w:ind w:left="658" w:right="0" w:hanging="341"/>
        <w:jc w:val="left"/>
        <w:rPr>
          <w:sz w:val="24"/>
        </w:rPr>
      </w:pPr>
      <w:r>
        <w:rPr>
          <w:i/>
          <w:w w:val="130"/>
          <w:position w:val="3"/>
          <w:sz w:val="18"/>
        </w:rPr>
        <w:t>2 </w:t>
      </w:r>
      <w:r>
        <w:rPr>
          <w:w w:val="130"/>
          <w:sz w:val="24"/>
        </w:rPr>
        <w:t>Lakáscélú hitel fedezetéül szolgáló betét esetén az OBA akkor</w:t>
      </w:r>
      <w:r>
        <w:rPr>
          <w:spacing w:val="60"/>
          <w:w w:val="130"/>
          <w:sz w:val="24"/>
        </w:rPr>
        <w:t> </w:t>
      </w:r>
      <w:r>
        <w:rPr>
          <w:w w:val="130"/>
          <w:sz w:val="24"/>
        </w:rPr>
        <w:t>teljesít</w:t>
      </w:r>
    </w:p>
    <w:p>
      <w:pPr>
        <w:pStyle w:val="BodyText"/>
        <w:spacing w:line="225" w:lineRule="auto" w:before="12"/>
        <w:ind w:right="131" w:firstLine="0"/>
        <w:jc w:val="both"/>
      </w:pPr>
      <w:r>
        <w:rPr>
          <w:w w:val="130"/>
        </w:rPr>
        <w:t>kifizetést, ha a kártalanítási összeg felvételére való jogosultság a felek megegyezése</w:t>
      </w:r>
      <w:r>
        <w:rPr>
          <w:spacing w:val="-11"/>
          <w:w w:val="130"/>
        </w:rPr>
        <w:t> </w:t>
      </w:r>
      <w:r>
        <w:rPr>
          <w:w w:val="130"/>
        </w:rPr>
        <w:t>vagy</w:t>
      </w:r>
      <w:r>
        <w:rPr>
          <w:spacing w:val="-10"/>
          <w:w w:val="130"/>
        </w:rPr>
        <w:t> </w:t>
      </w:r>
      <w:r>
        <w:rPr>
          <w:w w:val="130"/>
        </w:rPr>
        <w:t>bíróság</w:t>
      </w:r>
      <w:r>
        <w:rPr>
          <w:spacing w:val="-10"/>
          <w:w w:val="130"/>
        </w:rPr>
        <w:t> </w:t>
      </w:r>
      <w:r>
        <w:rPr>
          <w:w w:val="130"/>
        </w:rPr>
        <w:t>jogerős</w:t>
      </w:r>
      <w:r>
        <w:rPr>
          <w:spacing w:val="-11"/>
          <w:w w:val="130"/>
        </w:rPr>
        <w:t> </w:t>
      </w:r>
      <w:r>
        <w:rPr>
          <w:w w:val="130"/>
        </w:rPr>
        <w:t>ítélete,</w:t>
      </w:r>
      <w:r>
        <w:rPr>
          <w:spacing w:val="-10"/>
          <w:w w:val="130"/>
        </w:rPr>
        <w:t> </w:t>
      </w:r>
      <w:r>
        <w:rPr>
          <w:w w:val="130"/>
        </w:rPr>
        <w:t>illetve</w:t>
      </w:r>
      <w:r>
        <w:rPr>
          <w:spacing w:val="-11"/>
          <w:w w:val="130"/>
        </w:rPr>
        <w:t> </w:t>
      </w:r>
      <w:r>
        <w:rPr>
          <w:w w:val="130"/>
        </w:rPr>
        <w:t>hatóság</w:t>
      </w:r>
      <w:r>
        <w:rPr>
          <w:spacing w:val="-10"/>
          <w:w w:val="130"/>
        </w:rPr>
        <w:t> </w:t>
      </w:r>
      <w:r>
        <w:rPr>
          <w:w w:val="130"/>
        </w:rPr>
        <w:t>végleges</w:t>
      </w:r>
      <w:r>
        <w:rPr>
          <w:spacing w:val="-11"/>
          <w:w w:val="130"/>
        </w:rPr>
        <w:t> </w:t>
      </w:r>
      <w:r>
        <w:rPr>
          <w:w w:val="130"/>
        </w:rPr>
        <w:t>határozata alapján kétséget kizáróan</w:t>
      </w:r>
      <w:r>
        <w:rPr>
          <w:spacing w:val="-13"/>
          <w:w w:val="130"/>
        </w:rPr>
        <w:t> </w:t>
      </w:r>
      <w:r>
        <w:rPr>
          <w:w w:val="130"/>
        </w:rPr>
        <w:t>megállapítható.</w:t>
      </w:r>
    </w:p>
    <w:p>
      <w:pPr>
        <w:pStyle w:val="ListParagraph"/>
        <w:numPr>
          <w:ilvl w:val="1"/>
          <w:numId w:val="508"/>
        </w:numPr>
        <w:tabs>
          <w:tab w:pos="1036" w:val="left" w:leader="none"/>
        </w:tabs>
        <w:spacing w:line="225" w:lineRule="auto" w:before="1" w:after="0"/>
        <w:ind w:left="113" w:right="131" w:firstLine="204"/>
        <w:jc w:val="both"/>
        <w:rPr>
          <w:sz w:val="24"/>
        </w:rPr>
      </w:pPr>
      <w:r>
        <w:rPr>
          <w:rFonts w:ascii="Arial" w:hAnsi="Arial"/>
          <w:b/>
          <w:w w:val="125"/>
          <w:sz w:val="24"/>
        </w:rPr>
        <w:t>§ </w:t>
      </w:r>
      <w:r>
        <w:rPr>
          <w:w w:val="125"/>
          <w:sz w:val="24"/>
        </w:rPr>
        <w:t>(1) Az állami kezességvállalás mellett elhelyezett betétek esetén a kártalanítás kifizetését és az államot megillető követelés  érvényesítését  az  OBA - megegyezés szerinti térítés ellenében - az állammal írásban kötött szerződés alapján átvállalhatja. Ha az állami kezesség érvényesítése az OBA-n keresztül történik, a kifizetésre és az államot megillető követelésre a (2)-(4) bekezdésben foglaltakat kell</w:t>
      </w:r>
      <w:r>
        <w:rPr>
          <w:spacing w:val="3"/>
          <w:w w:val="125"/>
          <w:sz w:val="24"/>
        </w:rPr>
        <w:t> </w:t>
      </w:r>
      <w:r>
        <w:rPr>
          <w:w w:val="125"/>
          <w:sz w:val="24"/>
        </w:rPr>
        <w:t>alkalmazni.</w:t>
      </w:r>
    </w:p>
    <w:p>
      <w:pPr>
        <w:pStyle w:val="ListParagraph"/>
        <w:numPr>
          <w:ilvl w:val="0"/>
          <w:numId w:val="514"/>
        </w:numPr>
        <w:tabs>
          <w:tab w:pos="859" w:val="left" w:leader="none"/>
        </w:tabs>
        <w:spacing w:line="225" w:lineRule="auto" w:before="3" w:after="0"/>
        <w:ind w:left="113" w:right="127" w:firstLine="204"/>
        <w:jc w:val="both"/>
        <w:rPr>
          <w:sz w:val="24"/>
        </w:rPr>
      </w:pPr>
      <w:r>
        <w:rPr>
          <w:w w:val="125"/>
          <w:sz w:val="24"/>
        </w:rPr>
        <w:t>Az állami kezesség beváltása és az ebből eredő állami követelés érvényesítése során az állam nevében az  államháztartásért  felelős  miniszter jár el. Ha az OBA észleli, hogy a betétek között van állami kezességvállalás mellett elhelyezett betét, írásban keresi meg az államháztartásért felelős minisztert.</w:t>
      </w:r>
    </w:p>
    <w:p>
      <w:pPr>
        <w:pStyle w:val="ListParagraph"/>
        <w:numPr>
          <w:ilvl w:val="0"/>
          <w:numId w:val="514"/>
        </w:numPr>
        <w:tabs>
          <w:tab w:pos="891" w:val="left" w:leader="none"/>
        </w:tabs>
        <w:spacing w:line="225" w:lineRule="auto" w:before="3" w:after="0"/>
        <w:ind w:left="113" w:right="122" w:firstLine="204"/>
        <w:jc w:val="both"/>
        <w:rPr>
          <w:sz w:val="24"/>
        </w:rPr>
      </w:pPr>
      <w:r>
        <w:rPr>
          <w:w w:val="125"/>
          <w:sz w:val="24"/>
        </w:rPr>
        <w:t>Az állami kezességvállalás mellett elhelyezett betétek esetén az államháztartásért felelős miniszter a központi költségvetés terhére a  kártalanítás 217. § (1) bekezdésében meghatározott kezdő időpontjától számított negyvenöt munkanapon belül bocsátja a kezesség beváltásához szükséges pénzeszközöket az OBA rendelkezésére. Ezt az összeget az OBA kizárólag a kezesség beváltásból származó fizetési kötelezettség teljesítésére használhatja fel, amely kifizetéseket az államháztartásért felelős miniszter képviselője a hitelintézetnél a helyszínen</w:t>
      </w:r>
      <w:r>
        <w:rPr>
          <w:spacing w:val="7"/>
          <w:w w:val="125"/>
          <w:sz w:val="24"/>
        </w:rPr>
        <w:t> </w:t>
      </w:r>
      <w:r>
        <w:rPr>
          <w:w w:val="125"/>
          <w:sz w:val="24"/>
        </w:rPr>
        <w:t>ellenőrizheti.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1"/>
        </w:rPr>
      </w:pPr>
      <w:r>
        <w:rPr/>
        <w:pict>
          <v:line style="position:absolute;mso-position-horizontal-relative:page;mso-position-vertical-relative:paragraph;z-index:2096;mso-wrap-distance-left:0;mso-wrap-distance-right:0" from="56.693001pt,8.861961pt" to="538.583001pt,8.861961pt" stroked="true" strokeweight=".5pt" strokecolor="#000000">
            <v:stroke dashstyle="solid"/>
            <w10:wrap type="topAndBottom"/>
          </v:line>
        </w:pict>
      </w:r>
    </w:p>
    <w:p>
      <w:pPr>
        <w:tabs>
          <w:tab w:pos="686" w:val="left" w:leader="none"/>
        </w:tabs>
        <w:spacing w:line="232" w:lineRule="auto" w:before="49"/>
        <w:ind w:left="342" w:right="2745" w:firstLine="0"/>
        <w:jc w:val="left"/>
        <w:rPr>
          <w:i/>
          <w:sz w:val="18"/>
        </w:rPr>
      </w:pPr>
      <w:r>
        <w:rPr>
          <w:i/>
          <w:w w:val="125"/>
          <w:sz w:val="18"/>
        </w:rPr>
        <w:t>1</w:t>
        <w:tab/>
        <w:t>Megállapította:</w:t>
      </w:r>
      <w:r>
        <w:rPr>
          <w:i/>
          <w:spacing w:val="-11"/>
          <w:w w:val="125"/>
          <w:sz w:val="18"/>
        </w:rPr>
        <w:t> </w:t>
      </w:r>
      <w:r>
        <w:rPr>
          <w:i/>
          <w:w w:val="125"/>
          <w:sz w:val="18"/>
        </w:rPr>
        <w:t>2014.</w:t>
      </w:r>
      <w:r>
        <w:rPr>
          <w:i/>
          <w:spacing w:val="-10"/>
          <w:w w:val="125"/>
          <w:sz w:val="18"/>
        </w:rPr>
        <w:t> </w:t>
      </w:r>
      <w:r>
        <w:rPr>
          <w:i/>
          <w:w w:val="125"/>
          <w:sz w:val="18"/>
        </w:rPr>
        <w:t>évi</w:t>
      </w:r>
      <w:r>
        <w:rPr>
          <w:i/>
          <w:spacing w:val="-10"/>
          <w:w w:val="125"/>
          <w:sz w:val="18"/>
        </w:rPr>
        <w:t> </w:t>
      </w:r>
      <w:r>
        <w:rPr>
          <w:i/>
          <w:w w:val="125"/>
          <w:sz w:val="18"/>
        </w:rPr>
        <w:t>CIV.</w:t>
      </w:r>
      <w:r>
        <w:rPr>
          <w:i/>
          <w:spacing w:val="-9"/>
          <w:w w:val="125"/>
          <w:sz w:val="18"/>
        </w:rPr>
        <w:t> </w:t>
      </w:r>
      <w:r>
        <w:rPr>
          <w:i/>
          <w:w w:val="125"/>
          <w:sz w:val="18"/>
        </w:rPr>
        <w:t>törvény</w:t>
      </w:r>
      <w:r>
        <w:rPr>
          <w:i/>
          <w:spacing w:val="-11"/>
          <w:w w:val="125"/>
          <w:sz w:val="18"/>
        </w:rPr>
        <w:t> </w:t>
      </w:r>
      <w:r>
        <w:rPr>
          <w:i/>
          <w:w w:val="125"/>
          <w:sz w:val="18"/>
        </w:rPr>
        <w:t>77.</w:t>
      </w:r>
      <w:r>
        <w:rPr>
          <w:i/>
          <w:spacing w:val="-10"/>
          <w:w w:val="125"/>
          <w:sz w:val="18"/>
        </w:rPr>
        <w:t> </w:t>
      </w:r>
      <w:r>
        <w:rPr>
          <w:i/>
          <w:w w:val="125"/>
          <w:sz w:val="18"/>
        </w:rPr>
        <w:t>§.</w:t>
      </w:r>
      <w:r>
        <w:rPr>
          <w:i/>
          <w:spacing w:val="-9"/>
          <w:w w:val="125"/>
          <w:sz w:val="18"/>
        </w:rPr>
        <w:t> </w:t>
      </w:r>
      <w:r>
        <w:rPr>
          <w:i/>
          <w:w w:val="125"/>
          <w:sz w:val="18"/>
        </w:rPr>
        <w:t>Hatályos:</w:t>
      </w:r>
      <w:r>
        <w:rPr>
          <w:i/>
          <w:spacing w:val="-10"/>
          <w:w w:val="125"/>
          <w:sz w:val="18"/>
        </w:rPr>
        <w:t> </w:t>
      </w:r>
      <w:r>
        <w:rPr>
          <w:i/>
          <w:w w:val="125"/>
          <w:sz w:val="18"/>
        </w:rPr>
        <w:t>2015.</w:t>
      </w:r>
      <w:r>
        <w:rPr>
          <w:i/>
          <w:spacing w:val="-10"/>
          <w:w w:val="125"/>
          <w:sz w:val="18"/>
        </w:rPr>
        <w:t> </w:t>
      </w:r>
      <w:r>
        <w:rPr>
          <w:i/>
          <w:w w:val="125"/>
          <w:sz w:val="18"/>
        </w:rPr>
        <w:t>VII.</w:t>
      </w:r>
      <w:r>
        <w:rPr>
          <w:i/>
          <w:spacing w:val="-9"/>
          <w:w w:val="125"/>
          <w:sz w:val="18"/>
        </w:rPr>
        <w:t> </w:t>
      </w:r>
      <w:r>
        <w:rPr>
          <w:i/>
          <w:w w:val="125"/>
          <w:sz w:val="18"/>
        </w:rPr>
        <w:t>3-tól. 2</w:t>
        <w:tab/>
        <w:t>Módosította: 2017. évi L. törvény 469. §</w:t>
      </w:r>
      <w:r>
        <w:rPr>
          <w:i/>
          <w:spacing w:val="-3"/>
          <w:w w:val="125"/>
          <w:sz w:val="18"/>
        </w:rPr>
        <w:t> </w:t>
      </w:r>
      <w:r>
        <w:rPr>
          <w:i/>
          <w:w w:val="125"/>
          <w:sz w:val="18"/>
        </w:rPr>
        <w:t>g).</w:t>
      </w:r>
    </w:p>
    <w:p>
      <w:pPr>
        <w:spacing w:after="0" w:line="232" w:lineRule="auto"/>
        <w:jc w:val="left"/>
        <w:rPr>
          <w:sz w:val="18"/>
        </w:rPr>
        <w:sectPr>
          <w:pgSz w:w="11900" w:h="16820"/>
          <w:pgMar w:header="1104" w:footer="0" w:top="1840" w:bottom="280" w:left="1020" w:right="1000"/>
        </w:sectPr>
      </w:pPr>
    </w:p>
    <w:p>
      <w:pPr>
        <w:pStyle w:val="ListParagraph"/>
        <w:numPr>
          <w:ilvl w:val="0"/>
          <w:numId w:val="514"/>
        </w:numPr>
        <w:tabs>
          <w:tab w:pos="868" w:val="left" w:leader="none"/>
        </w:tabs>
        <w:spacing w:line="225" w:lineRule="auto" w:before="173" w:after="0"/>
        <w:ind w:left="113" w:right="109" w:firstLine="204"/>
        <w:jc w:val="both"/>
        <w:rPr>
          <w:sz w:val="24"/>
        </w:rPr>
      </w:pPr>
      <w:r>
        <w:rPr>
          <w:w w:val="125"/>
          <w:sz w:val="24"/>
        </w:rPr>
        <w:t>Az állami kezesség beváltása címén kifizetett összegek erejéig a hitelintézettel szembeni követelés a betétesről az államra száll át. A követelés átszállásával az állam a korábbi jogosult helyébe lép. Az állam a követeléseit a hitelintézet tevékenységi engedélyének a 33. § (1) bekezdés </w:t>
      </w:r>
      <w:r>
        <w:rPr>
          <w:i/>
          <w:w w:val="125"/>
          <w:sz w:val="24"/>
        </w:rPr>
        <w:t>a) </w:t>
      </w:r>
      <w:r>
        <w:rPr>
          <w:w w:val="125"/>
          <w:sz w:val="24"/>
        </w:rPr>
        <w:t>pontja szerinti visszavonása alapján indított végelszámolási eljárásban vagy a hitelintézet felszámolási eljárásában jogosult érvényesíteni. A hitelintézet a 33. § (1) bekezdés </w:t>
      </w:r>
      <w:r>
        <w:rPr>
          <w:i/>
          <w:w w:val="125"/>
          <w:sz w:val="24"/>
        </w:rPr>
        <w:t>a) </w:t>
      </w:r>
      <w:r>
        <w:rPr>
          <w:w w:val="125"/>
          <w:sz w:val="24"/>
        </w:rPr>
        <w:t>pontjában elrendelt tevékenységi engedély visszavonása alapján indított végelszámolása vagy felszámolása során az állam azon betétek tekintetében is jogosult hitelezőként fellépni, amelyekből származó jogok még nem szálltak át az államra, ha az állam kezességvállalás alapján egyébként fizetni</w:t>
      </w:r>
      <w:r>
        <w:rPr>
          <w:spacing w:val="1"/>
          <w:w w:val="125"/>
          <w:sz w:val="24"/>
        </w:rPr>
        <w:t> </w:t>
      </w:r>
      <w:r>
        <w:rPr>
          <w:w w:val="125"/>
          <w:sz w:val="24"/>
        </w:rPr>
        <w:t>köteles.</w:t>
      </w:r>
    </w:p>
    <w:p>
      <w:pPr>
        <w:pStyle w:val="BodyText"/>
        <w:spacing w:before="7"/>
        <w:ind w:left="0" w:firstLine="0"/>
        <w:rPr>
          <w:sz w:val="11"/>
        </w:rPr>
      </w:pPr>
    </w:p>
    <w:p>
      <w:pPr>
        <w:pStyle w:val="BodyText"/>
        <w:spacing w:before="99"/>
        <w:ind w:left="3467" w:firstLine="0"/>
      </w:pPr>
      <w:r>
        <w:rPr>
          <w:w w:val="120"/>
        </w:rPr>
        <w:t>88. Kifizetés az OBA-ból</w:t>
      </w:r>
    </w:p>
    <w:p>
      <w:pPr>
        <w:pStyle w:val="ListParagraph"/>
        <w:numPr>
          <w:ilvl w:val="1"/>
          <w:numId w:val="508"/>
        </w:numPr>
        <w:tabs>
          <w:tab w:pos="985" w:val="left" w:leader="none"/>
        </w:tabs>
        <w:spacing w:line="262" w:lineRule="exact" w:before="223" w:after="0"/>
        <w:ind w:left="984" w:right="0" w:hanging="667"/>
        <w:jc w:val="left"/>
        <w:rPr>
          <w:sz w:val="24"/>
        </w:rPr>
      </w:pPr>
      <w:r>
        <w:rPr>
          <w:rFonts w:ascii="Arial" w:hAnsi="Arial"/>
          <w:b/>
          <w:w w:val="110"/>
          <w:sz w:val="24"/>
        </w:rPr>
        <w:t>§ </w:t>
      </w:r>
      <w:r>
        <w:rPr>
          <w:w w:val="110"/>
          <w:sz w:val="24"/>
        </w:rPr>
        <w:t>(1)</w:t>
      </w:r>
      <w:r>
        <w:rPr>
          <w:i/>
          <w:w w:val="110"/>
          <w:position w:val="3"/>
          <w:sz w:val="18"/>
        </w:rPr>
        <w:t>1 </w:t>
      </w:r>
      <w:r>
        <w:rPr>
          <w:w w:val="110"/>
          <w:sz w:val="24"/>
        </w:rPr>
        <w:t>Az</w:t>
      </w:r>
      <w:r>
        <w:rPr>
          <w:spacing w:val="13"/>
          <w:w w:val="110"/>
          <w:sz w:val="24"/>
        </w:rPr>
        <w:t> </w:t>
      </w:r>
      <w:r>
        <w:rPr>
          <w:w w:val="110"/>
          <w:sz w:val="24"/>
        </w:rPr>
        <w:t>OBA</w:t>
      </w:r>
    </w:p>
    <w:p>
      <w:pPr>
        <w:pStyle w:val="ListParagraph"/>
        <w:numPr>
          <w:ilvl w:val="0"/>
          <w:numId w:val="515"/>
        </w:numPr>
        <w:tabs>
          <w:tab w:pos="556" w:val="left" w:leader="none"/>
        </w:tabs>
        <w:spacing w:line="260" w:lineRule="exact" w:before="0" w:after="0"/>
        <w:ind w:left="555" w:right="0" w:hanging="238"/>
        <w:jc w:val="left"/>
        <w:rPr>
          <w:sz w:val="24"/>
        </w:rPr>
      </w:pPr>
      <w:r>
        <w:rPr>
          <w:i/>
          <w:w w:val="125"/>
          <w:position w:val="3"/>
          <w:sz w:val="18"/>
        </w:rPr>
        <w:t>2</w:t>
      </w:r>
      <w:r>
        <w:rPr>
          <w:i/>
          <w:spacing w:val="55"/>
          <w:w w:val="125"/>
          <w:position w:val="3"/>
          <w:sz w:val="18"/>
        </w:rPr>
        <w:t> </w:t>
      </w:r>
      <w:r>
        <w:rPr>
          <w:w w:val="125"/>
          <w:sz w:val="24"/>
        </w:rPr>
        <w:t>a</w:t>
      </w:r>
      <w:r>
        <w:rPr>
          <w:spacing w:val="36"/>
          <w:w w:val="125"/>
          <w:sz w:val="24"/>
        </w:rPr>
        <w:t> </w:t>
      </w:r>
      <w:r>
        <w:rPr>
          <w:w w:val="125"/>
          <w:sz w:val="24"/>
        </w:rPr>
        <w:t>hitelintézet</w:t>
      </w:r>
      <w:r>
        <w:rPr>
          <w:spacing w:val="36"/>
          <w:w w:val="125"/>
          <w:sz w:val="24"/>
        </w:rPr>
        <w:t> </w:t>
      </w:r>
      <w:r>
        <w:rPr>
          <w:w w:val="125"/>
          <w:sz w:val="24"/>
        </w:rPr>
        <w:t>tevékenységi</w:t>
      </w:r>
      <w:r>
        <w:rPr>
          <w:spacing w:val="35"/>
          <w:w w:val="125"/>
          <w:sz w:val="24"/>
        </w:rPr>
        <w:t> </w:t>
      </w:r>
      <w:r>
        <w:rPr>
          <w:w w:val="125"/>
          <w:sz w:val="24"/>
        </w:rPr>
        <w:t>engedélye</w:t>
      </w:r>
      <w:r>
        <w:rPr>
          <w:spacing w:val="36"/>
          <w:w w:val="125"/>
          <w:sz w:val="24"/>
        </w:rPr>
        <w:t> </w:t>
      </w:r>
      <w:r>
        <w:rPr>
          <w:w w:val="125"/>
          <w:sz w:val="24"/>
        </w:rPr>
        <w:t>33.</w:t>
      </w:r>
      <w:r>
        <w:rPr>
          <w:spacing w:val="36"/>
          <w:w w:val="125"/>
          <w:sz w:val="24"/>
        </w:rPr>
        <w:t> </w:t>
      </w:r>
      <w:r>
        <w:rPr>
          <w:w w:val="125"/>
          <w:sz w:val="24"/>
        </w:rPr>
        <w:t>§</w:t>
      </w:r>
      <w:r>
        <w:rPr>
          <w:spacing w:val="36"/>
          <w:w w:val="125"/>
          <w:sz w:val="24"/>
        </w:rPr>
        <w:t> </w:t>
      </w:r>
      <w:r>
        <w:rPr>
          <w:w w:val="125"/>
          <w:sz w:val="24"/>
        </w:rPr>
        <w:t>(1)</w:t>
      </w:r>
      <w:r>
        <w:rPr>
          <w:spacing w:val="37"/>
          <w:w w:val="125"/>
          <w:sz w:val="24"/>
        </w:rPr>
        <w:t> </w:t>
      </w:r>
      <w:r>
        <w:rPr>
          <w:w w:val="125"/>
          <w:sz w:val="24"/>
        </w:rPr>
        <w:t>bekezdésében</w:t>
      </w:r>
      <w:r>
        <w:rPr>
          <w:spacing w:val="36"/>
          <w:w w:val="125"/>
          <w:sz w:val="24"/>
        </w:rPr>
        <w:t> </w:t>
      </w:r>
      <w:r>
        <w:rPr>
          <w:w w:val="125"/>
          <w:sz w:val="24"/>
        </w:rPr>
        <w:t>és</w:t>
      </w:r>
      <w:r>
        <w:rPr>
          <w:spacing w:val="35"/>
          <w:w w:val="125"/>
          <w:sz w:val="24"/>
        </w:rPr>
        <w:t> </w:t>
      </w:r>
      <w:r>
        <w:rPr>
          <w:w w:val="125"/>
          <w:sz w:val="24"/>
        </w:rPr>
        <w:t>a</w:t>
      </w:r>
      <w:r>
        <w:rPr>
          <w:spacing w:val="36"/>
          <w:w w:val="125"/>
          <w:sz w:val="24"/>
        </w:rPr>
        <w:t> </w:t>
      </w:r>
      <w:r>
        <w:rPr>
          <w:w w:val="125"/>
          <w:sz w:val="24"/>
        </w:rPr>
        <w:t>33.</w:t>
      </w:r>
      <w:r>
        <w:rPr>
          <w:spacing w:val="37"/>
          <w:w w:val="125"/>
          <w:sz w:val="24"/>
        </w:rPr>
        <w:t> </w:t>
      </w:r>
      <w:r>
        <w:rPr>
          <w:w w:val="125"/>
          <w:sz w:val="24"/>
        </w:rPr>
        <w:t>§</w:t>
      </w:r>
    </w:p>
    <w:p>
      <w:pPr>
        <w:pStyle w:val="ListParagraph"/>
        <w:numPr>
          <w:ilvl w:val="0"/>
          <w:numId w:val="469"/>
        </w:numPr>
        <w:tabs>
          <w:tab w:pos="613" w:val="left" w:leader="none"/>
        </w:tabs>
        <w:spacing w:line="225" w:lineRule="auto" w:before="12" w:after="0"/>
        <w:ind w:left="113" w:right="132" w:firstLine="0"/>
        <w:jc w:val="both"/>
        <w:rPr>
          <w:sz w:val="24"/>
        </w:rPr>
      </w:pPr>
      <w:r>
        <w:rPr>
          <w:w w:val="125"/>
          <w:sz w:val="24"/>
        </w:rPr>
        <w:t>bekezdés </w:t>
      </w:r>
      <w:r>
        <w:rPr>
          <w:i/>
          <w:w w:val="125"/>
          <w:sz w:val="24"/>
        </w:rPr>
        <w:t>c) </w:t>
      </w:r>
      <w:r>
        <w:rPr>
          <w:w w:val="125"/>
          <w:sz w:val="24"/>
        </w:rPr>
        <w:t>pontjában meghatározott visszavonásáról hozott határozat közlésének</w:t>
      </w:r>
      <w:r>
        <w:rPr>
          <w:spacing w:val="-1"/>
          <w:w w:val="125"/>
          <w:sz w:val="24"/>
        </w:rPr>
        <w:t> </w:t>
      </w:r>
      <w:r>
        <w:rPr>
          <w:w w:val="125"/>
          <w:sz w:val="24"/>
        </w:rPr>
        <w:t>vagy</w:t>
      </w:r>
    </w:p>
    <w:p>
      <w:pPr>
        <w:pStyle w:val="ListParagraph"/>
        <w:numPr>
          <w:ilvl w:val="0"/>
          <w:numId w:val="515"/>
        </w:numPr>
        <w:tabs>
          <w:tab w:pos="567" w:val="left" w:leader="none"/>
        </w:tabs>
        <w:spacing w:line="256" w:lineRule="exact" w:before="0" w:after="0"/>
        <w:ind w:left="566" w:right="0" w:hanging="249"/>
        <w:jc w:val="left"/>
        <w:rPr>
          <w:sz w:val="18"/>
        </w:rPr>
      </w:pPr>
      <w:r>
        <w:rPr>
          <w:i/>
          <w:w w:val="127"/>
          <w:position w:val="3"/>
          <w:sz w:val="18"/>
        </w:rPr>
        <w:t>3</w:t>
      </w:r>
      <w:r>
        <w:rPr>
          <w:sz w:val="18"/>
        </w:rPr>
      </w:r>
    </w:p>
    <w:p>
      <w:pPr>
        <w:pStyle w:val="ListParagraph"/>
        <w:numPr>
          <w:ilvl w:val="0"/>
          <w:numId w:val="515"/>
        </w:numPr>
        <w:tabs>
          <w:tab w:pos="715" w:val="left" w:leader="none"/>
        </w:tabs>
        <w:spacing w:line="225" w:lineRule="auto" w:before="5" w:after="0"/>
        <w:ind w:left="113" w:right="122" w:firstLine="204"/>
        <w:jc w:val="left"/>
        <w:rPr>
          <w:sz w:val="24"/>
        </w:rPr>
      </w:pPr>
      <w:r>
        <w:rPr>
          <w:w w:val="130"/>
          <w:sz w:val="24"/>
        </w:rPr>
        <w:t>a felszámolási eljárás kezdeményezése esetén a bíróság felszámolást</w:t>
      </w:r>
      <w:r>
        <w:rPr>
          <w:spacing w:val="78"/>
          <w:w w:val="130"/>
          <w:sz w:val="24"/>
        </w:rPr>
        <w:t> </w:t>
      </w:r>
      <w:r>
        <w:rPr>
          <w:w w:val="130"/>
          <w:sz w:val="24"/>
        </w:rPr>
        <w:t>elrendelő végzése</w:t>
      </w:r>
      <w:r>
        <w:rPr>
          <w:spacing w:val="-9"/>
          <w:w w:val="130"/>
          <w:sz w:val="24"/>
        </w:rPr>
        <w:t> </w:t>
      </w:r>
      <w:r>
        <w:rPr>
          <w:w w:val="130"/>
          <w:sz w:val="24"/>
        </w:rPr>
        <w:t>közzétételének</w:t>
      </w:r>
    </w:p>
    <w:p>
      <w:pPr>
        <w:pStyle w:val="BodyText"/>
        <w:spacing w:line="225" w:lineRule="auto" w:before="1"/>
        <w:ind w:right="132" w:firstLine="0"/>
        <w:jc w:val="both"/>
        <w:rPr>
          <w:i/>
          <w:sz w:val="18"/>
        </w:rPr>
      </w:pPr>
      <w:r>
        <w:rPr>
          <w:w w:val="130"/>
        </w:rPr>
        <w:t>időpontját követő napon [az </w:t>
      </w:r>
      <w:r>
        <w:rPr>
          <w:i/>
          <w:w w:val="130"/>
        </w:rPr>
        <w:t>a)-c) </w:t>
      </w:r>
      <w:r>
        <w:rPr>
          <w:w w:val="130"/>
        </w:rPr>
        <w:t>pont a továbbiakban együtt: a kártalanítás kezdő időpontja] megkezdi és tizenöt munkanapon belül a betétesek</w:t>
      </w:r>
      <w:r>
        <w:rPr>
          <w:spacing w:val="78"/>
          <w:w w:val="130"/>
        </w:rPr>
        <w:t> </w:t>
      </w:r>
      <w:r>
        <w:rPr>
          <w:w w:val="130"/>
        </w:rPr>
        <w:t>rendelkezésére bocsátja a kártalanítást.</w:t>
      </w:r>
      <w:r>
        <w:rPr>
          <w:i/>
          <w:w w:val="130"/>
          <w:position w:val="3"/>
          <w:sz w:val="18"/>
        </w:rPr>
        <w:t>4</w:t>
      </w:r>
    </w:p>
    <w:p>
      <w:pPr>
        <w:pStyle w:val="BodyText"/>
        <w:tabs>
          <w:tab w:pos="1170" w:val="left" w:leader="none"/>
          <w:tab w:pos="1598" w:val="left" w:leader="none"/>
          <w:tab w:pos="3304" w:val="left" w:leader="none"/>
          <w:tab w:pos="3899" w:val="left" w:leader="none"/>
          <w:tab w:pos="5731" w:val="left" w:leader="none"/>
          <w:tab w:pos="7768" w:val="left" w:leader="none"/>
          <w:tab w:pos="9600" w:val="left" w:leader="none"/>
        </w:tabs>
        <w:spacing w:line="250" w:lineRule="exact"/>
        <w:ind w:left="317" w:firstLine="0"/>
      </w:pPr>
      <w:r>
        <w:rPr>
          <w:w w:val="125"/>
        </w:rPr>
        <w:t>(1a)</w:t>
      </w:r>
      <w:r>
        <w:rPr>
          <w:i/>
          <w:w w:val="125"/>
          <w:position w:val="3"/>
          <w:sz w:val="18"/>
        </w:rPr>
        <w:t>5</w:t>
        <w:tab/>
      </w:r>
      <w:r>
        <w:rPr>
          <w:w w:val="125"/>
        </w:rPr>
        <w:t>A</w:t>
        <w:tab/>
        <w:t>kártalanítás</w:t>
        <w:tab/>
        <w:t>(1)</w:t>
        <w:tab/>
        <w:t>bekezdésben</w:t>
        <w:tab/>
        <w:t>meghatározott</w:t>
        <w:tab/>
        <w:t>kifizetéséhez</w:t>
        <w:tab/>
        <w:t>a</w:t>
      </w:r>
    </w:p>
    <w:p>
      <w:pPr>
        <w:pStyle w:val="BodyText"/>
        <w:spacing w:line="260" w:lineRule="exact"/>
        <w:ind w:firstLine="0"/>
      </w:pPr>
      <w:r>
        <w:rPr>
          <w:w w:val="130"/>
        </w:rPr>
        <w:t>betétesnek nem kell kérelmet benyújtania.</w:t>
      </w:r>
    </w:p>
    <w:p>
      <w:pPr>
        <w:spacing w:after="0" w:line="260" w:lineRule="exact"/>
        <w:sectPr>
          <w:pgSz w:w="11900" w:h="16820"/>
          <w:pgMar w:header="1104" w:footer="0" w:top="1840" w:bottom="280" w:left="1020" w:right="1000"/>
        </w:sectPr>
      </w:pPr>
    </w:p>
    <w:p>
      <w:pPr>
        <w:pStyle w:val="BodyText"/>
        <w:spacing w:line="267" w:lineRule="exact"/>
        <w:ind w:left="317" w:firstLine="0"/>
        <w:rPr>
          <w:i/>
          <w:sz w:val="18"/>
        </w:rPr>
      </w:pPr>
      <w:r>
        <w:rPr>
          <w:spacing w:val="-1"/>
          <w:w w:val="125"/>
        </w:rPr>
        <w:t>(1b)</w:t>
      </w:r>
      <w:r>
        <w:rPr>
          <w:i/>
          <w:spacing w:val="-1"/>
          <w:w w:val="125"/>
          <w:position w:val="3"/>
          <w:sz w:val="18"/>
        </w:rPr>
        <w:t>6</w:t>
      </w:r>
    </w:p>
    <w:p>
      <w:pPr>
        <w:pStyle w:val="BodyText"/>
        <w:spacing w:line="253" w:lineRule="exact"/>
        <w:ind w:firstLine="0"/>
      </w:pPr>
      <w:r>
        <w:rPr>
          <w:w w:val="130"/>
        </w:rPr>
        <w:t>ha:</w:t>
      </w:r>
    </w:p>
    <w:p>
      <w:pPr>
        <w:pStyle w:val="BodyText"/>
        <w:spacing w:line="275" w:lineRule="exact"/>
        <w:ind w:left="72" w:firstLine="0"/>
      </w:pPr>
      <w:r>
        <w:rPr/>
        <w:br w:type="column"/>
      </w:r>
      <w:r>
        <w:rPr>
          <w:w w:val="125"/>
        </w:rPr>
        <w:t>Az (1) bekezdésben meghatározott kifizetési határidő hosszabb lehet,</w:t>
      </w:r>
    </w:p>
    <w:p>
      <w:pPr>
        <w:spacing w:after="0" w:line="275" w:lineRule="exact"/>
        <w:sectPr>
          <w:type w:val="continuous"/>
          <w:pgSz w:w="11900" w:h="16820"/>
          <w:pgMar w:top="1840" w:bottom="280" w:left="1020" w:right="1000"/>
          <w:cols w:num="2" w:equalWidth="0">
            <w:col w:w="926" w:space="40"/>
            <w:col w:w="8914"/>
          </w:cols>
        </w:sectPr>
      </w:pPr>
    </w:p>
    <w:p>
      <w:pPr>
        <w:pStyle w:val="ListParagraph"/>
        <w:numPr>
          <w:ilvl w:val="0"/>
          <w:numId w:val="516"/>
        </w:numPr>
        <w:tabs>
          <w:tab w:pos="631" w:val="left" w:leader="none"/>
        </w:tabs>
        <w:spacing w:line="267" w:lineRule="exact" w:before="0" w:after="0"/>
        <w:ind w:left="630" w:right="0" w:hanging="313"/>
        <w:jc w:val="left"/>
        <w:rPr>
          <w:sz w:val="24"/>
        </w:rPr>
      </w:pPr>
      <w:r>
        <w:rPr>
          <w:w w:val="130"/>
          <w:sz w:val="24"/>
        </w:rPr>
        <w:t>a</w:t>
      </w:r>
      <w:r>
        <w:rPr>
          <w:spacing w:val="-12"/>
          <w:w w:val="130"/>
          <w:sz w:val="24"/>
        </w:rPr>
        <w:t> </w:t>
      </w:r>
      <w:r>
        <w:rPr>
          <w:w w:val="130"/>
          <w:sz w:val="24"/>
        </w:rPr>
        <w:t>betétes</w:t>
      </w:r>
      <w:r>
        <w:rPr>
          <w:spacing w:val="-6"/>
          <w:w w:val="130"/>
          <w:sz w:val="24"/>
        </w:rPr>
        <w:t> </w:t>
      </w:r>
      <w:r>
        <w:rPr>
          <w:w w:val="130"/>
          <w:sz w:val="24"/>
        </w:rPr>
        <w:t>jogosultsága</w:t>
      </w:r>
      <w:r>
        <w:rPr>
          <w:spacing w:val="-16"/>
          <w:w w:val="130"/>
          <w:sz w:val="24"/>
        </w:rPr>
        <w:t> </w:t>
      </w:r>
      <w:r>
        <w:rPr>
          <w:w w:val="130"/>
          <w:sz w:val="24"/>
        </w:rPr>
        <w:t>bizonytalan</w:t>
      </w:r>
      <w:r>
        <w:rPr>
          <w:spacing w:val="-11"/>
          <w:w w:val="130"/>
          <w:sz w:val="24"/>
        </w:rPr>
        <w:t> </w:t>
      </w:r>
      <w:r>
        <w:rPr>
          <w:w w:val="130"/>
          <w:sz w:val="24"/>
        </w:rPr>
        <w:t>vagy</w:t>
      </w:r>
      <w:r>
        <w:rPr>
          <w:spacing w:val="-12"/>
          <w:w w:val="130"/>
          <w:sz w:val="24"/>
        </w:rPr>
        <w:t> </w:t>
      </w:r>
      <w:r>
        <w:rPr>
          <w:w w:val="130"/>
          <w:sz w:val="24"/>
        </w:rPr>
        <w:t>a</w:t>
      </w:r>
      <w:r>
        <w:rPr>
          <w:spacing w:val="-11"/>
          <w:w w:val="130"/>
          <w:sz w:val="24"/>
        </w:rPr>
        <w:t> </w:t>
      </w:r>
      <w:r>
        <w:rPr>
          <w:w w:val="130"/>
          <w:sz w:val="24"/>
        </w:rPr>
        <w:t>betét</w:t>
      </w:r>
      <w:r>
        <w:rPr>
          <w:spacing w:val="-11"/>
          <w:w w:val="130"/>
          <w:sz w:val="24"/>
        </w:rPr>
        <w:t> </w:t>
      </w:r>
      <w:r>
        <w:rPr>
          <w:w w:val="130"/>
          <w:sz w:val="24"/>
        </w:rPr>
        <w:t>jogvita</w:t>
      </w:r>
      <w:r>
        <w:rPr>
          <w:spacing w:val="-11"/>
          <w:w w:val="130"/>
          <w:sz w:val="24"/>
        </w:rPr>
        <w:t> </w:t>
      </w:r>
      <w:r>
        <w:rPr>
          <w:w w:val="130"/>
          <w:sz w:val="24"/>
        </w:rPr>
        <w:t>tárgyát</w:t>
      </w:r>
      <w:r>
        <w:rPr>
          <w:spacing w:val="-11"/>
          <w:w w:val="130"/>
          <w:sz w:val="24"/>
        </w:rPr>
        <w:t> </w:t>
      </w:r>
      <w:r>
        <w:rPr>
          <w:w w:val="130"/>
          <w:sz w:val="24"/>
        </w:rPr>
        <w:t>képezi,</w:t>
      </w:r>
    </w:p>
    <w:p>
      <w:pPr>
        <w:pStyle w:val="ListParagraph"/>
        <w:numPr>
          <w:ilvl w:val="0"/>
          <w:numId w:val="516"/>
        </w:numPr>
        <w:tabs>
          <w:tab w:pos="653" w:val="left" w:leader="none"/>
        </w:tabs>
        <w:spacing w:line="260" w:lineRule="exact" w:before="0" w:after="0"/>
        <w:ind w:left="652" w:right="0" w:hanging="335"/>
        <w:jc w:val="left"/>
        <w:rPr>
          <w:sz w:val="24"/>
        </w:rPr>
      </w:pPr>
      <w:r>
        <w:rPr>
          <w:w w:val="130"/>
          <w:sz w:val="24"/>
        </w:rPr>
        <w:t>a</w:t>
      </w:r>
      <w:r>
        <w:rPr>
          <w:spacing w:val="-27"/>
          <w:w w:val="130"/>
          <w:sz w:val="24"/>
        </w:rPr>
        <w:t> </w:t>
      </w:r>
      <w:r>
        <w:rPr>
          <w:w w:val="130"/>
          <w:sz w:val="24"/>
        </w:rPr>
        <w:t>betét</w:t>
      </w:r>
      <w:r>
        <w:rPr>
          <w:spacing w:val="-24"/>
          <w:w w:val="130"/>
          <w:sz w:val="24"/>
        </w:rPr>
        <w:t> </w:t>
      </w:r>
      <w:r>
        <w:rPr>
          <w:w w:val="130"/>
          <w:sz w:val="24"/>
        </w:rPr>
        <w:t>kifizetését</w:t>
      </w:r>
      <w:r>
        <w:rPr>
          <w:spacing w:val="-21"/>
          <w:w w:val="130"/>
          <w:sz w:val="24"/>
        </w:rPr>
        <w:t> </w:t>
      </w:r>
      <w:r>
        <w:rPr>
          <w:w w:val="130"/>
          <w:sz w:val="24"/>
        </w:rPr>
        <w:t>kormányok</w:t>
      </w:r>
      <w:r>
        <w:rPr>
          <w:spacing w:val="-22"/>
          <w:w w:val="130"/>
          <w:sz w:val="24"/>
        </w:rPr>
        <w:t> </w:t>
      </w:r>
      <w:r>
        <w:rPr>
          <w:w w:val="130"/>
          <w:sz w:val="24"/>
        </w:rPr>
        <w:t>vagy</w:t>
      </w:r>
      <w:r>
        <w:rPr>
          <w:spacing w:val="-21"/>
          <w:w w:val="130"/>
          <w:sz w:val="24"/>
        </w:rPr>
        <w:t> </w:t>
      </w:r>
      <w:r>
        <w:rPr>
          <w:w w:val="130"/>
          <w:sz w:val="24"/>
        </w:rPr>
        <w:t>nemzetközi</w:t>
      </w:r>
      <w:r>
        <w:rPr>
          <w:spacing w:val="-21"/>
          <w:w w:val="130"/>
          <w:sz w:val="24"/>
        </w:rPr>
        <w:t> </w:t>
      </w:r>
      <w:r>
        <w:rPr>
          <w:w w:val="130"/>
          <w:sz w:val="24"/>
        </w:rPr>
        <w:t>szervezetek</w:t>
      </w:r>
      <w:r>
        <w:rPr>
          <w:spacing w:val="-20"/>
          <w:w w:val="130"/>
          <w:sz w:val="24"/>
        </w:rPr>
        <w:t> </w:t>
      </w:r>
      <w:r>
        <w:rPr>
          <w:w w:val="130"/>
          <w:sz w:val="24"/>
        </w:rPr>
        <w:t>korlátozták,</w:t>
      </w:r>
    </w:p>
    <w:p>
      <w:pPr>
        <w:pStyle w:val="ListParagraph"/>
        <w:numPr>
          <w:ilvl w:val="0"/>
          <w:numId w:val="516"/>
        </w:numPr>
        <w:tabs>
          <w:tab w:pos="768" w:val="left" w:leader="none"/>
          <w:tab w:pos="769" w:val="left" w:leader="none"/>
          <w:tab w:pos="1133" w:val="left" w:leader="none"/>
          <w:tab w:pos="2242" w:val="left" w:leader="none"/>
          <w:tab w:pos="2607" w:val="left" w:leader="none"/>
          <w:tab w:pos="3618" w:val="left" w:leader="none"/>
          <w:tab w:pos="3966" w:val="left" w:leader="none"/>
          <w:tab w:pos="5070" w:val="left" w:leader="none"/>
          <w:tab w:pos="6532" w:val="left" w:leader="none"/>
          <w:tab w:pos="8282" w:val="left" w:leader="none"/>
        </w:tabs>
        <w:spacing w:line="225" w:lineRule="auto" w:before="5" w:after="0"/>
        <w:ind w:left="113" w:right="130" w:firstLine="204"/>
        <w:jc w:val="left"/>
        <w:rPr>
          <w:sz w:val="24"/>
        </w:rPr>
      </w:pPr>
      <w:r>
        <w:rPr>
          <w:w w:val="125"/>
          <w:sz w:val="24"/>
        </w:rPr>
        <w:t>a</w:t>
        <w:tab/>
        <w:t>betétre</w:t>
        <w:tab/>
        <w:t>a</w:t>
        <w:tab/>
        <w:t>214/A.</w:t>
        <w:tab/>
        <w:t>§</w:t>
        <w:tab/>
        <w:t>alapján</w:t>
        <w:tab/>
        <w:t>magasabb</w:t>
        <w:tab/>
        <w:t>kártalanítási</w:t>
        <w:tab/>
      </w:r>
      <w:r>
        <w:rPr>
          <w:spacing w:val="-1"/>
          <w:w w:val="125"/>
          <w:sz w:val="24"/>
        </w:rPr>
        <w:t>összeghatár </w:t>
      </w:r>
      <w:r>
        <w:rPr>
          <w:w w:val="125"/>
          <w:sz w:val="24"/>
        </w:rPr>
        <w:t>vonatkozik,</w:t>
      </w:r>
    </w:p>
    <w:p>
      <w:pPr>
        <w:pStyle w:val="ListParagraph"/>
        <w:numPr>
          <w:ilvl w:val="0"/>
          <w:numId w:val="516"/>
        </w:numPr>
        <w:tabs>
          <w:tab w:pos="653" w:val="left" w:leader="none"/>
        </w:tabs>
        <w:spacing w:line="256" w:lineRule="exact" w:before="0" w:after="0"/>
        <w:ind w:left="652" w:right="0" w:hanging="335"/>
        <w:jc w:val="left"/>
        <w:rPr>
          <w:sz w:val="24"/>
        </w:rPr>
      </w:pPr>
      <w:r>
        <w:rPr>
          <w:w w:val="125"/>
          <w:sz w:val="24"/>
        </w:rPr>
        <w:t>a betét tulajdonosa helyi önkormányzat</w:t>
      </w:r>
      <w:r>
        <w:rPr>
          <w:spacing w:val="-5"/>
          <w:w w:val="125"/>
          <w:sz w:val="24"/>
        </w:rPr>
        <w:t> </w:t>
      </w:r>
      <w:r>
        <w:rPr>
          <w:w w:val="125"/>
          <w:sz w:val="24"/>
        </w:rPr>
        <w:t>vagy</w:t>
      </w:r>
    </w:p>
    <w:p>
      <w:pPr>
        <w:pStyle w:val="ListParagraph"/>
        <w:numPr>
          <w:ilvl w:val="0"/>
          <w:numId w:val="516"/>
        </w:numPr>
        <w:tabs>
          <w:tab w:pos="844" w:val="left" w:leader="none"/>
          <w:tab w:pos="845" w:val="left" w:leader="none"/>
          <w:tab w:pos="1278" w:val="left" w:leader="none"/>
          <w:tab w:pos="3131" w:val="left" w:leader="none"/>
          <w:tab w:pos="3551" w:val="left" w:leader="none"/>
          <w:tab w:pos="4908" w:val="left" w:leader="none"/>
          <w:tab w:pos="6797" w:val="left" w:leader="none"/>
          <w:tab w:pos="7739" w:val="left" w:leader="none"/>
          <w:tab w:pos="8940" w:val="left" w:leader="none"/>
        </w:tabs>
        <w:spacing w:line="225" w:lineRule="auto" w:before="6" w:after="0"/>
        <w:ind w:left="113" w:right="131" w:firstLine="204"/>
        <w:jc w:val="left"/>
        <w:rPr>
          <w:sz w:val="24"/>
        </w:rPr>
      </w:pPr>
      <w:r>
        <w:rPr>
          <w:w w:val="130"/>
          <w:sz w:val="24"/>
        </w:rPr>
        <w:t>a</w:t>
        <w:tab/>
        <w:t>kártalanítást</w:t>
        <w:tab/>
        <w:t>a</w:t>
        <w:tab/>
        <w:t>fióktelep</w:t>
        <w:tab/>
        <w:t>létesítésének</w:t>
        <w:tab/>
        <w:t>helye</w:t>
        <w:tab/>
        <w:t>szerinti</w:t>
        <w:tab/>
      </w:r>
      <w:r>
        <w:rPr>
          <w:spacing w:val="-3"/>
          <w:w w:val="130"/>
          <w:sz w:val="24"/>
        </w:rPr>
        <w:t>ország </w:t>
      </w:r>
      <w:r>
        <w:rPr>
          <w:w w:val="130"/>
          <w:sz w:val="24"/>
        </w:rPr>
        <w:t>betétbiztosítási</w:t>
      </w:r>
      <w:r>
        <w:rPr>
          <w:spacing w:val="-12"/>
          <w:w w:val="130"/>
          <w:sz w:val="24"/>
        </w:rPr>
        <w:t> </w:t>
      </w:r>
      <w:r>
        <w:rPr>
          <w:w w:val="130"/>
          <w:sz w:val="24"/>
        </w:rPr>
        <w:t>rendszere</w:t>
      </w:r>
      <w:r>
        <w:rPr>
          <w:spacing w:val="-12"/>
          <w:w w:val="130"/>
          <w:sz w:val="24"/>
        </w:rPr>
        <w:t> </w:t>
      </w:r>
      <w:r>
        <w:rPr>
          <w:w w:val="130"/>
          <w:sz w:val="24"/>
        </w:rPr>
        <w:t>fizeti</w:t>
      </w:r>
      <w:r>
        <w:rPr>
          <w:spacing w:val="-12"/>
          <w:w w:val="130"/>
          <w:sz w:val="24"/>
        </w:rPr>
        <w:t> </w:t>
      </w:r>
      <w:r>
        <w:rPr>
          <w:w w:val="130"/>
          <w:sz w:val="24"/>
        </w:rPr>
        <w:t>ki</w:t>
      </w:r>
      <w:r>
        <w:rPr>
          <w:spacing w:val="-13"/>
          <w:w w:val="130"/>
          <w:sz w:val="24"/>
        </w:rPr>
        <w:t> </w:t>
      </w:r>
      <w:r>
        <w:rPr>
          <w:w w:val="130"/>
          <w:sz w:val="24"/>
        </w:rPr>
        <w:t>a</w:t>
      </w:r>
      <w:r>
        <w:rPr>
          <w:spacing w:val="-12"/>
          <w:w w:val="130"/>
          <w:sz w:val="24"/>
        </w:rPr>
        <w:t> </w:t>
      </w:r>
      <w:r>
        <w:rPr>
          <w:w w:val="130"/>
          <w:sz w:val="24"/>
        </w:rPr>
        <w:t>209.</w:t>
      </w:r>
      <w:r>
        <w:rPr>
          <w:spacing w:val="-13"/>
          <w:w w:val="130"/>
          <w:sz w:val="24"/>
        </w:rPr>
        <w:t> </w:t>
      </w:r>
      <w:r>
        <w:rPr>
          <w:w w:val="130"/>
          <w:sz w:val="24"/>
        </w:rPr>
        <w:t>§</w:t>
      </w:r>
      <w:r>
        <w:rPr>
          <w:spacing w:val="-12"/>
          <w:w w:val="130"/>
          <w:sz w:val="24"/>
        </w:rPr>
        <w:t> </w:t>
      </w:r>
      <w:r>
        <w:rPr>
          <w:w w:val="130"/>
          <w:sz w:val="24"/>
        </w:rPr>
        <w:t>(9)-(10)</w:t>
      </w:r>
      <w:r>
        <w:rPr>
          <w:spacing w:val="-12"/>
          <w:w w:val="130"/>
          <w:sz w:val="24"/>
        </w:rPr>
        <w:t> </w:t>
      </w:r>
      <w:r>
        <w:rPr>
          <w:w w:val="130"/>
          <w:sz w:val="24"/>
        </w:rPr>
        <w:t>bekezdése</w:t>
      </w:r>
      <w:r>
        <w:rPr>
          <w:spacing w:val="-11"/>
          <w:w w:val="130"/>
          <w:sz w:val="24"/>
        </w:rPr>
        <w:t> </w:t>
      </w:r>
      <w:r>
        <w:rPr>
          <w:w w:val="130"/>
          <w:sz w:val="24"/>
        </w:rPr>
        <w:t>alapján.</w:t>
      </w:r>
    </w:p>
    <w:p>
      <w:pPr>
        <w:pStyle w:val="BodyText"/>
        <w:spacing w:line="249" w:lineRule="exact"/>
        <w:ind w:left="317" w:firstLine="0"/>
      </w:pPr>
      <w:r>
        <w:rPr>
          <w:w w:val="130"/>
        </w:rPr>
        <w:t>(1c)</w:t>
      </w:r>
      <w:r>
        <w:rPr>
          <w:i/>
          <w:w w:val="130"/>
          <w:position w:val="3"/>
          <w:sz w:val="18"/>
        </w:rPr>
        <w:t>7 </w:t>
      </w:r>
      <w:r>
        <w:rPr>
          <w:w w:val="130"/>
        </w:rPr>
        <w:t>Ha az OBA nem</w:t>
      </w:r>
      <w:r>
        <w:rPr>
          <w:spacing w:val="54"/>
          <w:w w:val="130"/>
        </w:rPr>
        <w:t> </w:t>
      </w:r>
      <w:r>
        <w:rPr>
          <w:w w:val="130"/>
        </w:rPr>
        <w:t>bocsátja rendelkezésre a kártalanítást a betétesek</w:t>
      </w:r>
    </w:p>
    <w:p>
      <w:pPr>
        <w:pStyle w:val="BodyText"/>
        <w:spacing w:line="225" w:lineRule="auto" w:before="12"/>
        <w:ind w:right="122" w:firstLine="0"/>
        <w:jc w:val="both"/>
      </w:pPr>
      <w:r>
        <w:rPr>
          <w:w w:val="125"/>
        </w:rPr>
        <w:t>részére hét munkanapon belül, a  természetes  személy  betétes  írásban kérelmet nyújthat be az OBA-hoz a betét sürgős kifizetése érdekében. Az OBA a hitelintézet által a 228. § (8) bekezdésében meghatározottak szerint rendelkezésre bocsátott betétnyilvántartásban szereplő betétes részére a betétnyilvántartásban szereplő betét alapján a sürgős kifizetésre vonatkozó kérelem benyújtásától számított öt munkanapon belül részkifizetést teljesít, amely nem haladhatja meg a mindenkori öregségi nyugdíjminimum négyszeresét. A sürgős kifizetés keretében teljesített kártalanítás összege a teljes kártalanítás összegét</w:t>
      </w:r>
      <w:r>
        <w:rPr>
          <w:spacing w:val="23"/>
          <w:w w:val="125"/>
        </w:rPr>
        <w:t> </w:t>
      </w:r>
      <w:r>
        <w:rPr>
          <w:w w:val="125"/>
        </w:rPr>
        <w:t>csökkenti.</w:t>
      </w:r>
    </w:p>
    <w:p>
      <w:pPr>
        <w:pStyle w:val="BodyText"/>
        <w:ind w:left="0" w:firstLine="0"/>
        <w:rPr>
          <w:sz w:val="20"/>
        </w:rPr>
      </w:pPr>
    </w:p>
    <w:p>
      <w:pPr>
        <w:pStyle w:val="BodyText"/>
        <w:spacing w:before="3"/>
        <w:ind w:left="0" w:firstLine="0"/>
        <w:rPr>
          <w:sz w:val="20"/>
        </w:rPr>
      </w:pPr>
      <w:r>
        <w:rPr/>
        <w:pict>
          <v:line style="position:absolute;mso-position-horizontal-relative:page;mso-position-vertical-relative:paragraph;z-index:2120;mso-wrap-distance-left:0;mso-wrap-distance-right:0" from="56.693001pt,13.878563pt" to="538.583001pt,13.878563pt" stroked="true" strokeweight=".5pt" strokecolor="#000000">
            <v:stroke dashstyle="solid"/>
            <w10:wrap type="topAndBottom"/>
          </v:line>
        </w:pict>
      </w:r>
    </w:p>
    <w:p>
      <w:pPr>
        <w:pStyle w:val="ListParagraph"/>
        <w:numPr>
          <w:ilvl w:val="0"/>
          <w:numId w:val="517"/>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5"/>
          <w:w w:val="125"/>
          <w:sz w:val="18"/>
        </w:rPr>
        <w:t> </w:t>
      </w:r>
      <w:r>
        <w:rPr>
          <w:i/>
          <w:w w:val="125"/>
          <w:sz w:val="18"/>
        </w:rPr>
        <w:t>2014.</w:t>
      </w:r>
      <w:r>
        <w:rPr>
          <w:i/>
          <w:spacing w:val="-4"/>
          <w:w w:val="125"/>
          <w:sz w:val="18"/>
        </w:rPr>
        <w:t> </w:t>
      </w:r>
      <w:r>
        <w:rPr>
          <w:i/>
          <w:w w:val="125"/>
          <w:sz w:val="18"/>
        </w:rPr>
        <w:t>évi</w:t>
      </w:r>
      <w:r>
        <w:rPr>
          <w:i/>
          <w:spacing w:val="-4"/>
          <w:w w:val="125"/>
          <w:sz w:val="18"/>
        </w:rPr>
        <w:t> </w:t>
      </w:r>
      <w:r>
        <w:rPr>
          <w:i/>
          <w:w w:val="125"/>
          <w:sz w:val="18"/>
        </w:rPr>
        <w:t>CIV.</w:t>
      </w:r>
      <w:r>
        <w:rPr>
          <w:i/>
          <w:spacing w:val="-3"/>
          <w:w w:val="125"/>
          <w:sz w:val="18"/>
        </w:rPr>
        <w:t> </w:t>
      </w:r>
      <w:r>
        <w:rPr>
          <w:i/>
          <w:w w:val="125"/>
          <w:sz w:val="18"/>
        </w:rPr>
        <w:t>törvény</w:t>
      </w:r>
      <w:r>
        <w:rPr>
          <w:i/>
          <w:spacing w:val="-5"/>
          <w:w w:val="125"/>
          <w:sz w:val="18"/>
        </w:rPr>
        <w:t> </w:t>
      </w:r>
      <w:r>
        <w:rPr>
          <w:i/>
          <w:w w:val="125"/>
          <w:sz w:val="18"/>
        </w:rPr>
        <w:t>78.</w:t>
      </w:r>
      <w:r>
        <w:rPr>
          <w:i/>
          <w:spacing w:val="-4"/>
          <w:w w:val="125"/>
          <w:sz w:val="18"/>
        </w:rPr>
        <w:t> </w:t>
      </w:r>
      <w:r>
        <w:rPr>
          <w:i/>
          <w:w w:val="125"/>
          <w:sz w:val="18"/>
        </w:rPr>
        <w:t>§</w:t>
      </w:r>
      <w:r>
        <w:rPr>
          <w:i/>
          <w:spacing w:val="-3"/>
          <w:w w:val="125"/>
          <w:sz w:val="18"/>
        </w:rPr>
        <w:t> </w:t>
      </w:r>
      <w:r>
        <w:rPr>
          <w:i/>
          <w:w w:val="125"/>
          <w:sz w:val="18"/>
        </w:rPr>
        <w:t>(1).</w:t>
      </w:r>
      <w:r>
        <w:rPr>
          <w:i/>
          <w:spacing w:val="-3"/>
          <w:w w:val="125"/>
          <w:sz w:val="18"/>
        </w:rPr>
        <w:t> </w:t>
      </w:r>
      <w:r>
        <w:rPr>
          <w:i/>
          <w:w w:val="125"/>
          <w:sz w:val="18"/>
        </w:rPr>
        <w:t>Módosította:</w:t>
      </w:r>
      <w:r>
        <w:rPr>
          <w:i/>
          <w:spacing w:val="-4"/>
          <w:w w:val="125"/>
          <w:sz w:val="18"/>
        </w:rPr>
        <w:t> </w:t>
      </w:r>
      <w:r>
        <w:rPr>
          <w:i/>
          <w:w w:val="125"/>
          <w:sz w:val="18"/>
        </w:rPr>
        <w:t>2014.</w:t>
      </w:r>
      <w:r>
        <w:rPr>
          <w:i/>
          <w:spacing w:val="-5"/>
          <w:w w:val="125"/>
          <w:sz w:val="18"/>
        </w:rPr>
        <w:t> </w:t>
      </w:r>
      <w:r>
        <w:rPr>
          <w:i/>
          <w:w w:val="125"/>
          <w:sz w:val="18"/>
        </w:rPr>
        <w:t>évi</w:t>
      </w:r>
      <w:r>
        <w:rPr>
          <w:i/>
          <w:spacing w:val="-4"/>
          <w:w w:val="125"/>
          <w:sz w:val="18"/>
        </w:rPr>
        <w:t> </w:t>
      </w:r>
      <w:r>
        <w:rPr>
          <w:i/>
          <w:w w:val="125"/>
          <w:sz w:val="18"/>
        </w:rPr>
        <w:t>CIV.</w:t>
      </w:r>
      <w:r>
        <w:rPr>
          <w:i/>
          <w:spacing w:val="-3"/>
          <w:w w:val="125"/>
          <w:sz w:val="18"/>
        </w:rPr>
        <w:t> </w:t>
      </w:r>
      <w:r>
        <w:rPr>
          <w:i/>
          <w:w w:val="125"/>
          <w:sz w:val="18"/>
        </w:rPr>
        <w:t>törvény</w:t>
      </w:r>
      <w:r>
        <w:rPr>
          <w:i/>
          <w:spacing w:val="-4"/>
          <w:w w:val="125"/>
          <w:sz w:val="18"/>
        </w:rPr>
        <w:t> </w:t>
      </w:r>
      <w:r>
        <w:rPr>
          <w:i/>
          <w:w w:val="125"/>
          <w:sz w:val="18"/>
        </w:rPr>
        <w:t>96.</w:t>
      </w:r>
      <w:r>
        <w:rPr>
          <w:i/>
          <w:spacing w:val="-4"/>
          <w:w w:val="125"/>
          <w:sz w:val="18"/>
        </w:rPr>
        <w:t> </w:t>
      </w:r>
      <w:r>
        <w:rPr>
          <w:i/>
          <w:w w:val="125"/>
          <w:sz w:val="18"/>
        </w:rPr>
        <w:t>§</w:t>
      </w:r>
      <w:r>
        <w:rPr>
          <w:i/>
          <w:spacing w:val="-4"/>
          <w:w w:val="125"/>
          <w:sz w:val="18"/>
        </w:rPr>
        <w:t> </w:t>
      </w:r>
      <w:r>
        <w:rPr>
          <w:i/>
          <w:w w:val="125"/>
          <w:sz w:val="18"/>
        </w:rPr>
        <w:t>(2).</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4"/>
          <w:w w:val="125"/>
          <w:sz w:val="18"/>
        </w:rPr>
        <w:t> </w:t>
      </w:r>
      <w:r>
        <w:rPr>
          <w:i/>
          <w:w w:val="125"/>
          <w:sz w:val="18"/>
        </w:rPr>
        <w:t>2016.</w:t>
      </w:r>
      <w:r>
        <w:rPr>
          <w:i/>
          <w:spacing w:val="-3"/>
          <w:w w:val="125"/>
          <w:sz w:val="18"/>
        </w:rPr>
        <w:t> </w:t>
      </w:r>
      <w:r>
        <w:rPr>
          <w:i/>
          <w:w w:val="125"/>
          <w:sz w:val="18"/>
        </w:rPr>
        <w:t>évi</w:t>
      </w:r>
      <w:r>
        <w:rPr>
          <w:i/>
          <w:spacing w:val="-4"/>
          <w:w w:val="125"/>
          <w:sz w:val="18"/>
        </w:rPr>
        <w:t> </w:t>
      </w:r>
      <w:r>
        <w:rPr>
          <w:i/>
          <w:w w:val="125"/>
          <w:sz w:val="18"/>
        </w:rPr>
        <w:t>LV.</w:t>
      </w:r>
      <w:r>
        <w:rPr>
          <w:i/>
          <w:spacing w:val="-2"/>
          <w:w w:val="125"/>
          <w:sz w:val="18"/>
        </w:rPr>
        <w:t> </w:t>
      </w:r>
      <w:r>
        <w:rPr>
          <w:i/>
          <w:w w:val="125"/>
          <w:sz w:val="18"/>
        </w:rPr>
        <w:t>törvény</w:t>
      </w:r>
      <w:r>
        <w:rPr>
          <w:i/>
          <w:spacing w:val="-4"/>
          <w:w w:val="125"/>
          <w:sz w:val="18"/>
        </w:rPr>
        <w:t> </w:t>
      </w:r>
      <w:r>
        <w:rPr>
          <w:i/>
          <w:w w:val="125"/>
          <w:sz w:val="18"/>
        </w:rPr>
        <w:t>19.</w:t>
      </w:r>
      <w:r>
        <w:rPr>
          <w:i/>
          <w:spacing w:val="-3"/>
          <w:w w:val="125"/>
          <w:sz w:val="18"/>
        </w:rPr>
        <w:t> </w:t>
      </w:r>
      <w:r>
        <w:rPr>
          <w:i/>
          <w:w w:val="125"/>
          <w:sz w:val="18"/>
        </w:rPr>
        <w:t>§.</w:t>
      </w:r>
      <w:r>
        <w:rPr>
          <w:i/>
          <w:spacing w:val="-3"/>
          <w:w w:val="125"/>
          <w:sz w:val="18"/>
        </w:rPr>
        <w:t> </w:t>
      </w:r>
      <w:r>
        <w:rPr>
          <w:i/>
          <w:w w:val="125"/>
          <w:sz w:val="18"/>
        </w:rPr>
        <w:t>Módosította:</w:t>
      </w:r>
      <w:r>
        <w:rPr>
          <w:i/>
          <w:spacing w:val="-3"/>
          <w:w w:val="125"/>
          <w:sz w:val="18"/>
        </w:rPr>
        <w:t> </w:t>
      </w:r>
      <w:r>
        <w:rPr>
          <w:i/>
          <w:w w:val="125"/>
          <w:sz w:val="18"/>
        </w:rPr>
        <w:t>2018.</w:t>
      </w:r>
      <w:r>
        <w:rPr>
          <w:i/>
          <w:spacing w:val="-4"/>
          <w:w w:val="125"/>
          <w:sz w:val="18"/>
        </w:rPr>
        <w:t> </w:t>
      </w:r>
      <w:r>
        <w:rPr>
          <w:i/>
          <w:w w:val="125"/>
          <w:sz w:val="18"/>
        </w:rPr>
        <w:t>évi</w:t>
      </w:r>
      <w:r>
        <w:rPr>
          <w:i/>
          <w:spacing w:val="-3"/>
          <w:w w:val="125"/>
          <w:sz w:val="18"/>
        </w:rPr>
        <w:t> </w:t>
      </w:r>
      <w:r>
        <w:rPr>
          <w:i/>
          <w:w w:val="125"/>
          <w:sz w:val="18"/>
        </w:rPr>
        <w:t>CXXVI.</w:t>
      </w:r>
      <w:r>
        <w:rPr>
          <w:i/>
          <w:spacing w:val="-3"/>
          <w:w w:val="125"/>
          <w:sz w:val="18"/>
        </w:rPr>
        <w:t> </w:t>
      </w:r>
      <w:r>
        <w:rPr>
          <w:i/>
          <w:w w:val="125"/>
          <w:sz w:val="18"/>
        </w:rPr>
        <w:t>törvény</w:t>
      </w:r>
      <w:r>
        <w:rPr>
          <w:i/>
          <w:spacing w:val="-3"/>
          <w:w w:val="125"/>
          <w:sz w:val="18"/>
        </w:rPr>
        <w:t> </w:t>
      </w:r>
      <w:r>
        <w:rPr>
          <w:i/>
          <w:w w:val="125"/>
          <w:sz w:val="18"/>
        </w:rPr>
        <w:t>120.</w:t>
      </w:r>
      <w:r>
        <w:rPr>
          <w:i/>
          <w:spacing w:val="-4"/>
          <w:w w:val="125"/>
          <w:sz w:val="18"/>
        </w:rPr>
        <w:t> </w:t>
      </w:r>
      <w:r>
        <w:rPr>
          <w:i/>
          <w:w w:val="125"/>
          <w:sz w:val="18"/>
        </w:rPr>
        <w:t>§</w:t>
      </w:r>
      <w:r>
        <w:rPr>
          <w:i/>
          <w:spacing w:val="-2"/>
          <w:w w:val="125"/>
          <w:sz w:val="18"/>
        </w:rPr>
        <w:t> </w:t>
      </w:r>
      <w:r>
        <w:rPr>
          <w:i/>
          <w:w w:val="125"/>
          <w:sz w:val="18"/>
        </w:rPr>
        <w:t>9.</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5"/>
          <w:sz w:val="18"/>
        </w:rPr>
        <w:t>Hatályon kívül helyezte: 2016. évi LV. törvény 21. §. Hatálytalan: 2016. VI.</w:t>
      </w:r>
      <w:r>
        <w:rPr>
          <w:i/>
          <w:spacing w:val="-17"/>
          <w:w w:val="125"/>
          <w:sz w:val="18"/>
        </w:rPr>
        <w:t> </w:t>
      </w:r>
      <w:r>
        <w:rPr>
          <w:i/>
          <w:w w:val="125"/>
          <w:sz w:val="18"/>
        </w:rPr>
        <w:t>9-től.</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10.</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78.</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1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78.</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17"/>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8"/>
          <w:w w:val="120"/>
          <w:sz w:val="18"/>
        </w:rPr>
        <w:t> </w:t>
      </w:r>
      <w:r>
        <w:rPr>
          <w:i/>
          <w:w w:val="120"/>
          <w:sz w:val="18"/>
        </w:rPr>
        <w:t>2015.</w:t>
      </w:r>
      <w:r>
        <w:rPr>
          <w:i/>
          <w:spacing w:val="9"/>
          <w:w w:val="120"/>
          <w:sz w:val="18"/>
        </w:rPr>
        <w:t> </w:t>
      </w:r>
      <w:r>
        <w:rPr>
          <w:i/>
          <w:w w:val="120"/>
          <w:sz w:val="18"/>
        </w:rPr>
        <w:t>évi</w:t>
      </w:r>
      <w:r>
        <w:rPr>
          <w:i/>
          <w:spacing w:val="9"/>
          <w:w w:val="120"/>
          <w:sz w:val="18"/>
        </w:rPr>
        <w:t> </w:t>
      </w:r>
      <w:r>
        <w:rPr>
          <w:i/>
          <w:w w:val="120"/>
          <w:sz w:val="18"/>
        </w:rPr>
        <w:t>CCXV.</w:t>
      </w:r>
      <w:r>
        <w:rPr>
          <w:i/>
          <w:spacing w:val="10"/>
          <w:w w:val="120"/>
          <w:sz w:val="18"/>
        </w:rPr>
        <w:t> </w:t>
      </w:r>
      <w:r>
        <w:rPr>
          <w:i/>
          <w:w w:val="120"/>
          <w:sz w:val="18"/>
        </w:rPr>
        <w:t>törvény</w:t>
      </w:r>
      <w:r>
        <w:rPr>
          <w:i/>
          <w:spacing w:val="9"/>
          <w:w w:val="120"/>
          <w:sz w:val="18"/>
        </w:rPr>
        <w:t> </w:t>
      </w:r>
      <w:r>
        <w:rPr>
          <w:i/>
          <w:w w:val="120"/>
          <w:sz w:val="18"/>
        </w:rPr>
        <w:t>140.</w:t>
      </w:r>
      <w:r>
        <w:rPr>
          <w:i/>
          <w:spacing w:val="8"/>
          <w:w w:val="120"/>
          <w:sz w:val="18"/>
        </w:rPr>
        <w:t> </w:t>
      </w:r>
      <w:r>
        <w:rPr>
          <w:i/>
          <w:w w:val="120"/>
          <w:sz w:val="18"/>
        </w:rPr>
        <w:t>§.</w:t>
      </w:r>
      <w:r>
        <w:rPr>
          <w:i/>
          <w:spacing w:val="10"/>
          <w:w w:val="120"/>
          <w:sz w:val="18"/>
        </w:rPr>
        <w:t> </w:t>
      </w:r>
      <w:r>
        <w:rPr>
          <w:i/>
          <w:w w:val="120"/>
          <w:sz w:val="18"/>
        </w:rPr>
        <w:t>Módosította:</w:t>
      </w:r>
      <w:r>
        <w:rPr>
          <w:i/>
          <w:spacing w:val="9"/>
          <w:w w:val="120"/>
          <w:sz w:val="18"/>
        </w:rPr>
        <w:t> </w:t>
      </w:r>
      <w:r>
        <w:rPr>
          <w:i/>
          <w:w w:val="120"/>
          <w:sz w:val="18"/>
        </w:rPr>
        <w:t>2018.</w:t>
      </w:r>
      <w:r>
        <w:rPr>
          <w:i/>
          <w:spacing w:val="9"/>
          <w:w w:val="120"/>
          <w:sz w:val="18"/>
        </w:rPr>
        <w:t> </w:t>
      </w:r>
      <w:r>
        <w:rPr>
          <w:i/>
          <w:w w:val="120"/>
          <w:sz w:val="18"/>
        </w:rPr>
        <w:t>évi</w:t>
      </w:r>
      <w:r>
        <w:rPr>
          <w:i/>
          <w:spacing w:val="9"/>
          <w:w w:val="120"/>
          <w:sz w:val="18"/>
        </w:rPr>
        <w:t> </w:t>
      </w:r>
      <w:r>
        <w:rPr>
          <w:i/>
          <w:w w:val="120"/>
          <w:sz w:val="18"/>
        </w:rPr>
        <w:t>CXXVI.</w:t>
      </w:r>
      <w:r>
        <w:rPr>
          <w:i/>
          <w:spacing w:val="10"/>
          <w:w w:val="120"/>
          <w:sz w:val="18"/>
        </w:rPr>
        <w:t> </w:t>
      </w:r>
      <w:r>
        <w:rPr>
          <w:i/>
          <w:w w:val="120"/>
          <w:sz w:val="18"/>
        </w:rPr>
        <w:t>törvény</w:t>
      </w:r>
      <w:r>
        <w:rPr>
          <w:i/>
          <w:spacing w:val="8"/>
          <w:w w:val="120"/>
          <w:sz w:val="18"/>
        </w:rPr>
        <w:t> </w:t>
      </w:r>
      <w:r>
        <w:rPr>
          <w:i/>
          <w:w w:val="120"/>
          <w:sz w:val="18"/>
        </w:rPr>
        <w:t>120.</w:t>
      </w:r>
      <w:r>
        <w:rPr>
          <w:i/>
          <w:spacing w:val="9"/>
          <w:w w:val="120"/>
          <w:sz w:val="18"/>
        </w:rPr>
        <w:t> </w:t>
      </w:r>
      <w:r>
        <w:rPr>
          <w:i/>
          <w:w w:val="120"/>
          <w:sz w:val="18"/>
        </w:rPr>
        <w:t>§</w:t>
      </w:r>
      <w:r>
        <w:rPr>
          <w:i/>
          <w:spacing w:val="10"/>
          <w:w w:val="120"/>
          <w:sz w:val="18"/>
        </w:rPr>
        <w:t> </w:t>
      </w:r>
      <w:r>
        <w:rPr>
          <w:i/>
          <w:w w:val="120"/>
          <w:sz w:val="18"/>
        </w:rPr>
        <w:t>11.</w:t>
      </w:r>
    </w:p>
    <w:p>
      <w:pPr>
        <w:spacing w:after="0" w:line="203" w:lineRule="exact"/>
        <w:jc w:val="left"/>
        <w:rPr>
          <w:sz w:val="18"/>
        </w:rPr>
        <w:sectPr>
          <w:type w:val="continuous"/>
          <w:pgSz w:w="11900" w:h="16820"/>
          <w:pgMar w:top="1840" w:bottom="280" w:left="1020" w:right="1000"/>
        </w:sectPr>
      </w:pPr>
    </w:p>
    <w:p>
      <w:pPr>
        <w:pStyle w:val="ListParagraph"/>
        <w:numPr>
          <w:ilvl w:val="0"/>
          <w:numId w:val="518"/>
        </w:numPr>
        <w:tabs>
          <w:tab w:pos="750" w:val="left" w:leader="none"/>
        </w:tabs>
        <w:spacing w:line="225" w:lineRule="auto" w:before="173" w:after="0"/>
        <w:ind w:left="113" w:right="132" w:firstLine="204"/>
        <w:jc w:val="both"/>
        <w:rPr>
          <w:sz w:val="24"/>
        </w:rPr>
      </w:pPr>
      <w:r>
        <w:rPr>
          <w:w w:val="125"/>
          <w:sz w:val="24"/>
        </w:rPr>
        <w:t>Az OBA legalább két országos napilapban, valamint honlapján közzéteszi a betétesek kártalanításának feltételeit és a lebonyolításával kapcsolatos információkat. Az OBA által közzétett információkat a kártalanítással érintett hitelintézet a honlapján is</w:t>
      </w:r>
      <w:r>
        <w:rPr>
          <w:spacing w:val="4"/>
          <w:w w:val="125"/>
          <w:sz w:val="24"/>
        </w:rPr>
        <w:t> </w:t>
      </w:r>
      <w:r>
        <w:rPr>
          <w:w w:val="125"/>
          <w:sz w:val="24"/>
        </w:rPr>
        <w:t>közzéteszi.</w:t>
      </w:r>
    </w:p>
    <w:p>
      <w:pPr>
        <w:pStyle w:val="ListParagraph"/>
        <w:numPr>
          <w:ilvl w:val="0"/>
          <w:numId w:val="518"/>
        </w:numPr>
        <w:tabs>
          <w:tab w:pos="753" w:val="left" w:leader="none"/>
        </w:tabs>
        <w:spacing w:line="225" w:lineRule="auto" w:before="2" w:after="0"/>
        <w:ind w:left="113" w:right="125" w:firstLine="204"/>
        <w:jc w:val="both"/>
        <w:rPr>
          <w:sz w:val="24"/>
        </w:rPr>
      </w:pPr>
      <w:r>
        <w:rPr>
          <w:w w:val="125"/>
          <w:sz w:val="24"/>
        </w:rPr>
        <w:t>A betétet gyűjtő hitelintézet a névre szóló betét esetén köteles a betétes nevén kívül - a 2. mellékletben felsoroltak közül az OBA előírásai szerint - két további azonosító adatot nyilvántartani, a kártalanításra való jogosultság egyértelmű megállapítása</w:t>
      </w:r>
      <w:r>
        <w:rPr>
          <w:spacing w:val="3"/>
          <w:w w:val="125"/>
          <w:sz w:val="24"/>
        </w:rPr>
        <w:t> </w:t>
      </w:r>
      <w:r>
        <w:rPr>
          <w:w w:val="125"/>
          <w:sz w:val="24"/>
        </w:rPr>
        <w:t>érdekében.</w:t>
      </w:r>
    </w:p>
    <w:p>
      <w:pPr>
        <w:pStyle w:val="ListParagraph"/>
        <w:numPr>
          <w:ilvl w:val="0"/>
          <w:numId w:val="518"/>
        </w:numPr>
        <w:tabs>
          <w:tab w:pos="659" w:val="left" w:leader="none"/>
        </w:tabs>
        <w:spacing w:line="250" w:lineRule="exact" w:before="0" w:after="0"/>
        <w:ind w:left="658" w:right="0" w:hanging="341"/>
        <w:jc w:val="left"/>
        <w:rPr>
          <w:sz w:val="24"/>
        </w:rPr>
      </w:pPr>
      <w:r>
        <w:rPr>
          <w:i/>
          <w:w w:val="125"/>
          <w:position w:val="3"/>
          <w:sz w:val="18"/>
        </w:rPr>
        <w:t>1 </w:t>
      </w:r>
      <w:r>
        <w:rPr>
          <w:w w:val="125"/>
          <w:sz w:val="24"/>
        </w:rPr>
        <w:t>A kifizetések teljesítése hitelintézetnek adott megbízás, a</w:t>
      </w:r>
      <w:r>
        <w:rPr>
          <w:spacing w:val="18"/>
          <w:w w:val="125"/>
          <w:sz w:val="24"/>
        </w:rPr>
        <w:t> </w:t>
      </w:r>
      <w:r>
        <w:rPr>
          <w:w w:val="125"/>
          <w:sz w:val="24"/>
        </w:rPr>
        <w:t>kártalanítási</w:t>
      </w:r>
    </w:p>
    <w:p>
      <w:pPr>
        <w:pStyle w:val="BodyText"/>
        <w:spacing w:line="225" w:lineRule="auto" w:before="12"/>
        <w:ind w:right="123" w:firstLine="0"/>
        <w:jc w:val="both"/>
      </w:pPr>
      <w:r>
        <w:rPr>
          <w:w w:val="125"/>
        </w:rPr>
        <w:t>összeg hitelintézethez a betétes részére történő átutalása, fizetési számláról a Posta Elszámoló Központot működtető intézményen keresztül történő készpénzkifizetés, közvetlen kifizetés vagy készpénz-helyettesítő fizetési eszköz útján az elhelyezés országának törvényes fizetőeszközében</w:t>
      </w:r>
      <w:r>
        <w:rPr>
          <w:spacing w:val="46"/>
          <w:w w:val="125"/>
        </w:rPr>
        <w:t> </w:t>
      </w:r>
      <w:r>
        <w:rPr>
          <w:w w:val="125"/>
        </w:rPr>
        <w:t>történik.</w:t>
      </w:r>
    </w:p>
    <w:p>
      <w:pPr>
        <w:pStyle w:val="ListParagraph"/>
        <w:numPr>
          <w:ilvl w:val="0"/>
          <w:numId w:val="518"/>
        </w:numPr>
        <w:tabs>
          <w:tab w:pos="659" w:val="left" w:leader="none"/>
        </w:tabs>
        <w:spacing w:line="250" w:lineRule="exact" w:before="0" w:after="0"/>
        <w:ind w:left="658" w:right="0" w:hanging="341"/>
        <w:jc w:val="left"/>
        <w:rPr>
          <w:sz w:val="24"/>
        </w:rPr>
      </w:pPr>
      <w:r>
        <w:rPr>
          <w:i/>
          <w:w w:val="120"/>
          <w:position w:val="3"/>
          <w:sz w:val="18"/>
        </w:rPr>
        <w:t>2 </w:t>
      </w:r>
      <w:r>
        <w:rPr>
          <w:w w:val="120"/>
          <w:sz w:val="24"/>
        </w:rPr>
        <w:t>Az OBA a Szantv. alapján hozzájárul a szanálás finanszírozásához.</w:t>
      </w:r>
      <w:r>
        <w:rPr>
          <w:spacing w:val="66"/>
          <w:w w:val="120"/>
          <w:sz w:val="24"/>
        </w:rPr>
        <w:t> </w:t>
      </w:r>
      <w:r>
        <w:rPr>
          <w:w w:val="120"/>
          <w:sz w:val="24"/>
        </w:rPr>
        <w:t>A</w:t>
      </w:r>
    </w:p>
    <w:p>
      <w:pPr>
        <w:pStyle w:val="BodyText"/>
        <w:spacing w:line="225" w:lineRule="auto" w:before="12"/>
        <w:ind w:firstLine="0"/>
      </w:pPr>
      <w:r>
        <w:rPr>
          <w:w w:val="130"/>
        </w:rPr>
        <w:t>hozzájárulás összegét a szanálási feladatkörében eljáró MNB határozza meg az OBA Igazgatótanácsával folytatott egyeztetést követően.</w:t>
      </w:r>
    </w:p>
    <w:p>
      <w:pPr>
        <w:pStyle w:val="ListParagraph"/>
        <w:numPr>
          <w:ilvl w:val="1"/>
          <w:numId w:val="508"/>
        </w:numPr>
        <w:tabs>
          <w:tab w:pos="996" w:val="left" w:leader="none"/>
        </w:tabs>
        <w:spacing w:line="225" w:lineRule="auto" w:before="0" w:after="0"/>
        <w:ind w:left="113" w:right="126" w:firstLine="204"/>
        <w:jc w:val="both"/>
        <w:rPr>
          <w:sz w:val="24"/>
        </w:rPr>
      </w:pPr>
      <w:r>
        <w:rPr>
          <w:rFonts w:ascii="Arial" w:hAnsi="Arial"/>
          <w:b/>
          <w:w w:val="125"/>
          <w:sz w:val="24"/>
        </w:rPr>
        <w:t>§ </w:t>
      </w:r>
      <w:r>
        <w:rPr>
          <w:w w:val="125"/>
          <w:sz w:val="24"/>
        </w:rPr>
        <w:t>A kártalanítással érintett hitelintézet az OBA kezdeményezése esetén az OBA által biztosított betétek alapján járó kártalanítás kifizetésével együtt járó feladatok ellátására az OBA-val megállapodást köt. E feladatok ellátásáért a hitelintézet a működése során hatályban volt legutolsó üzletszabályzata szerinti, vagy a legutolsó üzletszabályzata tartalmilag leginkább hasonló tételének megfelelő térítésre</w:t>
      </w:r>
      <w:r>
        <w:rPr>
          <w:spacing w:val="4"/>
          <w:w w:val="125"/>
          <w:sz w:val="24"/>
        </w:rPr>
        <w:t> </w:t>
      </w:r>
      <w:r>
        <w:rPr>
          <w:w w:val="125"/>
          <w:sz w:val="24"/>
        </w:rPr>
        <w:t>jogosult.</w:t>
      </w:r>
    </w:p>
    <w:p>
      <w:pPr>
        <w:pStyle w:val="BodyText"/>
        <w:spacing w:before="230"/>
        <w:ind w:left="2331" w:firstLine="0"/>
      </w:pPr>
      <w:r>
        <w:rPr>
          <w:w w:val="125"/>
        </w:rPr>
        <w:t>89. A kifizetett betétkövetelések átszállása</w:t>
      </w:r>
    </w:p>
    <w:p>
      <w:pPr>
        <w:pStyle w:val="ListParagraph"/>
        <w:numPr>
          <w:ilvl w:val="1"/>
          <w:numId w:val="508"/>
        </w:numPr>
        <w:tabs>
          <w:tab w:pos="1143" w:val="left" w:leader="none"/>
        </w:tabs>
        <w:spacing w:line="225" w:lineRule="auto" w:before="236" w:after="0"/>
        <w:ind w:left="113" w:right="128" w:firstLine="204"/>
        <w:jc w:val="both"/>
        <w:rPr>
          <w:sz w:val="24"/>
        </w:rPr>
      </w:pPr>
      <w:r>
        <w:rPr>
          <w:rFonts w:ascii="Arial" w:hAnsi="Arial"/>
          <w:b/>
          <w:w w:val="120"/>
          <w:sz w:val="24"/>
        </w:rPr>
        <w:t>§ </w:t>
      </w:r>
      <w:r>
        <w:rPr>
          <w:w w:val="120"/>
          <w:sz w:val="24"/>
        </w:rPr>
        <w:t>(1) Ha az OBA a betéteseknek kártalanítást  fizetett  ki,  a </w:t>
      </w:r>
      <w:r>
        <w:rPr>
          <w:spacing w:val="72"/>
          <w:w w:val="120"/>
          <w:sz w:val="24"/>
        </w:rPr>
        <w:t> </w:t>
      </w:r>
      <w:r>
        <w:rPr>
          <w:w w:val="120"/>
          <w:sz w:val="24"/>
        </w:rPr>
        <w:t>hitelintézettel szembeni követelés - a kifizetett összeg erejéig - a betétesről az OBA-ra száll át. A követelés átszállásával az OBA a korábbi jogosult helyébe  </w:t>
      </w:r>
      <w:r>
        <w:rPr>
          <w:spacing w:val="72"/>
          <w:w w:val="120"/>
          <w:sz w:val="24"/>
        </w:rPr>
        <w:t> </w:t>
      </w:r>
      <w:r>
        <w:rPr>
          <w:w w:val="120"/>
          <w:sz w:val="24"/>
        </w:rPr>
        <w:t>lép. Az OBA a 217. § (1) bekezdésében meghatározott esetekben az átszállt követeléseket jogosult</w:t>
      </w:r>
      <w:r>
        <w:rPr>
          <w:spacing w:val="13"/>
          <w:w w:val="120"/>
          <w:sz w:val="24"/>
        </w:rPr>
        <w:t> </w:t>
      </w:r>
      <w:r>
        <w:rPr>
          <w:w w:val="120"/>
          <w:sz w:val="24"/>
        </w:rPr>
        <w:t>érvényesíteni.</w:t>
      </w:r>
    </w:p>
    <w:p>
      <w:pPr>
        <w:pStyle w:val="BodyText"/>
        <w:spacing w:line="225" w:lineRule="auto" w:before="3"/>
        <w:ind w:right="124"/>
        <w:jc w:val="both"/>
      </w:pPr>
      <w:r>
        <w:rPr>
          <w:w w:val="125"/>
        </w:rPr>
        <w:t>(1a)</w:t>
      </w:r>
      <w:r>
        <w:rPr>
          <w:i/>
          <w:w w:val="125"/>
          <w:position w:val="3"/>
          <w:sz w:val="18"/>
        </w:rPr>
        <w:t>3 </w:t>
      </w:r>
      <w:r>
        <w:rPr>
          <w:w w:val="125"/>
        </w:rPr>
        <w:t>Ha az OBA hozzájárul egy hitelintézet  szanálásának finanszírozásához, a hozzájárulás összegének erejéig az OBA-nak követelése keletkezik  az  érintett hitelintézettel szemben, amely követelést az 57. § (1) bekezdés  </w:t>
      </w:r>
      <w:r>
        <w:rPr>
          <w:i/>
          <w:w w:val="125"/>
        </w:rPr>
        <w:t>a) </w:t>
      </w:r>
      <w:r>
        <w:rPr>
          <w:w w:val="125"/>
        </w:rPr>
        <w:t>pontja szerinti kielégítési csoportba szükséges</w:t>
      </w:r>
      <w:r>
        <w:rPr>
          <w:spacing w:val="19"/>
          <w:w w:val="125"/>
        </w:rPr>
        <w:t> </w:t>
      </w:r>
      <w:r>
        <w:rPr>
          <w:w w:val="125"/>
        </w:rPr>
        <w:t>sorolni.</w:t>
      </w:r>
    </w:p>
    <w:p>
      <w:pPr>
        <w:pStyle w:val="BodyText"/>
        <w:tabs>
          <w:tab w:pos="1137" w:val="left" w:leader="none"/>
        </w:tabs>
        <w:spacing w:line="251" w:lineRule="exact"/>
        <w:ind w:left="317" w:firstLine="0"/>
      </w:pPr>
      <w:r>
        <w:rPr>
          <w:w w:val="125"/>
        </w:rPr>
        <w:t>(1b)</w:t>
      </w:r>
      <w:r>
        <w:rPr>
          <w:i/>
          <w:w w:val="125"/>
          <w:position w:val="3"/>
          <w:sz w:val="18"/>
        </w:rPr>
        <w:t>4</w:t>
        <w:tab/>
      </w:r>
      <w:r>
        <w:rPr>
          <w:w w:val="125"/>
        </w:rPr>
        <w:t>Az</w:t>
      </w:r>
      <w:r>
        <w:rPr>
          <w:spacing w:val="28"/>
          <w:w w:val="125"/>
        </w:rPr>
        <w:t> </w:t>
      </w:r>
      <w:r>
        <w:rPr>
          <w:w w:val="125"/>
        </w:rPr>
        <w:t>OBA</w:t>
      </w:r>
      <w:r>
        <w:rPr>
          <w:spacing w:val="44"/>
          <w:w w:val="125"/>
        </w:rPr>
        <w:t> </w:t>
      </w:r>
      <w:r>
        <w:rPr>
          <w:w w:val="125"/>
        </w:rPr>
        <w:t>a</w:t>
      </w:r>
      <w:r>
        <w:rPr>
          <w:spacing w:val="45"/>
          <w:w w:val="125"/>
        </w:rPr>
        <w:t> </w:t>
      </w:r>
      <w:r>
        <w:rPr>
          <w:w w:val="125"/>
        </w:rPr>
        <w:t>217.</w:t>
      </w:r>
      <w:r>
        <w:rPr>
          <w:spacing w:val="44"/>
          <w:w w:val="125"/>
        </w:rPr>
        <w:t> </w:t>
      </w:r>
      <w:r>
        <w:rPr>
          <w:w w:val="125"/>
        </w:rPr>
        <w:t>§</w:t>
      </w:r>
      <w:r>
        <w:rPr>
          <w:spacing w:val="45"/>
          <w:w w:val="125"/>
        </w:rPr>
        <w:t> </w:t>
      </w:r>
      <w:r>
        <w:rPr>
          <w:w w:val="125"/>
        </w:rPr>
        <w:t>(1)</w:t>
      </w:r>
      <w:r>
        <w:rPr>
          <w:spacing w:val="44"/>
          <w:w w:val="125"/>
        </w:rPr>
        <w:t> </w:t>
      </w:r>
      <w:r>
        <w:rPr>
          <w:w w:val="125"/>
        </w:rPr>
        <w:t>bekezdésében</w:t>
      </w:r>
      <w:r>
        <w:rPr>
          <w:spacing w:val="45"/>
          <w:w w:val="125"/>
        </w:rPr>
        <w:t> </w:t>
      </w:r>
      <w:r>
        <w:rPr>
          <w:w w:val="125"/>
        </w:rPr>
        <w:t>meghatározott</w:t>
      </w:r>
      <w:r>
        <w:rPr>
          <w:spacing w:val="44"/>
          <w:w w:val="125"/>
        </w:rPr>
        <w:t> </w:t>
      </w:r>
      <w:r>
        <w:rPr>
          <w:w w:val="125"/>
        </w:rPr>
        <w:t>esetekben</w:t>
      </w:r>
      <w:r>
        <w:rPr>
          <w:spacing w:val="45"/>
          <w:w w:val="125"/>
        </w:rPr>
        <w:t> </w:t>
      </w:r>
      <w:r>
        <w:rPr>
          <w:w w:val="125"/>
        </w:rPr>
        <w:t>a</w:t>
      </w:r>
    </w:p>
    <w:p>
      <w:pPr>
        <w:pStyle w:val="BodyText"/>
        <w:spacing w:line="225" w:lineRule="auto" w:before="12"/>
        <w:ind w:right="124" w:firstLine="0"/>
        <w:jc w:val="both"/>
      </w:pPr>
      <w:r>
        <w:rPr>
          <w:w w:val="130"/>
        </w:rPr>
        <w:t>szövetkezeti hitelintézetek integrációjában részvevő hitelintézettel szembeni követelését az Szhitv.-ben meghatározott egyetemlegesség alapján jogosult érvényesíteni a Szövetkezeti Hitelintézetek Tőkefedezeti Alapjával, az</w:t>
      </w:r>
      <w:r>
        <w:rPr>
          <w:spacing w:val="78"/>
          <w:w w:val="130"/>
        </w:rPr>
        <w:t> </w:t>
      </w:r>
      <w:r>
        <w:rPr>
          <w:w w:val="130"/>
        </w:rPr>
        <w:t>Integrációs Szervezettel, a Központi Bankkal, illetve a többi szövetkezeti hitelintézettel szemben.</w:t>
      </w:r>
    </w:p>
    <w:p>
      <w:pPr>
        <w:pStyle w:val="ListParagraph"/>
        <w:numPr>
          <w:ilvl w:val="0"/>
          <w:numId w:val="519"/>
        </w:numPr>
        <w:tabs>
          <w:tab w:pos="772" w:val="left" w:leader="none"/>
        </w:tabs>
        <w:spacing w:line="225" w:lineRule="auto" w:before="3" w:after="0"/>
        <w:ind w:left="113" w:right="133" w:firstLine="204"/>
        <w:jc w:val="both"/>
        <w:rPr>
          <w:sz w:val="24"/>
        </w:rPr>
      </w:pPr>
      <w:r>
        <w:rPr>
          <w:w w:val="125"/>
          <w:sz w:val="24"/>
        </w:rPr>
        <w:t>Az OBA-ból a kártalanításra jogosult személy részére történt bármilyen kifizetés esetén az érintett hitelintézet az OBA által kifizetett összeget és a kifizetéshez kapcsolódóan az OBA-nál felmerült költségeket köteles az OBA-nak visszafizetni, megfizetni. E kötelezettség akkor is fennáll, ha a hitelintézet OBA-ban való tagsága megszűnt.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2"/>
        </w:rPr>
      </w:pPr>
      <w:r>
        <w:rPr/>
        <w:pict>
          <v:line style="position:absolute;mso-position-horizontal-relative:page;mso-position-vertical-relative:paragraph;z-index:2144;mso-wrap-distance-left:0;mso-wrap-distance-right:0" from="56.693001pt,9.260593pt" to="538.583001pt,9.260593pt" stroked="true" strokeweight=".5pt" strokecolor="#000000">
            <v:stroke dashstyle="solid"/>
            <w10:wrap type="topAndBottom"/>
          </v:line>
        </w:pict>
      </w:r>
    </w:p>
    <w:p>
      <w:pPr>
        <w:pStyle w:val="ListParagraph"/>
        <w:numPr>
          <w:ilvl w:val="0"/>
          <w:numId w:val="520"/>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78. § (3). Hatályos: 2015. VII.</w:t>
      </w:r>
      <w:r>
        <w:rPr>
          <w:i/>
          <w:spacing w:val="-22"/>
          <w:w w:val="125"/>
          <w:sz w:val="18"/>
        </w:rPr>
        <w:t> </w:t>
      </w:r>
      <w:r>
        <w:rPr>
          <w:i/>
          <w:w w:val="125"/>
          <w:sz w:val="18"/>
        </w:rPr>
        <w:t>3-tól.</w:t>
      </w:r>
    </w:p>
    <w:p>
      <w:pPr>
        <w:pStyle w:val="ListParagraph"/>
        <w:numPr>
          <w:ilvl w:val="0"/>
          <w:numId w:val="520"/>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78. § (4). Hatályos: 2015. VII.</w:t>
      </w:r>
      <w:r>
        <w:rPr>
          <w:i/>
          <w:spacing w:val="49"/>
          <w:w w:val="120"/>
          <w:sz w:val="18"/>
        </w:rPr>
        <w:t> </w:t>
      </w:r>
      <w:r>
        <w:rPr>
          <w:i/>
          <w:w w:val="120"/>
          <w:sz w:val="18"/>
        </w:rPr>
        <w:t>3-tól.</w:t>
      </w:r>
    </w:p>
    <w:p>
      <w:pPr>
        <w:pStyle w:val="ListParagraph"/>
        <w:numPr>
          <w:ilvl w:val="0"/>
          <w:numId w:val="520"/>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7"/>
          <w:w w:val="120"/>
          <w:sz w:val="18"/>
        </w:rPr>
        <w:t> </w:t>
      </w:r>
      <w:r>
        <w:rPr>
          <w:i/>
          <w:w w:val="120"/>
          <w:sz w:val="18"/>
        </w:rPr>
        <w:t>2014.</w:t>
      </w:r>
      <w:r>
        <w:rPr>
          <w:i/>
          <w:spacing w:val="8"/>
          <w:w w:val="120"/>
          <w:sz w:val="18"/>
        </w:rPr>
        <w:t> </w:t>
      </w:r>
      <w:r>
        <w:rPr>
          <w:i/>
          <w:w w:val="120"/>
          <w:sz w:val="18"/>
        </w:rPr>
        <w:t>évi</w:t>
      </w:r>
      <w:r>
        <w:rPr>
          <w:i/>
          <w:spacing w:val="8"/>
          <w:w w:val="120"/>
          <w:sz w:val="18"/>
        </w:rPr>
        <w:t> </w:t>
      </w:r>
      <w:r>
        <w:rPr>
          <w:i/>
          <w:w w:val="120"/>
          <w:sz w:val="18"/>
        </w:rPr>
        <w:t>CIV.</w:t>
      </w:r>
      <w:r>
        <w:rPr>
          <w:i/>
          <w:spacing w:val="9"/>
          <w:w w:val="120"/>
          <w:sz w:val="18"/>
        </w:rPr>
        <w:t> </w:t>
      </w:r>
      <w:r>
        <w:rPr>
          <w:i/>
          <w:w w:val="120"/>
          <w:sz w:val="18"/>
        </w:rPr>
        <w:t>törvény</w:t>
      </w:r>
      <w:r>
        <w:rPr>
          <w:i/>
          <w:spacing w:val="8"/>
          <w:w w:val="120"/>
          <w:sz w:val="18"/>
        </w:rPr>
        <w:t> </w:t>
      </w:r>
      <w:r>
        <w:rPr>
          <w:i/>
          <w:w w:val="120"/>
          <w:sz w:val="18"/>
        </w:rPr>
        <w:t>79.</w:t>
      </w:r>
      <w:r>
        <w:rPr>
          <w:i/>
          <w:spacing w:val="8"/>
          <w:w w:val="120"/>
          <w:sz w:val="18"/>
        </w:rPr>
        <w:t> </w:t>
      </w:r>
      <w:r>
        <w:rPr>
          <w:i/>
          <w:w w:val="120"/>
          <w:sz w:val="18"/>
        </w:rPr>
        <w:t>§.</w:t>
      </w:r>
      <w:r>
        <w:rPr>
          <w:i/>
          <w:spacing w:val="9"/>
          <w:w w:val="120"/>
          <w:sz w:val="18"/>
        </w:rPr>
        <w:t> </w:t>
      </w:r>
      <w:r>
        <w:rPr>
          <w:i/>
          <w:w w:val="120"/>
          <w:sz w:val="18"/>
        </w:rPr>
        <w:t>Módosította:</w:t>
      </w:r>
      <w:r>
        <w:rPr>
          <w:i/>
          <w:spacing w:val="8"/>
          <w:w w:val="120"/>
          <w:sz w:val="18"/>
        </w:rPr>
        <w:t> </w:t>
      </w:r>
      <w:r>
        <w:rPr>
          <w:i/>
          <w:w w:val="120"/>
          <w:sz w:val="18"/>
        </w:rPr>
        <w:t>2018.</w:t>
      </w:r>
      <w:r>
        <w:rPr>
          <w:i/>
          <w:spacing w:val="8"/>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7"/>
          <w:w w:val="120"/>
          <w:sz w:val="18"/>
        </w:rPr>
        <w:t> </w:t>
      </w:r>
      <w:r>
        <w:rPr>
          <w:i/>
          <w:w w:val="120"/>
          <w:sz w:val="18"/>
        </w:rPr>
        <w:t>120.</w:t>
      </w:r>
      <w:r>
        <w:rPr>
          <w:i/>
          <w:spacing w:val="8"/>
          <w:w w:val="120"/>
          <w:sz w:val="18"/>
        </w:rPr>
        <w:t> </w:t>
      </w:r>
      <w:r>
        <w:rPr>
          <w:i/>
          <w:w w:val="120"/>
          <w:sz w:val="18"/>
        </w:rPr>
        <w:t>§</w:t>
      </w:r>
      <w:r>
        <w:rPr>
          <w:i/>
          <w:spacing w:val="9"/>
          <w:w w:val="120"/>
          <w:sz w:val="18"/>
        </w:rPr>
        <w:t> </w:t>
      </w:r>
      <w:r>
        <w:rPr>
          <w:i/>
          <w:w w:val="120"/>
          <w:sz w:val="18"/>
        </w:rPr>
        <w:t>12.</w:t>
      </w:r>
    </w:p>
    <w:p>
      <w:pPr>
        <w:pStyle w:val="ListParagraph"/>
        <w:numPr>
          <w:ilvl w:val="0"/>
          <w:numId w:val="520"/>
        </w:numPr>
        <w:tabs>
          <w:tab w:pos="686" w:val="left" w:leader="none"/>
          <w:tab w:pos="687" w:val="left" w:leader="none"/>
        </w:tabs>
        <w:spacing w:line="203" w:lineRule="exact" w:before="0" w:after="0"/>
        <w:ind w:left="686" w:right="0" w:hanging="344"/>
        <w:jc w:val="left"/>
        <w:rPr>
          <w:i/>
          <w:sz w:val="18"/>
        </w:rPr>
      </w:pPr>
      <w:r>
        <w:rPr>
          <w:i/>
          <w:w w:val="125"/>
          <w:sz w:val="18"/>
        </w:rPr>
        <w:t>Beiktatta: 2016. évi LV. törvény 20. §. Hatályos: 2016. VI.</w:t>
      </w:r>
      <w:r>
        <w:rPr>
          <w:i/>
          <w:spacing w:val="-8"/>
          <w:w w:val="125"/>
          <w:sz w:val="18"/>
        </w:rPr>
        <w:t> </w:t>
      </w:r>
      <w:r>
        <w:rPr>
          <w:i/>
          <w:w w:val="125"/>
          <w:sz w:val="18"/>
        </w:rPr>
        <w:t>9-től.</w:t>
      </w:r>
    </w:p>
    <w:p>
      <w:pPr>
        <w:spacing w:after="0" w:line="203" w:lineRule="exact"/>
        <w:jc w:val="left"/>
        <w:rPr>
          <w:sz w:val="18"/>
        </w:rPr>
        <w:sectPr>
          <w:pgSz w:w="11900" w:h="16820"/>
          <w:pgMar w:header="1104" w:footer="0" w:top="1840" w:bottom="280" w:left="1020" w:right="1000"/>
        </w:sectPr>
      </w:pPr>
    </w:p>
    <w:p>
      <w:pPr>
        <w:pStyle w:val="ListParagraph"/>
        <w:numPr>
          <w:ilvl w:val="0"/>
          <w:numId w:val="519"/>
        </w:numPr>
        <w:tabs>
          <w:tab w:pos="799" w:val="left" w:leader="none"/>
        </w:tabs>
        <w:spacing w:line="225" w:lineRule="auto" w:before="173" w:after="0"/>
        <w:ind w:left="113" w:right="127" w:firstLine="204"/>
        <w:jc w:val="both"/>
        <w:rPr>
          <w:sz w:val="24"/>
        </w:rPr>
      </w:pPr>
      <w:r>
        <w:rPr>
          <w:w w:val="125"/>
          <w:sz w:val="24"/>
        </w:rPr>
        <w:t>Hitelintézet a 33. § (1) bekezdés </w:t>
      </w:r>
      <w:r>
        <w:rPr>
          <w:i/>
          <w:w w:val="125"/>
          <w:sz w:val="24"/>
        </w:rPr>
        <w:t>a) </w:t>
      </w:r>
      <w:r>
        <w:rPr>
          <w:w w:val="125"/>
          <w:sz w:val="24"/>
        </w:rPr>
        <w:t>pontjában elrendelt tevékenységi engedély visszavonása alapján indított végelszámolása vagy felszámolása  során az OBA azon betétek tekintetében is jogosult hitelezőként fellépni, amelyekből eredő jogok még nem szálltak át az OBA-ra, de amelyekért a 214. § szerint fizetni tartozik, ideértve a kifizetés kapcsán felmerülő költségeket</w:t>
      </w:r>
      <w:r>
        <w:rPr>
          <w:spacing w:val="2"/>
          <w:w w:val="125"/>
          <w:sz w:val="24"/>
        </w:rPr>
        <w:t> </w:t>
      </w:r>
      <w:r>
        <w:rPr>
          <w:w w:val="125"/>
          <w:sz w:val="24"/>
        </w:rPr>
        <w:t>is.</w:t>
      </w:r>
    </w:p>
    <w:p>
      <w:pPr>
        <w:pStyle w:val="ListParagraph"/>
        <w:numPr>
          <w:ilvl w:val="0"/>
          <w:numId w:val="519"/>
        </w:numPr>
        <w:tabs>
          <w:tab w:pos="769" w:val="left" w:leader="none"/>
        </w:tabs>
        <w:spacing w:line="225" w:lineRule="auto" w:before="3" w:after="0"/>
        <w:ind w:left="113" w:right="131" w:firstLine="204"/>
        <w:jc w:val="both"/>
        <w:rPr>
          <w:sz w:val="24"/>
        </w:rPr>
      </w:pPr>
      <w:r>
        <w:rPr>
          <w:w w:val="125"/>
          <w:sz w:val="24"/>
        </w:rPr>
        <w:t>A (2) bekezdés alkalmazásában a kifizetéshez kapcsolódóan az OBA-nál felmerülő költség a kifizető hitelintézet díja, az átutalások költsége, a nyomdaköltség, a kommunikációs költség, a számítástechnikai költség  és  a jogi költség.</w:t>
      </w:r>
    </w:p>
    <w:p>
      <w:pPr>
        <w:spacing w:line="265" w:lineRule="exact" w:before="0"/>
        <w:ind w:left="317" w:right="0" w:firstLine="0"/>
        <w:jc w:val="left"/>
        <w:rPr>
          <w:i/>
          <w:sz w:val="18"/>
        </w:rPr>
      </w:pPr>
      <w:r>
        <w:rPr>
          <w:w w:val="125"/>
          <w:sz w:val="24"/>
        </w:rPr>
        <w:t>(5)</w:t>
      </w:r>
      <w:r>
        <w:rPr>
          <w:i/>
          <w:w w:val="125"/>
          <w:position w:val="3"/>
          <w:sz w:val="18"/>
        </w:rPr>
        <w:t>1</w:t>
      </w:r>
    </w:p>
    <w:p>
      <w:pPr>
        <w:pStyle w:val="BodyText"/>
        <w:spacing w:before="10"/>
        <w:ind w:left="0" w:firstLine="0"/>
        <w:rPr>
          <w:i/>
          <w:sz w:val="10"/>
        </w:rPr>
      </w:pPr>
    </w:p>
    <w:p>
      <w:pPr>
        <w:pStyle w:val="BodyText"/>
        <w:spacing w:before="99"/>
        <w:ind w:left="3666" w:firstLine="0"/>
      </w:pPr>
      <w:r>
        <w:rPr>
          <w:w w:val="120"/>
        </w:rPr>
        <w:t>90. Az OBA jogállása</w:t>
      </w:r>
    </w:p>
    <w:p>
      <w:pPr>
        <w:pStyle w:val="ListParagraph"/>
        <w:numPr>
          <w:ilvl w:val="1"/>
          <w:numId w:val="508"/>
        </w:numPr>
        <w:tabs>
          <w:tab w:pos="985" w:val="left" w:leader="none"/>
        </w:tabs>
        <w:spacing w:line="269" w:lineRule="exact" w:before="223" w:after="0"/>
        <w:ind w:left="984" w:right="0" w:hanging="667"/>
        <w:jc w:val="left"/>
        <w:rPr>
          <w:sz w:val="24"/>
        </w:rPr>
      </w:pPr>
      <w:r>
        <w:rPr>
          <w:rFonts w:ascii="Arial" w:hAnsi="Arial"/>
          <w:b/>
          <w:w w:val="115"/>
          <w:sz w:val="24"/>
        </w:rPr>
        <w:t>§ </w:t>
      </w:r>
      <w:r>
        <w:rPr>
          <w:w w:val="115"/>
          <w:sz w:val="24"/>
        </w:rPr>
        <w:t>(1) Az OBA jogi</w:t>
      </w:r>
      <w:r>
        <w:rPr>
          <w:spacing w:val="33"/>
          <w:w w:val="115"/>
          <w:sz w:val="24"/>
        </w:rPr>
        <w:t> </w:t>
      </w:r>
      <w:r>
        <w:rPr>
          <w:w w:val="115"/>
          <w:sz w:val="24"/>
        </w:rPr>
        <w:t>személy.</w:t>
      </w:r>
    </w:p>
    <w:p>
      <w:pPr>
        <w:pStyle w:val="BodyText"/>
        <w:spacing w:line="225" w:lineRule="auto" w:before="5"/>
        <w:ind w:left="317" w:right="5212" w:firstLine="0"/>
        <w:rPr>
          <w:i/>
          <w:sz w:val="18"/>
        </w:rPr>
      </w:pPr>
      <w:r>
        <w:rPr>
          <w:w w:val="120"/>
        </w:rPr>
        <w:t>(2) Az OBA székhelye: Budapest. (3)</w:t>
      </w:r>
      <w:r>
        <w:rPr>
          <w:i/>
          <w:w w:val="120"/>
          <w:position w:val="3"/>
          <w:sz w:val="18"/>
        </w:rPr>
        <w:t>2</w:t>
      </w:r>
    </w:p>
    <w:p>
      <w:pPr>
        <w:pStyle w:val="ListParagraph"/>
        <w:numPr>
          <w:ilvl w:val="0"/>
          <w:numId w:val="521"/>
        </w:numPr>
        <w:tabs>
          <w:tab w:pos="659" w:val="left" w:leader="none"/>
        </w:tabs>
        <w:spacing w:line="225" w:lineRule="auto" w:before="1" w:after="0"/>
        <w:ind w:left="113" w:right="125" w:firstLine="204"/>
        <w:jc w:val="both"/>
        <w:rPr>
          <w:sz w:val="24"/>
        </w:rPr>
      </w:pPr>
      <w:r>
        <w:rPr>
          <w:i/>
          <w:w w:val="125"/>
          <w:position w:val="3"/>
          <w:sz w:val="18"/>
        </w:rPr>
        <w:t>3 </w:t>
      </w:r>
      <w:r>
        <w:rPr>
          <w:w w:val="125"/>
          <w:sz w:val="24"/>
        </w:rPr>
        <w:t>Az OBA pénzeszközei nem vonhatók el, és a 211. §-ban meghatározottól eltérő célra - a 232. § (2) bekezdésben foglalt kölcsönből és a 232. § (3) bekezdésben foglalt kötvényből eredő kötelezettségei teljesítésének, valamint az OBA-nak az igazgatótanács által a 224. § (1) bekezdés </w:t>
      </w:r>
      <w:r>
        <w:rPr>
          <w:i/>
          <w:w w:val="125"/>
          <w:sz w:val="24"/>
        </w:rPr>
        <w:t>i) </w:t>
      </w:r>
      <w:r>
        <w:rPr>
          <w:w w:val="125"/>
          <w:sz w:val="24"/>
        </w:rPr>
        <w:t>pontja szerint jóváhagyott működési költségei fedezésének kivételével - nem  használhatók fel.</w:t>
      </w:r>
    </w:p>
    <w:p>
      <w:pPr>
        <w:pStyle w:val="ListParagraph"/>
        <w:numPr>
          <w:ilvl w:val="0"/>
          <w:numId w:val="521"/>
        </w:numPr>
        <w:tabs>
          <w:tab w:pos="734" w:val="left" w:leader="none"/>
        </w:tabs>
        <w:spacing w:line="258" w:lineRule="exact" w:before="0" w:after="0"/>
        <w:ind w:left="733" w:right="0" w:hanging="416"/>
        <w:jc w:val="left"/>
        <w:rPr>
          <w:sz w:val="24"/>
        </w:rPr>
      </w:pPr>
      <w:r>
        <w:rPr>
          <w:w w:val="120"/>
          <w:sz w:val="24"/>
        </w:rPr>
        <w:t>Az OBA saját tőkéje nem osztható</w:t>
      </w:r>
      <w:r>
        <w:rPr>
          <w:spacing w:val="28"/>
          <w:w w:val="120"/>
          <w:sz w:val="24"/>
        </w:rPr>
        <w:t> </w:t>
      </w:r>
      <w:r>
        <w:rPr>
          <w:w w:val="120"/>
          <w:sz w:val="24"/>
        </w:rPr>
        <w:t>fel.</w:t>
      </w:r>
    </w:p>
    <w:p>
      <w:pPr>
        <w:pStyle w:val="ListParagraph"/>
        <w:numPr>
          <w:ilvl w:val="0"/>
          <w:numId w:val="521"/>
        </w:numPr>
        <w:tabs>
          <w:tab w:pos="659" w:val="left" w:leader="none"/>
        </w:tabs>
        <w:spacing w:line="225" w:lineRule="auto" w:before="6" w:after="0"/>
        <w:ind w:left="113" w:right="128" w:firstLine="204"/>
        <w:jc w:val="left"/>
        <w:rPr>
          <w:sz w:val="24"/>
        </w:rPr>
      </w:pPr>
      <w:r>
        <w:rPr>
          <w:i/>
          <w:w w:val="125"/>
          <w:position w:val="3"/>
          <w:sz w:val="18"/>
        </w:rPr>
        <w:t>4 </w:t>
      </w:r>
      <w:r>
        <w:rPr>
          <w:w w:val="125"/>
          <w:sz w:val="24"/>
        </w:rPr>
        <w:t>Az OBA-t harmadik személyekkel szemben, valamint bíróság és hatóság előtt az igazgatótanács elnöke vagy az ügyvezető</w:t>
      </w:r>
      <w:r>
        <w:rPr>
          <w:spacing w:val="7"/>
          <w:w w:val="125"/>
          <w:sz w:val="24"/>
        </w:rPr>
        <w:t> </w:t>
      </w:r>
      <w:r>
        <w:rPr>
          <w:w w:val="125"/>
          <w:sz w:val="24"/>
        </w:rPr>
        <w:t>képviseli.</w:t>
      </w:r>
    </w:p>
    <w:p>
      <w:pPr>
        <w:pStyle w:val="ListParagraph"/>
        <w:numPr>
          <w:ilvl w:val="1"/>
          <w:numId w:val="508"/>
        </w:numPr>
        <w:tabs>
          <w:tab w:pos="1057" w:val="left" w:leader="none"/>
        </w:tabs>
        <w:spacing w:line="225" w:lineRule="auto" w:before="0" w:after="0"/>
        <w:ind w:left="113" w:right="126" w:firstLine="204"/>
        <w:jc w:val="left"/>
        <w:rPr>
          <w:sz w:val="24"/>
        </w:rPr>
      </w:pPr>
      <w:r>
        <w:rPr>
          <w:rFonts w:ascii="Arial" w:hAnsi="Arial"/>
          <w:b/>
          <w:w w:val="115"/>
          <w:sz w:val="24"/>
        </w:rPr>
        <w:t>§ </w:t>
      </w:r>
      <w:r>
        <w:rPr>
          <w:w w:val="115"/>
          <w:sz w:val="24"/>
        </w:rPr>
        <w:t>Az OBA pénzügyi-számviteli ellenőrzését  az  Állami  Számvevőszék végzi.</w:t>
      </w:r>
    </w:p>
    <w:p>
      <w:pPr>
        <w:pStyle w:val="ListParagraph"/>
        <w:numPr>
          <w:ilvl w:val="1"/>
          <w:numId w:val="508"/>
        </w:numPr>
        <w:tabs>
          <w:tab w:pos="985" w:val="left" w:leader="none"/>
        </w:tabs>
        <w:spacing w:line="256" w:lineRule="exact" w:before="0" w:after="0"/>
        <w:ind w:left="984" w:right="0" w:hanging="667"/>
        <w:jc w:val="left"/>
        <w:rPr>
          <w:sz w:val="24"/>
        </w:rPr>
      </w:pPr>
      <w:r>
        <w:rPr>
          <w:rFonts w:ascii="Arial" w:hAnsi="Arial"/>
          <w:b/>
          <w:w w:val="115"/>
          <w:sz w:val="24"/>
        </w:rPr>
        <w:t>§ </w:t>
      </w:r>
      <w:r>
        <w:rPr>
          <w:w w:val="115"/>
          <w:sz w:val="24"/>
        </w:rPr>
        <w:t>(1) Az OBA könyvvizsgálót bíz</w:t>
      </w:r>
      <w:r>
        <w:rPr>
          <w:spacing w:val="47"/>
          <w:w w:val="115"/>
          <w:sz w:val="24"/>
        </w:rPr>
        <w:t> </w:t>
      </w:r>
      <w:r>
        <w:rPr>
          <w:w w:val="115"/>
          <w:sz w:val="24"/>
        </w:rPr>
        <w:t>meg.</w:t>
      </w:r>
    </w:p>
    <w:p>
      <w:pPr>
        <w:pStyle w:val="ListParagraph"/>
        <w:numPr>
          <w:ilvl w:val="0"/>
          <w:numId w:val="522"/>
        </w:numPr>
        <w:tabs>
          <w:tab w:pos="840" w:val="left" w:leader="none"/>
        </w:tabs>
        <w:spacing w:line="225" w:lineRule="auto" w:before="5" w:after="0"/>
        <w:ind w:left="113" w:right="136" w:firstLine="204"/>
        <w:jc w:val="left"/>
        <w:rPr>
          <w:sz w:val="24"/>
        </w:rPr>
      </w:pPr>
      <w:r>
        <w:rPr>
          <w:w w:val="125"/>
          <w:sz w:val="24"/>
        </w:rPr>
        <w:t>Az OBA könyvvizsgálóját a pénzügyi intézmények könyvvizsgálatára jogosultak közül választja az</w:t>
      </w:r>
      <w:r>
        <w:rPr>
          <w:spacing w:val="3"/>
          <w:w w:val="125"/>
          <w:sz w:val="24"/>
        </w:rPr>
        <w:t> </w:t>
      </w:r>
      <w:r>
        <w:rPr>
          <w:w w:val="125"/>
          <w:sz w:val="24"/>
        </w:rPr>
        <w:t>igazgatótanács.</w:t>
      </w:r>
    </w:p>
    <w:p>
      <w:pPr>
        <w:pStyle w:val="ListParagraph"/>
        <w:numPr>
          <w:ilvl w:val="0"/>
          <w:numId w:val="522"/>
        </w:numPr>
        <w:tabs>
          <w:tab w:pos="825" w:val="left" w:leader="none"/>
        </w:tabs>
        <w:spacing w:line="225" w:lineRule="auto" w:before="1" w:after="0"/>
        <w:ind w:left="113" w:right="123" w:firstLine="204"/>
        <w:jc w:val="both"/>
        <w:rPr>
          <w:sz w:val="24"/>
        </w:rPr>
      </w:pPr>
      <w:r>
        <w:rPr>
          <w:w w:val="125"/>
          <w:sz w:val="24"/>
        </w:rPr>
        <w:t>A könyvvizsgáló természetes személy megbízatása legfeljebb öt évig tarthat, és a megbízatás lejártát követő harmadik év  után  lehet  újabb megbízási szerződést kötni ugyanazon könyvvizsgálóval. A könyvvizsgálói társaság által alkalmazott  (munkavállaló,  vezető  tisztségviselő, munkavégzésre kötelezett tag) könyvvizsgáló legfeljebb öt évig láthat el könyvvizsgálói feladatokat az OBA-nál és a megbízatás lejártát követő harmadik év után láthatja el újra a könyvvizsgálói</w:t>
      </w:r>
      <w:r>
        <w:rPr>
          <w:spacing w:val="16"/>
          <w:w w:val="125"/>
          <w:sz w:val="24"/>
        </w:rPr>
        <w:t> </w:t>
      </w:r>
      <w:r>
        <w:rPr>
          <w:w w:val="125"/>
          <w:sz w:val="24"/>
        </w:rPr>
        <w:t>feladatokat.</w:t>
      </w:r>
    </w:p>
    <w:p>
      <w:pPr>
        <w:pStyle w:val="ListParagraph"/>
        <w:numPr>
          <w:ilvl w:val="0"/>
          <w:numId w:val="522"/>
        </w:numPr>
        <w:tabs>
          <w:tab w:pos="783" w:val="left" w:leader="none"/>
        </w:tabs>
        <w:spacing w:line="225" w:lineRule="auto" w:before="4" w:after="0"/>
        <w:ind w:left="113" w:right="132" w:firstLine="204"/>
        <w:jc w:val="both"/>
        <w:rPr>
          <w:sz w:val="24"/>
        </w:rPr>
      </w:pPr>
      <w:r>
        <w:rPr>
          <w:w w:val="125"/>
          <w:sz w:val="24"/>
        </w:rPr>
        <w:t>A könyvvizsgáló feladata az OBA könyvviteli nyilvántartásának és éves beszámolójának felülvizsgálata, továbbá véleménynyilvánítás az OBA gazdálkodásával, a vagyonkezeléssel és felhasználással kapcsolatos igazgatótanácsi előterjesztések</w:t>
      </w:r>
      <w:r>
        <w:rPr>
          <w:spacing w:val="5"/>
          <w:w w:val="125"/>
          <w:sz w:val="24"/>
        </w:rPr>
        <w:t> </w:t>
      </w:r>
      <w:r>
        <w:rPr>
          <w:w w:val="125"/>
          <w:sz w:val="24"/>
        </w:rPr>
        <w:t>hitelességéről.</w:t>
      </w:r>
    </w:p>
    <w:p>
      <w:pPr>
        <w:pStyle w:val="BodyText"/>
        <w:spacing w:before="229"/>
        <w:ind w:left="3565" w:firstLine="0"/>
      </w:pPr>
      <w:r>
        <w:rPr>
          <w:w w:val="120"/>
        </w:rPr>
        <w:t>91. Az OBA szervezete</w:t>
      </w:r>
    </w:p>
    <w:p>
      <w:pPr>
        <w:pStyle w:val="ListParagraph"/>
        <w:numPr>
          <w:ilvl w:val="1"/>
          <w:numId w:val="508"/>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 Az OBA irányító szerve az</w:t>
      </w:r>
      <w:r>
        <w:rPr>
          <w:spacing w:val="36"/>
          <w:w w:val="120"/>
          <w:sz w:val="24"/>
        </w:rPr>
        <w:t> </w:t>
      </w:r>
      <w:r>
        <w:rPr>
          <w:w w:val="120"/>
          <w:sz w:val="24"/>
        </w:rPr>
        <w:t>igazgatótanács.</w:t>
      </w:r>
    </w:p>
    <w:p>
      <w:pPr>
        <w:pStyle w:val="ListParagraph"/>
        <w:numPr>
          <w:ilvl w:val="0"/>
          <w:numId w:val="523"/>
        </w:numPr>
        <w:tabs>
          <w:tab w:pos="734" w:val="left" w:leader="none"/>
        </w:tabs>
        <w:spacing w:line="260" w:lineRule="exact" w:before="0" w:after="0"/>
        <w:ind w:left="733" w:right="0" w:hanging="416"/>
        <w:jc w:val="left"/>
        <w:rPr>
          <w:sz w:val="24"/>
        </w:rPr>
      </w:pPr>
      <w:r>
        <w:rPr>
          <w:w w:val="120"/>
          <w:sz w:val="24"/>
        </w:rPr>
        <w:t>Az OBA igazgatótanácsának</w:t>
      </w:r>
      <w:r>
        <w:rPr>
          <w:spacing w:val="14"/>
          <w:w w:val="120"/>
          <w:sz w:val="24"/>
        </w:rPr>
        <w:t> </w:t>
      </w:r>
      <w:r>
        <w:rPr>
          <w:w w:val="120"/>
          <w:sz w:val="24"/>
        </w:rPr>
        <w:t>tagjai:</w:t>
      </w:r>
    </w:p>
    <w:p>
      <w:pPr>
        <w:pStyle w:val="ListParagraph"/>
        <w:numPr>
          <w:ilvl w:val="0"/>
          <w:numId w:val="524"/>
        </w:numPr>
        <w:tabs>
          <w:tab w:pos="685" w:val="left" w:leader="none"/>
        </w:tabs>
        <w:spacing w:line="225" w:lineRule="auto" w:before="6" w:after="0"/>
        <w:ind w:left="113" w:right="125" w:firstLine="204"/>
        <w:jc w:val="left"/>
        <w:rPr>
          <w:sz w:val="24"/>
        </w:rPr>
      </w:pPr>
      <w:r>
        <w:rPr>
          <w:w w:val="130"/>
          <w:sz w:val="24"/>
        </w:rPr>
        <w:t>a pénz-, tőke- és biztosítási piac szabályozásáért felelős miniszter által kijelölt</w:t>
      </w:r>
      <w:r>
        <w:rPr>
          <w:spacing w:val="11"/>
          <w:w w:val="130"/>
          <w:sz w:val="24"/>
        </w:rPr>
        <w:t> </w:t>
      </w:r>
      <w:r>
        <w:rPr>
          <w:w w:val="130"/>
          <w:sz w:val="24"/>
        </w:rPr>
        <w:t>személy,</w:t>
      </w:r>
    </w:p>
    <w:p>
      <w:pPr>
        <w:pStyle w:val="BodyText"/>
        <w:spacing w:before="8"/>
        <w:ind w:left="0" w:firstLine="0"/>
        <w:rPr>
          <w:sz w:val="27"/>
        </w:rPr>
      </w:pPr>
      <w:r>
        <w:rPr/>
        <w:pict>
          <v:line style="position:absolute;mso-position-horizontal-relative:page;mso-position-vertical-relative:paragraph;z-index:2168;mso-wrap-distance-left:0;mso-wrap-distance-right:0" from="56.693001pt,18.167114pt" to="538.583001pt,18.167114pt" stroked="true" strokeweight=".5pt" strokecolor="#000000">
            <v:stroke dashstyle="solid"/>
            <w10:wrap type="topAndBottom"/>
          </v:line>
        </w:pict>
      </w:r>
    </w:p>
    <w:p>
      <w:pPr>
        <w:pStyle w:val="ListParagraph"/>
        <w:numPr>
          <w:ilvl w:val="0"/>
          <w:numId w:val="525"/>
        </w:numPr>
        <w:tabs>
          <w:tab w:pos="686" w:val="left" w:leader="none"/>
          <w:tab w:pos="687" w:val="left" w:leader="none"/>
        </w:tabs>
        <w:spacing w:line="203" w:lineRule="exact" w:before="44" w:after="0"/>
        <w:ind w:left="686" w:right="0" w:hanging="344"/>
        <w:jc w:val="left"/>
        <w:rPr>
          <w:i/>
          <w:sz w:val="18"/>
        </w:rPr>
      </w:pPr>
      <w:r>
        <w:rPr>
          <w:i/>
          <w:w w:val="125"/>
          <w:sz w:val="18"/>
        </w:rPr>
        <w:t>Hatályon kívül helyezte: 2016. évi LV. törvény 21. §. Hatálytalan: 2016. VI.</w:t>
      </w:r>
      <w:r>
        <w:rPr>
          <w:i/>
          <w:spacing w:val="-17"/>
          <w:w w:val="125"/>
          <w:sz w:val="18"/>
        </w:rPr>
        <w:t> </w:t>
      </w:r>
      <w:r>
        <w:rPr>
          <w:i/>
          <w:w w:val="125"/>
          <w:sz w:val="18"/>
        </w:rPr>
        <w:t>9-től.</w:t>
      </w:r>
    </w:p>
    <w:p>
      <w:pPr>
        <w:pStyle w:val="ListParagraph"/>
        <w:numPr>
          <w:ilvl w:val="0"/>
          <w:numId w:val="525"/>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0"/>
          <w:w w:val="120"/>
          <w:sz w:val="18"/>
        </w:rPr>
        <w:t> </w:t>
      </w:r>
      <w:r>
        <w:rPr>
          <w:i/>
          <w:w w:val="120"/>
          <w:sz w:val="18"/>
        </w:rPr>
        <w:t>kívül</w:t>
      </w:r>
      <w:r>
        <w:rPr>
          <w:i/>
          <w:spacing w:val="9"/>
          <w:w w:val="120"/>
          <w:sz w:val="18"/>
        </w:rPr>
        <w:t> </w:t>
      </w:r>
      <w:r>
        <w:rPr>
          <w:i/>
          <w:w w:val="120"/>
          <w:sz w:val="18"/>
        </w:rPr>
        <w:t>helyezte:</w:t>
      </w:r>
      <w:r>
        <w:rPr>
          <w:i/>
          <w:spacing w:val="10"/>
          <w:w w:val="120"/>
          <w:sz w:val="18"/>
        </w:rPr>
        <w:t> </w:t>
      </w:r>
      <w:r>
        <w:rPr>
          <w:i/>
          <w:w w:val="120"/>
          <w:sz w:val="18"/>
        </w:rPr>
        <w:t>2014.</w:t>
      </w:r>
      <w:r>
        <w:rPr>
          <w:i/>
          <w:spacing w:val="9"/>
          <w:w w:val="120"/>
          <w:sz w:val="18"/>
        </w:rPr>
        <w:t> </w:t>
      </w:r>
      <w:r>
        <w:rPr>
          <w:i/>
          <w:w w:val="120"/>
          <w:sz w:val="18"/>
        </w:rPr>
        <w:t>évi</w:t>
      </w:r>
      <w:r>
        <w:rPr>
          <w:i/>
          <w:spacing w:val="9"/>
          <w:w w:val="120"/>
          <w:sz w:val="18"/>
        </w:rPr>
        <w:t> </w:t>
      </w:r>
      <w:r>
        <w:rPr>
          <w:i/>
          <w:w w:val="120"/>
          <w:sz w:val="18"/>
        </w:rPr>
        <w:t>XXXVII.</w:t>
      </w:r>
      <w:r>
        <w:rPr>
          <w:i/>
          <w:spacing w:val="9"/>
          <w:w w:val="120"/>
          <w:sz w:val="18"/>
        </w:rPr>
        <w:t> </w:t>
      </w:r>
      <w:r>
        <w:rPr>
          <w:i/>
          <w:w w:val="120"/>
          <w:sz w:val="18"/>
        </w:rPr>
        <w:t>törvény</w:t>
      </w:r>
      <w:r>
        <w:rPr>
          <w:i/>
          <w:spacing w:val="9"/>
          <w:w w:val="120"/>
          <w:sz w:val="18"/>
        </w:rPr>
        <w:t> </w:t>
      </w:r>
      <w:r>
        <w:rPr>
          <w:i/>
          <w:w w:val="120"/>
          <w:sz w:val="18"/>
        </w:rPr>
        <w:t>161.</w:t>
      </w:r>
      <w:r>
        <w:rPr>
          <w:i/>
          <w:spacing w:val="9"/>
          <w:w w:val="120"/>
          <w:sz w:val="18"/>
        </w:rPr>
        <w:t> </w:t>
      </w:r>
      <w:r>
        <w:rPr>
          <w:i/>
          <w:w w:val="120"/>
          <w:sz w:val="18"/>
        </w:rPr>
        <w:t>§</w:t>
      </w:r>
      <w:r>
        <w:rPr>
          <w:i/>
          <w:spacing w:val="10"/>
          <w:w w:val="120"/>
          <w:sz w:val="18"/>
        </w:rPr>
        <w:t> </w:t>
      </w:r>
      <w:r>
        <w:rPr>
          <w:i/>
          <w:w w:val="120"/>
          <w:sz w:val="18"/>
        </w:rPr>
        <w:t>(25).</w:t>
      </w:r>
      <w:r>
        <w:rPr>
          <w:i/>
          <w:spacing w:val="11"/>
          <w:w w:val="120"/>
          <w:sz w:val="18"/>
        </w:rPr>
        <w:t> </w:t>
      </w:r>
      <w:r>
        <w:rPr>
          <w:i/>
          <w:w w:val="120"/>
          <w:sz w:val="18"/>
        </w:rPr>
        <w:t>Hatálytalan:</w:t>
      </w:r>
      <w:r>
        <w:rPr>
          <w:i/>
          <w:spacing w:val="10"/>
          <w:w w:val="120"/>
          <w:sz w:val="18"/>
        </w:rPr>
        <w:t> </w:t>
      </w:r>
      <w:r>
        <w:rPr>
          <w:i/>
          <w:w w:val="120"/>
          <w:sz w:val="18"/>
        </w:rPr>
        <w:t>2014.</w:t>
      </w:r>
      <w:r>
        <w:rPr>
          <w:i/>
          <w:spacing w:val="9"/>
          <w:w w:val="120"/>
          <w:sz w:val="18"/>
        </w:rPr>
        <w:t> </w:t>
      </w:r>
      <w:r>
        <w:rPr>
          <w:i/>
          <w:w w:val="120"/>
          <w:sz w:val="18"/>
        </w:rPr>
        <w:t>VII.</w:t>
      </w:r>
      <w:r>
        <w:rPr>
          <w:i/>
          <w:spacing w:val="10"/>
          <w:w w:val="120"/>
          <w:sz w:val="18"/>
        </w:rPr>
        <w:t> </w:t>
      </w:r>
      <w:r>
        <w:rPr>
          <w:i/>
          <w:w w:val="120"/>
          <w:sz w:val="18"/>
        </w:rPr>
        <w:t>21-től.</w:t>
      </w:r>
    </w:p>
    <w:p>
      <w:pPr>
        <w:pStyle w:val="ListParagraph"/>
        <w:numPr>
          <w:ilvl w:val="0"/>
          <w:numId w:val="525"/>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LXXXV. törvény 223. §. Hatályos: 2015. VII.</w:t>
      </w:r>
      <w:r>
        <w:rPr>
          <w:i/>
          <w:spacing w:val="-23"/>
          <w:w w:val="125"/>
          <w:sz w:val="18"/>
        </w:rPr>
        <w:t> </w:t>
      </w:r>
      <w:r>
        <w:rPr>
          <w:i/>
          <w:w w:val="125"/>
          <w:sz w:val="18"/>
        </w:rPr>
        <w:t>7-től.</w:t>
      </w:r>
    </w:p>
    <w:p>
      <w:pPr>
        <w:pStyle w:val="ListParagraph"/>
        <w:numPr>
          <w:ilvl w:val="0"/>
          <w:numId w:val="525"/>
        </w:numPr>
        <w:tabs>
          <w:tab w:pos="686" w:val="left" w:leader="none"/>
          <w:tab w:pos="687" w:val="left" w:leader="none"/>
        </w:tabs>
        <w:spacing w:line="203" w:lineRule="exact" w:before="0" w:after="0"/>
        <w:ind w:left="686" w:right="0" w:hanging="344"/>
        <w:jc w:val="left"/>
        <w:rPr>
          <w:i/>
          <w:sz w:val="18"/>
        </w:rPr>
      </w:pPr>
      <w:r>
        <w:rPr>
          <w:i/>
          <w:w w:val="125"/>
          <w:sz w:val="18"/>
        </w:rPr>
        <w:t>Beiktatta: 2015. évi CCXV. törvény 141. §. Hatályos: 2016. 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524"/>
        </w:numPr>
        <w:tabs>
          <w:tab w:pos="567" w:val="left" w:leader="none"/>
        </w:tabs>
        <w:spacing w:line="268" w:lineRule="exact" w:before="159" w:after="0"/>
        <w:ind w:left="566" w:right="0" w:hanging="249"/>
        <w:jc w:val="left"/>
        <w:rPr>
          <w:sz w:val="24"/>
        </w:rPr>
      </w:pPr>
      <w:r>
        <w:rPr>
          <w:i/>
          <w:w w:val="125"/>
          <w:position w:val="3"/>
          <w:sz w:val="18"/>
        </w:rPr>
        <w:t>1 </w:t>
      </w:r>
      <w:r>
        <w:rPr>
          <w:w w:val="125"/>
          <w:sz w:val="24"/>
        </w:rPr>
        <w:t>az MNB elnöke által kijelölt két személy, akik közül az egyik az MNB</w:t>
      </w:r>
      <w:r>
        <w:rPr>
          <w:spacing w:val="45"/>
          <w:w w:val="125"/>
          <w:sz w:val="24"/>
        </w:rPr>
        <w:t> </w:t>
      </w:r>
      <w:r>
        <w:rPr>
          <w:w w:val="125"/>
          <w:sz w:val="24"/>
        </w:rPr>
        <w:t>tv.</w:t>
      </w:r>
    </w:p>
    <w:p>
      <w:pPr>
        <w:pStyle w:val="ListParagraph"/>
        <w:numPr>
          <w:ilvl w:val="0"/>
          <w:numId w:val="526"/>
        </w:numPr>
        <w:tabs>
          <w:tab w:pos="565" w:val="left" w:leader="none"/>
          <w:tab w:pos="566" w:val="left" w:leader="none"/>
          <w:tab w:pos="909" w:val="left" w:leader="none"/>
          <w:tab w:pos="1472" w:val="left" w:leader="none"/>
          <w:tab w:pos="3491" w:val="left" w:leader="none"/>
          <w:tab w:pos="3857" w:val="left" w:leader="none"/>
          <w:tab w:pos="4796" w:val="left" w:leader="none"/>
          <w:tab w:pos="5289" w:val="left" w:leader="none"/>
          <w:tab w:pos="6143" w:val="left" w:leader="none"/>
          <w:tab w:pos="6673" w:val="left" w:leader="none"/>
          <w:tab w:pos="7125" w:val="left" w:leader="none"/>
          <w:tab w:pos="7468" w:val="left" w:leader="none"/>
          <w:tab w:pos="8031" w:val="left" w:leader="none"/>
        </w:tabs>
        <w:spacing w:line="225" w:lineRule="auto" w:before="6" w:after="0"/>
        <w:ind w:left="113" w:right="125" w:firstLine="0"/>
        <w:jc w:val="left"/>
        <w:rPr>
          <w:sz w:val="24"/>
        </w:rPr>
      </w:pPr>
      <w:r>
        <w:rPr>
          <w:w w:val="125"/>
          <w:sz w:val="24"/>
        </w:rPr>
        <w:t>§</w:t>
        <w:tab/>
        <w:t>(8)</w:t>
        <w:tab/>
        <w:t>bekezdésében,</w:t>
        <w:tab/>
        <w:t>a</w:t>
        <w:tab/>
        <w:t>másik</w:t>
        <w:tab/>
        <w:t>az</w:t>
        <w:tab/>
        <w:t>MNB</w:t>
        <w:tab/>
        <w:t>tv.</w:t>
        <w:tab/>
        <w:t>4.</w:t>
        <w:tab/>
        <w:t>§</w:t>
        <w:tab/>
        <w:t>(9)</w:t>
        <w:tab/>
      </w:r>
      <w:r>
        <w:rPr>
          <w:spacing w:val="-1"/>
          <w:w w:val="125"/>
          <w:sz w:val="24"/>
        </w:rPr>
        <w:t>bekezdésében </w:t>
      </w:r>
      <w:r>
        <w:rPr>
          <w:w w:val="125"/>
          <w:sz w:val="24"/>
        </w:rPr>
        <w:t>meghatározott feladatot felügyelő alelnök vagy e feladatot ellátó</w:t>
      </w:r>
      <w:r>
        <w:rPr>
          <w:spacing w:val="33"/>
          <w:w w:val="125"/>
          <w:sz w:val="24"/>
        </w:rPr>
        <w:t> </w:t>
      </w:r>
      <w:r>
        <w:rPr>
          <w:w w:val="125"/>
          <w:sz w:val="24"/>
        </w:rPr>
        <w:t>vezető,</w:t>
      </w:r>
    </w:p>
    <w:p>
      <w:pPr>
        <w:pStyle w:val="ListParagraph"/>
        <w:numPr>
          <w:ilvl w:val="0"/>
          <w:numId w:val="524"/>
        </w:numPr>
        <w:tabs>
          <w:tab w:pos="623" w:val="left" w:leader="none"/>
        </w:tabs>
        <w:spacing w:line="256" w:lineRule="exact" w:before="0" w:after="0"/>
        <w:ind w:left="622" w:right="0" w:hanging="305"/>
        <w:jc w:val="left"/>
        <w:rPr>
          <w:sz w:val="24"/>
        </w:rPr>
      </w:pPr>
      <w:r>
        <w:rPr>
          <w:w w:val="125"/>
          <w:sz w:val="24"/>
        </w:rPr>
        <w:t>a hitelintézetek érdek-képviseleti szervezetei által kijelölt két</w:t>
      </w:r>
      <w:r>
        <w:rPr>
          <w:spacing w:val="33"/>
          <w:w w:val="125"/>
          <w:sz w:val="24"/>
        </w:rPr>
        <w:t> </w:t>
      </w:r>
      <w:r>
        <w:rPr>
          <w:w w:val="125"/>
          <w:sz w:val="24"/>
        </w:rPr>
        <w:t>személy,</w:t>
      </w:r>
    </w:p>
    <w:p>
      <w:pPr>
        <w:pStyle w:val="ListParagraph"/>
        <w:numPr>
          <w:ilvl w:val="0"/>
          <w:numId w:val="524"/>
        </w:numPr>
        <w:tabs>
          <w:tab w:pos="750" w:val="left" w:leader="none"/>
        </w:tabs>
        <w:spacing w:line="225" w:lineRule="auto" w:before="5" w:after="0"/>
        <w:ind w:left="113" w:right="121" w:firstLine="204"/>
        <w:jc w:val="left"/>
        <w:rPr>
          <w:sz w:val="24"/>
        </w:rPr>
      </w:pPr>
      <w:r>
        <w:rPr>
          <w:w w:val="130"/>
          <w:sz w:val="24"/>
        </w:rPr>
        <w:t>a Szövetkezeti Hitelintézetek Integrációs Szervezetének igazgatósági elnöke által kijelölt személy,</w:t>
      </w:r>
      <w:r>
        <w:rPr>
          <w:spacing w:val="-21"/>
          <w:w w:val="130"/>
          <w:sz w:val="24"/>
        </w:rPr>
        <w:t> </w:t>
      </w:r>
      <w:r>
        <w:rPr>
          <w:w w:val="130"/>
          <w:sz w:val="24"/>
        </w:rPr>
        <w:t>továbbá</w:t>
      </w:r>
    </w:p>
    <w:p>
      <w:pPr>
        <w:pStyle w:val="ListParagraph"/>
        <w:numPr>
          <w:ilvl w:val="0"/>
          <w:numId w:val="524"/>
        </w:numPr>
        <w:tabs>
          <w:tab w:pos="629" w:val="left" w:leader="none"/>
        </w:tabs>
        <w:spacing w:line="256" w:lineRule="exact" w:before="0" w:after="0"/>
        <w:ind w:left="628" w:right="0" w:hanging="311"/>
        <w:jc w:val="left"/>
        <w:rPr>
          <w:sz w:val="24"/>
        </w:rPr>
      </w:pPr>
      <w:r>
        <w:rPr>
          <w:w w:val="120"/>
          <w:sz w:val="24"/>
        </w:rPr>
        <w:t>az OBA</w:t>
      </w:r>
      <w:r>
        <w:rPr>
          <w:spacing w:val="5"/>
          <w:w w:val="120"/>
          <w:sz w:val="24"/>
        </w:rPr>
        <w:t> </w:t>
      </w:r>
      <w:r>
        <w:rPr>
          <w:w w:val="120"/>
          <w:sz w:val="24"/>
        </w:rPr>
        <w:t>ügyvezetője.</w:t>
      </w:r>
    </w:p>
    <w:p>
      <w:pPr>
        <w:pStyle w:val="ListParagraph"/>
        <w:numPr>
          <w:ilvl w:val="0"/>
          <w:numId w:val="523"/>
        </w:numPr>
        <w:tabs>
          <w:tab w:pos="837" w:val="left" w:leader="none"/>
        </w:tabs>
        <w:spacing w:line="225" w:lineRule="auto" w:before="6" w:after="0"/>
        <w:ind w:left="113" w:right="130" w:firstLine="204"/>
        <w:jc w:val="both"/>
        <w:rPr>
          <w:sz w:val="24"/>
        </w:rPr>
      </w:pPr>
      <w:r>
        <w:rPr>
          <w:w w:val="125"/>
          <w:sz w:val="24"/>
        </w:rPr>
        <w:t>Az igazgatótanácsi tag - az igazgatótanács jóváhagyásával - írásban állandó helyettest nevezhet ki, aki a tag távollétében teljes döntési joggal vesz részt az igazgatótanács</w:t>
      </w:r>
      <w:r>
        <w:rPr>
          <w:spacing w:val="4"/>
          <w:w w:val="125"/>
          <w:sz w:val="24"/>
        </w:rPr>
        <w:t> </w:t>
      </w:r>
      <w:r>
        <w:rPr>
          <w:w w:val="125"/>
          <w:sz w:val="24"/>
        </w:rPr>
        <w:t>ülésein.</w:t>
      </w:r>
    </w:p>
    <w:p>
      <w:pPr>
        <w:pStyle w:val="ListParagraph"/>
        <w:numPr>
          <w:ilvl w:val="0"/>
          <w:numId w:val="523"/>
        </w:numPr>
        <w:tabs>
          <w:tab w:pos="787" w:val="left" w:leader="none"/>
        </w:tabs>
        <w:spacing w:line="225" w:lineRule="auto" w:before="1" w:after="0"/>
        <w:ind w:left="113" w:right="122" w:firstLine="204"/>
        <w:jc w:val="both"/>
        <w:rPr>
          <w:sz w:val="24"/>
        </w:rPr>
      </w:pPr>
      <w:r>
        <w:rPr>
          <w:w w:val="125"/>
          <w:sz w:val="24"/>
        </w:rPr>
        <w:t>Az igazgatótanács ülése akkor határozatképes, ha tagjainak  több  mint fele jelen van. Az igazgatótanács a határozatait egyszerű szótöbbséggel hozza. Szavazategyenlőség esetén az elnök szavazata</w:t>
      </w:r>
      <w:r>
        <w:rPr>
          <w:spacing w:val="11"/>
          <w:w w:val="125"/>
          <w:sz w:val="24"/>
        </w:rPr>
        <w:t> </w:t>
      </w:r>
      <w:r>
        <w:rPr>
          <w:w w:val="125"/>
          <w:sz w:val="24"/>
        </w:rPr>
        <w:t>dönt.</w:t>
      </w:r>
    </w:p>
    <w:p>
      <w:pPr>
        <w:pStyle w:val="ListParagraph"/>
        <w:numPr>
          <w:ilvl w:val="0"/>
          <w:numId w:val="523"/>
        </w:numPr>
        <w:tabs>
          <w:tab w:pos="803" w:val="left" w:leader="none"/>
        </w:tabs>
        <w:spacing w:line="225" w:lineRule="auto" w:before="2" w:after="0"/>
        <w:ind w:left="113" w:right="138" w:firstLine="204"/>
        <w:jc w:val="left"/>
        <w:rPr>
          <w:sz w:val="24"/>
        </w:rPr>
      </w:pPr>
      <w:r>
        <w:rPr>
          <w:w w:val="125"/>
          <w:sz w:val="24"/>
        </w:rPr>
        <w:t>Az igazgatótanács tagjai közül évenként elnököt és alelnököt választ. Nem választható elnökké és alelnökké az</w:t>
      </w:r>
      <w:r>
        <w:rPr>
          <w:spacing w:val="3"/>
          <w:w w:val="125"/>
          <w:sz w:val="24"/>
        </w:rPr>
        <w:t> </w:t>
      </w:r>
      <w:r>
        <w:rPr>
          <w:w w:val="125"/>
          <w:sz w:val="24"/>
        </w:rPr>
        <w:t>ügyvezető.</w:t>
      </w:r>
    </w:p>
    <w:p>
      <w:pPr>
        <w:pStyle w:val="ListParagraph"/>
        <w:numPr>
          <w:ilvl w:val="0"/>
          <w:numId w:val="523"/>
        </w:numPr>
        <w:tabs>
          <w:tab w:pos="659" w:val="left" w:leader="none"/>
          <w:tab w:pos="996" w:val="left" w:leader="none"/>
          <w:tab w:pos="1519" w:val="left" w:leader="none"/>
          <w:tab w:pos="3570" w:val="left" w:leader="none"/>
          <w:tab w:pos="4664" w:val="left" w:leader="none"/>
          <w:tab w:pos="5167" w:val="left" w:leader="none"/>
          <w:tab w:pos="5926" w:val="left" w:leader="none"/>
          <w:tab w:pos="7381" w:val="left" w:leader="none"/>
        </w:tabs>
        <w:spacing w:line="249" w:lineRule="exact" w:before="0" w:after="0"/>
        <w:ind w:left="658" w:right="0" w:hanging="341"/>
        <w:jc w:val="left"/>
        <w:rPr>
          <w:sz w:val="24"/>
        </w:rPr>
      </w:pPr>
      <w:r>
        <w:rPr>
          <w:i/>
          <w:w w:val="125"/>
          <w:position w:val="3"/>
          <w:sz w:val="18"/>
        </w:rPr>
        <w:t>2</w:t>
        <w:tab/>
      </w:r>
      <w:r>
        <w:rPr>
          <w:w w:val="125"/>
          <w:sz w:val="24"/>
        </w:rPr>
        <w:t>Az</w:t>
        <w:tab/>
        <w:t>igazgatótanács</w:t>
        <w:tab/>
        <w:t>ülésein</w:t>
        <w:tab/>
        <w:t>az</w:t>
        <w:tab/>
        <w:t>OBA</w:t>
        <w:tab/>
        <w:t>ügyvezető</w:t>
        <w:tab/>
        <w:t>igazgató-helyettese</w:t>
      </w:r>
    </w:p>
    <w:p>
      <w:pPr>
        <w:pStyle w:val="BodyText"/>
        <w:spacing w:line="275" w:lineRule="exact"/>
        <w:ind w:firstLine="0"/>
      </w:pPr>
      <w:r>
        <w:rPr>
          <w:w w:val="130"/>
        </w:rPr>
        <w:t>tanácskozási joggal vehet részt.</w:t>
      </w:r>
    </w:p>
    <w:p>
      <w:pPr>
        <w:pStyle w:val="BodyText"/>
        <w:spacing w:before="224"/>
        <w:ind w:left="2465" w:firstLine="0"/>
      </w:pPr>
      <w:r>
        <w:rPr>
          <w:w w:val="120"/>
        </w:rPr>
        <w:t>92. Az OBA igazgatótanácsának feladata</w:t>
      </w:r>
    </w:p>
    <w:p>
      <w:pPr>
        <w:pStyle w:val="ListParagraph"/>
        <w:numPr>
          <w:ilvl w:val="1"/>
          <w:numId w:val="526"/>
        </w:numPr>
        <w:tabs>
          <w:tab w:pos="985" w:val="left" w:leader="none"/>
        </w:tabs>
        <w:spacing w:line="262" w:lineRule="exact" w:before="223" w:after="0"/>
        <w:ind w:left="984" w:right="0" w:hanging="667"/>
        <w:jc w:val="left"/>
        <w:rPr>
          <w:sz w:val="24"/>
        </w:rPr>
      </w:pPr>
      <w:r>
        <w:rPr>
          <w:rFonts w:ascii="Arial" w:hAnsi="Arial"/>
          <w:b/>
          <w:w w:val="115"/>
          <w:sz w:val="24"/>
        </w:rPr>
        <w:t>§ </w:t>
      </w:r>
      <w:r>
        <w:rPr>
          <w:w w:val="115"/>
          <w:sz w:val="24"/>
        </w:rPr>
        <w:t>(1) Az</w:t>
      </w:r>
      <w:r>
        <w:rPr>
          <w:spacing w:val="25"/>
          <w:w w:val="115"/>
          <w:sz w:val="24"/>
        </w:rPr>
        <w:t> </w:t>
      </w:r>
      <w:r>
        <w:rPr>
          <w:w w:val="115"/>
          <w:sz w:val="24"/>
        </w:rPr>
        <w:t>igazgatótanács</w:t>
      </w:r>
    </w:p>
    <w:p>
      <w:pPr>
        <w:pStyle w:val="ListParagraph"/>
        <w:numPr>
          <w:ilvl w:val="0"/>
          <w:numId w:val="527"/>
        </w:numPr>
        <w:tabs>
          <w:tab w:pos="556" w:val="left" w:leader="none"/>
        </w:tabs>
        <w:spacing w:line="260" w:lineRule="exact" w:before="0" w:after="0"/>
        <w:ind w:left="555" w:right="0" w:hanging="238"/>
        <w:jc w:val="left"/>
        <w:rPr>
          <w:sz w:val="24"/>
        </w:rPr>
      </w:pPr>
      <w:r>
        <w:rPr>
          <w:i/>
          <w:w w:val="125"/>
          <w:position w:val="3"/>
          <w:sz w:val="18"/>
        </w:rPr>
        <w:t>3 </w:t>
      </w:r>
      <w:r>
        <w:rPr>
          <w:w w:val="125"/>
          <w:sz w:val="24"/>
        </w:rPr>
        <w:t>irányítja</w:t>
      </w:r>
      <w:r>
        <w:rPr>
          <w:spacing w:val="36"/>
          <w:w w:val="125"/>
          <w:sz w:val="24"/>
        </w:rPr>
        <w:t> </w:t>
      </w:r>
      <w:r>
        <w:rPr>
          <w:w w:val="125"/>
          <w:sz w:val="24"/>
        </w:rPr>
        <w:t>és</w:t>
      </w:r>
      <w:r>
        <w:rPr>
          <w:spacing w:val="37"/>
          <w:w w:val="125"/>
          <w:sz w:val="24"/>
        </w:rPr>
        <w:t> </w:t>
      </w:r>
      <w:r>
        <w:rPr>
          <w:w w:val="125"/>
          <w:sz w:val="24"/>
        </w:rPr>
        <w:t>ellenőrzi</w:t>
      </w:r>
      <w:r>
        <w:rPr>
          <w:spacing w:val="37"/>
          <w:w w:val="125"/>
          <w:sz w:val="24"/>
        </w:rPr>
        <w:t> </w:t>
      </w:r>
      <w:r>
        <w:rPr>
          <w:w w:val="125"/>
          <w:sz w:val="24"/>
        </w:rPr>
        <w:t>az</w:t>
      </w:r>
      <w:r>
        <w:rPr>
          <w:spacing w:val="37"/>
          <w:w w:val="125"/>
          <w:sz w:val="24"/>
        </w:rPr>
        <w:t> </w:t>
      </w:r>
      <w:r>
        <w:rPr>
          <w:w w:val="125"/>
          <w:sz w:val="24"/>
        </w:rPr>
        <w:t>OBA</w:t>
      </w:r>
      <w:r>
        <w:rPr>
          <w:spacing w:val="37"/>
          <w:w w:val="125"/>
          <w:sz w:val="24"/>
        </w:rPr>
        <w:t> </w:t>
      </w:r>
      <w:r>
        <w:rPr>
          <w:w w:val="125"/>
          <w:sz w:val="24"/>
        </w:rPr>
        <w:t>gazdálkodási</w:t>
      </w:r>
      <w:r>
        <w:rPr>
          <w:spacing w:val="38"/>
          <w:w w:val="125"/>
          <w:sz w:val="24"/>
        </w:rPr>
        <w:t> </w:t>
      </w:r>
      <w:r>
        <w:rPr>
          <w:w w:val="125"/>
          <w:sz w:val="24"/>
        </w:rPr>
        <w:t>és</w:t>
      </w:r>
      <w:r>
        <w:rPr>
          <w:spacing w:val="37"/>
          <w:w w:val="125"/>
          <w:sz w:val="24"/>
        </w:rPr>
        <w:t> </w:t>
      </w:r>
      <w:r>
        <w:rPr>
          <w:w w:val="125"/>
          <w:sz w:val="24"/>
        </w:rPr>
        <w:t>egyéb</w:t>
      </w:r>
      <w:r>
        <w:rPr>
          <w:spacing w:val="36"/>
          <w:w w:val="125"/>
          <w:sz w:val="24"/>
        </w:rPr>
        <w:t> </w:t>
      </w:r>
      <w:r>
        <w:rPr>
          <w:w w:val="125"/>
          <w:sz w:val="24"/>
        </w:rPr>
        <w:t>-</w:t>
      </w:r>
      <w:r>
        <w:rPr>
          <w:spacing w:val="37"/>
          <w:w w:val="125"/>
          <w:sz w:val="24"/>
        </w:rPr>
        <w:t> </w:t>
      </w:r>
      <w:r>
        <w:rPr>
          <w:w w:val="125"/>
          <w:sz w:val="24"/>
        </w:rPr>
        <w:t>ide</w:t>
      </w:r>
      <w:r>
        <w:rPr>
          <w:spacing w:val="37"/>
          <w:w w:val="125"/>
          <w:sz w:val="24"/>
        </w:rPr>
        <w:t> </w:t>
      </w:r>
      <w:r>
        <w:rPr>
          <w:w w:val="125"/>
          <w:sz w:val="24"/>
        </w:rPr>
        <w:t>nem</w:t>
      </w:r>
      <w:r>
        <w:rPr>
          <w:spacing w:val="37"/>
          <w:w w:val="125"/>
          <w:sz w:val="24"/>
        </w:rPr>
        <w:t> </w:t>
      </w:r>
      <w:r>
        <w:rPr>
          <w:w w:val="125"/>
          <w:sz w:val="24"/>
        </w:rPr>
        <w:t>értve</w:t>
      </w:r>
      <w:r>
        <w:rPr>
          <w:spacing w:val="37"/>
          <w:w w:val="125"/>
          <w:sz w:val="24"/>
        </w:rPr>
        <w:t> </w:t>
      </w:r>
      <w:r>
        <w:rPr>
          <w:w w:val="125"/>
          <w:sz w:val="24"/>
        </w:rPr>
        <w:t>az</w:t>
      </w:r>
    </w:p>
    <w:p>
      <w:pPr>
        <w:pStyle w:val="BodyText"/>
        <w:spacing w:line="225" w:lineRule="auto" w:before="12"/>
        <w:ind w:right="129" w:firstLine="0"/>
        <w:jc w:val="both"/>
      </w:pPr>
      <w:r>
        <w:rPr>
          <w:w w:val="125"/>
        </w:rPr>
        <w:t>ügyvezető igazgató-helyettes által irányított, illetve az OBA munkaszervezete által jogszabály alapján más jogi személy részére végzett - tevékenységét a jogszabályokban foglalt rendelkezések figyelembevételével,</w:t>
      </w:r>
    </w:p>
    <w:p>
      <w:pPr>
        <w:pStyle w:val="ListParagraph"/>
        <w:numPr>
          <w:ilvl w:val="0"/>
          <w:numId w:val="527"/>
        </w:numPr>
        <w:tabs>
          <w:tab w:pos="653" w:val="left" w:leader="none"/>
        </w:tabs>
        <w:spacing w:line="250" w:lineRule="exact" w:before="0" w:after="0"/>
        <w:ind w:left="652" w:right="0" w:hanging="335"/>
        <w:jc w:val="left"/>
        <w:rPr>
          <w:sz w:val="24"/>
        </w:rPr>
      </w:pPr>
      <w:r>
        <w:rPr>
          <w:w w:val="125"/>
          <w:sz w:val="24"/>
        </w:rPr>
        <w:t>elfogadja az OBA</w:t>
      </w:r>
      <w:r>
        <w:rPr>
          <w:spacing w:val="-14"/>
          <w:w w:val="125"/>
          <w:sz w:val="24"/>
        </w:rPr>
        <w:t> </w:t>
      </w:r>
      <w:r>
        <w:rPr>
          <w:w w:val="125"/>
          <w:sz w:val="24"/>
        </w:rPr>
        <w:t>szabályzatait,</w:t>
      </w:r>
    </w:p>
    <w:p>
      <w:pPr>
        <w:pStyle w:val="ListParagraph"/>
        <w:numPr>
          <w:ilvl w:val="0"/>
          <w:numId w:val="527"/>
        </w:numPr>
        <w:tabs>
          <w:tab w:pos="547" w:val="left" w:leader="none"/>
          <w:tab w:pos="907" w:val="left" w:leader="none"/>
          <w:tab w:pos="2869" w:val="left" w:leader="none"/>
          <w:tab w:pos="3386" w:val="left" w:leader="none"/>
          <w:tab w:pos="4178" w:val="left" w:leader="none"/>
          <w:tab w:pos="6391" w:val="left" w:leader="none"/>
          <w:tab w:pos="8517" w:val="left" w:leader="none"/>
        </w:tabs>
        <w:spacing w:line="260" w:lineRule="exact" w:before="0" w:after="0"/>
        <w:ind w:left="546" w:right="0" w:hanging="229"/>
        <w:jc w:val="left"/>
        <w:rPr>
          <w:sz w:val="24"/>
        </w:rPr>
      </w:pPr>
      <w:r>
        <w:rPr>
          <w:i/>
          <w:w w:val="125"/>
          <w:position w:val="3"/>
          <w:sz w:val="18"/>
        </w:rPr>
        <w:t>4</w:t>
        <w:tab/>
      </w:r>
      <w:r>
        <w:rPr>
          <w:w w:val="125"/>
          <w:sz w:val="24"/>
        </w:rPr>
        <w:t>meghatározza</w:t>
        <w:tab/>
        <w:t>az</w:t>
        <w:tab/>
        <w:t>OBA</w:t>
        <w:tab/>
        <w:t>ügyvezetőjének,</w:t>
        <w:tab/>
        <w:t>megbízottainak</w:t>
        <w:tab/>
        <w:t>feladatait,</w:t>
      </w:r>
    </w:p>
    <w:p>
      <w:pPr>
        <w:pStyle w:val="BodyText"/>
        <w:spacing w:line="267" w:lineRule="exact"/>
        <w:ind w:firstLine="0"/>
      </w:pPr>
      <w:r>
        <w:rPr>
          <w:w w:val="125"/>
        </w:rPr>
        <w:t>megállapítja díjazásukat,</w:t>
      </w:r>
    </w:p>
    <w:p>
      <w:pPr>
        <w:pStyle w:val="ListParagraph"/>
        <w:numPr>
          <w:ilvl w:val="0"/>
          <w:numId w:val="527"/>
        </w:numPr>
        <w:tabs>
          <w:tab w:pos="726" w:val="left" w:leader="none"/>
        </w:tabs>
        <w:spacing w:line="225" w:lineRule="auto" w:before="5" w:after="0"/>
        <w:ind w:left="113" w:right="134" w:firstLine="204"/>
        <w:jc w:val="both"/>
        <w:rPr>
          <w:sz w:val="24"/>
        </w:rPr>
      </w:pPr>
      <w:r>
        <w:rPr>
          <w:w w:val="130"/>
          <w:sz w:val="24"/>
        </w:rPr>
        <w:t>dönt az egyes feladatokra esetileg létrehozott különleges bizottságok összetételéről,</w:t>
      </w:r>
    </w:p>
    <w:p>
      <w:pPr>
        <w:pStyle w:val="ListParagraph"/>
        <w:numPr>
          <w:ilvl w:val="0"/>
          <w:numId w:val="527"/>
        </w:numPr>
        <w:tabs>
          <w:tab w:pos="629" w:val="left" w:leader="none"/>
        </w:tabs>
        <w:spacing w:line="256" w:lineRule="exact" w:before="0" w:after="0"/>
        <w:ind w:left="628" w:right="0" w:hanging="311"/>
        <w:jc w:val="left"/>
        <w:rPr>
          <w:sz w:val="24"/>
        </w:rPr>
      </w:pPr>
      <w:r>
        <w:rPr>
          <w:w w:val="130"/>
          <w:sz w:val="24"/>
        </w:rPr>
        <w:t>meghatározza</w:t>
      </w:r>
      <w:r>
        <w:rPr>
          <w:spacing w:val="-11"/>
          <w:w w:val="130"/>
          <w:sz w:val="24"/>
        </w:rPr>
        <w:t> </w:t>
      </w:r>
      <w:r>
        <w:rPr>
          <w:w w:val="130"/>
          <w:sz w:val="24"/>
        </w:rPr>
        <w:t>az</w:t>
      </w:r>
      <w:r>
        <w:rPr>
          <w:spacing w:val="-26"/>
          <w:w w:val="130"/>
          <w:sz w:val="24"/>
        </w:rPr>
        <w:t> </w:t>
      </w:r>
      <w:r>
        <w:rPr>
          <w:w w:val="130"/>
          <w:sz w:val="24"/>
        </w:rPr>
        <w:t>igazgatótanács</w:t>
      </w:r>
      <w:r>
        <w:rPr>
          <w:spacing w:val="-19"/>
          <w:w w:val="130"/>
          <w:sz w:val="24"/>
        </w:rPr>
        <w:t> </w:t>
      </w:r>
      <w:r>
        <w:rPr>
          <w:w w:val="130"/>
          <w:sz w:val="24"/>
        </w:rPr>
        <w:t>üléseinek</w:t>
      </w:r>
      <w:r>
        <w:rPr>
          <w:spacing w:val="-18"/>
          <w:w w:val="130"/>
          <w:sz w:val="24"/>
        </w:rPr>
        <w:t> </w:t>
      </w:r>
      <w:r>
        <w:rPr>
          <w:w w:val="130"/>
          <w:sz w:val="24"/>
        </w:rPr>
        <w:t>ügyrendjét,</w:t>
      </w:r>
      <w:r>
        <w:rPr>
          <w:spacing w:val="-18"/>
          <w:w w:val="130"/>
          <w:sz w:val="24"/>
        </w:rPr>
        <w:t> </w:t>
      </w:r>
      <w:r>
        <w:rPr>
          <w:w w:val="130"/>
          <w:sz w:val="24"/>
        </w:rPr>
        <w:t>helyét,</w:t>
      </w:r>
      <w:r>
        <w:rPr>
          <w:spacing w:val="-18"/>
          <w:w w:val="130"/>
          <w:sz w:val="24"/>
        </w:rPr>
        <w:t> </w:t>
      </w:r>
      <w:r>
        <w:rPr>
          <w:w w:val="130"/>
          <w:sz w:val="24"/>
        </w:rPr>
        <w:t>időpontját,</w:t>
      </w:r>
    </w:p>
    <w:p>
      <w:pPr>
        <w:pStyle w:val="ListParagraph"/>
        <w:numPr>
          <w:ilvl w:val="0"/>
          <w:numId w:val="527"/>
        </w:numPr>
        <w:tabs>
          <w:tab w:pos="596" w:val="left" w:leader="none"/>
        </w:tabs>
        <w:spacing w:line="225" w:lineRule="auto" w:before="6" w:after="0"/>
        <w:ind w:left="113" w:right="126" w:firstLine="204"/>
        <w:jc w:val="both"/>
        <w:rPr>
          <w:sz w:val="24"/>
        </w:rPr>
      </w:pPr>
      <w:r>
        <w:rPr>
          <w:w w:val="130"/>
          <w:sz w:val="24"/>
        </w:rPr>
        <w:t>meghatározza</w:t>
      </w:r>
      <w:r>
        <w:rPr>
          <w:spacing w:val="-9"/>
          <w:w w:val="130"/>
          <w:sz w:val="24"/>
        </w:rPr>
        <w:t> </w:t>
      </w:r>
      <w:r>
        <w:rPr>
          <w:w w:val="130"/>
          <w:sz w:val="24"/>
        </w:rPr>
        <w:t>a</w:t>
      </w:r>
      <w:r>
        <w:rPr>
          <w:spacing w:val="-9"/>
          <w:w w:val="130"/>
          <w:sz w:val="24"/>
        </w:rPr>
        <w:t> </w:t>
      </w:r>
      <w:r>
        <w:rPr>
          <w:w w:val="130"/>
          <w:sz w:val="24"/>
        </w:rPr>
        <w:t>hitelintézetek</w:t>
      </w:r>
      <w:r>
        <w:rPr>
          <w:spacing w:val="-9"/>
          <w:w w:val="130"/>
          <w:sz w:val="24"/>
        </w:rPr>
        <w:t> </w:t>
      </w:r>
      <w:r>
        <w:rPr>
          <w:w w:val="130"/>
          <w:sz w:val="24"/>
        </w:rPr>
        <w:t>számára</w:t>
      </w:r>
      <w:r>
        <w:rPr>
          <w:spacing w:val="-6"/>
          <w:w w:val="130"/>
          <w:sz w:val="24"/>
        </w:rPr>
        <w:t> </w:t>
      </w:r>
      <w:r>
        <w:rPr>
          <w:w w:val="130"/>
          <w:sz w:val="24"/>
        </w:rPr>
        <w:t>azoknak</w:t>
      </w:r>
      <w:r>
        <w:rPr>
          <w:spacing w:val="-12"/>
          <w:w w:val="130"/>
          <w:sz w:val="24"/>
        </w:rPr>
        <w:t> </w:t>
      </w:r>
      <w:r>
        <w:rPr>
          <w:w w:val="130"/>
          <w:sz w:val="24"/>
        </w:rPr>
        <w:t>a</w:t>
      </w:r>
      <w:r>
        <w:rPr>
          <w:spacing w:val="-9"/>
          <w:w w:val="130"/>
          <w:sz w:val="24"/>
        </w:rPr>
        <w:t> </w:t>
      </w:r>
      <w:r>
        <w:rPr>
          <w:w w:val="130"/>
          <w:sz w:val="24"/>
        </w:rPr>
        <w:t>különleges</w:t>
      </w:r>
      <w:r>
        <w:rPr>
          <w:spacing w:val="-9"/>
          <w:w w:val="130"/>
          <w:sz w:val="24"/>
        </w:rPr>
        <w:t> </w:t>
      </w:r>
      <w:r>
        <w:rPr>
          <w:w w:val="130"/>
          <w:sz w:val="24"/>
        </w:rPr>
        <w:t>jelzéseknek, tájékoztatóknak vagy más eszközöknek az alkalmazását, amelyek alapján megállapítható,</w:t>
      </w:r>
      <w:r>
        <w:rPr>
          <w:spacing w:val="-28"/>
          <w:w w:val="130"/>
          <w:sz w:val="24"/>
        </w:rPr>
        <w:t> </w:t>
      </w:r>
      <w:r>
        <w:rPr>
          <w:w w:val="130"/>
          <w:sz w:val="24"/>
        </w:rPr>
        <w:t>hogy</w:t>
      </w:r>
      <w:r>
        <w:rPr>
          <w:spacing w:val="-27"/>
          <w:w w:val="130"/>
          <w:sz w:val="24"/>
        </w:rPr>
        <w:t> </w:t>
      </w:r>
      <w:r>
        <w:rPr>
          <w:w w:val="130"/>
          <w:sz w:val="24"/>
        </w:rPr>
        <w:t>a</w:t>
      </w:r>
      <w:r>
        <w:rPr>
          <w:spacing w:val="-27"/>
          <w:w w:val="130"/>
          <w:sz w:val="24"/>
        </w:rPr>
        <w:t> </w:t>
      </w:r>
      <w:r>
        <w:rPr>
          <w:w w:val="130"/>
          <w:sz w:val="24"/>
        </w:rPr>
        <w:t>hitelintézeteknél</w:t>
      </w:r>
      <w:r>
        <w:rPr>
          <w:spacing w:val="-27"/>
          <w:w w:val="130"/>
          <w:sz w:val="24"/>
        </w:rPr>
        <w:t> </w:t>
      </w:r>
      <w:r>
        <w:rPr>
          <w:w w:val="130"/>
          <w:sz w:val="24"/>
        </w:rPr>
        <w:t>elhelyezett</w:t>
      </w:r>
      <w:r>
        <w:rPr>
          <w:spacing w:val="-27"/>
          <w:w w:val="130"/>
          <w:sz w:val="24"/>
        </w:rPr>
        <w:t> </w:t>
      </w:r>
      <w:r>
        <w:rPr>
          <w:w w:val="130"/>
          <w:sz w:val="24"/>
        </w:rPr>
        <w:t>betétek</w:t>
      </w:r>
      <w:r>
        <w:rPr>
          <w:spacing w:val="-27"/>
          <w:w w:val="130"/>
          <w:sz w:val="24"/>
        </w:rPr>
        <w:t> </w:t>
      </w:r>
      <w:r>
        <w:rPr>
          <w:w w:val="130"/>
          <w:sz w:val="24"/>
        </w:rPr>
        <w:t>biztosítva</w:t>
      </w:r>
      <w:r>
        <w:rPr>
          <w:spacing w:val="-27"/>
          <w:w w:val="130"/>
          <w:sz w:val="24"/>
        </w:rPr>
        <w:t> </w:t>
      </w:r>
      <w:r>
        <w:rPr>
          <w:w w:val="130"/>
          <w:sz w:val="24"/>
        </w:rPr>
        <w:t>vannak,</w:t>
      </w:r>
    </w:p>
    <w:p>
      <w:pPr>
        <w:pStyle w:val="ListParagraph"/>
        <w:numPr>
          <w:ilvl w:val="0"/>
          <w:numId w:val="527"/>
        </w:numPr>
        <w:tabs>
          <w:tab w:pos="653" w:val="left" w:leader="none"/>
        </w:tabs>
        <w:spacing w:line="256" w:lineRule="exact" w:before="0" w:after="0"/>
        <w:ind w:left="652" w:right="0" w:hanging="335"/>
        <w:jc w:val="left"/>
        <w:rPr>
          <w:sz w:val="24"/>
        </w:rPr>
      </w:pPr>
      <w:r>
        <w:rPr>
          <w:w w:val="130"/>
          <w:sz w:val="24"/>
        </w:rPr>
        <w:t>dönt</w:t>
      </w:r>
      <w:r>
        <w:rPr>
          <w:spacing w:val="-31"/>
          <w:w w:val="130"/>
          <w:sz w:val="24"/>
        </w:rPr>
        <w:t> </w:t>
      </w:r>
      <w:r>
        <w:rPr>
          <w:w w:val="130"/>
          <w:sz w:val="24"/>
        </w:rPr>
        <w:t>az</w:t>
      </w:r>
      <w:r>
        <w:rPr>
          <w:spacing w:val="-22"/>
          <w:w w:val="130"/>
          <w:sz w:val="24"/>
        </w:rPr>
        <w:t> </w:t>
      </w:r>
      <w:r>
        <w:rPr>
          <w:w w:val="130"/>
          <w:sz w:val="24"/>
        </w:rPr>
        <w:t>OBA</w:t>
      </w:r>
      <w:r>
        <w:rPr>
          <w:spacing w:val="-23"/>
          <w:w w:val="130"/>
          <w:sz w:val="24"/>
        </w:rPr>
        <w:t> </w:t>
      </w:r>
      <w:r>
        <w:rPr>
          <w:w w:val="130"/>
          <w:sz w:val="24"/>
        </w:rPr>
        <w:t>feladatainak</w:t>
      </w:r>
      <w:r>
        <w:rPr>
          <w:spacing w:val="-22"/>
          <w:w w:val="130"/>
          <w:sz w:val="24"/>
        </w:rPr>
        <w:t> </w:t>
      </w:r>
      <w:r>
        <w:rPr>
          <w:w w:val="130"/>
          <w:sz w:val="24"/>
        </w:rPr>
        <w:t>végrehajtásával</w:t>
      </w:r>
      <w:r>
        <w:rPr>
          <w:spacing w:val="-23"/>
          <w:w w:val="130"/>
          <w:sz w:val="24"/>
        </w:rPr>
        <w:t> </w:t>
      </w:r>
      <w:r>
        <w:rPr>
          <w:w w:val="130"/>
          <w:sz w:val="24"/>
        </w:rPr>
        <w:t>kapcsolatos</w:t>
      </w:r>
      <w:r>
        <w:rPr>
          <w:spacing w:val="-23"/>
          <w:w w:val="130"/>
          <w:sz w:val="24"/>
        </w:rPr>
        <w:t> </w:t>
      </w:r>
      <w:r>
        <w:rPr>
          <w:w w:val="130"/>
          <w:sz w:val="24"/>
        </w:rPr>
        <w:t>intézkedésekről,</w:t>
      </w:r>
    </w:p>
    <w:p>
      <w:pPr>
        <w:pStyle w:val="ListParagraph"/>
        <w:numPr>
          <w:ilvl w:val="0"/>
          <w:numId w:val="527"/>
        </w:numPr>
        <w:tabs>
          <w:tab w:pos="671" w:val="left" w:leader="none"/>
        </w:tabs>
        <w:spacing w:line="225" w:lineRule="auto" w:before="5" w:after="0"/>
        <w:ind w:left="113" w:right="135" w:firstLine="204"/>
        <w:jc w:val="both"/>
        <w:rPr>
          <w:sz w:val="24"/>
        </w:rPr>
      </w:pPr>
      <w:r>
        <w:rPr>
          <w:w w:val="130"/>
          <w:sz w:val="24"/>
        </w:rPr>
        <w:t>meghatározza az OBA által e törvény értelmében teljesítendő</w:t>
      </w:r>
      <w:r>
        <w:rPr>
          <w:spacing w:val="-52"/>
          <w:w w:val="130"/>
          <w:sz w:val="24"/>
        </w:rPr>
        <w:t> </w:t>
      </w:r>
      <w:r>
        <w:rPr>
          <w:w w:val="130"/>
          <w:sz w:val="24"/>
        </w:rPr>
        <w:t>kifizetések rendjét,</w:t>
      </w:r>
    </w:p>
    <w:p>
      <w:pPr>
        <w:pStyle w:val="ListParagraph"/>
        <w:numPr>
          <w:ilvl w:val="0"/>
          <w:numId w:val="527"/>
        </w:numPr>
        <w:tabs>
          <w:tab w:pos="564" w:val="left" w:leader="none"/>
        </w:tabs>
        <w:spacing w:line="256" w:lineRule="exact" w:before="0" w:after="0"/>
        <w:ind w:left="563" w:right="0" w:hanging="246"/>
        <w:jc w:val="left"/>
        <w:rPr>
          <w:sz w:val="24"/>
        </w:rPr>
      </w:pPr>
      <w:r>
        <w:rPr>
          <w:w w:val="130"/>
          <w:sz w:val="24"/>
        </w:rPr>
        <w:t>dönt</w:t>
      </w:r>
      <w:r>
        <w:rPr>
          <w:spacing w:val="-15"/>
          <w:w w:val="130"/>
          <w:sz w:val="24"/>
        </w:rPr>
        <w:t> </w:t>
      </w:r>
      <w:r>
        <w:rPr>
          <w:w w:val="130"/>
          <w:sz w:val="24"/>
        </w:rPr>
        <w:t>az</w:t>
      </w:r>
      <w:r>
        <w:rPr>
          <w:spacing w:val="-15"/>
          <w:w w:val="130"/>
          <w:sz w:val="24"/>
        </w:rPr>
        <w:t> </w:t>
      </w:r>
      <w:r>
        <w:rPr>
          <w:w w:val="130"/>
          <w:sz w:val="24"/>
        </w:rPr>
        <w:t>OBA</w:t>
      </w:r>
      <w:r>
        <w:rPr>
          <w:spacing w:val="-15"/>
          <w:w w:val="130"/>
          <w:sz w:val="24"/>
        </w:rPr>
        <w:t> </w:t>
      </w:r>
      <w:r>
        <w:rPr>
          <w:w w:val="130"/>
          <w:sz w:val="24"/>
        </w:rPr>
        <w:t>költségvetéséről,</w:t>
      </w:r>
      <w:r>
        <w:rPr>
          <w:spacing w:val="-15"/>
          <w:w w:val="130"/>
          <w:sz w:val="24"/>
        </w:rPr>
        <w:t> </w:t>
      </w:r>
      <w:r>
        <w:rPr>
          <w:w w:val="130"/>
          <w:sz w:val="24"/>
        </w:rPr>
        <w:t>ezen</w:t>
      </w:r>
      <w:r>
        <w:rPr>
          <w:spacing w:val="-15"/>
          <w:w w:val="130"/>
          <w:sz w:val="24"/>
        </w:rPr>
        <w:t> </w:t>
      </w:r>
      <w:r>
        <w:rPr>
          <w:w w:val="130"/>
          <w:sz w:val="24"/>
        </w:rPr>
        <w:t>belül</w:t>
      </w:r>
      <w:r>
        <w:rPr>
          <w:spacing w:val="-14"/>
          <w:w w:val="130"/>
          <w:sz w:val="24"/>
        </w:rPr>
        <w:t> </w:t>
      </w:r>
      <w:r>
        <w:rPr>
          <w:w w:val="130"/>
          <w:sz w:val="24"/>
        </w:rPr>
        <w:t>a</w:t>
      </w:r>
      <w:r>
        <w:rPr>
          <w:spacing w:val="-15"/>
          <w:w w:val="130"/>
          <w:sz w:val="24"/>
        </w:rPr>
        <w:t> </w:t>
      </w:r>
      <w:r>
        <w:rPr>
          <w:w w:val="130"/>
          <w:sz w:val="24"/>
        </w:rPr>
        <w:t>működési</w:t>
      </w:r>
      <w:r>
        <w:rPr>
          <w:spacing w:val="-15"/>
          <w:w w:val="130"/>
          <w:sz w:val="24"/>
        </w:rPr>
        <w:t> </w:t>
      </w:r>
      <w:r>
        <w:rPr>
          <w:w w:val="130"/>
          <w:sz w:val="24"/>
        </w:rPr>
        <w:t>költségeiről,</w:t>
      </w:r>
    </w:p>
    <w:p>
      <w:pPr>
        <w:pStyle w:val="ListParagraph"/>
        <w:numPr>
          <w:ilvl w:val="0"/>
          <w:numId w:val="527"/>
        </w:numPr>
        <w:tabs>
          <w:tab w:pos="578" w:val="left" w:leader="none"/>
        </w:tabs>
        <w:spacing w:line="225" w:lineRule="auto" w:before="6" w:after="0"/>
        <w:ind w:left="113" w:right="129" w:firstLine="204"/>
        <w:jc w:val="both"/>
        <w:rPr>
          <w:sz w:val="24"/>
        </w:rPr>
      </w:pPr>
      <w:r>
        <w:rPr>
          <w:w w:val="130"/>
          <w:sz w:val="24"/>
        </w:rPr>
        <w:t>évente</w:t>
      </w:r>
      <w:r>
        <w:rPr>
          <w:spacing w:val="1"/>
          <w:w w:val="130"/>
          <w:sz w:val="24"/>
        </w:rPr>
        <w:t> </w:t>
      </w:r>
      <w:r>
        <w:rPr>
          <w:w w:val="130"/>
          <w:sz w:val="24"/>
        </w:rPr>
        <w:t>egyszer,</w:t>
      </w:r>
      <w:r>
        <w:rPr>
          <w:spacing w:val="-18"/>
          <w:w w:val="130"/>
          <w:sz w:val="24"/>
        </w:rPr>
        <w:t> </w:t>
      </w:r>
      <w:r>
        <w:rPr>
          <w:w w:val="130"/>
          <w:sz w:val="24"/>
        </w:rPr>
        <w:t>legkésőbb</w:t>
      </w:r>
      <w:r>
        <w:rPr>
          <w:spacing w:val="-9"/>
          <w:w w:val="130"/>
          <w:sz w:val="24"/>
        </w:rPr>
        <w:t> </w:t>
      </w:r>
      <w:r>
        <w:rPr>
          <w:w w:val="130"/>
          <w:sz w:val="24"/>
        </w:rPr>
        <w:t>a</w:t>
      </w:r>
      <w:r>
        <w:rPr>
          <w:spacing w:val="-8"/>
          <w:w w:val="130"/>
          <w:sz w:val="24"/>
        </w:rPr>
        <w:t> </w:t>
      </w:r>
      <w:r>
        <w:rPr>
          <w:w w:val="130"/>
          <w:sz w:val="24"/>
        </w:rPr>
        <w:t>gazdasági</w:t>
      </w:r>
      <w:r>
        <w:rPr>
          <w:spacing w:val="-9"/>
          <w:w w:val="130"/>
          <w:sz w:val="24"/>
        </w:rPr>
        <w:t> </w:t>
      </w:r>
      <w:r>
        <w:rPr>
          <w:w w:val="130"/>
          <w:sz w:val="24"/>
        </w:rPr>
        <w:t>év</w:t>
      </w:r>
      <w:r>
        <w:rPr>
          <w:spacing w:val="-8"/>
          <w:w w:val="130"/>
          <w:sz w:val="24"/>
        </w:rPr>
        <w:t> </w:t>
      </w:r>
      <w:r>
        <w:rPr>
          <w:w w:val="130"/>
          <w:sz w:val="24"/>
        </w:rPr>
        <w:t>befejezését</w:t>
      </w:r>
      <w:r>
        <w:rPr>
          <w:spacing w:val="-9"/>
          <w:w w:val="130"/>
          <w:sz w:val="24"/>
        </w:rPr>
        <w:t> </w:t>
      </w:r>
      <w:r>
        <w:rPr>
          <w:w w:val="130"/>
          <w:sz w:val="24"/>
        </w:rPr>
        <w:t>követő</w:t>
      </w:r>
      <w:r>
        <w:rPr>
          <w:spacing w:val="-8"/>
          <w:w w:val="130"/>
          <w:sz w:val="24"/>
        </w:rPr>
        <w:t> </w:t>
      </w:r>
      <w:r>
        <w:rPr>
          <w:w w:val="130"/>
          <w:sz w:val="24"/>
        </w:rPr>
        <w:t>év</w:t>
      </w:r>
      <w:r>
        <w:rPr>
          <w:spacing w:val="-8"/>
          <w:w w:val="130"/>
          <w:sz w:val="24"/>
        </w:rPr>
        <w:t> </w:t>
      </w:r>
      <w:r>
        <w:rPr>
          <w:w w:val="130"/>
          <w:sz w:val="24"/>
        </w:rPr>
        <w:t>május</w:t>
      </w:r>
      <w:r>
        <w:rPr>
          <w:spacing w:val="-9"/>
          <w:w w:val="130"/>
          <w:sz w:val="24"/>
        </w:rPr>
        <w:t> </w:t>
      </w:r>
      <w:r>
        <w:rPr>
          <w:w w:val="130"/>
          <w:sz w:val="24"/>
        </w:rPr>
        <w:t>30. napjáig elfogadja az OBA éves beszámolóját és a könyvvizsgáló jelentését, megállapítja az OBA vagyoni helyzetét és az ezekről szóló beszámolóját benyújtja</w:t>
      </w:r>
      <w:r>
        <w:rPr>
          <w:spacing w:val="-44"/>
          <w:w w:val="130"/>
          <w:sz w:val="24"/>
        </w:rPr>
        <w:t> </w:t>
      </w:r>
      <w:r>
        <w:rPr>
          <w:w w:val="130"/>
          <w:sz w:val="24"/>
        </w:rPr>
        <w:t>az</w:t>
      </w:r>
      <w:r>
        <w:rPr>
          <w:spacing w:val="-44"/>
          <w:w w:val="130"/>
          <w:sz w:val="24"/>
        </w:rPr>
        <w:t> </w:t>
      </w:r>
      <w:r>
        <w:rPr>
          <w:w w:val="130"/>
          <w:sz w:val="24"/>
        </w:rPr>
        <w:t>Állami</w:t>
      </w:r>
      <w:r>
        <w:rPr>
          <w:spacing w:val="-44"/>
          <w:w w:val="130"/>
          <w:sz w:val="24"/>
        </w:rPr>
        <w:t> </w:t>
      </w:r>
      <w:r>
        <w:rPr>
          <w:w w:val="130"/>
          <w:sz w:val="24"/>
        </w:rPr>
        <w:t>Számvevőszéknek,</w:t>
      </w:r>
      <w:r>
        <w:rPr>
          <w:spacing w:val="-39"/>
          <w:w w:val="130"/>
          <w:sz w:val="24"/>
        </w:rPr>
        <w:t> </w:t>
      </w:r>
      <w:r>
        <w:rPr>
          <w:w w:val="130"/>
          <w:sz w:val="24"/>
        </w:rPr>
        <w:t>valamint</w:t>
      </w:r>
      <w:r>
        <w:rPr>
          <w:spacing w:val="-49"/>
          <w:w w:val="130"/>
          <w:sz w:val="24"/>
        </w:rPr>
        <w:t> </w:t>
      </w:r>
      <w:r>
        <w:rPr>
          <w:w w:val="130"/>
          <w:sz w:val="24"/>
        </w:rPr>
        <w:t>megküldi</w:t>
      </w:r>
      <w:r>
        <w:rPr>
          <w:spacing w:val="-44"/>
          <w:w w:val="130"/>
          <w:sz w:val="24"/>
        </w:rPr>
        <w:t> </w:t>
      </w:r>
      <w:r>
        <w:rPr>
          <w:w w:val="130"/>
          <w:sz w:val="24"/>
        </w:rPr>
        <w:t>a</w:t>
      </w:r>
      <w:r>
        <w:rPr>
          <w:spacing w:val="-44"/>
          <w:w w:val="130"/>
          <w:sz w:val="24"/>
        </w:rPr>
        <w:t> </w:t>
      </w:r>
      <w:r>
        <w:rPr>
          <w:w w:val="130"/>
          <w:sz w:val="24"/>
        </w:rPr>
        <w:t>hitelintézeteknek,</w:t>
      </w:r>
    </w:p>
    <w:p>
      <w:pPr>
        <w:pStyle w:val="ListParagraph"/>
        <w:numPr>
          <w:ilvl w:val="0"/>
          <w:numId w:val="527"/>
        </w:numPr>
        <w:tabs>
          <w:tab w:pos="699" w:val="left" w:leader="none"/>
        </w:tabs>
        <w:spacing w:line="225" w:lineRule="auto" w:before="2" w:after="0"/>
        <w:ind w:left="113" w:right="127" w:firstLine="204"/>
        <w:jc w:val="both"/>
        <w:rPr>
          <w:sz w:val="24"/>
        </w:rPr>
      </w:pPr>
      <w:r>
        <w:rPr>
          <w:w w:val="130"/>
          <w:sz w:val="24"/>
        </w:rPr>
        <w:t>évente egyszer kialakítja az OBA díjpolitikáját az e törvényben foglalt kereteken belül, és azt ismerteti a hitelintézetekkel; a díjpolitika alapján meghatározza tagjainak éves befizetési</w:t>
      </w:r>
      <w:r>
        <w:rPr>
          <w:spacing w:val="-21"/>
          <w:w w:val="130"/>
          <w:sz w:val="24"/>
        </w:rPr>
        <w:t> </w:t>
      </w:r>
      <w:r>
        <w:rPr>
          <w:w w:val="130"/>
          <w:sz w:val="24"/>
        </w:rPr>
        <w:t>kötelezettségét,</w:t>
      </w:r>
    </w:p>
    <w:p>
      <w:pPr>
        <w:pStyle w:val="ListParagraph"/>
        <w:numPr>
          <w:ilvl w:val="0"/>
          <w:numId w:val="527"/>
        </w:numPr>
        <w:tabs>
          <w:tab w:pos="564" w:val="left" w:leader="none"/>
        </w:tabs>
        <w:spacing w:line="256" w:lineRule="exact" w:before="0" w:after="0"/>
        <w:ind w:left="563" w:right="0" w:hanging="246"/>
        <w:jc w:val="left"/>
        <w:rPr>
          <w:sz w:val="24"/>
        </w:rPr>
      </w:pPr>
      <w:r>
        <w:rPr>
          <w:w w:val="130"/>
          <w:sz w:val="24"/>
        </w:rPr>
        <w:t>dönt a</w:t>
      </w:r>
      <w:r>
        <w:rPr>
          <w:spacing w:val="-7"/>
          <w:w w:val="130"/>
          <w:sz w:val="24"/>
        </w:rPr>
        <w:t> </w:t>
      </w:r>
      <w:r>
        <w:rPr>
          <w:w w:val="130"/>
          <w:sz w:val="24"/>
        </w:rPr>
        <w:t>kizárásokról,</w:t>
      </w:r>
    </w:p>
    <w:p>
      <w:pPr>
        <w:pStyle w:val="ListParagraph"/>
        <w:numPr>
          <w:ilvl w:val="0"/>
          <w:numId w:val="527"/>
        </w:numPr>
        <w:tabs>
          <w:tab w:pos="759" w:val="left" w:leader="none"/>
        </w:tabs>
        <w:spacing w:line="225" w:lineRule="auto" w:before="5" w:after="0"/>
        <w:ind w:left="113" w:right="124" w:firstLine="204"/>
        <w:jc w:val="both"/>
        <w:rPr>
          <w:sz w:val="24"/>
        </w:rPr>
      </w:pPr>
      <w:r>
        <w:rPr>
          <w:w w:val="125"/>
          <w:sz w:val="24"/>
        </w:rPr>
        <w:t>határoz a 234. § (6)-(8) bekezdése szerinti megemelt, illetve rendkívüli díjfizetési kötelezettség</w:t>
      </w:r>
      <w:r>
        <w:rPr>
          <w:spacing w:val="2"/>
          <w:w w:val="125"/>
          <w:sz w:val="24"/>
        </w:rPr>
        <w:t> </w:t>
      </w:r>
      <w:r>
        <w:rPr>
          <w:w w:val="125"/>
          <w:sz w:val="24"/>
        </w:rPr>
        <w:t>előírásairól,</w:t>
      </w:r>
    </w:p>
    <w:p>
      <w:pPr>
        <w:pStyle w:val="BodyText"/>
        <w:spacing w:before="3"/>
        <w:ind w:left="0" w:firstLine="0"/>
      </w:pPr>
      <w:r>
        <w:rPr/>
        <w:pict>
          <v:line style="position:absolute;mso-position-horizontal-relative:page;mso-position-vertical-relative:paragraph;z-index:2192;mso-wrap-distance-left:0;mso-wrap-distance-right:0" from="56.693001pt,16.196419pt" to="538.583001pt,16.196419pt" stroked="true" strokeweight=".5pt" strokecolor="#000000">
            <v:stroke dashstyle="solid"/>
            <w10:wrap type="topAndBottom"/>
          </v:line>
        </w:pict>
      </w:r>
    </w:p>
    <w:p>
      <w:pPr>
        <w:pStyle w:val="ListParagraph"/>
        <w:numPr>
          <w:ilvl w:val="0"/>
          <w:numId w:val="528"/>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XXXVII. törvény 161. § (21). Hatályos: 2014. IX.</w:t>
      </w:r>
      <w:r>
        <w:rPr>
          <w:i/>
          <w:spacing w:val="-32"/>
          <w:w w:val="125"/>
          <w:sz w:val="18"/>
        </w:rPr>
        <w:t> </w:t>
      </w:r>
      <w:r>
        <w:rPr>
          <w:i/>
          <w:w w:val="125"/>
          <w:sz w:val="18"/>
        </w:rPr>
        <w:t>16-tól.</w:t>
      </w:r>
    </w:p>
    <w:p>
      <w:pPr>
        <w:pStyle w:val="ListParagraph"/>
        <w:numPr>
          <w:ilvl w:val="0"/>
          <w:numId w:val="528"/>
        </w:numPr>
        <w:tabs>
          <w:tab w:pos="686" w:val="left" w:leader="none"/>
          <w:tab w:pos="687" w:val="left" w:leader="none"/>
        </w:tabs>
        <w:spacing w:line="200" w:lineRule="exact" w:before="0" w:after="0"/>
        <w:ind w:left="686" w:right="0" w:hanging="344"/>
        <w:jc w:val="left"/>
        <w:rPr>
          <w:i/>
          <w:sz w:val="18"/>
        </w:rPr>
      </w:pPr>
      <w:r>
        <w:rPr>
          <w:i/>
          <w:w w:val="125"/>
          <w:sz w:val="18"/>
        </w:rPr>
        <w:t>Beiktatta: 2016. évi LIII. törvény 126. §. Hatályos: 2016. VII.</w:t>
      </w:r>
      <w:r>
        <w:rPr>
          <w:i/>
          <w:spacing w:val="-11"/>
          <w:w w:val="125"/>
          <w:sz w:val="18"/>
        </w:rPr>
        <w:t> </w:t>
      </w:r>
      <w:r>
        <w:rPr>
          <w:i/>
          <w:w w:val="125"/>
          <w:sz w:val="18"/>
        </w:rPr>
        <w:t>1-től.</w:t>
      </w:r>
    </w:p>
    <w:p>
      <w:pPr>
        <w:pStyle w:val="ListParagraph"/>
        <w:numPr>
          <w:ilvl w:val="0"/>
          <w:numId w:val="528"/>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127.</w:t>
      </w:r>
      <w:r>
        <w:rPr>
          <w:i/>
          <w:spacing w:val="-10"/>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9"/>
          <w:w w:val="125"/>
          <w:sz w:val="18"/>
        </w:rPr>
        <w:t> </w:t>
      </w:r>
      <w:r>
        <w:rPr>
          <w:i/>
          <w:w w:val="125"/>
          <w:sz w:val="18"/>
        </w:rPr>
        <w:t>2016.</w:t>
      </w:r>
      <w:r>
        <w:rPr>
          <w:i/>
          <w:spacing w:val="-11"/>
          <w:w w:val="125"/>
          <w:sz w:val="18"/>
        </w:rPr>
        <w:t> </w:t>
      </w:r>
      <w:r>
        <w:rPr>
          <w:i/>
          <w:w w:val="125"/>
          <w:sz w:val="18"/>
        </w:rPr>
        <w:t>VII.</w:t>
      </w:r>
      <w:r>
        <w:rPr>
          <w:i/>
          <w:spacing w:val="-9"/>
          <w:w w:val="125"/>
          <w:sz w:val="18"/>
        </w:rPr>
        <w:t> </w:t>
      </w:r>
      <w:r>
        <w:rPr>
          <w:i/>
          <w:w w:val="125"/>
          <w:sz w:val="18"/>
        </w:rPr>
        <w:t>1-től.</w:t>
      </w:r>
    </w:p>
    <w:p>
      <w:pPr>
        <w:pStyle w:val="ListParagraph"/>
        <w:numPr>
          <w:ilvl w:val="0"/>
          <w:numId w:val="528"/>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127.</w:t>
      </w:r>
      <w:r>
        <w:rPr>
          <w:i/>
          <w:spacing w:val="-10"/>
          <w:w w:val="125"/>
          <w:sz w:val="18"/>
        </w:rPr>
        <w:t> </w:t>
      </w:r>
      <w:r>
        <w:rPr>
          <w:i/>
          <w:w w:val="125"/>
          <w:sz w:val="18"/>
        </w:rPr>
        <w:t>§</w:t>
      </w:r>
      <w:r>
        <w:rPr>
          <w:i/>
          <w:spacing w:val="-10"/>
          <w:w w:val="125"/>
          <w:sz w:val="18"/>
        </w:rPr>
        <w:t> </w:t>
      </w:r>
      <w:r>
        <w:rPr>
          <w:i/>
          <w:w w:val="125"/>
          <w:sz w:val="18"/>
        </w:rPr>
        <w:t>(2).</w:t>
      </w:r>
      <w:r>
        <w:rPr>
          <w:i/>
          <w:spacing w:val="-10"/>
          <w:w w:val="125"/>
          <w:sz w:val="18"/>
        </w:rPr>
        <w:t> </w:t>
      </w:r>
      <w:r>
        <w:rPr>
          <w:i/>
          <w:w w:val="125"/>
          <w:sz w:val="18"/>
        </w:rPr>
        <w:t>Hatályos:</w:t>
      </w:r>
      <w:r>
        <w:rPr>
          <w:i/>
          <w:spacing w:val="-9"/>
          <w:w w:val="125"/>
          <w:sz w:val="18"/>
        </w:rPr>
        <w:t> </w:t>
      </w:r>
      <w:r>
        <w:rPr>
          <w:i/>
          <w:w w:val="125"/>
          <w:sz w:val="18"/>
        </w:rPr>
        <w:t>2016.</w:t>
      </w:r>
      <w:r>
        <w:rPr>
          <w:i/>
          <w:spacing w:val="-11"/>
          <w:w w:val="125"/>
          <w:sz w:val="18"/>
        </w:rPr>
        <w:t> </w:t>
      </w:r>
      <w:r>
        <w:rPr>
          <w:i/>
          <w:w w:val="125"/>
          <w:sz w:val="18"/>
        </w:rPr>
        <w:t>VII.</w:t>
      </w:r>
      <w:r>
        <w:rPr>
          <w:i/>
          <w:spacing w:val="-9"/>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527"/>
        </w:numPr>
        <w:tabs>
          <w:tab w:pos="810" w:val="left" w:leader="none"/>
          <w:tab w:pos="811" w:val="left" w:leader="none"/>
          <w:tab w:pos="2231" w:val="left" w:leader="none"/>
          <w:tab w:pos="2962" w:val="left" w:leader="none"/>
          <w:tab w:pos="3350" w:val="left" w:leader="none"/>
          <w:tab w:pos="5330" w:val="left" w:leader="none"/>
          <w:tab w:pos="5705" w:val="left" w:leader="none"/>
          <w:tab w:pos="7618" w:val="left" w:leader="none"/>
        </w:tabs>
        <w:spacing w:line="225" w:lineRule="auto" w:before="173" w:after="0"/>
        <w:ind w:left="113" w:right="126" w:firstLine="204"/>
        <w:jc w:val="left"/>
        <w:rPr>
          <w:sz w:val="24"/>
        </w:rPr>
      </w:pPr>
      <w:r>
        <w:rPr>
          <w:w w:val="130"/>
          <w:sz w:val="24"/>
        </w:rPr>
        <w:t>javaslatot</w:t>
        <w:tab/>
        <w:t>tesz</w:t>
        <w:tab/>
        <w:t>a</w:t>
        <w:tab/>
        <w:t>Felügyeletnek</w:t>
        <w:tab/>
        <w:t>a</w:t>
        <w:tab/>
        <w:t>hitelintézetek</w:t>
        <w:tab/>
      </w:r>
      <w:r>
        <w:rPr>
          <w:spacing w:val="-1"/>
          <w:w w:val="130"/>
          <w:sz w:val="24"/>
        </w:rPr>
        <w:t>betétbiztosítással </w:t>
      </w:r>
      <w:r>
        <w:rPr>
          <w:w w:val="130"/>
          <w:sz w:val="24"/>
        </w:rPr>
        <w:t>kapcsolatos kötelezettségeinek</w:t>
      </w:r>
      <w:r>
        <w:rPr>
          <w:spacing w:val="-10"/>
          <w:w w:val="130"/>
          <w:sz w:val="24"/>
        </w:rPr>
        <w:t> </w:t>
      </w:r>
      <w:r>
        <w:rPr>
          <w:w w:val="130"/>
          <w:sz w:val="24"/>
        </w:rPr>
        <w:t>ellenőrzésére,</w:t>
      </w:r>
    </w:p>
    <w:p>
      <w:pPr>
        <w:pStyle w:val="ListParagraph"/>
        <w:numPr>
          <w:ilvl w:val="0"/>
          <w:numId w:val="527"/>
        </w:numPr>
        <w:tabs>
          <w:tab w:pos="558" w:val="left" w:leader="none"/>
          <w:tab w:pos="890" w:val="left" w:leader="none"/>
          <w:tab w:pos="1254" w:val="left" w:leader="none"/>
          <w:tab w:pos="3695" w:val="left" w:leader="none"/>
          <w:tab w:pos="4444" w:val="left" w:leader="none"/>
          <w:tab w:pos="6702" w:val="left" w:leader="none"/>
          <w:tab w:pos="8259" w:val="left" w:leader="none"/>
          <w:tab w:pos="9475" w:val="left" w:leader="none"/>
        </w:tabs>
        <w:spacing w:line="249" w:lineRule="exact" w:before="0" w:after="0"/>
        <w:ind w:left="557" w:right="0" w:hanging="240"/>
        <w:jc w:val="left"/>
        <w:rPr>
          <w:sz w:val="24"/>
        </w:rPr>
      </w:pPr>
      <w:r>
        <w:rPr>
          <w:i/>
          <w:w w:val="130"/>
          <w:position w:val="3"/>
          <w:sz w:val="18"/>
        </w:rPr>
        <w:t>1</w:t>
        <w:tab/>
      </w:r>
      <w:r>
        <w:rPr>
          <w:w w:val="130"/>
          <w:sz w:val="24"/>
        </w:rPr>
        <w:t>a</w:t>
        <w:tab/>
      </w:r>
      <w:r>
        <w:rPr>
          <w:w w:val="125"/>
          <w:sz w:val="24"/>
        </w:rPr>
        <w:t>Befektető-védelmi</w:t>
        <w:tab/>
      </w:r>
      <w:r>
        <w:rPr>
          <w:w w:val="130"/>
          <w:sz w:val="24"/>
        </w:rPr>
        <w:t>Alap</w:t>
        <w:tab/>
        <w:t>igazgatóságának</w:t>
        <w:tab/>
        <w:t>javaslatára</w:t>
        <w:tab/>
        <w:t>kinevezi</w:t>
        <w:tab/>
        <w:t>és</w:t>
      </w:r>
    </w:p>
    <w:p>
      <w:pPr>
        <w:pStyle w:val="BodyText"/>
        <w:tabs>
          <w:tab w:pos="1475" w:val="left" w:leader="none"/>
          <w:tab w:pos="2102" w:val="left" w:leader="none"/>
          <w:tab w:pos="3691" w:val="left" w:leader="none"/>
          <w:tab w:pos="6441" w:val="left" w:leader="none"/>
          <w:tab w:pos="8512" w:val="left" w:leader="none"/>
        </w:tabs>
        <w:spacing w:line="225" w:lineRule="auto" w:before="12"/>
        <w:ind w:right="133" w:firstLine="0"/>
      </w:pPr>
      <w:r>
        <w:rPr>
          <w:w w:val="125"/>
        </w:rPr>
        <w:t>felmenti</w:t>
        <w:tab/>
        <w:t>az</w:t>
        <w:tab/>
        <w:t>ügyvezető</w:t>
        <w:tab/>
        <w:t>igazgató-helyettest,</w:t>
        <w:tab/>
        <w:t>meghatározza</w:t>
        <w:tab/>
      </w:r>
      <w:r>
        <w:rPr>
          <w:spacing w:val="-1"/>
          <w:w w:val="125"/>
        </w:rPr>
        <w:t>feladatait, </w:t>
      </w:r>
      <w:r>
        <w:rPr>
          <w:w w:val="125"/>
        </w:rPr>
        <w:t>megállapítja díjazását,</w:t>
      </w:r>
    </w:p>
    <w:p>
      <w:pPr>
        <w:pStyle w:val="ListParagraph"/>
        <w:numPr>
          <w:ilvl w:val="0"/>
          <w:numId w:val="527"/>
        </w:numPr>
        <w:tabs>
          <w:tab w:pos="567" w:val="left" w:leader="none"/>
        </w:tabs>
        <w:spacing w:line="256" w:lineRule="exact" w:before="0" w:after="0"/>
        <w:ind w:left="566" w:right="0" w:hanging="249"/>
        <w:jc w:val="left"/>
        <w:rPr>
          <w:sz w:val="24"/>
        </w:rPr>
      </w:pPr>
      <w:r>
        <w:rPr>
          <w:i/>
          <w:w w:val="130"/>
          <w:position w:val="3"/>
          <w:sz w:val="18"/>
        </w:rPr>
        <w:t>2 </w:t>
      </w:r>
      <w:r>
        <w:rPr>
          <w:w w:val="130"/>
          <w:sz w:val="24"/>
        </w:rPr>
        <w:t>ellátja az e törvényben meghatározott egyéb</w:t>
      </w:r>
      <w:r>
        <w:rPr>
          <w:spacing w:val="-25"/>
          <w:w w:val="130"/>
          <w:sz w:val="24"/>
        </w:rPr>
        <w:t> </w:t>
      </w:r>
      <w:r>
        <w:rPr>
          <w:w w:val="130"/>
          <w:sz w:val="24"/>
        </w:rPr>
        <w:t>feladatokat.</w:t>
      </w:r>
    </w:p>
    <w:p>
      <w:pPr>
        <w:pStyle w:val="ListParagraph"/>
        <w:numPr>
          <w:ilvl w:val="0"/>
          <w:numId w:val="529"/>
        </w:numPr>
        <w:tabs>
          <w:tab w:pos="829" w:val="left" w:leader="none"/>
        </w:tabs>
        <w:spacing w:line="225" w:lineRule="auto" w:before="5" w:after="0"/>
        <w:ind w:left="113" w:right="138" w:firstLine="204"/>
        <w:jc w:val="both"/>
        <w:rPr>
          <w:sz w:val="24"/>
        </w:rPr>
      </w:pPr>
      <w:r>
        <w:rPr>
          <w:w w:val="130"/>
          <w:sz w:val="24"/>
        </w:rPr>
        <w:t>Az igazgatótanács feladatainak végrehajtása során igénybe veheti a Felügyelet</w:t>
      </w:r>
      <w:r>
        <w:rPr>
          <w:spacing w:val="-4"/>
          <w:w w:val="130"/>
          <w:sz w:val="24"/>
        </w:rPr>
        <w:t> </w:t>
      </w:r>
      <w:r>
        <w:rPr>
          <w:w w:val="130"/>
          <w:sz w:val="24"/>
        </w:rPr>
        <w:t>szolgáltatásait.</w:t>
      </w:r>
    </w:p>
    <w:p>
      <w:pPr>
        <w:pStyle w:val="ListParagraph"/>
        <w:numPr>
          <w:ilvl w:val="0"/>
          <w:numId w:val="529"/>
        </w:numPr>
        <w:tabs>
          <w:tab w:pos="659" w:val="left" w:leader="none"/>
        </w:tabs>
        <w:spacing w:line="225" w:lineRule="auto" w:before="1" w:after="0"/>
        <w:ind w:left="113" w:right="123" w:firstLine="204"/>
        <w:jc w:val="both"/>
        <w:rPr>
          <w:sz w:val="24"/>
        </w:rPr>
      </w:pPr>
      <w:r>
        <w:rPr>
          <w:i/>
          <w:w w:val="130"/>
          <w:position w:val="3"/>
          <w:sz w:val="18"/>
        </w:rPr>
        <w:t>3</w:t>
      </w:r>
      <w:r>
        <w:rPr>
          <w:i/>
          <w:spacing w:val="-4"/>
          <w:w w:val="130"/>
          <w:position w:val="3"/>
          <w:sz w:val="18"/>
        </w:rPr>
        <w:t> </w:t>
      </w:r>
      <w:r>
        <w:rPr>
          <w:w w:val="130"/>
          <w:sz w:val="24"/>
        </w:rPr>
        <w:t>Az</w:t>
      </w:r>
      <w:r>
        <w:rPr>
          <w:spacing w:val="-24"/>
          <w:w w:val="130"/>
          <w:sz w:val="24"/>
        </w:rPr>
        <w:t> </w:t>
      </w:r>
      <w:r>
        <w:rPr>
          <w:w w:val="130"/>
          <w:sz w:val="24"/>
        </w:rPr>
        <w:t>igazgatótanács</w:t>
      </w:r>
      <w:r>
        <w:rPr>
          <w:spacing w:val="-23"/>
          <w:w w:val="130"/>
          <w:sz w:val="24"/>
        </w:rPr>
        <w:t> </w:t>
      </w:r>
      <w:r>
        <w:rPr>
          <w:w w:val="130"/>
          <w:sz w:val="24"/>
        </w:rPr>
        <w:t>az</w:t>
      </w:r>
      <w:r>
        <w:rPr>
          <w:spacing w:val="-24"/>
          <w:w w:val="130"/>
          <w:sz w:val="24"/>
        </w:rPr>
        <w:t> </w:t>
      </w:r>
      <w:r>
        <w:rPr>
          <w:w w:val="130"/>
          <w:sz w:val="24"/>
        </w:rPr>
        <w:t>európai</w:t>
      </w:r>
      <w:r>
        <w:rPr>
          <w:spacing w:val="-24"/>
          <w:w w:val="130"/>
          <w:sz w:val="24"/>
        </w:rPr>
        <w:t> </w:t>
      </w:r>
      <w:r>
        <w:rPr>
          <w:w w:val="130"/>
          <w:sz w:val="24"/>
        </w:rPr>
        <w:t>felügyeleti</w:t>
      </w:r>
      <w:r>
        <w:rPr>
          <w:spacing w:val="-23"/>
          <w:w w:val="130"/>
          <w:sz w:val="24"/>
        </w:rPr>
        <w:t> </w:t>
      </w:r>
      <w:r>
        <w:rPr>
          <w:w w:val="130"/>
          <w:sz w:val="24"/>
        </w:rPr>
        <w:t>hatóság</w:t>
      </w:r>
      <w:r>
        <w:rPr>
          <w:spacing w:val="-12"/>
          <w:w w:val="130"/>
          <w:sz w:val="24"/>
        </w:rPr>
        <w:t> </w:t>
      </w:r>
      <w:r>
        <w:rPr>
          <w:w w:val="130"/>
          <w:sz w:val="24"/>
        </w:rPr>
        <w:t>(Európai</w:t>
      </w:r>
      <w:r>
        <w:rPr>
          <w:spacing w:val="-29"/>
          <w:w w:val="130"/>
          <w:sz w:val="24"/>
        </w:rPr>
        <w:t> </w:t>
      </w:r>
      <w:r>
        <w:rPr>
          <w:w w:val="130"/>
          <w:sz w:val="24"/>
        </w:rPr>
        <w:t>Bankhatóság) létrehozásáról, a 716/2009/EK határozat módosításáról és a 2009/78/EK bizottsági határozat hatályon kívül helyezéséről szóló, 2010. november 24-i 1093/2010/EU európai parlamenti és tanácsi rendelet 4. cikk (2) bekezdése szerinti hatáskörrel rendelkező</w:t>
      </w:r>
      <w:r>
        <w:rPr>
          <w:spacing w:val="-9"/>
          <w:w w:val="130"/>
          <w:sz w:val="24"/>
        </w:rPr>
        <w:t> </w:t>
      </w:r>
      <w:r>
        <w:rPr>
          <w:w w:val="130"/>
          <w:sz w:val="24"/>
        </w:rPr>
        <w:t>hatóság.</w:t>
      </w:r>
    </w:p>
    <w:p>
      <w:pPr>
        <w:pStyle w:val="ListParagraph"/>
        <w:numPr>
          <w:ilvl w:val="1"/>
          <w:numId w:val="526"/>
        </w:numPr>
        <w:tabs>
          <w:tab w:pos="1007" w:val="left" w:leader="none"/>
        </w:tabs>
        <w:spacing w:line="225" w:lineRule="auto" w:before="2" w:after="0"/>
        <w:ind w:left="113" w:right="129" w:firstLine="204"/>
        <w:jc w:val="both"/>
        <w:rPr>
          <w:sz w:val="24"/>
        </w:rPr>
      </w:pPr>
      <w:r>
        <w:rPr>
          <w:rFonts w:ascii="Arial" w:hAnsi="Arial"/>
          <w:b/>
          <w:w w:val="125"/>
          <w:sz w:val="24"/>
        </w:rPr>
        <w:t>§ </w:t>
      </w:r>
      <w:r>
        <w:rPr>
          <w:w w:val="125"/>
          <w:sz w:val="24"/>
        </w:rPr>
        <w:t>(1) Az igazgatótanács nevezi ki, és menti fel az ügyvezetőt, valamint gyakorolja felette a munkáltatói jogokat. Az igazgatótanács e jogkörét - a kinevezés és felmentés kivételével - az igazgatótanács</w:t>
      </w:r>
      <w:r>
        <w:rPr>
          <w:spacing w:val="25"/>
          <w:w w:val="125"/>
          <w:sz w:val="24"/>
        </w:rPr>
        <w:t> </w:t>
      </w:r>
      <w:r>
        <w:rPr>
          <w:w w:val="125"/>
          <w:sz w:val="24"/>
        </w:rPr>
        <w:t>elnökére átruházhatja.</w:t>
      </w:r>
    </w:p>
    <w:p>
      <w:pPr>
        <w:pStyle w:val="BodyText"/>
        <w:spacing w:line="264" w:lineRule="exact"/>
        <w:ind w:left="317" w:firstLine="0"/>
      </w:pPr>
      <w:r>
        <w:rPr>
          <w:w w:val="125"/>
        </w:rPr>
        <w:t>(2) Az igazgatótanács ellenőrzi az OBA ügyvezetőjének tevékenységét.</w:t>
      </w:r>
    </w:p>
    <w:p>
      <w:pPr>
        <w:pStyle w:val="BodyText"/>
        <w:spacing w:before="224"/>
        <w:ind w:left="2216" w:firstLine="0"/>
      </w:pPr>
      <w:r>
        <w:rPr>
          <w:w w:val="120"/>
        </w:rPr>
        <w:t>93. Az OBA ügyvezetője és munkaszervezete</w:t>
      </w:r>
    </w:p>
    <w:p>
      <w:pPr>
        <w:pStyle w:val="ListParagraph"/>
        <w:numPr>
          <w:ilvl w:val="1"/>
          <w:numId w:val="526"/>
        </w:numPr>
        <w:tabs>
          <w:tab w:pos="985" w:val="left" w:leader="none"/>
        </w:tabs>
        <w:spacing w:line="262" w:lineRule="exact" w:before="223" w:after="0"/>
        <w:ind w:left="984" w:right="0" w:hanging="667"/>
        <w:jc w:val="left"/>
        <w:rPr>
          <w:sz w:val="24"/>
        </w:rPr>
      </w:pPr>
      <w:r>
        <w:rPr>
          <w:rFonts w:ascii="Arial" w:hAnsi="Arial"/>
          <w:b/>
          <w:w w:val="115"/>
          <w:sz w:val="24"/>
        </w:rPr>
        <w:t>§ </w:t>
      </w:r>
      <w:r>
        <w:rPr>
          <w:w w:val="115"/>
          <w:sz w:val="24"/>
        </w:rPr>
        <w:t>(1) Az OBA önálló munkaszervezettel</w:t>
      </w:r>
      <w:r>
        <w:rPr>
          <w:spacing w:val="19"/>
          <w:w w:val="115"/>
          <w:sz w:val="24"/>
        </w:rPr>
        <w:t> </w:t>
      </w:r>
      <w:r>
        <w:rPr>
          <w:w w:val="115"/>
          <w:sz w:val="24"/>
        </w:rPr>
        <w:t>rendelkezik.</w:t>
      </w:r>
    </w:p>
    <w:p>
      <w:pPr>
        <w:pStyle w:val="ListParagraph"/>
        <w:numPr>
          <w:ilvl w:val="0"/>
          <w:numId w:val="530"/>
        </w:numPr>
        <w:tabs>
          <w:tab w:pos="659" w:val="left" w:leader="none"/>
          <w:tab w:pos="1023" w:val="left" w:leader="none"/>
          <w:tab w:pos="1575" w:val="left" w:leader="none"/>
          <w:tab w:pos="2372" w:val="left" w:leader="none"/>
          <w:tab w:pos="4714" w:val="left" w:leader="none"/>
          <w:tab w:pos="5972" w:val="left" w:leader="none"/>
          <w:tab w:pos="7523" w:val="left" w:leader="none"/>
          <w:tab w:pos="8044" w:val="left" w:leader="none"/>
          <w:tab w:pos="9603" w:val="left" w:leader="none"/>
        </w:tabs>
        <w:spacing w:line="261" w:lineRule="exact" w:before="0" w:after="0"/>
        <w:ind w:left="658" w:right="0" w:hanging="341"/>
        <w:jc w:val="left"/>
        <w:rPr>
          <w:sz w:val="24"/>
        </w:rPr>
      </w:pPr>
      <w:r>
        <w:rPr>
          <w:i/>
          <w:w w:val="125"/>
          <w:position w:val="3"/>
          <w:sz w:val="18"/>
        </w:rPr>
        <w:t>4</w:t>
        <w:tab/>
      </w:r>
      <w:r>
        <w:rPr>
          <w:w w:val="125"/>
          <w:sz w:val="24"/>
        </w:rPr>
        <w:t>Az</w:t>
        <w:tab/>
        <w:t>OBA</w:t>
        <w:tab/>
        <w:t>tevékenységének</w:t>
        <w:tab/>
        <w:t>operatív</w:t>
        <w:tab/>
        <w:t>irányítását</w:t>
        <w:tab/>
        <w:t>az</w:t>
        <w:tab/>
        <w:t>ügyvezető,</w:t>
        <w:tab/>
        <w:t>a</w:t>
      </w:r>
    </w:p>
    <w:p>
      <w:pPr>
        <w:pStyle w:val="BodyText"/>
        <w:spacing w:line="225" w:lineRule="auto" w:before="12"/>
        <w:ind w:right="125" w:firstLine="0"/>
        <w:jc w:val="both"/>
      </w:pPr>
      <w:r>
        <w:rPr>
          <w:w w:val="130"/>
        </w:rPr>
        <w:t>Befektető-védelmi Alappal kapcsolatos operatív feladatok irányítását az ügyvezető helyettese látja el. A belső ellenőr felett a munkáltatói jogokat az ügyvezető a munkaviszony létesítése, megszüntetése, a javadalmazás és az ellenőrzési</w:t>
      </w:r>
      <w:r>
        <w:rPr>
          <w:spacing w:val="-16"/>
          <w:w w:val="130"/>
        </w:rPr>
        <w:t> </w:t>
      </w:r>
      <w:r>
        <w:rPr>
          <w:w w:val="130"/>
        </w:rPr>
        <w:t>tárgykörök</w:t>
      </w:r>
      <w:r>
        <w:rPr>
          <w:spacing w:val="-15"/>
          <w:w w:val="130"/>
        </w:rPr>
        <w:t> </w:t>
      </w:r>
      <w:r>
        <w:rPr>
          <w:w w:val="130"/>
        </w:rPr>
        <w:t>meghatározása</w:t>
      </w:r>
      <w:r>
        <w:rPr>
          <w:spacing w:val="-15"/>
          <w:w w:val="130"/>
        </w:rPr>
        <w:t> </w:t>
      </w:r>
      <w:r>
        <w:rPr>
          <w:w w:val="130"/>
        </w:rPr>
        <w:t>tekintetében</w:t>
      </w:r>
      <w:r>
        <w:rPr>
          <w:spacing w:val="-15"/>
          <w:w w:val="130"/>
        </w:rPr>
        <w:t> </w:t>
      </w:r>
      <w:r>
        <w:rPr>
          <w:w w:val="130"/>
        </w:rPr>
        <w:t>az</w:t>
      </w:r>
      <w:r>
        <w:rPr>
          <w:spacing w:val="-15"/>
          <w:w w:val="130"/>
        </w:rPr>
        <w:t> </w:t>
      </w:r>
      <w:r>
        <w:rPr>
          <w:w w:val="130"/>
        </w:rPr>
        <w:t>igazgatótanács</w:t>
      </w:r>
      <w:r>
        <w:rPr>
          <w:spacing w:val="-15"/>
          <w:w w:val="130"/>
        </w:rPr>
        <w:t> </w:t>
      </w:r>
      <w:r>
        <w:rPr>
          <w:w w:val="130"/>
        </w:rPr>
        <w:t>előzetes jóváhagyása mellett gyakorolja. Az ügyvezető igazgató-helyettes által irányított, elkülönített munkaszervezetben feladatokat ellátó munkavállalók kivételével</w:t>
      </w:r>
      <w:r>
        <w:rPr>
          <w:spacing w:val="-27"/>
          <w:w w:val="130"/>
        </w:rPr>
        <w:t> </w:t>
      </w:r>
      <w:r>
        <w:rPr>
          <w:w w:val="130"/>
        </w:rPr>
        <w:t>az</w:t>
      </w:r>
      <w:r>
        <w:rPr>
          <w:spacing w:val="-27"/>
          <w:w w:val="130"/>
        </w:rPr>
        <w:t> </w:t>
      </w:r>
      <w:r>
        <w:rPr>
          <w:w w:val="130"/>
        </w:rPr>
        <w:t>ügyvezető</w:t>
      </w:r>
      <w:r>
        <w:rPr>
          <w:spacing w:val="-26"/>
          <w:w w:val="130"/>
        </w:rPr>
        <w:t> </w:t>
      </w:r>
      <w:r>
        <w:rPr>
          <w:w w:val="130"/>
        </w:rPr>
        <w:t>gyakorolja</w:t>
      </w:r>
      <w:r>
        <w:rPr>
          <w:spacing w:val="-27"/>
          <w:w w:val="130"/>
        </w:rPr>
        <w:t> </w:t>
      </w:r>
      <w:r>
        <w:rPr>
          <w:w w:val="130"/>
        </w:rPr>
        <w:t>az</w:t>
      </w:r>
      <w:r>
        <w:rPr>
          <w:spacing w:val="-27"/>
          <w:w w:val="130"/>
        </w:rPr>
        <w:t> </w:t>
      </w:r>
      <w:r>
        <w:rPr>
          <w:w w:val="130"/>
        </w:rPr>
        <w:t>OBA</w:t>
      </w:r>
      <w:r>
        <w:rPr>
          <w:spacing w:val="-26"/>
          <w:w w:val="130"/>
        </w:rPr>
        <w:t> </w:t>
      </w:r>
      <w:r>
        <w:rPr>
          <w:w w:val="130"/>
        </w:rPr>
        <w:t>alkalmazottai</w:t>
      </w:r>
      <w:r>
        <w:rPr>
          <w:spacing w:val="-27"/>
          <w:w w:val="130"/>
        </w:rPr>
        <w:t> </w:t>
      </w:r>
      <w:r>
        <w:rPr>
          <w:w w:val="130"/>
        </w:rPr>
        <w:t>felett</w:t>
      </w:r>
      <w:r>
        <w:rPr>
          <w:spacing w:val="-26"/>
          <w:w w:val="130"/>
        </w:rPr>
        <w:t> </w:t>
      </w:r>
      <w:r>
        <w:rPr>
          <w:w w:val="130"/>
        </w:rPr>
        <w:t>a</w:t>
      </w:r>
      <w:r>
        <w:rPr>
          <w:spacing w:val="-27"/>
          <w:w w:val="130"/>
        </w:rPr>
        <w:t> </w:t>
      </w:r>
      <w:r>
        <w:rPr>
          <w:w w:val="130"/>
        </w:rPr>
        <w:t>munkáltatói jogokat. Az ügyvezető igazgató-helyettes által irányított, elkülönített munkaszervezetben feladatokat ellátó munkavállalók feletti munkáltatói jogokat az ügyvezető igazgató-helyettese</w:t>
      </w:r>
      <w:r>
        <w:rPr>
          <w:spacing w:val="-30"/>
          <w:w w:val="130"/>
        </w:rPr>
        <w:t> </w:t>
      </w:r>
      <w:r>
        <w:rPr>
          <w:w w:val="130"/>
        </w:rPr>
        <w:t>gyakorolja.</w:t>
      </w:r>
    </w:p>
    <w:p>
      <w:pPr>
        <w:pStyle w:val="ListParagraph"/>
        <w:numPr>
          <w:ilvl w:val="0"/>
          <w:numId w:val="530"/>
        </w:numPr>
        <w:tabs>
          <w:tab w:pos="846" w:val="left" w:leader="none"/>
        </w:tabs>
        <w:spacing w:line="225" w:lineRule="auto" w:before="6" w:after="0"/>
        <w:ind w:left="113" w:right="133" w:firstLine="204"/>
        <w:jc w:val="both"/>
        <w:rPr>
          <w:sz w:val="24"/>
        </w:rPr>
      </w:pPr>
      <w:r>
        <w:rPr>
          <w:w w:val="125"/>
          <w:sz w:val="24"/>
        </w:rPr>
        <w:t>Az ügyvezető - az igazgatótanács egyetértésével - egyes feladatok ellátására munkaviszonyon kívüli megbízást adhat ki vagy együttműködési megállapodásokat köthet.</w:t>
      </w:r>
    </w:p>
    <w:p>
      <w:pPr>
        <w:pStyle w:val="ListParagraph"/>
        <w:numPr>
          <w:ilvl w:val="0"/>
          <w:numId w:val="530"/>
        </w:numPr>
        <w:tabs>
          <w:tab w:pos="738" w:val="left" w:leader="none"/>
        </w:tabs>
        <w:spacing w:line="225" w:lineRule="auto" w:before="1" w:after="0"/>
        <w:ind w:left="113" w:right="134" w:firstLine="204"/>
        <w:jc w:val="both"/>
        <w:rPr>
          <w:sz w:val="24"/>
        </w:rPr>
      </w:pPr>
      <w:r>
        <w:rPr>
          <w:w w:val="125"/>
          <w:sz w:val="24"/>
        </w:rPr>
        <w:t>Az OBA vezetője és alkalmazottai tekintetében a munka törvénykönyvéről szóló 2012. évi I. törvény rendelkezéseit kell</w:t>
      </w:r>
      <w:r>
        <w:rPr>
          <w:spacing w:val="2"/>
          <w:w w:val="125"/>
          <w:sz w:val="24"/>
        </w:rPr>
        <w:t> </w:t>
      </w:r>
      <w:r>
        <w:rPr>
          <w:w w:val="125"/>
          <w:sz w:val="24"/>
        </w:rPr>
        <w:t>alkalmazni.</w:t>
      </w:r>
    </w:p>
    <w:p>
      <w:pPr>
        <w:pStyle w:val="BodyText"/>
        <w:spacing w:line="250" w:lineRule="exact"/>
        <w:ind w:left="317" w:firstLine="0"/>
      </w:pPr>
      <w:r>
        <w:rPr>
          <w:rFonts w:ascii="Arial" w:hAnsi="Arial"/>
          <w:b/>
          <w:w w:val="125"/>
        </w:rPr>
        <w:t>226/A. §</w:t>
      </w:r>
      <w:r>
        <w:rPr>
          <w:i/>
          <w:w w:val="125"/>
          <w:position w:val="3"/>
          <w:sz w:val="18"/>
        </w:rPr>
        <w:t>5 </w:t>
      </w:r>
      <w:r>
        <w:rPr>
          <w:w w:val="125"/>
        </w:rPr>
        <w:t>(1) Ha a munkaszervezet törvényben meghatározott, más önálló</w:t>
      </w:r>
    </w:p>
    <w:p>
      <w:pPr>
        <w:pStyle w:val="BodyText"/>
        <w:spacing w:line="225" w:lineRule="auto" w:before="12"/>
        <w:ind w:firstLine="0"/>
      </w:pPr>
      <w:r>
        <w:rPr>
          <w:w w:val="130"/>
        </w:rPr>
        <w:t>jogi</w:t>
      </w:r>
      <w:r>
        <w:rPr>
          <w:spacing w:val="-28"/>
          <w:w w:val="130"/>
        </w:rPr>
        <w:t> </w:t>
      </w:r>
      <w:r>
        <w:rPr>
          <w:w w:val="130"/>
        </w:rPr>
        <w:t>személy</w:t>
      </w:r>
      <w:r>
        <w:rPr>
          <w:spacing w:val="-27"/>
          <w:w w:val="130"/>
        </w:rPr>
        <w:t> </w:t>
      </w:r>
      <w:r>
        <w:rPr>
          <w:w w:val="130"/>
        </w:rPr>
        <w:t>működtetésével</w:t>
      </w:r>
      <w:r>
        <w:rPr>
          <w:spacing w:val="-28"/>
          <w:w w:val="130"/>
        </w:rPr>
        <w:t> </w:t>
      </w:r>
      <w:r>
        <w:rPr>
          <w:w w:val="130"/>
        </w:rPr>
        <w:t>összefüggésben</w:t>
      </w:r>
      <w:r>
        <w:rPr>
          <w:spacing w:val="-27"/>
          <w:w w:val="130"/>
        </w:rPr>
        <w:t> </w:t>
      </w:r>
      <w:r>
        <w:rPr>
          <w:w w:val="130"/>
        </w:rPr>
        <w:t>felmerülő</w:t>
      </w:r>
      <w:r>
        <w:rPr>
          <w:spacing w:val="-27"/>
          <w:w w:val="130"/>
        </w:rPr>
        <w:t> </w:t>
      </w:r>
      <w:r>
        <w:rPr>
          <w:w w:val="130"/>
        </w:rPr>
        <w:t>operatív</w:t>
      </w:r>
      <w:r>
        <w:rPr>
          <w:spacing w:val="-28"/>
          <w:w w:val="130"/>
        </w:rPr>
        <w:t> </w:t>
      </w:r>
      <w:r>
        <w:rPr>
          <w:w w:val="130"/>
        </w:rPr>
        <w:t>feladatokat</w:t>
      </w:r>
      <w:r>
        <w:rPr>
          <w:spacing w:val="-27"/>
          <w:w w:val="130"/>
        </w:rPr>
        <w:t> </w:t>
      </w:r>
      <w:r>
        <w:rPr>
          <w:w w:val="130"/>
        </w:rPr>
        <w:t>is ellát,</w:t>
      </w:r>
      <w:r>
        <w:rPr>
          <w:spacing w:val="-22"/>
          <w:w w:val="130"/>
        </w:rPr>
        <w:t> </w:t>
      </w:r>
      <w:r>
        <w:rPr>
          <w:w w:val="130"/>
        </w:rPr>
        <w:t>a</w:t>
      </w:r>
      <w:r>
        <w:rPr>
          <w:spacing w:val="-24"/>
          <w:w w:val="130"/>
        </w:rPr>
        <w:t> </w:t>
      </w:r>
      <w:r>
        <w:rPr>
          <w:w w:val="130"/>
        </w:rPr>
        <w:t>működtetés</w:t>
      </w:r>
      <w:r>
        <w:rPr>
          <w:spacing w:val="-16"/>
          <w:w w:val="130"/>
        </w:rPr>
        <w:t> </w:t>
      </w:r>
      <w:r>
        <w:rPr>
          <w:w w:val="130"/>
        </w:rPr>
        <w:t>költségeihez</w:t>
      </w:r>
      <w:r>
        <w:rPr>
          <w:spacing w:val="-31"/>
          <w:w w:val="130"/>
        </w:rPr>
        <w:t> </w:t>
      </w:r>
      <w:r>
        <w:rPr>
          <w:w w:val="130"/>
        </w:rPr>
        <w:t>az</w:t>
      </w:r>
      <w:r>
        <w:rPr>
          <w:spacing w:val="-23"/>
          <w:w w:val="130"/>
        </w:rPr>
        <w:t> </w:t>
      </w:r>
      <w:r>
        <w:rPr>
          <w:w w:val="130"/>
        </w:rPr>
        <w:t>érintett</w:t>
      </w:r>
      <w:r>
        <w:rPr>
          <w:spacing w:val="-23"/>
          <w:w w:val="130"/>
        </w:rPr>
        <w:t> </w:t>
      </w:r>
      <w:r>
        <w:rPr>
          <w:w w:val="130"/>
        </w:rPr>
        <w:t>jogi</w:t>
      </w:r>
      <w:r>
        <w:rPr>
          <w:spacing w:val="-23"/>
          <w:w w:val="130"/>
        </w:rPr>
        <w:t> </w:t>
      </w:r>
      <w:r>
        <w:rPr>
          <w:w w:val="130"/>
        </w:rPr>
        <w:t>személy</w:t>
      </w:r>
      <w:r>
        <w:rPr>
          <w:spacing w:val="-22"/>
          <w:w w:val="130"/>
        </w:rPr>
        <w:t> </w:t>
      </w:r>
      <w:r>
        <w:rPr>
          <w:w w:val="130"/>
        </w:rPr>
        <w:t>arányosan</w:t>
      </w:r>
      <w:r>
        <w:rPr>
          <w:spacing w:val="-23"/>
          <w:w w:val="130"/>
        </w:rPr>
        <w:t> </w:t>
      </w:r>
      <w:r>
        <w:rPr>
          <w:w w:val="130"/>
        </w:rPr>
        <w:t>hozzájárul.</w:t>
      </w:r>
    </w:p>
    <w:p>
      <w:pPr>
        <w:pStyle w:val="ListParagraph"/>
        <w:numPr>
          <w:ilvl w:val="0"/>
          <w:numId w:val="531"/>
        </w:numPr>
        <w:tabs>
          <w:tab w:pos="806" w:val="left" w:leader="none"/>
        </w:tabs>
        <w:spacing w:line="225" w:lineRule="auto" w:before="1" w:after="0"/>
        <w:ind w:left="113" w:right="128" w:firstLine="204"/>
        <w:jc w:val="both"/>
        <w:rPr>
          <w:sz w:val="24"/>
        </w:rPr>
      </w:pPr>
      <w:r>
        <w:rPr>
          <w:w w:val="130"/>
          <w:sz w:val="24"/>
        </w:rPr>
        <w:t>A hozzájárulás éves összegéről, valamint megfizetésének módjáról az igazgatótanács az érintett jogi személy irányításáért felelős szervezettel évente megállapodást</w:t>
      </w:r>
      <w:r>
        <w:rPr>
          <w:spacing w:val="-7"/>
          <w:w w:val="130"/>
          <w:sz w:val="24"/>
        </w:rPr>
        <w:t> </w:t>
      </w:r>
      <w:r>
        <w:rPr>
          <w:w w:val="130"/>
          <w:sz w:val="24"/>
        </w:rPr>
        <w:t>köt.</w:t>
      </w:r>
    </w:p>
    <w:p>
      <w:pPr>
        <w:pStyle w:val="ListParagraph"/>
        <w:numPr>
          <w:ilvl w:val="0"/>
          <w:numId w:val="531"/>
        </w:numPr>
        <w:tabs>
          <w:tab w:pos="659" w:val="left" w:leader="none"/>
        </w:tabs>
        <w:spacing w:line="225" w:lineRule="auto" w:before="2" w:after="0"/>
        <w:ind w:left="113" w:right="112" w:firstLine="204"/>
        <w:jc w:val="both"/>
        <w:rPr>
          <w:sz w:val="24"/>
        </w:rPr>
      </w:pPr>
      <w:r>
        <w:rPr>
          <w:i/>
          <w:w w:val="130"/>
          <w:position w:val="3"/>
          <w:sz w:val="18"/>
        </w:rPr>
        <w:t>6 </w:t>
      </w:r>
      <w:r>
        <w:rPr>
          <w:w w:val="130"/>
          <w:sz w:val="24"/>
        </w:rPr>
        <w:t>A munkaszervezet kamarai jogtanácsosa ellátja az (1) bekezdés szerinti jogi személy kamarai jogtanácsosi tevékenységét</w:t>
      </w:r>
      <w:r>
        <w:rPr>
          <w:spacing w:val="-32"/>
          <w:w w:val="130"/>
          <w:sz w:val="24"/>
        </w:rPr>
        <w:t> </w:t>
      </w:r>
      <w:r>
        <w:rPr>
          <w:w w:val="130"/>
          <w:sz w:val="24"/>
        </w:rPr>
        <w:t>is.</w:t>
      </w:r>
    </w:p>
    <w:p>
      <w:pPr>
        <w:pStyle w:val="BodyText"/>
        <w:ind w:left="0" w:firstLine="0"/>
        <w:rPr>
          <w:sz w:val="20"/>
        </w:rPr>
      </w:pPr>
    </w:p>
    <w:p>
      <w:pPr>
        <w:pStyle w:val="BodyText"/>
        <w:ind w:left="0" w:firstLine="0"/>
        <w:rPr>
          <w:sz w:val="20"/>
        </w:rPr>
      </w:pPr>
    </w:p>
    <w:p>
      <w:pPr>
        <w:pStyle w:val="BodyText"/>
        <w:spacing w:before="3"/>
        <w:ind w:left="0" w:firstLine="0"/>
        <w:rPr>
          <w:sz w:val="17"/>
        </w:rPr>
      </w:pPr>
      <w:r>
        <w:rPr/>
        <w:pict>
          <v:line style="position:absolute;mso-position-horizontal-relative:page;mso-position-vertical-relative:paragraph;z-index:2216;mso-wrap-distance-left:0;mso-wrap-distance-right:0" from="56.693001pt,12.171336pt" to="538.583001pt,12.171336pt" stroked="true" strokeweight=".5pt" strokecolor="#000000">
            <v:stroke dashstyle="solid"/>
            <w10:wrap type="topAndBottom"/>
          </v:line>
        </w:pict>
      </w:r>
    </w:p>
    <w:p>
      <w:pPr>
        <w:pStyle w:val="ListParagraph"/>
        <w:numPr>
          <w:ilvl w:val="0"/>
          <w:numId w:val="532"/>
        </w:numPr>
        <w:tabs>
          <w:tab w:pos="686" w:val="left" w:leader="none"/>
          <w:tab w:pos="687" w:val="left" w:leader="none"/>
        </w:tabs>
        <w:spacing w:line="203" w:lineRule="exact" w:before="44" w:after="0"/>
        <w:ind w:left="686" w:right="0" w:hanging="344"/>
        <w:jc w:val="left"/>
        <w:rPr>
          <w:i/>
          <w:sz w:val="18"/>
        </w:rPr>
      </w:pPr>
      <w:r>
        <w:rPr>
          <w:i/>
          <w:w w:val="125"/>
          <w:sz w:val="18"/>
        </w:rPr>
        <w:t>Megállapította: 2016. évi LIII. törvény 127. § (3). Hatályos: 2016. VII.</w:t>
      </w:r>
      <w:r>
        <w:rPr>
          <w:i/>
          <w:spacing w:val="-22"/>
          <w:w w:val="125"/>
          <w:sz w:val="18"/>
        </w:rPr>
        <w:t> </w:t>
      </w:r>
      <w:r>
        <w:rPr>
          <w:i/>
          <w:w w:val="125"/>
          <w:sz w:val="18"/>
        </w:rPr>
        <w:t>1-től.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0"/>
          <w:sz w:val="18"/>
        </w:rPr>
        <w:t>Beiktatta: 2016. évi LIII. törvény 127. § (3). Hatályos: 2016. VII.</w:t>
      </w:r>
      <w:r>
        <w:rPr>
          <w:i/>
          <w:spacing w:val="52"/>
          <w:w w:val="120"/>
          <w:sz w:val="18"/>
        </w:rPr>
        <w:t> </w:t>
      </w:r>
      <w:r>
        <w:rPr>
          <w:i/>
          <w:w w:val="120"/>
          <w:sz w:val="18"/>
        </w:rPr>
        <w:t>1-től.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5"/>
          <w:sz w:val="18"/>
        </w:rPr>
        <w:t>Beiktatta: 2018. évi CXXVI. törvény 111. §. Hatályos: 2018. XII.</w:t>
      </w:r>
      <w:r>
        <w:rPr>
          <w:i/>
          <w:spacing w:val="-17"/>
          <w:w w:val="125"/>
          <w:sz w:val="18"/>
        </w:rPr>
        <w:t> </w:t>
      </w:r>
      <w:r>
        <w:rPr>
          <w:i/>
          <w:w w:val="125"/>
          <w:sz w:val="18"/>
        </w:rPr>
        <w:t>29-től.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5"/>
          <w:sz w:val="18"/>
        </w:rPr>
        <w:t>Megállapította: 2017. évi LXIX. törvény 173. §. Hatályos: 2017. VII.</w:t>
      </w:r>
      <w:r>
        <w:rPr>
          <w:i/>
          <w:spacing w:val="-19"/>
          <w:w w:val="125"/>
          <w:sz w:val="18"/>
        </w:rPr>
        <w:t> </w:t>
      </w:r>
      <w:r>
        <w:rPr>
          <w:i/>
          <w:w w:val="125"/>
          <w:sz w:val="18"/>
        </w:rPr>
        <w:t>1-től.</w:t>
      </w:r>
    </w:p>
    <w:p>
      <w:pPr>
        <w:pStyle w:val="ListParagraph"/>
        <w:numPr>
          <w:ilvl w:val="0"/>
          <w:numId w:val="532"/>
        </w:numPr>
        <w:tabs>
          <w:tab w:pos="686" w:val="left" w:leader="none"/>
          <w:tab w:pos="687" w:val="left" w:leader="none"/>
        </w:tabs>
        <w:spacing w:line="200" w:lineRule="exact" w:before="0" w:after="0"/>
        <w:ind w:left="686" w:right="0" w:hanging="344"/>
        <w:jc w:val="left"/>
        <w:rPr>
          <w:i/>
          <w:sz w:val="18"/>
        </w:rPr>
      </w:pPr>
      <w:r>
        <w:rPr>
          <w:i/>
          <w:w w:val="125"/>
          <w:sz w:val="18"/>
        </w:rPr>
        <w:t>Beiktatta: 2015. évi CCXV. törvény 142. §. Hatályos: 2016. I.</w:t>
      </w:r>
      <w:r>
        <w:rPr>
          <w:i/>
          <w:spacing w:val="-12"/>
          <w:w w:val="125"/>
          <w:sz w:val="18"/>
        </w:rPr>
        <w:t> </w:t>
      </w:r>
      <w:r>
        <w:rPr>
          <w:i/>
          <w:w w:val="125"/>
          <w:sz w:val="18"/>
        </w:rPr>
        <w:t>1-től.</w:t>
      </w:r>
    </w:p>
    <w:p>
      <w:pPr>
        <w:pStyle w:val="ListParagraph"/>
        <w:numPr>
          <w:ilvl w:val="0"/>
          <w:numId w:val="532"/>
        </w:numPr>
        <w:tabs>
          <w:tab w:pos="686" w:val="left" w:leader="none"/>
          <w:tab w:pos="687" w:val="left" w:leader="none"/>
        </w:tabs>
        <w:spacing w:line="203" w:lineRule="exact" w:before="0" w:after="0"/>
        <w:ind w:left="686" w:right="0" w:hanging="344"/>
        <w:jc w:val="left"/>
        <w:rPr>
          <w:i/>
          <w:sz w:val="18"/>
        </w:rPr>
      </w:pPr>
      <w:r>
        <w:rPr>
          <w:i/>
          <w:w w:val="125"/>
          <w:sz w:val="18"/>
        </w:rPr>
        <w:t>Módosította: 2017. évi CXXXVI. törvény 87. §</w:t>
      </w:r>
      <w:r>
        <w:rPr>
          <w:i/>
          <w:spacing w:val="-7"/>
          <w:w w:val="125"/>
          <w:sz w:val="18"/>
        </w:rPr>
        <w:t> </w:t>
      </w:r>
      <w:r>
        <w:rPr>
          <w:i/>
          <w:w w:val="125"/>
          <w:sz w:val="18"/>
        </w:rPr>
        <w:t>a).</w:t>
      </w:r>
    </w:p>
    <w:p>
      <w:pPr>
        <w:spacing w:after="0" w:line="203" w:lineRule="exact"/>
        <w:jc w:val="left"/>
        <w:rPr>
          <w:sz w:val="18"/>
        </w:rPr>
        <w:sectPr>
          <w:pgSz w:w="11900" w:h="16820"/>
          <w:pgMar w:header="1104" w:footer="0" w:top="1840" w:bottom="280" w:left="1020" w:right="1000"/>
        </w:sectPr>
      </w:pPr>
    </w:p>
    <w:p>
      <w:pPr>
        <w:pStyle w:val="ListParagraph"/>
        <w:numPr>
          <w:ilvl w:val="1"/>
          <w:numId w:val="526"/>
        </w:numPr>
        <w:tabs>
          <w:tab w:pos="1096" w:val="left" w:leader="none"/>
        </w:tabs>
        <w:spacing w:line="225" w:lineRule="auto" w:before="172" w:after="0"/>
        <w:ind w:left="113" w:right="126" w:firstLine="204"/>
        <w:jc w:val="both"/>
        <w:rPr>
          <w:sz w:val="24"/>
        </w:rPr>
      </w:pPr>
      <w:r>
        <w:rPr>
          <w:rFonts w:ascii="Arial" w:hAnsi="Arial"/>
          <w:b/>
          <w:w w:val="125"/>
          <w:sz w:val="24"/>
        </w:rPr>
        <w:t>§ </w:t>
      </w:r>
      <w:r>
        <w:rPr>
          <w:w w:val="125"/>
          <w:sz w:val="24"/>
        </w:rPr>
        <w:t>Az igazgatótanács feladatkörében eljárva a megbízásokat az e törvényben meghatározott összeférhetetlenségi szabályok megfelelő alkalmazásával adja ki.</w:t>
      </w:r>
    </w:p>
    <w:p>
      <w:pPr>
        <w:pStyle w:val="BodyText"/>
        <w:spacing w:before="2"/>
        <w:ind w:left="0" w:firstLine="0"/>
        <w:rPr>
          <w:sz w:val="11"/>
        </w:rPr>
      </w:pPr>
    </w:p>
    <w:p>
      <w:pPr>
        <w:pStyle w:val="BodyText"/>
        <w:spacing w:before="99"/>
        <w:ind w:left="3089" w:firstLine="0"/>
      </w:pPr>
      <w:r>
        <w:rPr>
          <w:w w:val="120"/>
        </w:rPr>
        <w:t>94. Az OBA információellátása</w:t>
      </w:r>
    </w:p>
    <w:p>
      <w:pPr>
        <w:pStyle w:val="ListParagraph"/>
        <w:numPr>
          <w:ilvl w:val="1"/>
          <w:numId w:val="526"/>
        </w:numPr>
        <w:tabs>
          <w:tab w:pos="1106" w:val="left" w:leader="none"/>
        </w:tabs>
        <w:spacing w:line="225" w:lineRule="auto" w:before="237" w:after="0"/>
        <w:ind w:left="113" w:right="128" w:firstLine="204"/>
        <w:jc w:val="both"/>
        <w:rPr>
          <w:sz w:val="24"/>
        </w:rPr>
      </w:pPr>
      <w:r>
        <w:rPr>
          <w:rFonts w:ascii="Arial" w:hAnsi="Arial"/>
          <w:b/>
          <w:w w:val="125"/>
          <w:sz w:val="24"/>
        </w:rPr>
        <w:t>§ </w:t>
      </w:r>
      <w:r>
        <w:rPr>
          <w:w w:val="125"/>
          <w:sz w:val="24"/>
        </w:rPr>
        <w:t>(1) Az OBA a hitelintézettől csak a tevékenysége ellátásához szükséges, a Felügyeletnek és a jegybanki feladatkörében eljáró MNB rendelkezésére nem álló adatokat</w:t>
      </w:r>
      <w:r>
        <w:rPr>
          <w:spacing w:val="10"/>
          <w:w w:val="125"/>
          <w:sz w:val="24"/>
        </w:rPr>
        <w:t> </w:t>
      </w:r>
      <w:r>
        <w:rPr>
          <w:w w:val="125"/>
          <w:sz w:val="24"/>
        </w:rPr>
        <w:t>kérhet.</w:t>
      </w:r>
    </w:p>
    <w:p>
      <w:pPr>
        <w:pStyle w:val="ListParagraph"/>
        <w:numPr>
          <w:ilvl w:val="0"/>
          <w:numId w:val="533"/>
        </w:numPr>
        <w:tabs>
          <w:tab w:pos="734" w:val="left" w:leader="none"/>
        </w:tabs>
        <w:spacing w:line="256" w:lineRule="exact" w:before="0" w:after="0"/>
        <w:ind w:left="733" w:right="0" w:hanging="416"/>
        <w:jc w:val="left"/>
        <w:rPr>
          <w:sz w:val="24"/>
        </w:rPr>
      </w:pPr>
      <w:r>
        <w:rPr>
          <w:w w:val="120"/>
          <w:sz w:val="24"/>
        </w:rPr>
        <w:t>Az OBA</w:t>
      </w:r>
      <w:r>
        <w:rPr>
          <w:spacing w:val="6"/>
          <w:w w:val="120"/>
          <w:sz w:val="24"/>
        </w:rPr>
        <w:t> </w:t>
      </w:r>
      <w:r>
        <w:rPr>
          <w:w w:val="120"/>
          <w:sz w:val="24"/>
        </w:rPr>
        <w:t>kérésére</w:t>
      </w:r>
    </w:p>
    <w:p>
      <w:pPr>
        <w:pStyle w:val="ListParagraph"/>
        <w:numPr>
          <w:ilvl w:val="0"/>
          <w:numId w:val="534"/>
        </w:numPr>
        <w:tabs>
          <w:tab w:pos="709" w:val="left" w:leader="none"/>
        </w:tabs>
        <w:spacing w:line="225" w:lineRule="auto" w:before="5" w:after="0"/>
        <w:ind w:left="113" w:right="127" w:firstLine="204"/>
        <w:jc w:val="both"/>
        <w:rPr>
          <w:sz w:val="24"/>
        </w:rPr>
      </w:pPr>
      <w:r>
        <w:rPr>
          <w:w w:val="130"/>
          <w:sz w:val="24"/>
        </w:rPr>
        <w:t>a hitelintézet az e törvényben foglaltaknak megfelelően az OBA által</w:t>
      </w:r>
      <w:r>
        <w:rPr>
          <w:spacing w:val="78"/>
          <w:w w:val="130"/>
          <w:sz w:val="24"/>
        </w:rPr>
        <w:t> </w:t>
      </w:r>
      <w:r>
        <w:rPr>
          <w:w w:val="130"/>
          <w:sz w:val="24"/>
        </w:rPr>
        <w:t>meghatározott adatok,</w:t>
      </w:r>
      <w:r>
        <w:rPr>
          <w:spacing w:val="-7"/>
          <w:w w:val="130"/>
          <w:sz w:val="24"/>
        </w:rPr>
        <w:t> </w:t>
      </w:r>
      <w:r>
        <w:rPr>
          <w:w w:val="130"/>
          <w:sz w:val="24"/>
        </w:rPr>
        <w:t>és</w:t>
      </w:r>
    </w:p>
    <w:p>
      <w:pPr>
        <w:pStyle w:val="ListParagraph"/>
        <w:numPr>
          <w:ilvl w:val="0"/>
          <w:numId w:val="534"/>
        </w:numPr>
        <w:tabs>
          <w:tab w:pos="666" w:val="left" w:leader="none"/>
        </w:tabs>
        <w:spacing w:line="225" w:lineRule="auto" w:before="1" w:after="0"/>
        <w:ind w:left="113" w:right="129" w:firstLine="204"/>
        <w:jc w:val="both"/>
        <w:rPr>
          <w:sz w:val="24"/>
        </w:rPr>
      </w:pPr>
      <w:r>
        <w:rPr>
          <w:w w:val="130"/>
          <w:sz w:val="24"/>
        </w:rPr>
        <w:t>a Felügyelet és a jegybanki feladatkörében eljáró MNB a rendelkezésére álló adatok vonatkozásában információt</w:t>
      </w:r>
      <w:r>
        <w:rPr>
          <w:spacing w:val="-23"/>
          <w:w w:val="130"/>
          <w:sz w:val="24"/>
        </w:rPr>
        <w:t> </w:t>
      </w:r>
      <w:r>
        <w:rPr>
          <w:w w:val="130"/>
          <w:sz w:val="24"/>
        </w:rPr>
        <w:t>ad.</w:t>
      </w:r>
    </w:p>
    <w:p>
      <w:pPr>
        <w:pStyle w:val="ListParagraph"/>
        <w:numPr>
          <w:ilvl w:val="0"/>
          <w:numId w:val="533"/>
        </w:numPr>
        <w:tabs>
          <w:tab w:pos="797" w:val="left" w:leader="none"/>
        </w:tabs>
        <w:spacing w:line="225" w:lineRule="auto" w:before="2" w:after="0"/>
        <w:ind w:left="113" w:right="109" w:firstLine="204"/>
        <w:jc w:val="both"/>
        <w:rPr>
          <w:sz w:val="24"/>
        </w:rPr>
      </w:pPr>
      <w:r>
        <w:rPr>
          <w:w w:val="125"/>
          <w:sz w:val="24"/>
        </w:rPr>
        <w:t>Az OBA-hoz csatlakozott fióktelep vezető állású személye az OBA-nak haladéktalanul - írásban - bejelenti, ha a külföldi hitelintézet vagy annak bármely államban működő fióktelepe fizetésképtelenné</w:t>
      </w:r>
      <w:r>
        <w:rPr>
          <w:spacing w:val="9"/>
          <w:w w:val="125"/>
          <w:sz w:val="24"/>
        </w:rPr>
        <w:t> </w:t>
      </w:r>
      <w:r>
        <w:rPr>
          <w:w w:val="125"/>
          <w:sz w:val="24"/>
        </w:rPr>
        <w:t>vált.</w:t>
      </w:r>
    </w:p>
    <w:p>
      <w:pPr>
        <w:pStyle w:val="ListParagraph"/>
        <w:numPr>
          <w:ilvl w:val="0"/>
          <w:numId w:val="533"/>
        </w:numPr>
        <w:tabs>
          <w:tab w:pos="737" w:val="left" w:leader="none"/>
        </w:tabs>
        <w:spacing w:line="225" w:lineRule="auto" w:before="1" w:after="0"/>
        <w:ind w:left="113" w:right="128" w:firstLine="204"/>
        <w:jc w:val="both"/>
        <w:rPr>
          <w:sz w:val="24"/>
        </w:rPr>
      </w:pPr>
      <w:r>
        <w:rPr>
          <w:w w:val="125"/>
          <w:sz w:val="24"/>
        </w:rPr>
        <w:t>Az OBA a (2) bekezdésben meghatározott adatokat kizárólag feladatainak ellátása érdekében használhatja</w:t>
      </w:r>
      <w:r>
        <w:rPr>
          <w:spacing w:val="5"/>
          <w:w w:val="125"/>
          <w:sz w:val="24"/>
        </w:rPr>
        <w:t> </w:t>
      </w:r>
      <w:r>
        <w:rPr>
          <w:w w:val="125"/>
          <w:sz w:val="24"/>
        </w:rPr>
        <w:t>fel.</w:t>
      </w:r>
    </w:p>
    <w:p>
      <w:pPr>
        <w:pStyle w:val="ListParagraph"/>
        <w:numPr>
          <w:ilvl w:val="0"/>
          <w:numId w:val="533"/>
        </w:numPr>
        <w:tabs>
          <w:tab w:pos="971" w:val="left" w:leader="none"/>
        </w:tabs>
        <w:spacing w:line="225" w:lineRule="auto" w:before="1" w:after="0"/>
        <w:ind w:left="113" w:right="125" w:firstLine="204"/>
        <w:jc w:val="both"/>
        <w:rPr>
          <w:sz w:val="24"/>
        </w:rPr>
      </w:pPr>
      <w:r>
        <w:rPr>
          <w:w w:val="125"/>
          <w:sz w:val="24"/>
        </w:rPr>
        <w:t>A tagintézetek betétbiztosítással kapcsolatos kötelezettségeinek teljesítését - ideértve az adatoknak az OBA kifizető rendszerének megfelelő rendelkezésre állását és a betétek személyenként történő összevonását - a Felügyelet a helyszínen ellenőrzi. Az OBA ellenőrzéssel kapcsolatos javaslatát a Felügyelet figyelembe veszi az éves ellenőrzési tervének</w:t>
      </w:r>
      <w:r>
        <w:rPr>
          <w:spacing w:val="27"/>
          <w:w w:val="125"/>
          <w:sz w:val="24"/>
        </w:rPr>
        <w:t> </w:t>
      </w:r>
      <w:r>
        <w:rPr>
          <w:w w:val="125"/>
          <w:sz w:val="24"/>
        </w:rPr>
        <w:t>kialakításakor.</w:t>
      </w:r>
    </w:p>
    <w:p>
      <w:pPr>
        <w:pStyle w:val="ListParagraph"/>
        <w:numPr>
          <w:ilvl w:val="0"/>
          <w:numId w:val="533"/>
        </w:numPr>
        <w:tabs>
          <w:tab w:pos="659" w:val="left" w:leader="none"/>
        </w:tabs>
        <w:spacing w:line="252" w:lineRule="exact" w:before="0" w:after="0"/>
        <w:ind w:left="658" w:right="0" w:hanging="341"/>
        <w:jc w:val="left"/>
        <w:rPr>
          <w:sz w:val="24"/>
        </w:rPr>
      </w:pPr>
      <w:r>
        <w:rPr>
          <w:i/>
          <w:w w:val="130"/>
          <w:position w:val="3"/>
          <w:sz w:val="18"/>
        </w:rPr>
        <w:t>1 </w:t>
      </w:r>
      <w:r>
        <w:rPr>
          <w:w w:val="130"/>
          <w:sz w:val="24"/>
        </w:rPr>
        <w:t>A tagintézet köteles a betétekre és a betétesekre vonatkozó - a</w:t>
      </w:r>
      <w:r>
        <w:rPr>
          <w:spacing w:val="4"/>
          <w:w w:val="130"/>
          <w:sz w:val="24"/>
        </w:rPr>
        <w:t> </w:t>
      </w:r>
      <w:r>
        <w:rPr>
          <w:w w:val="130"/>
          <w:sz w:val="24"/>
        </w:rPr>
        <w:t>2.</w:t>
      </w:r>
    </w:p>
    <w:p>
      <w:pPr>
        <w:pStyle w:val="BodyText"/>
        <w:spacing w:line="225" w:lineRule="auto" w:before="12"/>
        <w:ind w:right="123" w:firstLine="0"/>
        <w:jc w:val="both"/>
      </w:pPr>
      <w:r>
        <w:rPr>
          <w:w w:val="125"/>
        </w:rPr>
        <w:t>melléklet szerinti - azonosító adatokat oly módon nyilvántartani, hogy azok a kártalanítás végrehajtása céljából, az OBA által kérteknek megfelelően az OBA kérésére három munkanapon belül átadhatóak legyenek.</w:t>
      </w:r>
    </w:p>
    <w:p>
      <w:pPr>
        <w:pStyle w:val="ListParagraph"/>
        <w:numPr>
          <w:ilvl w:val="0"/>
          <w:numId w:val="533"/>
        </w:numPr>
        <w:tabs>
          <w:tab w:pos="659" w:val="left" w:leader="none"/>
        </w:tabs>
        <w:spacing w:line="225" w:lineRule="auto" w:before="2" w:after="0"/>
        <w:ind w:left="113" w:right="130" w:firstLine="204"/>
        <w:jc w:val="both"/>
        <w:rPr>
          <w:sz w:val="24"/>
        </w:rPr>
      </w:pPr>
      <w:r>
        <w:rPr>
          <w:i/>
          <w:w w:val="125"/>
          <w:position w:val="3"/>
          <w:sz w:val="18"/>
        </w:rPr>
        <w:t>2 </w:t>
      </w:r>
      <w:r>
        <w:rPr>
          <w:w w:val="125"/>
          <w:sz w:val="24"/>
        </w:rPr>
        <w:t>Az OBA a tagintézetek által megküldött adatállományok alapján legalább háromévente, indokolt esetben gyakrabban teszteli kifizető rendszerének működését. A tesztelés érdekében a tagintézetek által megküldött adatokat az OBA kizárólag a teszteléshez használja fel, a tesztelést követően törli az adatokat.</w:t>
      </w:r>
    </w:p>
    <w:p>
      <w:pPr>
        <w:pStyle w:val="ListParagraph"/>
        <w:numPr>
          <w:ilvl w:val="0"/>
          <w:numId w:val="533"/>
        </w:numPr>
        <w:tabs>
          <w:tab w:pos="837" w:val="left" w:leader="none"/>
        </w:tabs>
        <w:spacing w:line="225" w:lineRule="auto" w:before="3" w:after="0"/>
        <w:ind w:left="113" w:right="127" w:firstLine="204"/>
        <w:jc w:val="both"/>
        <w:rPr>
          <w:sz w:val="24"/>
        </w:rPr>
      </w:pPr>
      <w:r>
        <w:rPr>
          <w:w w:val="130"/>
          <w:sz w:val="24"/>
        </w:rPr>
        <w:t>Kártalanítás esetén a hitelintézet az OBA erre vonatkozó igényének közlését követő három munkanapon belül az OBA rendelkezésére bocsátja a betétnyilvántartásainak az OBA kifizető rendszere által történő</w:t>
      </w:r>
      <w:r>
        <w:rPr>
          <w:spacing w:val="78"/>
          <w:w w:val="130"/>
          <w:sz w:val="24"/>
        </w:rPr>
        <w:t> </w:t>
      </w:r>
      <w:r>
        <w:rPr>
          <w:w w:val="130"/>
          <w:sz w:val="24"/>
        </w:rPr>
        <w:t>feldolgozásához szükséges átalakító programot, valamint biztosítja a betétállományára</w:t>
      </w:r>
      <w:r>
        <w:rPr>
          <w:spacing w:val="-32"/>
          <w:w w:val="130"/>
          <w:sz w:val="24"/>
        </w:rPr>
        <w:t> </w:t>
      </w:r>
      <w:r>
        <w:rPr>
          <w:w w:val="130"/>
          <w:sz w:val="24"/>
        </w:rPr>
        <w:t>vonatkozó</w:t>
      </w:r>
      <w:r>
        <w:rPr>
          <w:spacing w:val="-31"/>
          <w:w w:val="130"/>
          <w:sz w:val="24"/>
        </w:rPr>
        <w:t> </w:t>
      </w:r>
      <w:r>
        <w:rPr>
          <w:w w:val="130"/>
          <w:sz w:val="24"/>
        </w:rPr>
        <w:t>adatoknak</w:t>
      </w:r>
      <w:r>
        <w:rPr>
          <w:spacing w:val="-32"/>
          <w:w w:val="130"/>
          <w:sz w:val="24"/>
        </w:rPr>
        <w:t> </w:t>
      </w:r>
      <w:r>
        <w:rPr>
          <w:w w:val="130"/>
          <w:sz w:val="24"/>
        </w:rPr>
        <w:t>az</w:t>
      </w:r>
      <w:r>
        <w:rPr>
          <w:spacing w:val="-32"/>
          <w:w w:val="130"/>
          <w:sz w:val="24"/>
        </w:rPr>
        <w:t> </w:t>
      </w:r>
      <w:r>
        <w:rPr>
          <w:w w:val="130"/>
          <w:sz w:val="24"/>
        </w:rPr>
        <w:t>OBA</w:t>
      </w:r>
      <w:r>
        <w:rPr>
          <w:spacing w:val="-31"/>
          <w:w w:val="130"/>
          <w:sz w:val="24"/>
        </w:rPr>
        <w:t> </w:t>
      </w:r>
      <w:r>
        <w:rPr>
          <w:w w:val="130"/>
          <w:sz w:val="24"/>
        </w:rPr>
        <w:t>kifizető</w:t>
      </w:r>
      <w:r>
        <w:rPr>
          <w:spacing w:val="-32"/>
          <w:w w:val="130"/>
          <w:sz w:val="24"/>
        </w:rPr>
        <w:t> </w:t>
      </w:r>
      <w:r>
        <w:rPr>
          <w:w w:val="130"/>
          <w:sz w:val="24"/>
        </w:rPr>
        <w:t>rendszere</w:t>
      </w:r>
      <w:r>
        <w:rPr>
          <w:spacing w:val="-31"/>
          <w:w w:val="130"/>
          <w:sz w:val="24"/>
        </w:rPr>
        <w:t> </w:t>
      </w:r>
      <w:r>
        <w:rPr>
          <w:w w:val="130"/>
          <w:sz w:val="24"/>
        </w:rPr>
        <w:t>által</w:t>
      </w:r>
      <w:r>
        <w:rPr>
          <w:spacing w:val="-32"/>
          <w:w w:val="130"/>
          <w:sz w:val="24"/>
        </w:rPr>
        <w:t> </w:t>
      </w:r>
      <w:r>
        <w:rPr>
          <w:w w:val="130"/>
          <w:sz w:val="24"/>
        </w:rPr>
        <w:t>történő feldolgozhatóságát.</w:t>
      </w:r>
    </w:p>
    <w:p>
      <w:pPr>
        <w:pStyle w:val="ListParagraph"/>
        <w:numPr>
          <w:ilvl w:val="0"/>
          <w:numId w:val="533"/>
        </w:numPr>
        <w:tabs>
          <w:tab w:pos="659" w:val="left" w:leader="none"/>
          <w:tab w:pos="1044" w:val="left" w:leader="none"/>
          <w:tab w:pos="2807" w:val="left" w:leader="none"/>
          <w:tab w:pos="3878" w:val="left" w:leader="none"/>
          <w:tab w:pos="4293" w:val="left" w:leader="none"/>
          <w:tab w:pos="5947" w:val="left" w:leader="none"/>
          <w:tab w:pos="6363" w:val="left" w:leader="none"/>
          <w:tab w:pos="7169" w:val="left" w:leader="none"/>
          <w:tab w:pos="7579" w:val="left" w:leader="none"/>
          <w:tab w:pos="8175" w:val="left" w:leader="none"/>
        </w:tabs>
        <w:spacing w:line="251" w:lineRule="exact" w:before="0" w:after="0"/>
        <w:ind w:left="658" w:right="0" w:hanging="341"/>
        <w:jc w:val="left"/>
        <w:rPr>
          <w:sz w:val="24"/>
        </w:rPr>
      </w:pPr>
      <w:r>
        <w:rPr>
          <w:i/>
          <w:w w:val="130"/>
          <w:position w:val="3"/>
          <w:sz w:val="18"/>
        </w:rPr>
        <w:t>3</w:t>
        <w:tab/>
      </w:r>
      <w:r>
        <w:rPr>
          <w:w w:val="130"/>
          <w:sz w:val="24"/>
        </w:rPr>
        <w:t>Kártalanítás</w:t>
        <w:tab/>
        <w:t>esetén</w:t>
        <w:tab/>
        <w:t>a</w:t>
        <w:tab/>
        <w:t>hitelintézet</w:t>
        <w:tab/>
        <w:t>a</w:t>
        <w:tab/>
        <w:t>213.</w:t>
        <w:tab/>
        <w:t>§</w:t>
        <w:tab/>
        <w:t>(3)</w:t>
        <w:tab/>
        <w:t>bekezdésben</w:t>
      </w:r>
    </w:p>
    <w:p>
      <w:pPr>
        <w:pStyle w:val="BodyText"/>
        <w:spacing w:line="225" w:lineRule="auto" w:before="12"/>
        <w:ind w:right="121" w:firstLine="0"/>
        <w:jc w:val="both"/>
      </w:pPr>
      <w:r>
        <w:rPr>
          <w:w w:val="125"/>
        </w:rPr>
        <w:t>meghatározott feltétel teljesülésének ellenőrzése érdekében haladéktalanul megkeresi a számlával, betéttel rendelkező helyi önkormányzatokat. A helyi önkormányzat a kincstár által kiállított igazolást megküldi a  hitelintézet  részére és a hitelintézet ennek alapján átadja az OBA-nak a betétbiztosítás alá tartozó helyi önkormányzatok betétállományára vonatkozó</w:t>
      </w:r>
      <w:r>
        <w:rPr>
          <w:spacing w:val="18"/>
          <w:w w:val="125"/>
        </w:rPr>
        <w:t> </w:t>
      </w:r>
      <w:r>
        <w:rPr>
          <w:w w:val="125"/>
        </w:rPr>
        <w:t>adatokat.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12"/>
        </w:rPr>
      </w:pPr>
      <w:r>
        <w:rPr/>
        <w:pict>
          <v:line style="position:absolute;mso-position-horizontal-relative:page;mso-position-vertical-relative:paragraph;z-index:2240;mso-wrap-distance-left:0;mso-wrap-distance-right:0" from="56.693001pt,9.265086pt" to="538.583001pt,9.265086pt" stroked="true" strokeweight=".5pt" strokecolor="#000000">
            <v:stroke dashstyle="solid"/>
            <w10:wrap type="topAndBottom"/>
          </v:line>
        </w:pict>
      </w:r>
    </w:p>
    <w:p>
      <w:pPr>
        <w:pStyle w:val="ListParagraph"/>
        <w:numPr>
          <w:ilvl w:val="0"/>
          <w:numId w:val="535"/>
        </w:numPr>
        <w:tabs>
          <w:tab w:pos="686" w:val="left" w:leader="none"/>
          <w:tab w:pos="687" w:val="left" w:leader="none"/>
        </w:tabs>
        <w:spacing w:line="232" w:lineRule="auto" w:before="49" w:after="0"/>
        <w:ind w:left="686" w:right="273" w:hanging="344"/>
        <w:jc w:val="left"/>
        <w:rPr>
          <w:i/>
          <w:sz w:val="18"/>
        </w:rPr>
      </w:pPr>
      <w:r>
        <w:rPr>
          <w:i/>
          <w:w w:val="120"/>
          <w:sz w:val="18"/>
        </w:rPr>
        <w:t>Megállapította: 2014. évi CIV. törvény 81. § (1). Módosította: 2018. évi CXXVI. törvény 120. § 13., 2014. évi CIV. törvény 96. §</w:t>
      </w:r>
      <w:r>
        <w:rPr>
          <w:i/>
          <w:spacing w:val="17"/>
          <w:w w:val="120"/>
          <w:sz w:val="18"/>
        </w:rPr>
        <w:t> </w:t>
      </w:r>
      <w:r>
        <w:rPr>
          <w:i/>
          <w:w w:val="120"/>
          <w:sz w:val="18"/>
        </w:rPr>
        <w:t>(5).</w:t>
      </w:r>
    </w:p>
    <w:p>
      <w:pPr>
        <w:pStyle w:val="ListParagraph"/>
        <w:numPr>
          <w:ilvl w:val="0"/>
          <w:numId w:val="535"/>
        </w:numPr>
        <w:tabs>
          <w:tab w:pos="686" w:val="left" w:leader="none"/>
          <w:tab w:pos="687" w:val="left" w:leader="none"/>
        </w:tabs>
        <w:spacing w:line="197" w:lineRule="exact" w:before="0" w:after="0"/>
        <w:ind w:left="686" w:right="0" w:hanging="344"/>
        <w:jc w:val="left"/>
        <w:rPr>
          <w:i/>
          <w:sz w:val="18"/>
        </w:rPr>
      </w:pPr>
      <w:r>
        <w:rPr>
          <w:i/>
          <w:w w:val="125"/>
          <w:sz w:val="18"/>
        </w:rPr>
        <w:t>Megállapította: 2014. évi CIV. törvény 81. § (1). Hatályos: 2015. VII.</w:t>
      </w:r>
      <w:r>
        <w:rPr>
          <w:i/>
          <w:spacing w:val="-22"/>
          <w:w w:val="125"/>
          <w:sz w:val="18"/>
        </w:rPr>
        <w:t> </w:t>
      </w:r>
      <w:r>
        <w:rPr>
          <w:i/>
          <w:w w:val="125"/>
          <w:sz w:val="18"/>
        </w:rPr>
        <w:t>3-tól.</w:t>
      </w:r>
    </w:p>
    <w:p>
      <w:pPr>
        <w:pStyle w:val="ListParagraph"/>
        <w:numPr>
          <w:ilvl w:val="0"/>
          <w:numId w:val="535"/>
        </w:numPr>
        <w:tabs>
          <w:tab w:pos="686" w:val="left" w:leader="none"/>
          <w:tab w:pos="687" w:val="left" w:leader="none"/>
        </w:tabs>
        <w:spacing w:line="203" w:lineRule="exact" w:before="0" w:after="0"/>
        <w:ind w:left="686" w:right="0" w:hanging="344"/>
        <w:jc w:val="left"/>
        <w:rPr>
          <w:i/>
          <w:sz w:val="18"/>
        </w:rPr>
      </w:pPr>
      <w:r>
        <w:rPr>
          <w:i/>
          <w:w w:val="120"/>
          <w:sz w:val="18"/>
        </w:rPr>
        <w:t>Beiktatta: 2014. évi CIV. törvény 81. § (2). Hatályos: 2015. VII.</w:t>
      </w:r>
      <w:r>
        <w:rPr>
          <w:i/>
          <w:spacing w:val="49"/>
          <w:w w:val="120"/>
          <w:sz w:val="18"/>
        </w:rPr>
        <w:t> </w:t>
      </w:r>
      <w:r>
        <w:rPr>
          <w:i/>
          <w:w w:val="120"/>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1"/>
          <w:numId w:val="526"/>
        </w:numPr>
        <w:tabs>
          <w:tab w:pos="1067" w:val="left" w:leader="none"/>
        </w:tabs>
        <w:spacing w:line="225" w:lineRule="auto" w:before="172" w:after="0"/>
        <w:ind w:left="113" w:right="125" w:firstLine="204"/>
        <w:jc w:val="both"/>
        <w:rPr>
          <w:sz w:val="24"/>
        </w:rPr>
      </w:pPr>
      <w:r>
        <w:rPr>
          <w:rFonts w:ascii="Arial" w:hAnsi="Arial"/>
          <w:b/>
          <w:w w:val="125"/>
          <w:sz w:val="24"/>
        </w:rPr>
        <w:t>§ </w:t>
      </w:r>
      <w:r>
        <w:rPr>
          <w:w w:val="125"/>
          <w:sz w:val="24"/>
        </w:rPr>
        <w:t>(1) Az OBA-val munkaviszonyban, munkavégzésre irányuló egyéb jogviszonyban, megbízási jogviszonyban álló személy, valamint az igazgatótanács tagja a feladata ellátásával kapcsolatban tudomására jutott banktitkot, üzleti titkot, továbbá minden olyan adatot, tényt vagy körülményt, amelyet törvény előírásai szerint az OBA nem köteles más hatóságok, illetve a nyilvánosság számára hozzáférhetővé tenni, az adat jellege szerinti titokként köteles megőrizni.</w:t>
      </w:r>
    </w:p>
    <w:p>
      <w:pPr>
        <w:pStyle w:val="BodyText"/>
        <w:spacing w:line="252" w:lineRule="exact"/>
        <w:ind w:left="317" w:firstLine="0"/>
      </w:pPr>
      <w:r>
        <w:rPr>
          <w:w w:val="125"/>
        </w:rPr>
        <w:t>(2)</w:t>
      </w:r>
      <w:r>
        <w:rPr>
          <w:i/>
          <w:w w:val="125"/>
          <w:position w:val="3"/>
          <w:sz w:val="18"/>
        </w:rPr>
        <w:t>1 </w:t>
      </w:r>
      <w:r>
        <w:rPr>
          <w:w w:val="125"/>
        </w:rPr>
        <w:t>Az</w:t>
      </w:r>
      <w:r>
        <w:rPr>
          <w:spacing w:val="53"/>
          <w:w w:val="125"/>
        </w:rPr>
        <w:t> </w:t>
      </w:r>
      <w:r>
        <w:rPr>
          <w:w w:val="125"/>
        </w:rPr>
        <w:t>üzleti</w:t>
      </w:r>
      <w:r>
        <w:rPr>
          <w:spacing w:val="52"/>
          <w:w w:val="125"/>
        </w:rPr>
        <w:t> </w:t>
      </w:r>
      <w:r>
        <w:rPr>
          <w:w w:val="125"/>
        </w:rPr>
        <w:t>titok</w:t>
      </w:r>
      <w:r>
        <w:rPr>
          <w:spacing w:val="53"/>
          <w:w w:val="125"/>
        </w:rPr>
        <w:t> </w:t>
      </w:r>
      <w:r>
        <w:rPr>
          <w:w w:val="125"/>
        </w:rPr>
        <w:t>védelméről</w:t>
      </w:r>
      <w:r>
        <w:rPr>
          <w:spacing w:val="52"/>
          <w:w w:val="125"/>
        </w:rPr>
        <w:t> </w:t>
      </w:r>
      <w:r>
        <w:rPr>
          <w:w w:val="125"/>
        </w:rPr>
        <w:t>szóló</w:t>
      </w:r>
      <w:r>
        <w:rPr>
          <w:spacing w:val="53"/>
          <w:w w:val="125"/>
        </w:rPr>
        <w:t> </w:t>
      </w:r>
      <w:r>
        <w:rPr>
          <w:w w:val="125"/>
        </w:rPr>
        <w:t>2018.</w:t>
      </w:r>
      <w:r>
        <w:rPr>
          <w:spacing w:val="52"/>
          <w:w w:val="125"/>
        </w:rPr>
        <w:t> </w:t>
      </w:r>
      <w:r>
        <w:rPr>
          <w:w w:val="125"/>
        </w:rPr>
        <w:t>évi</w:t>
      </w:r>
      <w:r>
        <w:rPr>
          <w:spacing w:val="63"/>
          <w:w w:val="125"/>
        </w:rPr>
        <w:t> </w:t>
      </w:r>
      <w:r>
        <w:rPr>
          <w:w w:val="125"/>
        </w:rPr>
        <w:t>LIV. törvény</w:t>
      </w:r>
      <w:r>
        <w:rPr>
          <w:spacing w:val="53"/>
          <w:w w:val="125"/>
        </w:rPr>
        <w:t> </w:t>
      </w:r>
      <w:r>
        <w:rPr>
          <w:w w:val="125"/>
        </w:rPr>
        <w:t>üzleti</w:t>
      </w:r>
      <w:r>
        <w:rPr>
          <w:spacing w:val="52"/>
          <w:w w:val="125"/>
        </w:rPr>
        <w:t> </w:t>
      </w:r>
      <w:r>
        <w:rPr>
          <w:w w:val="125"/>
        </w:rPr>
        <w:t>titokra</w:t>
      </w:r>
    </w:p>
    <w:p>
      <w:pPr>
        <w:pStyle w:val="BodyText"/>
        <w:spacing w:line="225" w:lineRule="auto" w:before="12"/>
        <w:ind w:right="129" w:firstLine="0"/>
        <w:jc w:val="both"/>
      </w:pPr>
      <w:r>
        <w:rPr>
          <w:w w:val="125"/>
        </w:rPr>
        <w:t>vonatkozó szabályait kell alkalmazni különösen a 209. § (8) bekezdésében foglalt megállapodással, illetve együttműködéssel összefüggően keletkezett, a külföldi betétbiztosítási rendszer vagy külföldi felügyeleti hatóság -  általa üzleti titokként kezelt - adatára, azzal, hogy ez nem veszélyeztetheti az OBA által ellátott közfeladatokkal kapcsolatos adatok</w:t>
      </w:r>
      <w:r>
        <w:rPr>
          <w:spacing w:val="13"/>
          <w:w w:val="125"/>
        </w:rPr>
        <w:t> </w:t>
      </w:r>
      <w:r>
        <w:rPr>
          <w:w w:val="125"/>
        </w:rPr>
        <w:t>nyilvánosságát.</w:t>
      </w:r>
    </w:p>
    <w:p>
      <w:pPr>
        <w:pStyle w:val="ListParagraph"/>
        <w:numPr>
          <w:ilvl w:val="1"/>
          <w:numId w:val="526"/>
        </w:numPr>
        <w:tabs>
          <w:tab w:pos="1054" w:val="left" w:leader="none"/>
        </w:tabs>
        <w:spacing w:line="225" w:lineRule="auto" w:before="2" w:after="0"/>
        <w:ind w:left="113" w:right="126" w:firstLine="204"/>
        <w:jc w:val="both"/>
        <w:rPr>
          <w:sz w:val="24"/>
        </w:rPr>
      </w:pPr>
      <w:r>
        <w:rPr>
          <w:rFonts w:ascii="Arial" w:hAnsi="Arial"/>
          <w:b/>
          <w:w w:val="120"/>
          <w:sz w:val="24"/>
        </w:rPr>
        <w:t>§ </w:t>
      </w:r>
      <w:r>
        <w:rPr>
          <w:w w:val="120"/>
          <w:sz w:val="24"/>
        </w:rPr>
        <w:t>Kártérítési igény az OBA-val szemben a  jogellenesen  okozott  kár  miatt csak akkor érvényesíthető,  ha  megállapítható,  hogy  az  OBA  eljárása  vagy</w:t>
      </w:r>
      <w:r>
        <w:rPr>
          <w:spacing w:val="23"/>
          <w:w w:val="120"/>
          <w:sz w:val="24"/>
        </w:rPr>
        <w:t> </w:t>
      </w:r>
      <w:r>
        <w:rPr>
          <w:w w:val="120"/>
          <w:sz w:val="24"/>
        </w:rPr>
        <w:t>mulasztása</w:t>
      </w:r>
      <w:r>
        <w:rPr>
          <w:spacing w:val="23"/>
          <w:w w:val="120"/>
          <w:sz w:val="24"/>
        </w:rPr>
        <w:t> </w:t>
      </w:r>
      <w:r>
        <w:rPr>
          <w:w w:val="120"/>
          <w:sz w:val="24"/>
        </w:rPr>
        <w:t>törvénysértő</w:t>
      </w:r>
      <w:r>
        <w:rPr>
          <w:spacing w:val="24"/>
          <w:w w:val="120"/>
          <w:sz w:val="24"/>
        </w:rPr>
        <w:t> </w:t>
      </w:r>
      <w:r>
        <w:rPr>
          <w:w w:val="120"/>
          <w:sz w:val="24"/>
        </w:rPr>
        <w:t>volt,</w:t>
      </w:r>
      <w:r>
        <w:rPr>
          <w:spacing w:val="23"/>
          <w:w w:val="120"/>
          <w:sz w:val="24"/>
        </w:rPr>
        <w:t> </w:t>
      </w:r>
      <w:r>
        <w:rPr>
          <w:w w:val="120"/>
          <w:sz w:val="24"/>
        </w:rPr>
        <w:t>és</w:t>
      </w:r>
      <w:r>
        <w:rPr>
          <w:spacing w:val="23"/>
          <w:w w:val="120"/>
          <w:sz w:val="24"/>
        </w:rPr>
        <w:t> </w:t>
      </w:r>
      <w:r>
        <w:rPr>
          <w:w w:val="120"/>
          <w:sz w:val="24"/>
        </w:rPr>
        <w:t>a</w:t>
      </w:r>
      <w:r>
        <w:rPr>
          <w:spacing w:val="24"/>
          <w:w w:val="120"/>
          <w:sz w:val="24"/>
        </w:rPr>
        <w:t> </w:t>
      </w:r>
      <w:r>
        <w:rPr>
          <w:w w:val="120"/>
          <w:sz w:val="24"/>
        </w:rPr>
        <w:t>bekövetkezett</w:t>
      </w:r>
      <w:r>
        <w:rPr>
          <w:spacing w:val="24"/>
          <w:w w:val="120"/>
          <w:sz w:val="24"/>
        </w:rPr>
        <w:t> </w:t>
      </w:r>
      <w:r>
        <w:rPr>
          <w:w w:val="120"/>
          <w:sz w:val="24"/>
        </w:rPr>
        <w:t>kárt</w:t>
      </w:r>
      <w:r>
        <w:rPr>
          <w:spacing w:val="24"/>
          <w:w w:val="120"/>
          <w:sz w:val="24"/>
        </w:rPr>
        <w:t> </w:t>
      </w:r>
      <w:r>
        <w:rPr>
          <w:w w:val="120"/>
          <w:sz w:val="24"/>
        </w:rPr>
        <w:t>ez</w:t>
      </w:r>
      <w:r>
        <w:rPr>
          <w:spacing w:val="23"/>
          <w:w w:val="120"/>
          <w:sz w:val="24"/>
        </w:rPr>
        <w:t> </w:t>
      </w:r>
      <w:r>
        <w:rPr>
          <w:w w:val="120"/>
          <w:sz w:val="24"/>
        </w:rPr>
        <w:t>idézte</w:t>
      </w:r>
      <w:r>
        <w:rPr>
          <w:spacing w:val="23"/>
          <w:w w:val="120"/>
          <w:sz w:val="24"/>
        </w:rPr>
        <w:t> </w:t>
      </w:r>
      <w:r>
        <w:rPr>
          <w:w w:val="120"/>
          <w:sz w:val="24"/>
        </w:rPr>
        <w:t>elő.</w:t>
      </w:r>
    </w:p>
    <w:p>
      <w:pPr>
        <w:pStyle w:val="BodyText"/>
        <w:spacing w:before="228"/>
        <w:ind w:left="2245" w:firstLine="0"/>
      </w:pPr>
      <w:r>
        <w:rPr>
          <w:w w:val="120"/>
        </w:rPr>
        <w:t>95. Az OBA számlavezetése és pénzkezelése</w:t>
      </w:r>
    </w:p>
    <w:p>
      <w:pPr>
        <w:pStyle w:val="ListParagraph"/>
        <w:numPr>
          <w:ilvl w:val="1"/>
          <w:numId w:val="526"/>
        </w:numPr>
        <w:tabs>
          <w:tab w:pos="1077" w:val="left" w:leader="none"/>
        </w:tabs>
        <w:spacing w:line="225" w:lineRule="auto" w:before="236" w:after="0"/>
        <w:ind w:left="113" w:right="123" w:firstLine="204"/>
        <w:jc w:val="both"/>
        <w:rPr>
          <w:sz w:val="24"/>
        </w:rPr>
      </w:pPr>
      <w:r>
        <w:rPr>
          <w:rFonts w:ascii="Arial" w:hAnsi="Arial"/>
          <w:b/>
          <w:w w:val="120"/>
          <w:sz w:val="24"/>
        </w:rPr>
        <w:t>§ </w:t>
      </w:r>
      <w:r>
        <w:rPr>
          <w:w w:val="120"/>
          <w:sz w:val="24"/>
        </w:rPr>
        <w:t>(1) Az OBA pénzforgalmi számláján jóváírandók az OBA összes pénzbevételei, beleértve a működésből származó bevételeket is, ugyanakkor a pénzforgalmi számlát meg kell terhelni a működéssel  kapcsolatos pénzkiadásokkal, valamint a biztosítási jellegű tevékenységből eredő kifizetésekkel.</w:t>
      </w:r>
    </w:p>
    <w:p>
      <w:pPr>
        <w:pStyle w:val="ListParagraph"/>
        <w:numPr>
          <w:ilvl w:val="0"/>
          <w:numId w:val="536"/>
        </w:numPr>
        <w:tabs>
          <w:tab w:pos="659" w:val="left" w:leader="none"/>
        </w:tabs>
        <w:spacing w:line="251" w:lineRule="exact" w:before="0" w:after="0"/>
        <w:ind w:left="658" w:right="0" w:hanging="341"/>
        <w:jc w:val="left"/>
        <w:rPr>
          <w:sz w:val="24"/>
        </w:rPr>
      </w:pPr>
      <w:r>
        <w:rPr>
          <w:i/>
          <w:w w:val="125"/>
          <w:position w:val="3"/>
          <w:sz w:val="18"/>
        </w:rPr>
        <w:t>2</w:t>
      </w:r>
      <w:r>
        <w:rPr>
          <w:i/>
          <w:spacing w:val="55"/>
          <w:w w:val="125"/>
          <w:position w:val="3"/>
          <w:sz w:val="18"/>
        </w:rPr>
        <w:t> </w:t>
      </w:r>
      <w:r>
        <w:rPr>
          <w:w w:val="125"/>
          <w:sz w:val="24"/>
        </w:rPr>
        <w:t>Az</w:t>
      </w:r>
      <w:r>
        <w:rPr>
          <w:spacing w:val="26"/>
          <w:w w:val="125"/>
          <w:sz w:val="24"/>
        </w:rPr>
        <w:t> </w:t>
      </w:r>
      <w:r>
        <w:rPr>
          <w:w w:val="125"/>
          <w:sz w:val="24"/>
        </w:rPr>
        <w:t>OBA</w:t>
      </w:r>
      <w:r>
        <w:rPr>
          <w:spacing w:val="31"/>
          <w:w w:val="125"/>
          <w:sz w:val="24"/>
        </w:rPr>
        <w:t> </w:t>
      </w:r>
      <w:r>
        <w:rPr>
          <w:w w:val="125"/>
          <w:sz w:val="24"/>
        </w:rPr>
        <w:t>pénzeszközeit</w:t>
      </w:r>
      <w:r>
        <w:rPr>
          <w:spacing w:val="31"/>
          <w:w w:val="125"/>
          <w:sz w:val="24"/>
        </w:rPr>
        <w:t> </w:t>
      </w:r>
      <w:r>
        <w:rPr>
          <w:w w:val="125"/>
          <w:sz w:val="24"/>
        </w:rPr>
        <w:t>-</w:t>
      </w:r>
      <w:r>
        <w:rPr>
          <w:spacing w:val="31"/>
          <w:w w:val="125"/>
          <w:sz w:val="24"/>
        </w:rPr>
        <w:t> </w:t>
      </w:r>
      <w:r>
        <w:rPr>
          <w:w w:val="125"/>
          <w:sz w:val="24"/>
        </w:rPr>
        <w:t>a</w:t>
      </w:r>
      <w:r>
        <w:rPr>
          <w:spacing w:val="32"/>
          <w:w w:val="125"/>
          <w:sz w:val="24"/>
        </w:rPr>
        <w:t> </w:t>
      </w:r>
      <w:r>
        <w:rPr>
          <w:w w:val="125"/>
          <w:sz w:val="24"/>
        </w:rPr>
        <w:t>házipénztárt,</w:t>
      </w:r>
      <w:r>
        <w:rPr>
          <w:spacing w:val="39"/>
          <w:w w:val="125"/>
          <w:sz w:val="24"/>
        </w:rPr>
        <w:t> </w:t>
      </w:r>
      <w:r>
        <w:rPr>
          <w:w w:val="125"/>
          <w:sz w:val="24"/>
        </w:rPr>
        <w:t>a</w:t>
      </w:r>
      <w:r>
        <w:rPr>
          <w:spacing w:val="24"/>
          <w:w w:val="125"/>
          <w:sz w:val="24"/>
        </w:rPr>
        <w:t> </w:t>
      </w:r>
      <w:r>
        <w:rPr>
          <w:w w:val="125"/>
          <w:sz w:val="24"/>
        </w:rPr>
        <w:t>pénzforgalmi</w:t>
      </w:r>
      <w:r>
        <w:rPr>
          <w:spacing w:val="31"/>
          <w:w w:val="125"/>
          <w:sz w:val="24"/>
        </w:rPr>
        <w:t> </w:t>
      </w:r>
      <w:r>
        <w:rPr>
          <w:w w:val="125"/>
          <w:sz w:val="24"/>
        </w:rPr>
        <w:t>számlán</w:t>
      </w:r>
      <w:r>
        <w:rPr>
          <w:spacing w:val="32"/>
          <w:w w:val="125"/>
          <w:sz w:val="24"/>
        </w:rPr>
        <w:t> </w:t>
      </w:r>
      <w:r>
        <w:rPr>
          <w:w w:val="125"/>
          <w:sz w:val="24"/>
        </w:rPr>
        <w:t>tartott</w:t>
      </w:r>
    </w:p>
    <w:p>
      <w:pPr>
        <w:pStyle w:val="BodyText"/>
        <w:spacing w:line="225" w:lineRule="auto" w:before="12"/>
        <w:ind w:right="124" w:firstLine="0"/>
        <w:jc w:val="both"/>
      </w:pPr>
      <w:r>
        <w:rPr>
          <w:w w:val="125"/>
        </w:rPr>
        <w:t>likviditási tartalékot, valamint a kifizetés lebonyolítására vagy más, az OBA működéséhez szükséges célra hitelintézethez átutalt összeget kivéve - diverzifikált módon állampapírban vagy az MNB-nél elhelyezett betétben kell tartani.</w:t>
      </w:r>
    </w:p>
    <w:p>
      <w:pPr>
        <w:pStyle w:val="ListParagraph"/>
        <w:numPr>
          <w:ilvl w:val="0"/>
          <w:numId w:val="536"/>
        </w:numPr>
        <w:tabs>
          <w:tab w:pos="815" w:val="left" w:leader="none"/>
        </w:tabs>
        <w:spacing w:line="225" w:lineRule="auto" w:before="2" w:after="0"/>
        <w:ind w:left="113" w:right="132" w:firstLine="204"/>
        <w:jc w:val="left"/>
        <w:rPr>
          <w:sz w:val="24"/>
        </w:rPr>
      </w:pPr>
      <w:r>
        <w:rPr>
          <w:w w:val="125"/>
          <w:sz w:val="24"/>
        </w:rPr>
        <w:t>Az OBA esetleges nyereségét kizárólag a saját tőkéjének növelésére fordíthatja.</w:t>
      </w:r>
    </w:p>
    <w:p>
      <w:pPr>
        <w:pStyle w:val="BodyText"/>
        <w:spacing w:before="3"/>
        <w:ind w:left="0" w:firstLine="0"/>
        <w:rPr>
          <w:sz w:val="11"/>
        </w:rPr>
      </w:pPr>
    </w:p>
    <w:p>
      <w:pPr>
        <w:pStyle w:val="BodyText"/>
        <w:spacing w:before="98"/>
        <w:ind w:left="3730" w:firstLine="0"/>
      </w:pPr>
      <w:r>
        <w:rPr>
          <w:w w:val="120"/>
        </w:rPr>
        <w:t>96. Az OBA forrásai</w:t>
      </w:r>
    </w:p>
    <w:p>
      <w:pPr>
        <w:pStyle w:val="ListParagraph"/>
        <w:numPr>
          <w:ilvl w:val="1"/>
          <w:numId w:val="526"/>
        </w:numPr>
        <w:tabs>
          <w:tab w:pos="985" w:val="left" w:leader="none"/>
        </w:tabs>
        <w:spacing w:line="269" w:lineRule="exact" w:before="223" w:after="0"/>
        <w:ind w:left="984" w:right="0" w:hanging="667"/>
        <w:jc w:val="left"/>
        <w:rPr>
          <w:sz w:val="24"/>
        </w:rPr>
      </w:pPr>
      <w:r>
        <w:rPr>
          <w:rFonts w:ascii="Arial" w:hAnsi="Arial"/>
          <w:b/>
          <w:w w:val="115"/>
          <w:sz w:val="24"/>
        </w:rPr>
        <w:t>§ </w:t>
      </w:r>
      <w:r>
        <w:rPr>
          <w:w w:val="115"/>
          <w:sz w:val="24"/>
        </w:rPr>
        <w:t>(1) Az OBA</w:t>
      </w:r>
      <w:r>
        <w:rPr>
          <w:spacing w:val="27"/>
          <w:w w:val="115"/>
          <w:sz w:val="24"/>
        </w:rPr>
        <w:t> </w:t>
      </w:r>
      <w:r>
        <w:rPr>
          <w:w w:val="115"/>
          <w:sz w:val="24"/>
        </w:rPr>
        <w:t>forrásai:</w:t>
      </w:r>
    </w:p>
    <w:p>
      <w:pPr>
        <w:pStyle w:val="ListParagraph"/>
        <w:numPr>
          <w:ilvl w:val="0"/>
          <w:numId w:val="537"/>
        </w:numPr>
        <w:tabs>
          <w:tab w:pos="631" w:val="left" w:leader="none"/>
        </w:tabs>
        <w:spacing w:line="253" w:lineRule="exact" w:before="0" w:after="0"/>
        <w:ind w:left="630" w:right="0" w:hanging="313"/>
        <w:jc w:val="left"/>
        <w:rPr>
          <w:sz w:val="24"/>
        </w:rPr>
      </w:pPr>
      <w:r>
        <w:rPr>
          <w:w w:val="130"/>
          <w:sz w:val="24"/>
        </w:rPr>
        <w:t>a csatlakozási</w:t>
      </w:r>
      <w:r>
        <w:rPr>
          <w:spacing w:val="1"/>
          <w:w w:val="130"/>
          <w:sz w:val="24"/>
        </w:rPr>
        <w:t> </w:t>
      </w:r>
      <w:r>
        <w:rPr>
          <w:w w:val="130"/>
          <w:sz w:val="24"/>
        </w:rPr>
        <w:t>díj,</w:t>
      </w:r>
    </w:p>
    <w:p>
      <w:pPr>
        <w:pStyle w:val="ListParagraph"/>
        <w:numPr>
          <w:ilvl w:val="0"/>
          <w:numId w:val="537"/>
        </w:numPr>
        <w:tabs>
          <w:tab w:pos="653" w:val="left" w:leader="none"/>
        </w:tabs>
        <w:spacing w:line="267" w:lineRule="exact" w:before="0" w:after="0"/>
        <w:ind w:left="652" w:right="0" w:hanging="335"/>
        <w:jc w:val="left"/>
        <w:rPr>
          <w:sz w:val="24"/>
        </w:rPr>
      </w:pPr>
      <w:r>
        <w:rPr>
          <w:w w:val="130"/>
          <w:sz w:val="24"/>
        </w:rPr>
        <w:t>hitelintézetek</w:t>
      </w:r>
      <w:r>
        <w:rPr>
          <w:spacing w:val="-26"/>
          <w:w w:val="130"/>
          <w:sz w:val="24"/>
        </w:rPr>
        <w:t> </w:t>
      </w:r>
      <w:r>
        <w:rPr>
          <w:w w:val="130"/>
          <w:sz w:val="24"/>
        </w:rPr>
        <w:t>által</w:t>
      </w:r>
      <w:r>
        <w:rPr>
          <w:spacing w:val="-17"/>
          <w:w w:val="130"/>
          <w:sz w:val="24"/>
        </w:rPr>
        <w:t> </w:t>
      </w:r>
      <w:r>
        <w:rPr>
          <w:w w:val="130"/>
          <w:sz w:val="24"/>
        </w:rPr>
        <w:t>teljesített</w:t>
      </w:r>
      <w:r>
        <w:rPr>
          <w:spacing w:val="-17"/>
          <w:w w:val="130"/>
          <w:sz w:val="24"/>
        </w:rPr>
        <w:t> </w:t>
      </w:r>
      <w:r>
        <w:rPr>
          <w:w w:val="130"/>
          <w:sz w:val="24"/>
        </w:rPr>
        <w:t>rendszeres,</w:t>
      </w:r>
      <w:r>
        <w:rPr>
          <w:spacing w:val="-9"/>
          <w:w w:val="130"/>
          <w:sz w:val="24"/>
        </w:rPr>
        <w:t> </w:t>
      </w:r>
      <w:r>
        <w:rPr>
          <w:w w:val="130"/>
          <w:sz w:val="24"/>
        </w:rPr>
        <w:t>illetve</w:t>
      </w:r>
      <w:r>
        <w:rPr>
          <w:spacing w:val="-16"/>
          <w:w w:val="130"/>
          <w:sz w:val="24"/>
        </w:rPr>
        <w:t> </w:t>
      </w:r>
      <w:r>
        <w:rPr>
          <w:w w:val="130"/>
          <w:sz w:val="24"/>
        </w:rPr>
        <w:t>rendkívüli</w:t>
      </w:r>
      <w:r>
        <w:rPr>
          <w:spacing w:val="-26"/>
          <w:w w:val="130"/>
          <w:sz w:val="24"/>
        </w:rPr>
        <w:t> </w:t>
      </w:r>
      <w:r>
        <w:rPr>
          <w:w w:val="130"/>
          <w:sz w:val="24"/>
        </w:rPr>
        <w:t>éves</w:t>
      </w:r>
      <w:r>
        <w:rPr>
          <w:spacing w:val="-17"/>
          <w:w w:val="130"/>
          <w:sz w:val="24"/>
        </w:rPr>
        <w:t> </w:t>
      </w:r>
      <w:r>
        <w:rPr>
          <w:w w:val="130"/>
          <w:sz w:val="24"/>
        </w:rPr>
        <w:t>befizetés,</w:t>
      </w:r>
    </w:p>
    <w:p>
      <w:pPr>
        <w:pStyle w:val="ListParagraph"/>
        <w:numPr>
          <w:ilvl w:val="0"/>
          <w:numId w:val="537"/>
        </w:numPr>
        <w:tabs>
          <w:tab w:pos="623" w:val="left" w:leader="none"/>
        </w:tabs>
        <w:spacing w:line="260" w:lineRule="exact" w:before="0" w:after="0"/>
        <w:ind w:left="622" w:right="0" w:hanging="305"/>
        <w:jc w:val="left"/>
        <w:rPr>
          <w:sz w:val="24"/>
        </w:rPr>
      </w:pPr>
      <w:r>
        <w:rPr>
          <w:w w:val="125"/>
          <w:sz w:val="24"/>
        </w:rPr>
        <w:t>az OBA által felvett</w:t>
      </w:r>
      <w:r>
        <w:rPr>
          <w:spacing w:val="-3"/>
          <w:w w:val="125"/>
          <w:sz w:val="24"/>
        </w:rPr>
        <w:t> </w:t>
      </w:r>
      <w:r>
        <w:rPr>
          <w:w w:val="125"/>
          <w:sz w:val="24"/>
        </w:rPr>
        <w:t>kölcsön,</w:t>
      </w:r>
    </w:p>
    <w:p>
      <w:pPr>
        <w:pStyle w:val="ListParagraph"/>
        <w:numPr>
          <w:ilvl w:val="0"/>
          <w:numId w:val="537"/>
        </w:numPr>
        <w:tabs>
          <w:tab w:pos="653" w:val="left" w:leader="none"/>
        </w:tabs>
        <w:spacing w:line="260" w:lineRule="exact" w:before="0" w:after="0"/>
        <w:ind w:left="652" w:right="0" w:hanging="335"/>
        <w:jc w:val="left"/>
        <w:rPr>
          <w:sz w:val="24"/>
        </w:rPr>
      </w:pPr>
      <w:r>
        <w:rPr>
          <w:w w:val="125"/>
          <w:sz w:val="24"/>
        </w:rPr>
        <w:t>egyéb bevétel,</w:t>
      </w:r>
      <w:r>
        <w:rPr>
          <w:spacing w:val="-10"/>
          <w:w w:val="125"/>
          <w:sz w:val="24"/>
        </w:rPr>
        <w:t> </w:t>
      </w:r>
      <w:r>
        <w:rPr>
          <w:w w:val="125"/>
          <w:sz w:val="24"/>
        </w:rPr>
        <w:t>valamint</w:t>
      </w:r>
    </w:p>
    <w:p>
      <w:pPr>
        <w:pStyle w:val="ListParagraph"/>
        <w:numPr>
          <w:ilvl w:val="0"/>
          <w:numId w:val="537"/>
        </w:numPr>
        <w:tabs>
          <w:tab w:pos="629" w:val="left" w:leader="none"/>
        </w:tabs>
        <w:spacing w:line="225" w:lineRule="auto" w:before="5" w:after="0"/>
        <w:ind w:left="317" w:right="5216" w:firstLine="0"/>
        <w:jc w:val="left"/>
        <w:rPr>
          <w:sz w:val="24"/>
        </w:rPr>
      </w:pPr>
      <w:r>
        <w:rPr>
          <w:w w:val="120"/>
          <w:sz w:val="24"/>
        </w:rPr>
        <w:t>az OBA által kibocsátott kötvény. (2)</w:t>
      </w:r>
      <w:r>
        <w:rPr>
          <w:i/>
          <w:w w:val="120"/>
          <w:position w:val="3"/>
          <w:sz w:val="18"/>
        </w:rPr>
        <w:t>3 </w:t>
      </w:r>
      <w:r>
        <w:rPr>
          <w:w w:val="120"/>
          <w:sz w:val="24"/>
        </w:rPr>
        <w:t>Az OBA kölcsönt vehet</w:t>
      </w:r>
      <w:r>
        <w:rPr>
          <w:spacing w:val="-24"/>
          <w:w w:val="120"/>
          <w:sz w:val="24"/>
        </w:rPr>
        <w:t> </w:t>
      </w:r>
      <w:r>
        <w:rPr>
          <w:w w:val="120"/>
          <w:sz w:val="24"/>
        </w:rPr>
        <w:t>fel</w:t>
      </w:r>
    </w:p>
    <w:p>
      <w:pPr>
        <w:pStyle w:val="ListParagraph"/>
        <w:numPr>
          <w:ilvl w:val="0"/>
          <w:numId w:val="538"/>
        </w:numPr>
        <w:tabs>
          <w:tab w:pos="657" w:val="left" w:leader="none"/>
        </w:tabs>
        <w:spacing w:line="225" w:lineRule="auto" w:before="1" w:after="0"/>
        <w:ind w:left="113" w:right="128" w:firstLine="204"/>
        <w:jc w:val="left"/>
        <w:rPr>
          <w:sz w:val="24"/>
        </w:rPr>
      </w:pPr>
      <w:r>
        <w:rPr>
          <w:w w:val="125"/>
          <w:sz w:val="24"/>
        </w:rPr>
        <w:t>a 211. § (1) bekezdés </w:t>
      </w:r>
      <w:r>
        <w:rPr>
          <w:i/>
          <w:w w:val="125"/>
          <w:sz w:val="24"/>
        </w:rPr>
        <w:t>b) </w:t>
      </w:r>
      <w:r>
        <w:rPr>
          <w:w w:val="125"/>
          <w:sz w:val="24"/>
        </w:rPr>
        <w:t>és </w:t>
      </w:r>
      <w:r>
        <w:rPr>
          <w:i/>
          <w:w w:val="125"/>
          <w:sz w:val="24"/>
        </w:rPr>
        <w:t>d) </w:t>
      </w:r>
      <w:r>
        <w:rPr>
          <w:w w:val="125"/>
          <w:sz w:val="24"/>
        </w:rPr>
        <w:t>pontja szerinti feladatok ellátása érdekében az MNB-től,</w:t>
      </w:r>
      <w:r>
        <w:rPr>
          <w:spacing w:val="9"/>
          <w:w w:val="125"/>
          <w:sz w:val="24"/>
        </w:rPr>
        <w:t> </w:t>
      </w:r>
      <w:r>
        <w:rPr>
          <w:w w:val="125"/>
          <w:sz w:val="24"/>
        </w:rPr>
        <w:t>illetve</w:t>
      </w:r>
    </w:p>
    <w:p>
      <w:pPr>
        <w:pStyle w:val="ListParagraph"/>
        <w:numPr>
          <w:ilvl w:val="0"/>
          <w:numId w:val="538"/>
        </w:numPr>
        <w:tabs>
          <w:tab w:pos="664" w:val="left" w:leader="none"/>
        </w:tabs>
        <w:spacing w:line="225" w:lineRule="auto" w:before="1" w:after="0"/>
        <w:ind w:left="113" w:right="128" w:firstLine="204"/>
        <w:jc w:val="left"/>
        <w:rPr>
          <w:sz w:val="24"/>
        </w:rPr>
      </w:pPr>
      <w:r>
        <w:rPr>
          <w:w w:val="130"/>
          <w:sz w:val="24"/>
        </w:rPr>
        <w:t>a 211. § (1) bekezdés </w:t>
      </w:r>
      <w:r>
        <w:rPr>
          <w:i/>
          <w:w w:val="130"/>
          <w:sz w:val="24"/>
        </w:rPr>
        <w:t>b) </w:t>
      </w:r>
      <w:r>
        <w:rPr>
          <w:w w:val="130"/>
          <w:sz w:val="24"/>
        </w:rPr>
        <w:t>és </w:t>
      </w:r>
      <w:r>
        <w:rPr>
          <w:i/>
          <w:w w:val="130"/>
          <w:sz w:val="24"/>
        </w:rPr>
        <w:t>d) </w:t>
      </w:r>
      <w:r>
        <w:rPr>
          <w:w w:val="130"/>
          <w:sz w:val="24"/>
        </w:rPr>
        <w:t>pontja szerinti feladatok ellátása, valamint az</w:t>
      </w:r>
      <w:r>
        <w:rPr>
          <w:spacing w:val="-11"/>
          <w:w w:val="130"/>
          <w:sz w:val="24"/>
        </w:rPr>
        <w:t> </w:t>
      </w:r>
      <w:r>
        <w:rPr>
          <w:i/>
          <w:w w:val="130"/>
          <w:sz w:val="24"/>
        </w:rPr>
        <w:t>a)</w:t>
      </w:r>
      <w:r>
        <w:rPr>
          <w:i/>
          <w:spacing w:val="-10"/>
          <w:w w:val="130"/>
          <w:sz w:val="24"/>
        </w:rPr>
        <w:t> </w:t>
      </w:r>
      <w:r>
        <w:rPr>
          <w:w w:val="130"/>
          <w:sz w:val="24"/>
        </w:rPr>
        <w:t>pont</w:t>
      </w:r>
      <w:r>
        <w:rPr>
          <w:spacing w:val="-10"/>
          <w:w w:val="130"/>
          <w:sz w:val="24"/>
        </w:rPr>
        <w:t> </w:t>
      </w:r>
      <w:r>
        <w:rPr>
          <w:w w:val="130"/>
          <w:sz w:val="24"/>
        </w:rPr>
        <w:t>szerinti</w:t>
      </w:r>
      <w:r>
        <w:rPr>
          <w:spacing w:val="-9"/>
          <w:w w:val="130"/>
          <w:sz w:val="24"/>
        </w:rPr>
        <w:t> </w:t>
      </w:r>
      <w:r>
        <w:rPr>
          <w:w w:val="130"/>
          <w:sz w:val="24"/>
        </w:rPr>
        <w:t>kölcsön</w:t>
      </w:r>
      <w:r>
        <w:rPr>
          <w:spacing w:val="3"/>
          <w:w w:val="130"/>
          <w:sz w:val="24"/>
        </w:rPr>
        <w:t> </w:t>
      </w:r>
      <w:r>
        <w:rPr>
          <w:w w:val="130"/>
          <w:sz w:val="24"/>
        </w:rPr>
        <w:t>visszafizetése</w:t>
      </w:r>
      <w:r>
        <w:rPr>
          <w:spacing w:val="-11"/>
          <w:w w:val="130"/>
          <w:sz w:val="24"/>
        </w:rPr>
        <w:t> </w:t>
      </w:r>
      <w:r>
        <w:rPr>
          <w:w w:val="130"/>
          <w:sz w:val="24"/>
        </w:rPr>
        <w:t>érdekében</w:t>
      </w:r>
      <w:r>
        <w:rPr>
          <w:spacing w:val="-24"/>
          <w:w w:val="130"/>
          <w:sz w:val="24"/>
        </w:rPr>
        <w:t> </w:t>
      </w:r>
      <w:r>
        <w:rPr>
          <w:w w:val="130"/>
          <w:sz w:val="24"/>
        </w:rPr>
        <w:t>hitelintézettől.</w:t>
      </w:r>
    </w:p>
    <w:p>
      <w:pPr>
        <w:pStyle w:val="ListParagraph"/>
        <w:numPr>
          <w:ilvl w:val="0"/>
          <w:numId w:val="539"/>
        </w:numPr>
        <w:tabs>
          <w:tab w:pos="659" w:val="left" w:leader="none"/>
        </w:tabs>
        <w:spacing w:line="225" w:lineRule="auto" w:before="2" w:after="0"/>
        <w:ind w:left="113" w:right="126" w:firstLine="204"/>
        <w:jc w:val="both"/>
        <w:rPr>
          <w:sz w:val="24"/>
        </w:rPr>
      </w:pPr>
      <w:r>
        <w:rPr>
          <w:i/>
          <w:w w:val="125"/>
          <w:position w:val="3"/>
          <w:sz w:val="18"/>
        </w:rPr>
        <w:t>4 </w:t>
      </w:r>
      <w:r>
        <w:rPr>
          <w:w w:val="125"/>
          <w:sz w:val="24"/>
        </w:rPr>
        <w:t>Az OBA a 211. § (1) bekezdés </w:t>
      </w:r>
      <w:r>
        <w:rPr>
          <w:i/>
          <w:w w:val="125"/>
          <w:sz w:val="24"/>
        </w:rPr>
        <w:t>b) </w:t>
      </w:r>
      <w:r>
        <w:rPr>
          <w:w w:val="125"/>
          <w:sz w:val="24"/>
        </w:rPr>
        <w:t>és </w:t>
      </w:r>
      <w:r>
        <w:rPr>
          <w:i/>
          <w:w w:val="125"/>
          <w:sz w:val="24"/>
        </w:rPr>
        <w:t>d) </w:t>
      </w:r>
      <w:r>
        <w:rPr>
          <w:w w:val="125"/>
          <w:sz w:val="24"/>
        </w:rPr>
        <w:t>pontja szerinti feladatok ellátása, valamint a (2) bekezdés szerinti kölcsönök visszafizetése érdekében kötvényt bocsáthat</w:t>
      </w:r>
      <w:r>
        <w:rPr>
          <w:spacing w:val="1"/>
          <w:w w:val="125"/>
          <w:sz w:val="24"/>
        </w:rPr>
        <w:t> </w:t>
      </w:r>
      <w:r>
        <w:rPr>
          <w:w w:val="125"/>
          <w:sz w:val="24"/>
        </w:rPr>
        <w:t>ki.</w:t>
      </w:r>
    </w:p>
    <w:p>
      <w:pPr>
        <w:pStyle w:val="BodyText"/>
        <w:spacing w:before="9"/>
        <w:ind w:left="0" w:firstLine="0"/>
        <w:rPr>
          <w:sz w:val="27"/>
        </w:rPr>
      </w:pPr>
      <w:r>
        <w:rPr/>
        <w:pict>
          <v:line style="position:absolute;mso-position-horizontal-relative:page;mso-position-vertical-relative:paragraph;z-index:2264;mso-wrap-distance-left:0;mso-wrap-distance-right:0" from="56.693001pt,18.192629pt" to="538.583001pt,18.192629pt" stroked="true" strokeweight=".5pt" strokecolor="#000000">
            <v:stroke dashstyle="solid"/>
            <w10:wrap type="topAndBottom"/>
          </v:line>
        </w:pict>
      </w:r>
    </w:p>
    <w:p>
      <w:pPr>
        <w:pStyle w:val="ListParagraph"/>
        <w:numPr>
          <w:ilvl w:val="0"/>
          <w:numId w:val="540"/>
        </w:numPr>
        <w:tabs>
          <w:tab w:pos="686" w:val="left" w:leader="none"/>
          <w:tab w:pos="687" w:val="left" w:leader="none"/>
        </w:tabs>
        <w:spacing w:line="203" w:lineRule="exact" w:before="44" w:after="0"/>
        <w:ind w:left="686" w:right="0" w:hanging="344"/>
        <w:jc w:val="left"/>
        <w:rPr>
          <w:i/>
          <w:sz w:val="18"/>
        </w:rPr>
      </w:pPr>
      <w:r>
        <w:rPr>
          <w:i/>
          <w:w w:val="125"/>
          <w:sz w:val="18"/>
        </w:rPr>
        <w:t>Módosította: 2018. évi LIV. törvény 38.</w:t>
      </w:r>
      <w:r>
        <w:rPr>
          <w:i/>
          <w:spacing w:val="-3"/>
          <w:w w:val="125"/>
          <w:sz w:val="18"/>
        </w:rPr>
        <w:t> </w:t>
      </w:r>
      <w:r>
        <w:rPr>
          <w:i/>
          <w:w w:val="125"/>
          <w:sz w:val="18"/>
        </w:rPr>
        <w:t>§.</w:t>
      </w:r>
    </w:p>
    <w:p>
      <w:pPr>
        <w:pStyle w:val="ListParagraph"/>
        <w:numPr>
          <w:ilvl w:val="0"/>
          <w:numId w:val="540"/>
        </w:numPr>
        <w:tabs>
          <w:tab w:pos="686" w:val="left" w:leader="none"/>
          <w:tab w:pos="687" w:val="left" w:leader="none"/>
        </w:tabs>
        <w:spacing w:line="200"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14.</w:t>
      </w:r>
    </w:p>
    <w:p>
      <w:pPr>
        <w:pStyle w:val="ListParagraph"/>
        <w:numPr>
          <w:ilvl w:val="0"/>
          <w:numId w:val="540"/>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2"/>
          <w:w w:val="125"/>
          <w:sz w:val="18"/>
        </w:rPr>
        <w:t> </w:t>
      </w:r>
      <w:r>
        <w:rPr>
          <w:i/>
          <w:w w:val="125"/>
          <w:sz w:val="18"/>
        </w:rPr>
        <w:t>törvény</w:t>
      </w:r>
      <w:r>
        <w:rPr>
          <w:i/>
          <w:spacing w:val="-13"/>
          <w:w w:val="125"/>
          <w:sz w:val="18"/>
        </w:rPr>
        <w:t> </w:t>
      </w:r>
      <w:r>
        <w:rPr>
          <w:i/>
          <w:w w:val="125"/>
          <w:sz w:val="18"/>
        </w:rPr>
        <w:t>226.</w:t>
      </w:r>
      <w:r>
        <w:rPr>
          <w:i/>
          <w:spacing w:val="-13"/>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2015.</w:t>
      </w:r>
      <w:r>
        <w:rPr>
          <w:i/>
          <w:spacing w:val="-13"/>
          <w:w w:val="125"/>
          <w:sz w:val="18"/>
        </w:rPr>
        <w:t> </w:t>
      </w:r>
      <w:r>
        <w:rPr>
          <w:i/>
          <w:w w:val="125"/>
          <w:sz w:val="18"/>
        </w:rPr>
        <w:t>VII.</w:t>
      </w:r>
      <w:r>
        <w:rPr>
          <w:i/>
          <w:spacing w:val="-13"/>
          <w:w w:val="125"/>
          <w:sz w:val="18"/>
        </w:rPr>
        <w:t> </w:t>
      </w:r>
      <w:r>
        <w:rPr>
          <w:i/>
          <w:w w:val="125"/>
          <w:sz w:val="18"/>
        </w:rPr>
        <w:t>4-től.</w:t>
      </w:r>
    </w:p>
    <w:p>
      <w:pPr>
        <w:pStyle w:val="ListParagraph"/>
        <w:numPr>
          <w:ilvl w:val="0"/>
          <w:numId w:val="540"/>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2"/>
          <w:w w:val="125"/>
          <w:sz w:val="18"/>
        </w:rPr>
        <w:t> </w:t>
      </w:r>
      <w:r>
        <w:rPr>
          <w:i/>
          <w:w w:val="125"/>
          <w:sz w:val="18"/>
        </w:rPr>
        <w:t>törvény</w:t>
      </w:r>
      <w:r>
        <w:rPr>
          <w:i/>
          <w:spacing w:val="-13"/>
          <w:w w:val="125"/>
          <w:sz w:val="18"/>
        </w:rPr>
        <w:t> </w:t>
      </w:r>
      <w:r>
        <w:rPr>
          <w:i/>
          <w:w w:val="125"/>
          <w:sz w:val="18"/>
        </w:rPr>
        <w:t>226.</w:t>
      </w:r>
      <w:r>
        <w:rPr>
          <w:i/>
          <w:spacing w:val="-13"/>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2015.</w:t>
      </w:r>
      <w:r>
        <w:rPr>
          <w:i/>
          <w:spacing w:val="-13"/>
          <w:w w:val="125"/>
          <w:sz w:val="18"/>
        </w:rPr>
        <w:t> </w:t>
      </w:r>
      <w:r>
        <w:rPr>
          <w:i/>
          <w:w w:val="125"/>
          <w:sz w:val="18"/>
        </w:rPr>
        <w:t>VII.</w:t>
      </w:r>
      <w:r>
        <w:rPr>
          <w:i/>
          <w:spacing w:val="-13"/>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ListParagraph"/>
        <w:numPr>
          <w:ilvl w:val="0"/>
          <w:numId w:val="539"/>
        </w:numPr>
        <w:tabs>
          <w:tab w:pos="659" w:val="left" w:leader="none"/>
          <w:tab w:pos="1083" w:val="left" w:leader="none"/>
          <w:tab w:pos="1695" w:val="left" w:leader="none"/>
          <w:tab w:pos="2673" w:val="left" w:leader="none"/>
          <w:tab w:pos="4193" w:val="left" w:leader="none"/>
          <w:tab w:pos="5718" w:val="left" w:leader="none"/>
          <w:tab w:pos="6570" w:val="left" w:leader="none"/>
          <w:tab w:pos="7137" w:val="left" w:leader="none"/>
          <w:tab w:pos="7997" w:val="left" w:leader="none"/>
          <w:tab w:pos="8878" w:val="left" w:leader="none"/>
        </w:tabs>
        <w:spacing w:line="261" w:lineRule="exact" w:before="159" w:after="0"/>
        <w:ind w:left="658" w:right="0" w:hanging="341"/>
        <w:jc w:val="left"/>
        <w:rPr>
          <w:sz w:val="24"/>
        </w:rPr>
      </w:pPr>
      <w:r>
        <w:rPr>
          <w:i/>
          <w:w w:val="125"/>
          <w:position w:val="3"/>
          <w:sz w:val="18"/>
        </w:rPr>
        <w:t>1</w:t>
        <w:tab/>
      </w:r>
      <w:r>
        <w:rPr>
          <w:w w:val="125"/>
          <w:sz w:val="24"/>
        </w:rPr>
        <w:t>Az</w:t>
        <w:tab/>
        <w:t>állam</w:t>
        <w:tab/>
        <w:t>készfizető</w:t>
        <w:tab/>
        <w:t>kezesként</w:t>
        <w:tab/>
        <w:t>felel</w:t>
        <w:tab/>
        <w:t>az</w:t>
        <w:tab/>
        <w:t>OBA</w:t>
        <w:tab/>
        <w:t>azon</w:t>
        <w:tab/>
        <w:t>fizetési</w:t>
      </w:r>
    </w:p>
    <w:p>
      <w:pPr>
        <w:pStyle w:val="BodyText"/>
        <w:spacing w:line="225" w:lineRule="auto" w:before="12"/>
        <w:ind w:right="126" w:firstLine="0"/>
        <w:jc w:val="both"/>
      </w:pPr>
      <w:r>
        <w:rPr>
          <w:w w:val="125"/>
        </w:rPr>
        <w:t>kötelezettségeiért, amelyek a (2) bekezdés szerinti kötelezettségei teljesítése érdekében felvett - az államháztartásért felelős miniszter által jóváhagyott összegű - kölcsöneiből és kötvénykibocsátásából erednek. Az OBA kötelezettségei biztosítékaként az állami készfizető kezességvállaláson túl a hitelező további biztosíték előírására nem köteles. Az állami  kezességvállalásért az OBA-nak kezességvállalási díjat nem kell</w:t>
      </w:r>
      <w:r>
        <w:rPr>
          <w:spacing w:val="-13"/>
          <w:w w:val="125"/>
        </w:rPr>
        <w:t> </w:t>
      </w:r>
      <w:r>
        <w:rPr>
          <w:w w:val="125"/>
        </w:rPr>
        <w:t>fizetnie.</w:t>
      </w:r>
    </w:p>
    <w:p>
      <w:pPr>
        <w:pStyle w:val="BodyText"/>
        <w:spacing w:before="230"/>
        <w:ind w:left="3751" w:firstLine="0"/>
      </w:pPr>
      <w:r>
        <w:rPr>
          <w:w w:val="125"/>
        </w:rPr>
        <w:t>97. Csatlakozási díj</w:t>
      </w:r>
    </w:p>
    <w:p>
      <w:pPr>
        <w:pStyle w:val="ListParagraph"/>
        <w:numPr>
          <w:ilvl w:val="1"/>
          <w:numId w:val="526"/>
        </w:numPr>
        <w:tabs>
          <w:tab w:pos="987" w:val="left" w:leader="none"/>
        </w:tabs>
        <w:spacing w:line="225" w:lineRule="auto" w:before="237" w:after="0"/>
        <w:ind w:left="113" w:right="125" w:firstLine="204"/>
        <w:jc w:val="both"/>
        <w:rPr>
          <w:sz w:val="24"/>
        </w:rPr>
      </w:pPr>
      <w:r>
        <w:rPr>
          <w:rFonts w:ascii="Arial" w:hAnsi="Arial"/>
          <w:b/>
          <w:w w:val="125"/>
          <w:sz w:val="24"/>
        </w:rPr>
        <w:t>§</w:t>
      </w:r>
      <w:r>
        <w:rPr>
          <w:rFonts w:ascii="Arial" w:hAnsi="Arial"/>
          <w:b/>
          <w:spacing w:val="-17"/>
          <w:w w:val="125"/>
          <w:sz w:val="24"/>
        </w:rPr>
        <w:t> </w:t>
      </w:r>
      <w:r>
        <w:rPr>
          <w:w w:val="125"/>
          <w:sz w:val="24"/>
        </w:rPr>
        <w:t>Az</w:t>
      </w:r>
      <w:r>
        <w:rPr>
          <w:spacing w:val="-15"/>
          <w:w w:val="125"/>
          <w:sz w:val="24"/>
        </w:rPr>
        <w:t> </w:t>
      </w:r>
      <w:r>
        <w:rPr>
          <w:w w:val="125"/>
          <w:sz w:val="24"/>
        </w:rPr>
        <w:t>OBA-hoz</w:t>
      </w:r>
      <w:r>
        <w:rPr>
          <w:spacing w:val="-15"/>
          <w:w w:val="125"/>
          <w:sz w:val="24"/>
        </w:rPr>
        <w:t> </w:t>
      </w:r>
      <w:r>
        <w:rPr>
          <w:w w:val="125"/>
          <w:sz w:val="24"/>
        </w:rPr>
        <w:t>csatlakozó</w:t>
      </w:r>
      <w:r>
        <w:rPr>
          <w:spacing w:val="-9"/>
          <w:w w:val="125"/>
          <w:sz w:val="24"/>
        </w:rPr>
        <w:t> </w:t>
      </w:r>
      <w:r>
        <w:rPr>
          <w:w w:val="125"/>
          <w:sz w:val="24"/>
        </w:rPr>
        <w:t>hitelintézet</w:t>
      </w:r>
      <w:r>
        <w:rPr>
          <w:spacing w:val="-21"/>
          <w:w w:val="125"/>
          <w:sz w:val="24"/>
        </w:rPr>
        <w:t> </w:t>
      </w:r>
      <w:r>
        <w:rPr>
          <w:w w:val="125"/>
          <w:sz w:val="24"/>
        </w:rPr>
        <w:t>-</w:t>
      </w:r>
      <w:r>
        <w:rPr>
          <w:spacing w:val="-15"/>
          <w:w w:val="125"/>
          <w:sz w:val="24"/>
        </w:rPr>
        <w:t> </w:t>
      </w:r>
      <w:r>
        <w:rPr>
          <w:w w:val="125"/>
          <w:sz w:val="24"/>
        </w:rPr>
        <w:t>az</w:t>
      </w:r>
      <w:r>
        <w:rPr>
          <w:spacing w:val="-15"/>
          <w:w w:val="125"/>
          <w:sz w:val="24"/>
        </w:rPr>
        <w:t> </w:t>
      </w:r>
      <w:r>
        <w:rPr>
          <w:w w:val="125"/>
          <w:sz w:val="24"/>
        </w:rPr>
        <w:t>engedély</w:t>
      </w:r>
      <w:r>
        <w:rPr>
          <w:spacing w:val="-13"/>
          <w:w w:val="125"/>
          <w:sz w:val="24"/>
        </w:rPr>
        <w:t> </w:t>
      </w:r>
      <w:r>
        <w:rPr>
          <w:w w:val="125"/>
          <w:sz w:val="24"/>
        </w:rPr>
        <w:t>kézhezvételét</w:t>
      </w:r>
      <w:r>
        <w:rPr>
          <w:spacing w:val="-17"/>
          <w:w w:val="125"/>
          <w:sz w:val="24"/>
        </w:rPr>
        <w:t> </w:t>
      </w:r>
      <w:r>
        <w:rPr>
          <w:w w:val="125"/>
          <w:sz w:val="24"/>
        </w:rPr>
        <w:t>követő harminc napon belül - a jegyzett tőkéjének fél százalékával megegyező  összeget köteles az OBA-ba egyszeri csatlakozási díjként</w:t>
      </w:r>
      <w:r>
        <w:rPr>
          <w:spacing w:val="-5"/>
          <w:w w:val="125"/>
          <w:sz w:val="24"/>
        </w:rPr>
        <w:t> </w:t>
      </w:r>
      <w:r>
        <w:rPr>
          <w:w w:val="125"/>
          <w:sz w:val="24"/>
        </w:rPr>
        <w:t>befizetni.</w:t>
      </w:r>
    </w:p>
    <w:p>
      <w:pPr>
        <w:pStyle w:val="BodyText"/>
        <w:spacing w:before="228"/>
        <w:ind w:left="3108" w:firstLine="0"/>
      </w:pPr>
      <w:r>
        <w:rPr>
          <w:w w:val="125"/>
        </w:rPr>
        <w:t>98. Éves díjfizetési kötelesség</w:t>
      </w:r>
    </w:p>
    <w:p>
      <w:pPr>
        <w:pStyle w:val="ListParagraph"/>
        <w:numPr>
          <w:ilvl w:val="1"/>
          <w:numId w:val="526"/>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w:t>
      </w:r>
      <w:r>
        <w:rPr>
          <w:i/>
          <w:w w:val="120"/>
          <w:position w:val="3"/>
          <w:sz w:val="18"/>
        </w:rPr>
        <w:t>2 </w:t>
      </w:r>
      <w:r>
        <w:rPr>
          <w:w w:val="120"/>
          <w:sz w:val="24"/>
        </w:rPr>
        <w:t>Az OBA tagjai éves díjat fizetnek,</w:t>
      </w:r>
      <w:r>
        <w:rPr>
          <w:spacing w:val="-5"/>
          <w:w w:val="120"/>
          <w:sz w:val="24"/>
        </w:rPr>
        <w:t> </w:t>
      </w:r>
      <w:r>
        <w:rPr>
          <w:w w:val="120"/>
          <w:sz w:val="24"/>
        </w:rPr>
        <w:t>amely</w:t>
      </w:r>
    </w:p>
    <w:p>
      <w:pPr>
        <w:pStyle w:val="ListParagraph"/>
        <w:numPr>
          <w:ilvl w:val="0"/>
          <w:numId w:val="541"/>
        </w:numPr>
        <w:tabs>
          <w:tab w:pos="631" w:val="left" w:leader="none"/>
        </w:tabs>
        <w:spacing w:line="260" w:lineRule="exact" w:before="0" w:after="0"/>
        <w:ind w:left="630" w:right="0" w:hanging="313"/>
        <w:jc w:val="left"/>
        <w:rPr>
          <w:sz w:val="24"/>
        </w:rPr>
      </w:pPr>
      <w:r>
        <w:rPr>
          <w:w w:val="130"/>
          <w:sz w:val="24"/>
        </w:rPr>
        <w:t>alapdíjból</w:t>
      </w:r>
      <w:r>
        <w:rPr>
          <w:spacing w:val="-4"/>
          <w:w w:val="130"/>
          <w:sz w:val="24"/>
        </w:rPr>
        <w:t> </w:t>
      </w:r>
      <w:r>
        <w:rPr>
          <w:w w:val="130"/>
          <w:sz w:val="24"/>
        </w:rPr>
        <w:t>és</w:t>
      </w:r>
    </w:p>
    <w:p>
      <w:pPr>
        <w:pStyle w:val="ListParagraph"/>
        <w:numPr>
          <w:ilvl w:val="0"/>
          <w:numId w:val="541"/>
        </w:numPr>
        <w:tabs>
          <w:tab w:pos="653" w:val="left" w:leader="none"/>
        </w:tabs>
        <w:spacing w:line="260" w:lineRule="exact" w:before="0" w:after="0"/>
        <w:ind w:left="652" w:right="0" w:hanging="335"/>
        <w:jc w:val="left"/>
        <w:rPr>
          <w:sz w:val="24"/>
        </w:rPr>
      </w:pPr>
      <w:r>
        <w:rPr>
          <w:w w:val="125"/>
          <w:sz w:val="24"/>
        </w:rPr>
        <w:t>kockázat alapú változó díjból</w:t>
      </w:r>
      <w:r>
        <w:rPr>
          <w:spacing w:val="-12"/>
          <w:w w:val="125"/>
          <w:sz w:val="24"/>
        </w:rPr>
        <w:t> </w:t>
      </w:r>
      <w:r>
        <w:rPr>
          <w:w w:val="125"/>
          <w:sz w:val="24"/>
        </w:rPr>
        <w:t>áll.</w:t>
      </w:r>
    </w:p>
    <w:p>
      <w:pPr>
        <w:pStyle w:val="BodyText"/>
        <w:spacing w:line="225" w:lineRule="auto" w:before="6"/>
        <w:ind w:right="124"/>
        <w:jc w:val="both"/>
      </w:pPr>
      <w:r>
        <w:rPr>
          <w:w w:val="125"/>
        </w:rPr>
        <w:t>(1a)</w:t>
      </w:r>
      <w:r>
        <w:rPr>
          <w:i/>
          <w:w w:val="125"/>
          <w:position w:val="3"/>
          <w:sz w:val="18"/>
        </w:rPr>
        <w:t>3 </w:t>
      </w:r>
      <w:r>
        <w:rPr>
          <w:w w:val="125"/>
        </w:rPr>
        <w:t>Az OBA tagjai által fizetendő alapdíjat úgy kell megállapítani, hogy az figyelembe vegye a hitelintézetnél a tárgyévet megelőző december 31-én fennálló - az OBA által a 212. §és a 213. § szerint biztosított - betétek kártalanítási kötelezettség alá tartozó részének  összegét,  valamint  a hitelintézet önkéntes betétbiztosítási alapban vagy kötelező intézményvédelmi szervezetben fennálló tagságára tekintettel fizetett tagdíj összegét. Kiegészítő biztosítás esetén az éves díj megállapításakor figyelembe kell venni  a kiegészítő biztosítással érintett betétrész összegét és a fióktelep székhely országának betétbiztosítási rendszere által nyújtott</w:t>
      </w:r>
      <w:r>
        <w:rPr>
          <w:spacing w:val="34"/>
          <w:w w:val="125"/>
        </w:rPr>
        <w:t> </w:t>
      </w:r>
      <w:r>
        <w:rPr>
          <w:w w:val="125"/>
        </w:rPr>
        <w:t>biztosítást.</w:t>
      </w:r>
    </w:p>
    <w:p>
      <w:pPr>
        <w:pStyle w:val="BodyText"/>
        <w:tabs>
          <w:tab w:pos="1227" w:val="left" w:leader="none"/>
          <w:tab w:pos="1828" w:val="left" w:leader="none"/>
          <w:tab w:pos="2675" w:val="left" w:leader="none"/>
          <w:tab w:pos="3661" w:val="left" w:leader="none"/>
          <w:tab w:pos="4513" w:val="left" w:leader="none"/>
          <w:tab w:pos="5925" w:val="left" w:leader="none"/>
          <w:tab w:pos="7302" w:val="left" w:leader="none"/>
          <w:tab w:pos="8274" w:val="left" w:leader="none"/>
          <w:tab w:pos="9440" w:val="left" w:leader="none"/>
        </w:tabs>
        <w:spacing w:line="253" w:lineRule="exact"/>
        <w:ind w:left="317" w:firstLine="0"/>
      </w:pPr>
      <w:r>
        <w:rPr>
          <w:w w:val="125"/>
        </w:rPr>
        <w:t>(1b)</w:t>
      </w:r>
      <w:r>
        <w:rPr>
          <w:i/>
          <w:w w:val="125"/>
          <w:position w:val="3"/>
          <w:sz w:val="18"/>
        </w:rPr>
        <w:t>4</w:t>
        <w:tab/>
      </w:r>
      <w:r>
        <w:rPr>
          <w:w w:val="125"/>
        </w:rPr>
        <w:t>Az</w:t>
        <w:tab/>
        <w:t>OBA</w:t>
        <w:tab/>
        <w:t>tagjai</w:t>
        <w:tab/>
        <w:t>által</w:t>
        <w:tab/>
        <w:t>fizetendő</w:t>
        <w:tab/>
        <w:t>kockázat</w:t>
        <w:tab/>
        <w:t>alapú</w:t>
        <w:tab/>
        <w:t>változó</w:t>
        <w:tab/>
        <w:t>díj</w:t>
      </w:r>
    </w:p>
    <w:p>
      <w:pPr>
        <w:pStyle w:val="BodyText"/>
        <w:spacing w:line="267" w:lineRule="exact"/>
        <w:ind w:firstLine="0"/>
      </w:pPr>
      <w:r>
        <w:rPr>
          <w:w w:val="125"/>
        </w:rPr>
        <w:t>megállapításakor az alábbi szempontokra kell figyelemmel lenni:</w:t>
      </w:r>
    </w:p>
    <w:p>
      <w:pPr>
        <w:pStyle w:val="ListParagraph"/>
        <w:numPr>
          <w:ilvl w:val="0"/>
          <w:numId w:val="542"/>
        </w:numPr>
        <w:tabs>
          <w:tab w:pos="631" w:val="left" w:leader="none"/>
        </w:tabs>
        <w:spacing w:line="260" w:lineRule="exact" w:before="0" w:after="0"/>
        <w:ind w:left="630" w:right="0" w:hanging="313"/>
        <w:jc w:val="left"/>
        <w:rPr>
          <w:sz w:val="24"/>
        </w:rPr>
      </w:pPr>
      <w:r>
        <w:rPr>
          <w:w w:val="130"/>
          <w:sz w:val="24"/>
        </w:rPr>
        <w:t>a hitelintézet</w:t>
      </w:r>
      <w:r>
        <w:rPr>
          <w:spacing w:val="-7"/>
          <w:w w:val="130"/>
          <w:sz w:val="24"/>
        </w:rPr>
        <w:t> </w:t>
      </w:r>
      <w:r>
        <w:rPr>
          <w:w w:val="130"/>
          <w:sz w:val="24"/>
        </w:rPr>
        <w:t>tőkehelyzete,</w:t>
      </w:r>
    </w:p>
    <w:p>
      <w:pPr>
        <w:pStyle w:val="ListParagraph"/>
        <w:numPr>
          <w:ilvl w:val="0"/>
          <w:numId w:val="542"/>
        </w:numPr>
        <w:tabs>
          <w:tab w:pos="653" w:val="left" w:leader="none"/>
        </w:tabs>
        <w:spacing w:line="260" w:lineRule="exact" w:before="0" w:after="0"/>
        <w:ind w:left="652" w:right="0" w:hanging="335"/>
        <w:jc w:val="left"/>
        <w:rPr>
          <w:sz w:val="24"/>
        </w:rPr>
      </w:pPr>
      <w:r>
        <w:rPr>
          <w:w w:val="130"/>
          <w:sz w:val="24"/>
        </w:rPr>
        <w:t>a hitelintézet likviditási és finanszírozási</w:t>
      </w:r>
      <w:r>
        <w:rPr>
          <w:spacing w:val="-43"/>
          <w:w w:val="130"/>
          <w:sz w:val="24"/>
        </w:rPr>
        <w:t> </w:t>
      </w:r>
      <w:r>
        <w:rPr>
          <w:w w:val="130"/>
          <w:sz w:val="24"/>
        </w:rPr>
        <w:t>helyzete,</w:t>
      </w:r>
    </w:p>
    <w:p>
      <w:pPr>
        <w:pStyle w:val="ListParagraph"/>
        <w:numPr>
          <w:ilvl w:val="0"/>
          <w:numId w:val="542"/>
        </w:numPr>
        <w:tabs>
          <w:tab w:pos="623" w:val="left" w:leader="none"/>
        </w:tabs>
        <w:spacing w:line="260" w:lineRule="exact" w:before="0" w:after="0"/>
        <w:ind w:left="622" w:right="0" w:hanging="305"/>
        <w:jc w:val="left"/>
        <w:rPr>
          <w:sz w:val="24"/>
        </w:rPr>
      </w:pPr>
      <w:r>
        <w:rPr>
          <w:w w:val="130"/>
          <w:sz w:val="24"/>
        </w:rPr>
        <w:t>a hitelintézet eszközeinek</w:t>
      </w:r>
      <w:r>
        <w:rPr>
          <w:spacing w:val="-14"/>
          <w:w w:val="130"/>
          <w:sz w:val="24"/>
        </w:rPr>
        <w:t> </w:t>
      </w:r>
      <w:r>
        <w:rPr>
          <w:w w:val="130"/>
          <w:sz w:val="24"/>
        </w:rPr>
        <w:t>minősége,</w:t>
      </w:r>
    </w:p>
    <w:p>
      <w:pPr>
        <w:pStyle w:val="ListParagraph"/>
        <w:numPr>
          <w:ilvl w:val="0"/>
          <w:numId w:val="542"/>
        </w:numPr>
        <w:tabs>
          <w:tab w:pos="653" w:val="left" w:leader="none"/>
        </w:tabs>
        <w:spacing w:line="260" w:lineRule="exact" w:before="0" w:after="0"/>
        <w:ind w:left="652" w:right="0" w:hanging="335"/>
        <w:jc w:val="left"/>
        <w:rPr>
          <w:sz w:val="24"/>
        </w:rPr>
      </w:pPr>
      <w:r>
        <w:rPr>
          <w:w w:val="130"/>
          <w:sz w:val="24"/>
        </w:rPr>
        <w:t>a</w:t>
      </w:r>
      <w:r>
        <w:rPr>
          <w:spacing w:val="-22"/>
          <w:w w:val="130"/>
          <w:sz w:val="24"/>
        </w:rPr>
        <w:t> </w:t>
      </w:r>
      <w:r>
        <w:rPr>
          <w:w w:val="130"/>
          <w:sz w:val="24"/>
        </w:rPr>
        <w:t>hitelintézet</w:t>
      </w:r>
      <w:r>
        <w:rPr>
          <w:spacing w:val="-17"/>
          <w:w w:val="130"/>
          <w:sz w:val="24"/>
        </w:rPr>
        <w:t> </w:t>
      </w:r>
      <w:r>
        <w:rPr>
          <w:w w:val="130"/>
          <w:sz w:val="24"/>
        </w:rPr>
        <w:t>egyéb</w:t>
      </w:r>
      <w:r>
        <w:rPr>
          <w:spacing w:val="-16"/>
          <w:w w:val="130"/>
          <w:sz w:val="24"/>
        </w:rPr>
        <w:t> </w:t>
      </w:r>
      <w:r>
        <w:rPr>
          <w:w w:val="130"/>
          <w:sz w:val="24"/>
        </w:rPr>
        <w:t>kockázati</w:t>
      </w:r>
      <w:r>
        <w:rPr>
          <w:spacing w:val="-16"/>
          <w:w w:val="130"/>
          <w:sz w:val="24"/>
        </w:rPr>
        <w:t> </w:t>
      </w:r>
      <w:r>
        <w:rPr>
          <w:w w:val="130"/>
          <w:sz w:val="24"/>
        </w:rPr>
        <w:t>mutatói,</w:t>
      </w:r>
      <w:r>
        <w:rPr>
          <w:spacing w:val="-16"/>
          <w:w w:val="130"/>
          <w:sz w:val="24"/>
        </w:rPr>
        <w:t> </w:t>
      </w:r>
      <w:r>
        <w:rPr>
          <w:w w:val="130"/>
          <w:sz w:val="24"/>
        </w:rPr>
        <w:t>üzleti</w:t>
      </w:r>
      <w:r>
        <w:rPr>
          <w:spacing w:val="-14"/>
          <w:w w:val="130"/>
          <w:sz w:val="24"/>
        </w:rPr>
        <w:t> </w:t>
      </w:r>
      <w:r>
        <w:rPr>
          <w:w w:val="130"/>
          <w:sz w:val="24"/>
        </w:rPr>
        <w:t>modellje</w:t>
      </w:r>
      <w:r>
        <w:rPr>
          <w:spacing w:val="-14"/>
          <w:w w:val="130"/>
          <w:sz w:val="24"/>
        </w:rPr>
        <w:t> </w:t>
      </w:r>
      <w:r>
        <w:rPr>
          <w:w w:val="130"/>
          <w:sz w:val="24"/>
        </w:rPr>
        <w:t>és</w:t>
      </w:r>
      <w:r>
        <w:rPr>
          <w:spacing w:val="-7"/>
          <w:w w:val="130"/>
          <w:sz w:val="24"/>
        </w:rPr>
        <w:t> </w:t>
      </w:r>
      <w:r>
        <w:rPr>
          <w:w w:val="130"/>
          <w:sz w:val="24"/>
        </w:rPr>
        <w:t>stratégiai</w:t>
      </w:r>
      <w:r>
        <w:rPr>
          <w:spacing w:val="-25"/>
          <w:w w:val="130"/>
          <w:sz w:val="24"/>
        </w:rPr>
        <w:t> </w:t>
      </w:r>
      <w:r>
        <w:rPr>
          <w:w w:val="130"/>
          <w:sz w:val="24"/>
        </w:rPr>
        <w:t>terve,</w:t>
      </w:r>
    </w:p>
    <w:p>
      <w:pPr>
        <w:pStyle w:val="ListParagraph"/>
        <w:numPr>
          <w:ilvl w:val="0"/>
          <w:numId w:val="542"/>
        </w:numPr>
        <w:tabs>
          <w:tab w:pos="629" w:val="left" w:leader="none"/>
        </w:tabs>
        <w:spacing w:line="253" w:lineRule="exact" w:before="0" w:after="0"/>
        <w:ind w:left="628" w:right="0" w:hanging="311"/>
        <w:jc w:val="left"/>
        <w:rPr>
          <w:sz w:val="24"/>
        </w:rPr>
      </w:pPr>
      <w:r>
        <w:rPr>
          <w:w w:val="130"/>
          <w:sz w:val="24"/>
        </w:rPr>
        <w:t>az OBA kártalanítása esetén várható</w:t>
      </w:r>
      <w:r>
        <w:rPr>
          <w:spacing w:val="-28"/>
          <w:w w:val="130"/>
          <w:sz w:val="24"/>
        </w:rPr>
        <w:t> </w:t>
      </w:r>
      <w:r>
        <w:rPr>
          <w:w w:val="130"/>
          <w:sz w:val="24"/>
        </w:rPr>
        <w:t>vesztesége.</w:t>
      </w:r>
    </w:p>
    <w:p>
      <w:pPr>
        <w:pStyle w:val="BodyText"/>
        <w:spacing w:line="260" w:lineRule="exact"/>
        <w:ind w:left="317" w:firstLine="0"/>
      </w:pPr>
      <w:r>
        <w:rPr>
          <w:w w:val="125"/>
        </w:rPr>
        <w:t>(1c)</w:t>
      </w:r>
      <w:r>
        <w:rPr>
          <w:i/>
          <w:w w:val="125"/>
          <w:position w:val="3"/>
          <w:sz w:val="18"/>
        </w:rPr>
        <w:t>5 </w:t>
      </w:r>
      <w:r>
        <w:rPr>
          <w:w w:val="125"/>
        </w:rPr>
        <w:t>A kockázat alapú változó díj megállapításakor figyelembe vehető a</w:t>
      </w:r>
    </w:p>
    <w:p>
      <w:pPr>
        <w:pStyle w:val="BodyText"/>
        <w:spacing w:line="225" w:lineRule="auto" w:before="12"/>
        <w:ind w:right="105" w:firstLine="0"/>
        <w:jc w:val="both"/>
      </w:pPr>
      <w:r>
        <w:rPr>
          <w:w w:val="125"/>
        </w:rPr>
        <w:t>hitelintézet 575/2013/EU rendelet 113. cikk (7) bekezdése szerinti intézményvédelmi rendszerben való tagsága és az alacsony kockázatú szektorhoz tartozás az (1b) bekezdés </w:t>
      </w:r>
      <w:r>
        <w:rPr>
          <w:i/>
          <w:w w:val="125"/>
        </w:rPr>
        <w:t>d) </w:t>
      </w:r>
      <w:r>
        <w:rPr>
          <w:w w:val="125"/>
        </w:rPr>
        <w:t>pontján belül pótlólagos kockázati elemként.</w:t>
      </w:r>
    </w:p>
    <w:p>
      <w:pPr>
        <w:pStyle w:val="BodyText"/>
        <w:spacing w:line="250" w:lineRule="exact"/>
        <w:ind w:left="317" w:firstLine="0"/>
      </w:pPr>
      <w:r>
        <w:rPr>
          <w:w w:val="125"/>
        </w:rPr>
        <w:t>(1d)</w:t>
      </w:r>
      <w:r>
        <w:rPr>
          <w:i/>
          <w:w w:val="125"/>
          <w:position w:val="3"/>
          <w:sz w:val="18"/>
        </w:rPr>
        <w:t>6 </w:t>
      </w:r>
      <w:r>
        <w:rPr>
          <w:w w:val="125"/>
        </w:rPr>
        <w:t>A kockázat alapú</w:t>
      </w:r>
      <w:r>
        <w:rPr>
          <w:spacing w:val="55"/>
          <w:w w:val="125"/>
        </w:rPr>
        <w:t> </w:t>
      </w:r>
      <w:r>
        <w:rPr>
          <w:w w:val="125"/>
        </w:rPr>
        <w:t>változó díj megállapításának részletes szabályait az</w:t>
      </w:r>
    </w:p>
    <w:p>
      <w:pPr>
        <w:pStyle w:val="BodyText"/>
        <w:spacing w:line="260" w:lineRule="exact"/>
        <w:ind w:firstLine="0"/>
      </w:pPr>
      <w:r>
        <w:rPr>
          <w:w w:val="130"/>
        </w:rPr>
        <w:t>MNB elnöke rendeletben határozza meg.</w:t>
      </w:r>
    </w:p>
    <w:p>
      <w:pPr>
        <w:pStyle w:val="BodyText"/>
        <w:tabs>
          <w:tab w:pos="1191" w:val="left" w:leader="none"/>
          <w:tab w:pos="1768" w:val="left" w:leader="none"/>
          <w:tab w:pos="2591" w:val="left" w:leader="none"/>
          <w:tab w:pos="4290" w:val="left" w:leader="none"/>
          <w:tab w:pos="4847" w:val="left" w:leader="none"/>
          <w:tab w:pos="5850" w:val="left" w:leader="none"/>
          <w:tab w:pos="6271" w:val="left" w:leader="none"/>
          <w:tab w:pos="8292" w:val="left" w:leader="none"/>
          <w:tab w:pos="9434" w:val="left" w:leader="none"/>
        </w:tabs>
        <w:spacing w:line="260" w:lineRule="exact"/>
        <w:ind w:left="317" w:firstLine="0"/>
      </w:pPr>
      <w:r>
        <w:rPr>
          <w:w w:val="120"/>
        </w:rPr>
        <w:t>(1e)</w:t>
      </w:r>
      <w:r>
        <w:rPr>
          <w:i/>
          <w:w w:val="120"/>
          <w:position w:val="3"/>
          <w:sz w:val="18"/>
        </w:rPr>
        <w:t>7</w:t>
        <w:tab/>
      </w:r>
      <w:r>
        <w:rPr>
          <w:w w:val="120"/>
        </w:rPr>
        <w:t>Az</w:t>
        <w:tab/>
        <w:t>OBA</w:t>
        <w:tab/>
        <w:t>tájékoztatja</w:t>
        <w:tab/>
        <w:t>az</w:t>
        <w:tab/>
        <w:t>EBH-t</w:t>
        <w:tab/>
        <w:t>a</w:t>
        <w:tab/>
        <w:t>kockázatalapú</w:t>
        <w:tab/>
        <w:t>változó</w:t>
        <w:tab/>
        <w:t>díj</w:t>
      </w:r>
    </w:p>
    <w:p>
      <w:pPr>
        <w:pStyle w:val="BodyText"/>
        <w:spacing w:line="275" w:lineRule="exact"/>
        <w:ind w:firstLine="0"/>
      </w:pPr>
      <w:r>
        <w:rPr>
          <w:w w:val="125"/>
        </w:rPr>
        <w:t>megállapítására vonatkozó jóváhagyott szabályokról.</w:t>
      </w:r>
    </w:p>
    <w:p>
      <w:pPr>
        <w:pStyle w:val="BodyText"/>
        <w:ind w:left="0" w:firstLine="0"/>
        <w:rPr>
          <w:sz w:val="20"/>
        </w:rPr>
      </w:pPr>
    </w:p>
    <w:p>
      <w:pPr>
        <w:pStyle w:val="BodyText"/>
        <w:ind w:left="0" w:firstLine="0"/>
        <w:rPr>
          <w:sz w:val="20"/>
        </w:rPr>
      </w:pPr>
    </w:p>
    <w:p>
      <w:pPr>
        <w:pStyle w:val="BodyText"/>
        <w:spacing w:before="8"/>
        <w:ind w:left="0" w:firstLine="0"/>
        <w:rPr>
          <w:sz w:val="25"/>
        </w:rPr>
      </w:pPr>
      <w:r>
        <w:rPr/>
        <w:pict>
          <v:line style="position:absolute;mso-position-horizontal-relative:page;mso-position-vertical-relative:paragraph;z-index:2288;mso-wrap-distance-left:0;mso-wrap-distance-right:0" from="56.693001pt,16.983253pt" to="538.583001pt,16.98325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Megállapította: 2015. évi LXXXV. törvény 226. §. Hatályos: 2015. VII.</w:t>
      </w:r>
      <w:r>
        <w:rPr>
          <w:i/>
          <w:spacing w:val="-23"/>
          <w:w w:val="125"/>
          <w:sz w:val="18"/>
        </w:rPr>
        <w:t> </w:t>
      </w:r>
      <w:r>
        <w:rPr>
          <w:i/>
          <w:w w:val="125"/>
          <w:sz w:val="18"/>
        </w:rPr>
        <w:t>4-től.</w:t>
      </w:r>
    </w:p>
    <w:p>
      <w:pPr>
        <w:tabs>
          <w:tab w:pos="686" w:val="left" w:leader="none"/>
        </w:tabs>
        <w:spacing w:line="200" w:lineRule="exact" w:before="0"/>
        <w:ind w:left="342" w:right="0" w:firstLine="0"/>
        <w:jc w:val="left"/>
        <w:rPr>
          <w:i/>
          <w:sz w:val="18"/>
        </w:rPr>
      </w:pPr>
      <w:r>
        <w:rPr>
          <w:i/>
          <w:w w:val="125"/>
          <w:sz w:val="18"/>
        </w:rPr>
        <w:t>2</w:t>
        <w:tab/>
        <w:t>Megállapította: 2015. évi CCXV. törvény 143. § (1). Hatályos: 2016. V.</w:t>
      </w:r>
      <w:r>
        <w:rPr>
          <w:i/>
          <w:spacing w:val="-26"/>
          <w:w w:val="125"/>
          <w:sz w:val="18"/>
        </w:rPr>
        <w:t> </w:t>
      </w:r>
      <w:r>
        <w:rPr>
          <w:i/>
          <w:w w:val="125"/>
          <w:sz w:val="18"/>
        </w:rPr>
        <w:t>31-től.</w:t>
      </w:r>
    </w:p>
    <w:p>
      <w:pPr>
        <w:spacing w:line="232" w:lineRule="auto" w:before="2"/>
        <w:ind w:left="342" w:right="2623" w:firstLine="0"/>
        <w:jc w:val="both"/>
        <w:rPr>
          <w:i/>
          <w:sz w:val="18"/>
        </w:rPr>
      </w:pPr>
      <w:r>
        <w:rPr>
          <w:i/>
          <w:w w:val="125"/>
          <w:sz w:val="18"/>
        </w:rPr>
        <w:t>3 Megállapította: 2017. évi LXII. törvény 42. §. Hatályos: 2017. VIII. 1-től. 4 Beiktatta: 2015. évi CCXV. törvény 143. § (2). Hatályos: 2016. V. 31-től. 5 Beiktatta: 2015. évi CCXV. törvény 143. § (2). Hatályos: 2016. V. 31-től. 6 Beiktatta: 2015. évi CCXV. törvény 143. § (2). Hatályos: 2016. V.</w:t>
      </w:r>
      <w:r>
        <w:rPr>
          <w:i/>
          <w:spacing w:val="-29"/>
          <w:w w:val="125"/>
          <w:sz w:val="18"/>
        </w:rPr>
        <w:t> </w:t>
      </w:r>
      <w:r>
        <w:rPr>
          <w:i/>
          <w:w w:val="125"/>
          <w:sz w:val="18"/>
        </w:rPr>
        <w:t>31-től.</w:t>
      </w:r>
    </w:p>
    <w:p>
      <w:pPr>
        <w:spacing w:line="199" w:lineRule="exact" w:before="0"/>
        <w:ind w:left="342" w:right="0" w:firstLine="0"/>
        <w:jc w:val="both"/>
        <w:rPr>
          <w:i/>
          <w:sz w:val="18"/>
        </w:rPr>
      </w:pPr>
      <w:r>
        <w:rPr>
          <w:i/>
          <w:w w:val="125"/>
          <w:sz w:val="18"/>
        </w:rPr>
        <w:t>7 Beiktatta: 2016. évi LIII. törvény 129. §. Hatályos: 2016. VII. 1-től.</w:t>
      </w:r>
    </w:p>
    <w:p>
      <w:pPr>
        <w:spacing w:after="0" w:line="199" w:lineRule="exact"/>
        <w:jc w:val="both"/>
        <w:rPr>
          <w:sz w:val="18"/>
        </w:rPr>
        <w:sectPr>
          <w:pgSz w:w="11900" w:h="16820"/>
          <w:pgMar w:header="1104" w:footer="0" w:top="1840" w:bottom="280" w:left="1020" w:right="1000"/>
        </w:sectPr>
      </w:pPr>
    </w:p>
    <w:p>
      <w:pPr>
        <w:pStyle w:val="ListParagraph"/>
        <w:numPr>
          <w:ilvl w:val="0"/>
          <w:numId w:val="543"/>
        </w:numPr>
        <w:tabs>
          <w:tab w:pos="659" w:val="left" w:leader="none"/>
        </w:tabs>
        <w:spacing w:line="261" w:lineRule="exact" w:before="159" w:after="0"/>
        <w:ind w:left="658" w:right="0" w:hanging="341"/>
        <w:jc w:val="left"/>
        <w:rPr>
          <w:sz w:val="24"/>
        </w:rPr>
      </w:pPr>
      <w:r>
        <w:rPr>
          <w:i/>
          <w:w w:val="125"/>
          <w:position w:val="3"/>
          <w:sz w:val="18"/>
        </w:rPr>
        <w:t>1</w:t>
      </w:r>
      <w:r>
        <w:rPr>
          <w:i/>
          <w:spacing w:val="52"/>
          <w:w w:val="125"/>
          <w:position w:val="3"/>
          <w:sz w:val="18"/>
        </w:rPr>
        <w:t> </w:t>
      </w:r>
      <w:r>
        <w:rPr>
          <w:w w:val="125"/>
          <w:sz w:val="24"/>
        </w:rPr>
        <w:t>Az</w:t>
      </w:r>
      <w:r>
        <w:rPr>
          <w:spacing w:val="34"/>
          <w:w w:val="125"/>
          <w:sz w:val="24"/>
        </w:rPr>
        <w:t> </w:t>
      </w:r>
      <w:r>
        <w:rPr>
          <w:w w:val="125"/>
          <w:sz w:val="24"/>
        </w:rPr>
        <w:t>(1)</w:t>
      </w:r>
      <w:r>
        <w:rPr>
          <w:spacing w:val="34"/>
          <w:w w:val="125"/>
          <w:sz w:val="24"/>
        </w:rPr>
        <w:t> </w:t>
      </w:r>
      <w:r>
        <w:rPr>
          <w:w w:val="125"/>
          <w:sz w:val="24"/>
        </w:rPr>
        <w:t>bekezdésben</w:t>
      </w:r>
      <w:r>
        <w:rPr>
          <w:spacing w:val="33"/>
          <w:w w:val="125"/>
          <w:sz w:val="24"/>
        </w:rPr>
        <w:t> </w:t>
      </w:r>
      <w:r>
        <w:rPr>
          <w:w w:val="125"/>
          <w:sz w:val="24"/>
        </w:rPr>
        <w:t>meghatározott</w:t>
      </w:r>
      <w:r>
        <w:rPr>
          <w:spacing w:val="34"/>
          <w:w w:val="125"/>
          <w:sz w:val="24"/>
        </w:rPr>
        <w:t> </w:t>
      </w:r>
      <w:r>
        <w:rPr>
          <w:w w:val="125"/>
          <w:sz w:val="24"/>
        </w:rPr>
        <w:t>módon</w:t>
      </w:r>
      <w:r>
        <w:rPr>
          <w:spacing w:val="34"/>
          <w:w w:val="125"/>
          <w:sz w:val="24"/>
        </w:rPr>
        <w:t> </w:t>
      </w:r>
      <w:r>
        <w:rPr>
          <w:w w:val="125"/>
          <w:sz w:val="24"/>
        </w:rPr>
        <w:t>megállapított</w:t>
      </w:r>
      <w:r>
        <w:rPr>
          <w:spacing w:val="53"/>
          <w:w w:val="125"/>
          <w:sz w:val="24"/>
        </w:rPr>
        <w:t> </w:t>
      </w:r>
      <w:r>
        <w:rPr>
          <w:w w:val="125"/>
          <w:sz w:val="24"/>
        </w:rPr>
        <w:t>éves</w:t>
      </w:r>
      <w:r>
        <w:rPr>
          <w:spacing w:val="14"/>
          <w:w w:val="125"/>
          <w:sz w:val="24"/>
        </w:rPr>
        <w:t> </w:t>
      </w:r>
      <w:r>
        <w:rPr>
          <w:w w:val="125"/>
          <w:sz w:val="24"/>
        </w:rPr>
        <w:t>befizetési</w:t>
      </w:r>
    </w:p>
    <w:p>
      <w:pPr>
        <w:pStyle w:val="BodyText"/>
        <w:spacing w:line="225" w:lineRule="auto" w:before="12"/>
        <w:ind w:right="131" w:firstLine="0"/>
      </w:pPr>
      <w:r>
        <w:rPr>
          <w:w w:val="130"/>
        </w:rPr>
        <w:t>kötelezettség nem lehet magasabb, mint a tagintézetnél a tárgyévet megelőző december 31-én meglévő,</w:t>
      </w:r>
    </w:p>
    <w:p>
      <w:pPr>
        <w:pStyle w:val="ListParagraph"/>
        <w:numPr>
          <w:ilvl w:val="0"/>
          <w:numId w:val="544"/>
        </w:numPr>
        <w:tabs>
          <w:tab w:pos="631" w:val="left" w:leader="none"/>
        </w:tabs>
        <w:spacing w:line="256" w:lineRule="exact" w:before="0" w:after="0"/>
        <w:ind w:left="630" w:right="0" w:hanging="313"/>
        <w:jc w:val="left"/>
        <w:rPr>
          <w:sz w:val="24"/>
        </w:rPr>
      </w:pPr>
      <w:r>
        <w:rPr>
          <w:w w:val="130"/>
          <w:sz w:val="24"/>
        </w:rPr>
        <w:t>az OBA által biztosított betétek</w:t>
      </w:r>
      <w:r>
        <w:rPr>
          <w:spacing w:val="-23"/>
          <w:w w:val="130"/>
          <w:sz w:val="24"/>
        </w:rPr>
        <w:t> </w:t>
      </w:r>
      <w:r>
        <w:rPr>
          <w:w w:val="130"/>
          <w:sz w:val="24"/>
        </w:rPr>
        <w:t>és</w:t>
      </w:r>
    </w:p>
    <w:p>
      <w:pPr>
        <w:pStyle w:val="ListParagraph"/>
        <w:numPr>
          <w:ilvl w:val="0"/>
          <w:numId w:val="544"/>
        </w:numPr>
        <w:tabs>
          <w:tab w:pos="929" w:val="left" w:leader="none"/>
        </w:tabs>
        <w:spacing w:line="225" w:lineRule="auto" w:before="6" w:after="0"/>
        <w:ind w:left="113" w:right="128" w:firstLine="204"/>
        <w:jc w:val="both"/>
        <w:rPr>
          <w:sz w:val="24"/>
        </w:rPr>
      </w:pPr>
      <w:r>
        <w:rPr>
          <w:w w:val="130"/>
          <w:sz w:val="24"/>
        </w:rPr>
        <w:t>a hitelintézetek éves beszámoló készítési és könyvvezetési kötelezettségéről</w:t>
      </w:r>
      <w:r>
        <w:rPr>
          <w:spacing w:val="-32"/>
          <w:w w:val="130"/>
          <w:sz w:val="24"/>
        </w:rPr>
        <w:t> </w:t>
      </w:r>
      <w:r>
        <w:rPr>
          <w:w w:val="130"/>
          <w:sz w:val="24"/>
        </w:rPr>
        <w:t>szóló</w:t>
      </w:r>
      <w:r>
        <w:rPr>
          <w:spacing w:val="-32"/>
          <w:w w:val="130"/>
          <w:sz w:val="24"/>
        </w:rPr>
        <w:t> </w:t>
      </w:r>
      <w:r>
        <w:rPr>
          <w:w w:val="130"/>
          <w:sz w:val="24"/>
        </w:rPr>
        <w:t>jogszabály</w:t>
      </w:r>
      <w:r>
        <w:rPr>
          <w:spacing w:val="-31"/>
          <w:w w:val="130"/>
          <w:sz w:val="24"/>
        </w:rPr>
        <w:t> </w:t>
      </w:r>
      <w:r>
        <w:rPr>
          <w:w w:val="130"/>
          <w:sz w:val="24"/>
        </w:rPr>
        <w:t>szerint</w:t>
      </w:r>
      <w:r>
        <w:rPr>
          <w:spacing w:val="-32"/>
          <w:w w:val="130"/>
          <w:sz w:val="24"/>
        </w:rPr>
        <w:t> </w:t>
      </w:r>
      <w:r>
        <w:rPr>
          <w:w w:val="130"/>
          <w:sz w:val="24"/>
        </w:rPr>
        <w:t>az</w:t>
      </w:r>
      <w:r>
        <w:rPr>
          <w:spacing w:val="-31"/>
          <w:w w:val="130"/>
          <w:sz w:val="24"/>
        </w:rPr>
        <w:t> </w:t>
      </w:r>
      <w:r>
        <w:rPr>
          <w:w w:val="130"/>
          <w:sz w:val="24"/>
        </w:rPr>
        <w:t>OBA</w:t>
      </w:r>
      <w:r>
        <w:rPr>
          <w:spacing w:val="-32"/>
          <w:w w:val="130"/>
          <w:sz w:val="24"/>
        </w:rPr>
        <w:t> </w:t>
      </w:r>
      <w:r>
        <w:rPr>
          <w:w w:val="130"/>
          <w:sz w:val="24"/>
        </w:rPr>
        <w:t>által</w:t>
      </w:r>
      <w:r>
        <w:rPr>
          <w:spacing w:val="-31"/>
          <w:w w:val="130"/>
          <w:sz w:val="24"/>
        </w:rPr>
        <w:t> </w:t>
      </w:r>
      <w:r>
        <w:rPr>
          <w:w w:val="130"/>
          <w:sz w:val="24"/>
        </w:rPr>
        <w:t>biztosított</w:t>
      </w:r>
      <w:r>
        <w:rPr>
          <w:spacing w:val="-32"/>
          <w:w w:val="130"/>
          <w:sz w:val="24"/>
        </w:rPr>
        <w:t> </w:t>
      </w:r>
      <w:r>
        <w:rPr>
          <w:w w:val="130"/>
          <w:sz w:val="24"/>
        </w:rPr>
        <w:t>betétek</w:t>
      </w:r>
      <w:r>
        <w:rPr>
          <w:spacing w:val="-32"/>
          <w:w w:val="130"/>
          <w:sz w:val="24"/>
        </w:rPr>
        <w:t> </w:t>
      </w:r>
      <w:r>
        <w:rPr>
          <w:w w:val="130"/>
          <w:sz w:val="24"/>
        </w:rPr>
        <w:t>utáni passzív időbeli elhatárolások között feltüntetett</w:t>
      </w:r>
      <w:r>
        <w:rPr>
          <w:spacing w:val="-33"/>
          <w:w w:val="130"/>
          <w:sz w:val="24"/>
        </w:rPr>
        <w:t> </w:t>
      </w:r>
      <w:r>
        <w:rPr>
          <w:w w:val="130"/>
          <w:sz w:val="24"/>
        </w:rPr>
        <w:t>kamatok</w:t>
      </w:r>
    </w:p>
    <w:p>
      <w:pPr>
        <w:pStyle w:val="BodyText"/>
        <w:spacing w:line="225" w:lineRule="auto" w:before="2"/>
        <w:ind w:right="339" w:firstLine="0"/>
      </w:pPr>
      <w:r>
        <w:rPr>
          <w:w w:val="125"/>
        </w:rPr>
        <w:t>kártalanítási kötelezettség alá tartozó részének (a továbbiakban: díjfizetési  alap)</w:t>
      </w:r>
      <w:r>
        <w:rPr>
          <w:spacing w:val="-1"/>
          <w:w w:val="125"/>
        </w:rPr>
        <w:t> </w:t>
      </w:r>
      <w:r>
        <w:rPr>
          <w:w w:val="125"/>
        </w:rPr>
        <w:t>0,3%-a.</w:t>
      </w:r>
    </w:p>
    <w:p>
      <w:pPr>
        <w:pStyle w:val="BodyText"/>
        <w:spacing w:line="249" w:lineRule="exact"/>
        <w:ind w:left="317" w:firstLine="0"/>
      </w:pPr>
      <w:r>
        <w:rPr>
          <w:w w:val="125"/>
        </w:rPr>
        <w:t>(2a)</w:t>
      </w:r>
      <w:r>
        <w:rPr>
          <w:i/>
          <w:w w:val="125"/>
          <w:position w:val="3"/>
          <w:sz w:val="18"/>
        </w:rPr>
        <w:t>2 </w:t>
      </w:r>
      <w:r>
        <w:rPr>
          <w:w w:val="125"/>
        </w:rPr>
        <w:t>A díjfizetési alap meghatározásánál nem kell figyelembe venni a helyi</w:t>
      </w:r>
    </w:p>
    <w:p>
      <w:pPr>
        <w:pStyle w:val="BodyText"/>
        <w:spacing w:line="225" w:lineRule="auto" w:before="12"/>
        <w:ind w:right="126" w:firstLine="0"/>
        <w:jc w:val="both"/>
      </w:pPr>
      <w:r>
        <w:rPr>
          <w:w w:val="125"/>
        </w:rPr>
        <w:t>önkormányzatok betéteit, valamint százezer eurónál  nagyobb  összegben azokat a betéteket, amelyekre a 214/A. § alapján magasabb kártalanítási összeghatár</w:t>
      </w:r>
      <w:r>
        <w:rPr>
          <w:spacing w:val="1"/>
          <w:w w:val="125"/>
        </w:rPr>
        <w:t> </w:t>
      </w:r>
      <w:r>
        <w:rPr>
          <w:w w:val="125"/>
        </w:rPr>
        <w:t>vonatkozik.</w:t>
      </w:r>
    </w:p>
    <w:p>
      <w:pPr>
        <w:pStyle w:val="ListParagraph"/>
        <w:numPr>
          <w:ilvl w:val="0"/>
          <w:numId w:val="543"/>
        </w:numPr>
        <w:tabs>
          <w:tab w:pos="828" w:val="left" w:leader="none"/>
        </w:tabs>
        <w:spacing w:line="225" w:lineRule="auto" w:before="2" w:after="0"/>
        <w:ind w:left="113" w:right="124" w:firstLine="204"/>
        <w:jc w:val="both"/>
        <w:rPr>
          <w:sz w:val="24"/>
        </w:rPr>
      </w:pPr>
      <w:r>
        <w:rPr>
          <w:w w:val="125"/>
          <w:sz w:val="24"/>
        </w:rPr>
        <w:t>Az éves befizetés összegét a hitelintézet minden évben negyedéves részletekben, legkésőbb a tárgynegyedév tizenötödik napjáig köteles befizetni az OBA pénzforgalmi</w:t>
      </w:r>
      <w:r>
        <w:rPr>
          <w:spacing w:val="-2"/>
          <w:w w:val="125"/>
          <w:sz w:val="24"/>
        </w:rPr>
        <w:t> </w:t>
      </w:r>
      <w:r>
        <w:rPr>
          <w:w w:val="125"/>
          <w:sz w:val="24"/>
        </w:rPr>
        <w:t>számlájára.</w:t>
      </w:r>
    </w:p>
    <w:p>
      <w:pPr>
        <w:pStyle w:val="ListParagraph"/>
        <w:numPr>
          <w:ilvl w:val="0"/>
          <w:numId w:val="543"/>
        </w:numPr>
        <w:tabs>
          <w:tab w:pos="878" w:val="left" w:leader="none"/>
        </w:tabs>
        <w:spacing w:line="225" w:lineRule="auto" w:before="1" w:after="0"/>
        <w:ind w:left="113" w:right="123" w:firstLine="204"/>
        <w:jc w:val="both"/>
        <w:rPr>
          <w:sz w:val="24"/>
        </w:rPr>
      </w:pPr>
      <w:r>
        <w:rPr>
          <w:w w:val="130"/>
          <w:sz w:val="24"/>
        </w:rPr>
        <w:t>A hitelintézet által fizetendő díj összegének meghatározása azon nyilatkozatok</w:t>
      </w:r>
      <w:r>
        <w:rPr>
          <w:spacing w:val="-38"/>
          <w:w w:val="130"/>
          <w:sz w:val="24"/>
        </w:rPr>
        <w:t> </w:t>
      </w:r>
      <w:r>
        <w:rPr>
          <w:w w:val="130"/>
          <w:sz w:val="24"/>
        </w:rPr>
        <w:t>alapján</w:t>
      </w:r>
      <w:r>
        <w:rPr>
          <w:spacing w:val="-37"/>
          <w:w w:val="130"/>
          <w:sz w:val="24"/>
        </w:rPr>
        <w:t> </w:t>
      </w:r>
      <w:r>
        <w:rPr>
          <w:w w:val="130"/>
          <w:sz w:val="24"/>
        </w:rPr>
        <w:t>történik,</w:t>
      </w:r>
      <w:r>
        <w:rPr>
          <w:spacing w:val="-37"/>
          <w:w w:val="130"/>
          <w:sz w:val="24"/>
        </w:rPr>
        <w:t> </w:t>
      </w:r>
      <w:r>
        <w:rPr>
          <w:w w:val="130"/>
          <w:sz w:val="24"/>
        </w:rPr>
        <w:t>amelyeket</w:t>
      </w:r>
      <w:r>
        <w:rPr>
          <w:spacing w:val="-37"/>
          <w:w w:val="130"/>
          <w:sz w:val="24"/>
        </w:rPr>
        <w:t> </w:t>
      </w:r>
      <w:r>
        <w:rPr>
          <w:w w:val="130"/>
          <w:sz w:val="24"/>
        </w:rPr>
        <w:t>a</w:t>
      </w:r>
      <w:r>
        <w:rPr>
          <w:spacing w:val="-37"/>
          <w:w w:val="130"/>
          <w:sz w:val="24"/>
        </w:rPr>
        <w:t> </w:t>
      </w:r>
      <w:r>
        <w:rPr>
          <w:w w:val="130"/>
          <w:sz w:val="24"/>
        </w:rPr>
        <w:t>hitelintézet</w:t>
      </w:r>
      <w:r>
        <w:rPr>
          <w:spacing w:val="-37"/>
          <w:w w:val="130"/>
          <w:sz w:val="24"/>
        </w:rPr>
        <w:t> </w:t>
      </w:r>
      <w:r>
        <w:rPr>
          <w:w w:val="130"/>
          <w:sz w:val="24"/>
        </w:rPr>
        <w:t>továbbít</w:t>
      </w:r>
      <w:r>
        <w:rPr>
          <w:spacing w:val="-38"/>
          <w:w w:val="130"/>
          <w:sz w:val="24"/>
        </w:rPr>
        <w:t> </w:t>
      </w:r>
      <w:r>
        <w:rPr>
          <w:w w:val="130"/>
          <w:sz w:val="24"/>
        </w:rPr>
        <w:t>az</w:t>
      </w:r>
      <w:r>
        <w:rPr>
          <w:spacing w:val="-37"/>
          <w:w w:val="130"/>
          <w:sz w:val="24"/>
        </w:rPr>
        <w:t> </w:t>
      </w:r>
      <w:r>
        <w:rPr>
          <w:w w:val="130"/>
          <w:sz w:val="24"/>
        </w:rPr>
        <w:t>OBA-nak</w:t>
      </w:r>
      <w:r>
        <w:rPr>
          <w:spacing w:val="-37"/>
          <w:w w:val="130"/>
          <w:sz w:val="24"/>
        </w:rPr>
        <w:t> </w:t>
      </w:r>
      <w:r>
        <w:rPr>
          <w:w w:val="130"/>
          <w:sz w:val="24"/>
        </w:rPr>
        <w:t>az OBA szabályzatában meghatározott formában és</w:t>
      </w:r>
      <w:r>
        <w:rPr>
          <w:spacing w:val="-48"/>
          <w:w w:val="130"/>
          <w:sz w:val="24"/>
        </w:rPr>
        <w:t> </w:t>
      </w:r>
      <w:r>
        <w:rPr>
          <w:w w:val="130"/>
          <w:sz w:val="24"/>
        </w:rPr>
        <w:t>időpontban.</w:t>
      </w:r>
    </w:p>
    <w:p>
      <w:pPr>
        <w:pStyle w:val="ListParagraph"/>
        <w:numPr>
          <w:ilvl w:val="0"/>
          <w:numId w:val="543"/>
        </w:numPr>
        <w:tabs>
          <w:tab w:pos="784" w:val="left" w:leader="none"/>
        </w:tabs>
        <w:spacing w:line="225" w:lineRule="auto" w:before="2" w:after="0"/>
        <w:ind w:left="113" w:right="125" w:firstLine="204"/>
        <w:jc w:val="both"/>
        <w:rPr>
          <w:sz w:val="24"/>
        </w:rPr>
      </w:pPr>
      <w:r>
        <w:rPr>
          <w:w w:val="130"/>
          <w:sz w:val="24"/>
        </w:rPr>
        <w:t>A hitelintézet által a hitelintézeti tevékenység engedélyezésének évére vonatkozóan fizetendő díjat az általános szabályoknak megfelelően a tárgyév végi betétállomány alapján megállapított éves díj háromszázhatvanötödének és</w:t>
      </w:r>
      <w:r>
        <w:rPr>
          <w:spacing w:val="-12"/>
          <w:w w:val="130"/>
          <w:sz w:val="24"/>
        </w:rPr>
        <w:t> </w:t>
      </w:r>
      <w:r>
        <w:rPr>
          <w:w w:val="130"/>
          <w:sz w:val="24"/>
        </w:rPr>
        <w:t>az</w:t>
      </w:r>
      <w:r>
        <w:rPr>
          <w:spacing w:val="-10"/>
          <w:w w:val="130"/>
          <w:sz w:val="24"/>
        </w:rPr>
        <w:t> </w:t>
      </w:r>
      <w:r>
        <w:rPr>
          <w:w w:val="130"/>
          <w:sz w:val="24"/>
        </w:rPr>
        <w:t>OBA</w:t>
      </w:r>
      <w:r>
        <w:rPr>
          <w:spacing w:val="-13"/>
          <w:w w:val="130"/>
          <w:sz w:val="24"/>
        </w:rPr>
        <w:t> </w:t>
      </w:r>
      <w:r>
        <w:rPr>
          <w:w w:val="130"/>
          <w:sz w:val="24"/>
        </w:rPr>
        <w:t>által</w:t>
      </w:r>
      <w:r>
        <w:rPr>
          <w:spacing w:val="-12"/>
          <w:w w:val="130"/>
          <w:sz w:val="24"/>
        </w:rPr>
        <w:t> </w:t>
      </w:r>
      <w:r>
        <w:rPr>
          <w:w w:val="130"/>
          <w:sz w:val="24"/>
        </w:rPr>
        <w:t>biztosított</w:t>
      </w:r>
      <w:r>
        <w:rPr>
          <w:spacing w:val="-11"/>
          <w:w w:val="130"/>
          <w:sz w:val="24"/>
        </w:rPr>
        <w:t> </w:t>
      </w:r>
      <w:r>
        <w:rPr>
          <w:w w:val="130"/>
          <w:sz w:val="24"/>
        </w:rPr>
        <w:t>napok</w:t>
      </w:r>
      <w:r>
        <w:rPr>
          <w:spacing w:val="-11"/>
          <w:w w:val="130"/>
          <w:sz w:val="24"/>
        </w:rPr>
        <w:t> </w:t>
      </w:r>
      <w:r>
        <w:rPr>
          <w:w w:val="130"/>
          <w:sz w:val="24"/>
        </w:rPr>
        <w:t>számának</w:t>
      </w:r>
      <w:r>
        <w:rPr>
          <w:spacing w:val="-11"/>
          <w:w w:val="130"/>
          <w:sz w:val="24"/>
        </w:rPr>
        <w:t> </w:t>
      </w:r>
      <w:r>
        <w:rPr>
          <w:w w:val="130"/>
          <w:sz w:val="24"/>
        </w:rPr>
        <w:t>szorzata</w:t>
      </w:r>
      <w:r>
        <w:rPr>
          <w:spacing w:val="-11"/>
          <w:w w:val="130"/>
          <w:sz w:val="24"/>
        </w:rPr>
        <w:t> </w:t>
      </w:r>
      <w:r>
        <w:rPr>
          <w:w w:val="130"/>
          <w:sz w:val="24"/>
        </w:rPr>
        <w:t>határozza</w:t>
      </w:r>
      <w:r>
        <w:rPr>
          <w:spacing w:val="-11"/>
          <w:w w:val="130"/>
          <w:sz w:val="24"/>
        </w:rPr>
        <w:t> </w:t>
      </w:r>
      <w:r>
        <w:rPr>
          <w:w w:val="130"/>
          <w:sz w:val="24"/>
        </w:rPr>
        <w:t>meg.</w:t>
      </w:r>
    </w:p>
    <w:p>
      <w:pPr>
        <w:pStyle w:val="ListParagraph"/>
        <w:numPr>
          <w:ilvl w:val="0"/>
          <w:numId w:val="543"/>
        </w:numPr>
        <w:tabs>
          <w:tab w:pos="757" w:val="left" w:leader="none"/>
        </w:tabs>
        <w:spacing w:line="225" w:lineRule="auto" w:before="2" w:after="0"/>
        <w:ind w:left="113" w:right="127" w:firstLine="204"/>
        <w:jc w:val="both"/>
        <w:rPr>
          <w:sz w:val="24"/>
        </w:rPr>
      </w:pPr>
      <w:r>
        <w:rPr>
          <w:w w:val="125"/>
          <w:sz w:val="24"/>
        </w:rPr>
        <w:t>Ha az adott hitelintézet olyan kockázatos tevékenységet folytat, amely a szabályzat szerint indokolja az emelést, az OBA növelheti a hitelintézet által a tárgyév során fizetendő díjat. Az emelés előtt az</w:t>
      </w:r>
      <w:r>
        <w:rPr>
          <w:spacing w:val="-5"/>
          <w:w w:val="125"/>
          <w:sz w:val="24"/>
        </w:rPr>
        <w:t> </w:t>
      </w:r>
      <w:r>
        <w:rPr>
          <w:w w:val="125"/>
          <w:sz w:val="24"/>
        </w:rPr>
        <w:t>OBA</w:t>
      </w:r>
    </w:p>
    <w:p>
      <w:pPr>
        <w:pStyle w:val="ListParagraph"/>
        <w:numPr>
          <w:ilvl w:val="0"/>
          <w:numId w:val="545"/>
        </w:numPr>
        <w:tabs>
          <w:tab w:pos="631" w:val="left" w:leader="none"/>
        </w:tabs>
        <w:spacing w:line="256" w:lineRule="exact" w:before="0" w:after="0"/>
        <w:ind w:left="630" w:right="0" w:hanging="313"/>
        <w:jc w:val="left"/>
        <w:rPr>
          <w:sz w:val="24"/>
        </w:rPr>
      </w:pPr>
      <w:r>
        <w:rPr>
          <w:w w:val="130"/>
          <w:sz w:val="24"/>
        </w:rPr>
        <w:t>véleményt</w:t>
      </w:r>
      <w:r>
        <w:rPr>
          <w:spacing w:val="-22"/>
          <w:w w:val="130"/>
          <w:sz w:val="24"/>
        </w:rPr>
        <w:t> </w:t>
      </w:r>
      <w:r>
        <w:rPr>
          <w:w w:val="130"/>
          <w:sz w:val="24"/>
        </w:rPr>
        <w:t>kér</w:t>
      </w:r>
      <w:r>
        <w:rPr>
          <w:spacing w:val="-22"/>
          <w:w w:val="130"/>
          <w:sz w:val="24"/>
        </w:rPr>
        <w:t> </w:t>
      </w:r>
      <w:r>
        <w:rPr>
          <w:w w:val="130"/>
          <w:sz w:val="24"/>
        </w:rPr>
        <w:t>a</w:t>
      </w:r>
      <w:r>
        <w:rPr>
          <w:spacing w:val="-22"/>
          <w:w w:val="130"/>
          <w:sz w:val="24"/>
        </w:rPr>
        <w:t> </w:t>
      </w:r>
      <w:r>
        <w:rPr>
          <w:w w:val="130"/>
          <w:sz w:val="24"/>
        </w:rPr>
        <w:t>jegybanki</w:t>
      </w:r>
      <w:r>
        <w:rPr>
          <w:spacing w:val="-21"/>
          <w:w w:val="130"/>
          <w:sz w:val="24"/>
        </w:rPr>
        <w:t> </w:t>
      </w:r>
      <w:r>
        <w:rPr>
          <w:w w:val="130"/>
          <w:sz w:val="24"/>
        </w:rPr>
        <w:t>feladatkörében</w:t>
      </w:r>
      <w:r>
        <w:rPr>
          <w:spacing w:val="-21"/>
          <w:w w:val="130"/>
          <w:sz w:val="24"/>
        </w:rPr>
        <w:t> </w:t>
      </w:r>
      <w:r>
        <w:rPr>
          <w:w w:val="130"/>
          <w:sz w:val="24"/>
        </w:rPr>
        <w:t>MNB-től</w:t>
      </w:r>
      <w:r>
        <w:rPr>
          <w:spacing w:val="-22"/>
          <w:w w:val="130"/>
          <w:sz w:val="24"/>
        </w:rPr>
        <w:t> </w:t>
      </w:r>
      <w:r>
        <w:rPr>
          <w:w w:val="130"/>
          <w:sz w:val="24"/>
        </w:rPr>
        <w:t>és</w:t>
      </w:r>
      <w:r>
        <w:rPr>
          <w:spacing w:val="-22"/>
          <w:w w:val="130"/>
          <w:sz w:val="24"/>
        </w:rPr>
        <w:t> </w:t>
      </w:r>
      <w:r>
        <w:rPr>
          <w:w w:val="130"/>
          <w:sz w:val="24"/>
        </w:rPr>
        <w:t>a</w:t>
      </w:r>
      <w:r>
        <w:rPr>
          <w:spacing w:val="-21"/>
          <w:w w:val="130"/>
          <w:sz w:val="24"/>
        </w:rPr>
        <w:t> </w:t>
      </w:r>
      <w:r>
        <w:rPr>
          <w:w w:val="130"/>
          <w:sz w:val="24"/>
        </w:rPr>
        <w:t>Felügyelettől</w:t>
      </w:r>
      <w:r>
        <w:rPr>
          <w:spacing w:val="-22"/>
          <w:w w:val="130"/>
          <w:sz w:val="24"/>
        </w:rPr>
        <w:t> </w:t>
      </w:r>
      <w:r>
        <w:rPr>
          <w:w w:val="130"/>
          <w:sz w:val="24"/>
        </w:rPr>
        <w:t>és</w:t>
      </w:r>
    </w:p>
    <w:p>
      <w:pPr>
        <w:pStyle w:val="ListParagraph"/>
        <w:numPr>
          <w:ilvl w:val="0"/>
          <w:numId w:val="545"/>
        </w:numPr>
        <w:tabs>
          <w:tab w:pos="653" w:val="left" w:leader="none"/>
        </w:tabs>
        <w:spacing w:line="260" w:lineRule="exact" w:before="0" w:after="0"/>
        <w:ind w:left="652" w:right="0" w:hanging="335"/>
        <w:jc w:val="left"/>
        <w:rPr>
          <w:sz w:val="24"/>
        </w:rPr>
      </w:pPr>
      <w:r>
        <w:rPr>
          <w:w w:val="130"/>
          <w:sz w:val="24"/>
        </w:rPr>
        <w:t>módot ad a hitelintézetnek észrevételei</w:t>
      </w:r>
      <w:r>
        <w:rPr>
          <w:spacing w:val="-34"/>
          <w:w w:val="130"/>
          <w:sz w:val="24"/>
        </w:rPr>
        <w:t> </w:t>
      </w:r>
      <w:r>
        <w:rPr>
          <w:w w:val="130"/>
          <w:sz w:val="24"/>
        </w:rPr>
        <w:t>megtételére.</w:t>
      </w:r>
    </w:p>
    <w:p>
      <w:pPr>
        <w:pStyle w:val="ListParagraph"/>
        <w:numPr>
          <w:ilvl w:val="0"/>
          <w:numId w:val="543"/>
        </w:numPr>
        <w:tabs>
          <w:tab w:pos="735" w:val="left" w:leader="none"/>
        </w:tabs>
        <w:spacing w:line="225" w:lineRule="auto" w:before="6" w:after="0"/>
        <w:ind w:left="113" w:right="119" w:firstLine="204"/>
        <w:jc w:val="both"/>
        <w:rPr>
          <w:sz w:val="24"/>
        </w:rPr>
      </w:pPr>
      <w:r>
        <w:rPr>
          <w:w w:val="130"/>
          <w:sz w:val="24"/>
        </w:rPr>
        <w:t>A</w:t>
      </w:r>
      <w:r>
        <w:rPr>
          <w:spacing w:val="-22"/>
          <w:w w:val="130"/>
          <w:sz w:val="24"/>
        </w:rPr>
        <w:t> </w:t>
      </w:r>
      <w:r>
        <w:rPr>
          <w:w w:val="130"/>
          <w:sz w:val="24"/>
        </w:rPr>
        <w:t>(6)</w:t>
      </w:r>
      <w:r>
        <w:rPr>
          <w:spacing w:val="-15"/>
          <w:w w:val="130"/>
          <w:sz w:val="24"/>
        </w:rPr>
        <w:t> </w:t>
      </w:r>
      <w:r>
        <w:rPr>
          <w:w w:val="130"/>
          <w:sz w:val="24"/>
        </w:rPr>
        <w:t>bekezdés</w:t>
      </w:r>
      <w:r>
        <w:rPr>
          <w:spacing w:val="-27"/>
          <w:w w:val="130"/>
          <w:sz w:val="24"/>
        </w:rPr>
        <w:t> </w:t>
      </w:r>
      <w:r>
        <w:rPr>
          <w:w w:val="130"/>
          <w:sz w:val="24"/>
        </w:rPr>
        <w:t>alapján</w:t>
      </w:r>
      <w:r>
        <w:rPr>
          <w:spacing w:val="-21"/>
          <w:w w:val="130"/>
          <w:sz w:val="24"/>
        </w:rPr>
        <w:t> </w:t>
      </w:r>
      <w:r>
        <w:rPr>
          <w:w w:val="130"/>
          <w:sz w:val="24"/>
        </w:rPr>
        <w:t>felemelt</w:t>
      </w:r>
      <w:r>
        <w:rPr>
          <w:spacing w:val="-21"/>
          <w:w w:val="130"/>
          <w:sz w:val="24"/>
        </w:rPr>
        <w:t> </w:t>
      </w:r>
      <w:r>
        <w:rPr>
          <w:w w:val="130"/>
          <w:sz w:val="24"/>
        </w:rPr>
        <w:t>éves</w:t>
      </w:r>
      <w:r>
        <w:rPr>
          <w:spacing w:val="-21"/>
          <w:w w:val="130"/>
          <w:sz w:val="24"/>
        </w:rPr>
        <w:t> </w:t>
      </w:r>
      <w:r>
        <w:rPr>
          <w:w w:val="130"/>
          <w:sz w:val="24"/>
        </w:rPr>
        <w:t>díj</w:t>
      </w:r>
      <w:r>
        <w:rPr>
          <w:spacing w:val="-21"/>
          <w:w w:val="130"/>
          <w:sz w:val="24"/>
        </w:rPr>
        <w:t> </w:t>
      </w:r>
      <w:r>
        <w:rPr>
          <w:w w:val="130"/>
          <w:sz w:val="24"/>
        </w:rPr>
        <w:t>nem</w:t>
      </w:r>
      <w:r>
        <w:rPr>
          <w:spacing w:val="-21"/>
          <w:w w:val="130"/>
          <w:sz w:val="24"/>
        </w:rPr>
        <w:t> </w:t>
      </w:r>
      <w:r>
        <w:rPr>
          <w:w w:val="130"/>
          <w:sz w:val="24"/>
        </w:rPr>
        <w:t>lépheti</w:t>
      </w:r>
      <w:r>
        <w:rPr>
          <w:spacing w:val="-21"/>
          <w:w w:val="130"/>
          <w:sz w:val="24"/>
        </w:rPr>
        <w:t> </w:t>
      </w:r>
      <w:r>
        <w:rPr>
          <w:w w:val="130"/>
          <w:sz w:val="24"/>
        </w:rPr>
        <w:t>túl</w:t>
      </w:r>
      <w:r>
        <w:rPr>
          <w:spacing w:val="-17"/>
          <w:w w:val="130"/>
          <w:sz w:val="24"/>
        </w:rPr>
        <w:t> </w:t>
      </w:r>
      <w:r>
        <w:rPr>
          <w:w w:val="130"/>
          <w:sz w:val="24"/>
        </w:rPr>
        <w:t>a</w:t>
      </w:r>
      <w:r>
        <w:rPr>
          <w:spacing w:val="-26"/>
          <w:w w:val="130"/>
          <w:sz w:val="24"/>
        </w:rPr>
        <w:t> </w:t>
      </w:r>
      <w:r>
        <w:rPr>
          <w:w w:val="130"/>
          <w:sz w:val="24"/>
        </w:rPr>
        <w:t>hitelintézetnél</w:t>
      </w:r>
      <w:r>
        <w:rPr>
          <w:spacing w:val="-21"/>
          <w:w w:val="130"/>
          <w:sz w:val="24"/>
        </w:rPr>
        <w:t> </w:t>
      </w:r>
      <w:r>
        <w:rPr>
          <w:w w:val="130"/>
          <w:sz w:val="24"/>
        </w:rPr>
        <w:t>a tárgyévet megelőző év december 31-én fennálló, biztosított betétállomány három</w:t>
      </w:r>
      <w:r>
        <w:rPr>
          <w:spacing w:val="-3"/>
          <w:w w:val="130"/>
          <w:sz w:val="24"/>
        </w:rPr>
        <w:t> </w:t>
      </w:r>
      <w:r>
        <w:rPr>
          <w:w w:val="130"/>
          <w:sz w:val="24"/>
        </w:rPr>
        <w:t>ezrelékét.</w:t>
      </w:r>
    </w:p>
    <w:p>
      <w:pPr>
        <w:pStyle w:val="ListParagraph"/>
        <w:numPr>
          <w:ilvl w:val="0"/>
          <w:numId w:val="543"/>
        </w:numPr>
        <w:tabs>
          <w:tab w:pos="659" w:val="left" w:leader="none"/>
          <w:tab w:pos="3518" w:val="left" w:leader="none"/>
        </w:tabs>
        <w:spacing w:line="250" w:lineRule="exact" w:before="0" w:after="0"/>
        <w:ind w:left="658" w:right="0" w:hanging="341"/>
        <w:jc w:val="left"/>
        <w:rPr>
          <w:sz w:val="24"/>
        </w:rPr>
      </w:pPr>
      <w:r>
        <w:rPr>
          <w:i/>
          <w:w w:val="125"/>
          <w:position w:val="3"/>
          <w:sz w:val="18"/>
        </w:rPr>
        <w:t>3   </w:t>
      </w:r>
      <w:r>
        <w:rPr>
          <w:w w:val="125"/>
          <w:sz w:val="24"/>
        </w:rPr>
        <w:t>Az  OBA </w:t>
      </w:r>
      <w:r>
        <w:rPr>
          <w:spacing w:val="20"/>
          <w:w w:val="125"/>
          <w:sz w:val="24"/>
        </w:rPr>
        <w:t> </w:t>
      </w:r>
      <w:r>
        <w:rPr>
          <w:w w:val="125"/>
          <w:sz w:val="24"/>
        </w:rPr>
        <w:t>az </w:t>
      </w:r>
      <w:r>
        <w:rPr>
          <w:spacing w:val="14"/>
          <w:w w:val="125"/>
          <w:sz w:val="24"/>
        </w:rPr>
        <w:t> </w:t>
      </w:r>
      <w:r>
        <w:rPr>
          <w:w w:val="125"/>
          <w:sz w:val="24"/>
        </w:rPr>
        <w:t>általa</w:t>
        <w:tab/>
        <w:t>a 232. § (2) bekezdése szerint felvett</w:t>
      </w:r>
      <w:r>
        <w:rPr>
          <w:spacing w:val="35"/>
          <w:w w:val="125"/>
          <w:sz w:val="24"/>
        </w:rPr>
        <w:t> </w:t>
      </w:r>
      <w:r>
        <w:rPr>
          <w:w w:val="125"/>
          <w:sz w:val="24"/>
        </w:rPr>
        <w:t>kölcsön</w:t>
      </w:r>
    </w:p>
    <w:p>
      <w:pPr>
        <w:pStyle w:val="BodyText"/>
        <w:spacing w:line="225" w:lineRule="auto" w:before="12"/>
        <w:ind w:right="126" w:firstLine="0"/>
        <w:jc w:val="both"/>
      </w:pPr>
      <w:r>
        <w:rPr>
          <w:w w:val="125"/>
        </w:rPr>
        <w:t>visszafizetése és a 232. § (3) bekezdése alapján kibocsátott kötvény visszaváltása érdekében a hitelintézetek számára egységes elvek szerint megállapított - az (1) bekezdés szerinti éves díjfizetési kötelezettségen felül teljesítendő - rendkívüli fizetési kötelezettséget írhat elő, amely fizetési kötelezettség mértékének és ütemezésének igazodnia kell a kölcsöntörlesztési feltételekhez. A rendkívüli fizetési kötelezettség éves mértéke - a díjfizetési kötelezettség (2) bekezdésben meghatározott mértékén felül - nem haladhatja meg egyetlen hitelintézet esetében sem a díjfizetési alap 0,5%-át. Ha az OBA által felvett kölcsön vagy az általa kibocsátott kötvény összege meghaladja a kártalanítási kötelezettségének hatálya alá tartozó betétállomány 0,8%-át, a Felügyelet jóváhagyásával magasabb összegű befizetéseket is előírhat.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11"/>
        </w:rPr>
      </w:pPr>
      <w:r>
        <w:rPr/>
        <w:pict>
          <v:line style="position:absolute;mso-position-horizontal-relative:page;mso-position-vertical-relative:paragraph;z-index:2312;mso-wrap-distance-left:0;mso-wrap-distance-right:0" from="56.693001pt,8.942625pt" to="538.583001pt,8.942625pt" stroked="true" strokeweight=".5pt" strokecolor="#000000">
            <v:stroke dashstyle="solid"/>
            <w10:wrap type="topAndBottom"/>
          </v:line>
        </w:pict>
      </w:r>
    </w:p>
    <w:p>
      <w:pPr>
        <w:pStyle w:val="ListParagraph"/>
        <w:numPr>
          <w:ilvl w:val="0"/>
          <w:numId w:val="546"/>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83. § (1). Hatályos: 2015. VII.</w:t>
      </w:r>
      <w:r>
        <w:rPr>
          <w:i/>
          <w:spacing w:val="-22"/>
          <w:w w:val="125"/>
          <w:sz w:val="18"/>
        </w:rPr>
        <w:t> </w:t>
      </w:r>
      <w:r>
        <w:rPr>
          <w:i/>
          <w:w w:val="125"/>
          <w:sz w:val="18"/>
        </w:rPr>
        <w:t>3-tól.</w:t>
      </w:r>
    </w:p>
    <w:p>
      <w:pPr>
        <w:pStyle w:val="ListParagraph"/>
        <w:numPr>
          <w:ilvl w:val="0"/>
          <w:numId w:val="546"/>
        </w:numPr>
        <w:tabs>
          <w:tab w:pos="686" w:val="left" w:leader="none"/>
          <w:tab w:pos="687" w:val="left" w:leader="none"/>
        </w:tabs>
        <w:spacing w:line="200" w:lineRule="exact" w:before="0" w:after="0"/>
        <w:ind w:left="686" w:right="0" w:hanging="344"/>
        <w:jc w:val="left"/>
        <w:rPr>
          <w:i/>
          <w:sz w:val="18"/>
        </w:rPr>
      </w:pPr>
      <w:r>
        <w:rPr>
          <w:i/>
          <w:w w:val="120"/>
          <w:sz w:val="18"/>
        </w:rPr>
        <w:t>Beiktatta: 2014. évi CIV. törvény 83. § (2). Hatályos: 2015. VII.</w:t>
      </w:r>
      <w:r>
        <w:rPr>
          <w:i/>
          <w:spacing w:val="49"/>
          <w:w w:val="120"/>
          <w:sz w:val="18"/>
        </w:rPr>
        <w:t> </w:t>
      </w:r>
      <w:r>
        <w:rPr>
          <w:i/>
          <w:w w:val="120"/>
          <w:sz w:val="18"/>
        </w:rPr>
        <w:t>3-tól.</w:t>
      </w:r>
    </w:p>
    <w:p>
      <w:pPr>
        <w:pStyle w:val="ListParagraph"/>
        <w:numPr>
          <w:ilvl w:val="0"/>
          <w:numId w:val="546"/>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227. § (1). Hatályos: 2015. VII.</w:t>
      </w:r>
      <w:r>
        <w:rPr>
          <w:i/>
          <w:spacing w:val="-30"/>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BodyText"/>
        <w:spacing w:line="261" w:lineRule="exact" w:before="159"/>
        <w:ind w:left="317" w:firstLine="0"/>
      </w:pPr>
      <w:r>
        <w:rPr>
          <w:w w:val="130"/>
        </w:rPr>
        <w:t>(8a)</w:t>
      </w:r>
      <w:r>
        <w:rPr>
          <w:i/>
          <w:w w:val="130"/>
          <w:position w:val="3"/>
          <w:sz w:val="18"/>
        </w:rPr>
        <w:t>1 </w:t>
      </w:r>
      <w:r>
        <w:rPr>
          <w:w w:val="130"/>
        </w:rPr>
        <w:t>Ha a (8) bekezdés alapján előírt rendkívüli fizetési</w:t>
      </w:r>
      <w:r>
        <w:rPr>
          <w:spacing w:val="57"/>
          <w:w w:val="130"/>
        </w:rPr>
        <w:t> </w:t>
      </w:r>
      <w:r>
        <w:rPr>
          <w:w w:val="130"/>
        </w:rPr>
        <w:t>kötelezettség</w:t>
      </w:r>
    </w:p>
    <w:p>
      <w:pPr>
        <w:pStyle w:val="BodyText"/>
        <w:spacing w:line="225" w:lineRule="auto" w:before="12"/>
        <w:ind w:right="125" w:firstLine="0"/>
        <w:jc w:val="both"/>
      </w:pPr>
      <w:r>
        <w:rPr>
          <w:w w:val="130"/>
        </w:rPr>
        <w:t>veszélyeztetné</w:t>
      </w:r>
      <w:r>
        <w:rPr>
          <w:spacing w:val="-18"/>
          <w:w w:val="130"/>
        </w:rPr>
        <w:t> </w:t>
      </w:r>
      <w:r>
        <w:rPr>
          <w:w w:val="130"/>
        </w:rPr>
        <w:t>a</w:t>
      </w:r>
      <w:r>
        <w:rPr>
          <w:spacing w:val="-29"/>
          <w:w w:val="130"/>
        </w:rPr>
        <w:t> </w:t>
      </w:r>
      <w:r>
        <w:rPr>
          <w:w w:val="130"/>
        </w:rPr>
        <w:t>hitelintézet</w:t>
      </w:r>
      <w:r>
        <w:rPr>
          <w:spacing w:val="-22"/>
          <w:w w:val="130"/>
        </w:rPr>
        <w:t> </w:t>
      </w:r>
      <w:r>
        <w:rPr>
          <w:w w:val="130"/>
        </w:rPr>
        <w:t>azonnali</w:t>
      </w:r>
      <w:r>
        <w:rPr>
          <w:spacing w:val="-24"/>
          <w:w w:val="130"/>
        </w:rPr>
        <w:t> </w:t>
      </w:r>
      <w:r>
        <w:rPr>
          <w:w w:val="130"/>
        </w:rPr>
        <w:t>vagy</w:t>
      </w:r>
      <w:r>
        <w:rPr>
          <w:spacing w:val="-23"/>
          <w:w w:val="130"/>
        </w:rPr>
        <w:t> </w:t>
      </w:r>
      <w:r>
        <w:rPr>
          <w:w w:val="130"/>
        </w:rPr>
        <w:t>mindenkori</w:t>
      </w:r>
      <w:r>
        <w:rPr>
          <w:spacing w:val="-24"/>
          <w:w w:val="130"/>
        </w:rPr>
        <w:t> </w:t>
      </w:r>
      <w:r>
        <w:rPr>
          <w:w w:val="130"/>
        </w:rPr>
        <w:t>fizetőképességét</w:t>
      </w:r>
      <w:r>
        <w:rPr>
          <w:spacing w:val="-23"/>
          <w:w w:val="130"/>
        </w:rPr>
        <w:t> </w:t>
      </w:r>
      <w:r>
        <w:rPr>
          <w:w w:val="130"/>
        </w:rPr>
        <w:t>-</w:t>
      </w:r>
      <w:r>
        <w:rPr>
          <w:spacing w:val="-23"/>
          <w:w w:val="130"/>
        </w:rPr>
        <w:t> </w:t>
      </w:r>
      <w:r>
        <w:rPr>
          <w:w w:val="130"/>
        </w:rPr>
        <w:t>azaz likviditását vagy a szolvenciáját -, akkor a Felügyelet részben vagy egészben elhalaszthatja a hitelintézet rendkívüli befizetési kötelezettségének elrendelését.</w:t>
      </w:r>
      <w:r>
        <w:rPr>
          <w:spacing w:val="-17"/>
          <w:w w:val="130"/>
        </w:rPr>
        <w:t> </w:t>
      </w:r>
      <w:r>
        <w:rPr>
          <w:w w:val="130"/>
        </w:rPr>
        <w:t>A</w:t>
      </w:r>
      <w:r>
        <w:rPr>
          <w:spacing w:val="-24"/>
          <w:w w:val="130"/>
        </w:rPr>
        <w:t> </w:t>
      </w:r>
      <w:r>
        <w:rPr>
          <w:w w:val="130"/>
        </w:rPr>
        <w:t>rendkívüli</w:t>
      </w:r>
      <w:r>
        <w:rPr>
          <w:spacing w:val="-20"/>
          <w:w w:val="130"/>
        </w:rPr>
        <w:t> </w:t>
      </w:r>
      <w:r>
        <w:rPr>
          <w:w w:val="130"/>
        </w:rPr>
        <w:t>befizetés</w:t>
      </w:r>
      <w:r>
        <w:rPr>
          <w:spacing w:val="-19"/>
          <w:w w:val="130"/>
        </w:rPr>
        <w:t> </w:t>
      </w:r>
      <w:r>
        <w:rPr>
          <w:w w:val="130"/>
        </w:rPr>
        <w:t>legfeljebb</w:t>
      </w:r>
      <w:r>
        <w:rPr>
          <w:spacing w:val="-17"/>
          <w:w w:val="130"/>
        </w:rPr>
        <w:t> </w:t>
      </w:r>
      <w:r>
        <w:rPr>
          <w:w w:val="130"/>
        </w:rPr>
        <w:t>6</w:t>
      </w:r>
      <w:r>
        <w:rPr>
          <w:spacing w:val="-24"/>
          <w:w w:val="130"/>
        </w:rPr>
        <w:t> </w:t>
      </w:r>
      <w:r>
        <w:rPr>
          <w:w w:val="130"/>
        </w:rPr>
        <w:t>hónappal</w:t>
      </w:r>
      <w:r>
        <w:rPr>
          <w:spacing w:val="-19"/>
          <w:w w:val="130"/>
        </w:rPr>
        <w:t> </w:t>
      </w:r>
      <w:r>
        <w:rPr>
          <w:w w:val="130"/>
        </w:rPr>
        <w:t>halasztható</w:t>
      </w:r>
      <w:r>
        <w:rPr>
          <w:spacing w:val="-20"/>
          <w:w w:val="130"/>
        </w:rPr>
        <w:t> </w:t>
      </w:r>
      <w:r>
        <w:rPr>
          <w:w w:val="130"/>
        </w:rPr>
        <w:t>el</w:t>
      </w:r>
      <w:r>
        <w:rPr>
          <w:spacing w:val="-18"/>
          <w:w w:val="130"/>
        </w:rPr>
        <w:t> </w:t>
      </w:r>
      <w:r>
        <w:rPr>
          <w:w w:val="130"/>
        </w:rPr>
        <w:t>azzal, hogy a hitelintézet kérelmére a halasztás meghosszabbítható. Az elhalasztott rendkívüli befizetési kötelezettséget akkor kell teljesíteni, ha a befizetés már nem</w:t>
      </w:r>
      <w:r>
        <w:rPr>
          <w:spacing w:val="-23"/>
          <w:w w:val="130"/>
        </w:rPr>
        <w:t> </w:t>
      </w:r>
      <w:r>
        <w:rPr>
          <w:w w:val="130"/>
        </w:rPr>
        <w:t>veszélyezteti</w:t>
      </w:r>
      <w:r>
        <w:rPr>
          <w:spacing w:val="-24"/>
          <w:w w:val="130"/>
        </w:rPr>
        <w:t> </w:t>
      </w:r>
      <w:r>
        <w:rPr>
          <w:w w:val="130"/>
        </w:rPr>
        <w:t>a</w:t>
      </w:r>
      <w:r>
        <w:rPr>
          <w:spacing w:val="-23"/>
          <w:w w:val="130"/>
        </w:rPr>
        <w:t> </w:t>
      </w:r>
      <w:r>
        <w:rPr>
          <w:w w:val="130"/>
        </w:rPr>
        <w:t>hitelintézet</w:t>
      </w:r>
      <w:r>
        <w:rPr>
          <w:spacing w:val="-23"/>
          <w:w w:val="130"/>
        </w:rPr>
        <w:t> </w:t>
      </w:r>
      <w:r>
        <w:rPr>
          <w:w w:val="130"/>
        </w:rPr>
        <w:t>azonnali</w:t>
      </w:r>
      <w:r>
        <w:rPr>
          <w:spacing w:val="-23"/>
          <w:w w:val="130"/>
        </w:rPr>
        <w:t> </w:t>
      </w:r>
      <w:r>
        <w:rPr>
          <w:w w:val="130"/>
        </w:rPr>
        <w:t>vagy</w:t>
      </w:r>
      <w:r>
        <w:rPr>
          <w:spacing w:val="-23"/>
          <w:w w:val="130"/>
        </w:rPr>
        <w:t> </w:t>
      </w:r>
      <w:r>
        <w:rPr>
          <w:w w:val="130"/>
        </w:rPr>
        <w:t>mindenkori</w:t>
      </w:r>
      <w:r>
        <w:rPr>
          <w:spacing w:val="-24"/>
          <w:w w:val="130"/>
        </w:rPr>
        <w:t> </w:t>
      </w:r>
      <w:r>
        <w:rPr>
          <w:w w:val="130"/>
        </w:rPr>
        <w:t>fizetőképességét.</w:t>
      </w:r>
    </w:p>
    <w:p>
      <w:pPr>
        <w:pStyle w:val="BodyText"/>
        <w:tabs>
          <w:tab w:pos="1185" w:val="left" w:leader="none"/>
          <w:tab w:pos="2736" w:val="left" w:leader="none"/>
          <w:tab w:pos="3867" w:val="left" w:leader="none"/>
          <w:tab w:pos="5748" w:val="left" w:leader="none"/>
          <w:tab w:pos="8235" w:val="left" w:leader="none"/>
          <w:tab w:pos="9602" w:val="left" w:leader="none"/>
        </w:tabs>
        <w:spacing w:line="253" w:lineRule="exact"/>
        <w:ind w:left="317" w:firstLine="0"/>
      </w:pPr>
      <w:r>
        <w:rPr>
          <w:w w:val="130"/>
        </w:rPr>
        <w:t>(8b)</w:t>
      </w:r>
      <w:r>
        <w:rPr>
          <w:i/>
          <w:w w:val="130"/>
          <w:position w:val="3"/>
          <w:sz w:val="18"/>
        </w:rPr>
        <w:t>2</w:t>
        <w:tab/>
      </w:r>
      <w:r>
        <w:rPr>
          <w:w w:val="125"/>
        </w:rPr>
        <w:t>Rendkívüli</w:t>
        <w:tab/>
      </w:r>
      <w:r>
        <w:rPr>
          <w:w w:val="130"/>
        </w:rPr>
        <w:t>fizetési</w:t>
        <w:tab/>
        <w:t>kötelezettség</w:t>
        <w:tab/>
        <w:t>meghatározásánál</w:t>
        <w:tab/>
        <w:t>ugyanazt</w:t>
        <w:tab/>
        <w:t>a</w:t>
      </w:r>
    </w:p>
    <w:p>
      <w:pPr>
        <w:pStyle w:val="BodyText"/>
        <w:tabs>
          <w:tab w:pos="1488" w:val="left" w:leader="none"/>
          <w:tab w:pos="2973" w:val="left" w:leader="none"/>
          <w:tab w:pos="3635" w:val="left" w:leader="none"/>
          <w:tab w:pos="5201" w:val="left" w:leader="none"/>
          <w:tab w:pos="6157" w:val="left" w:leader="none"/>
          <w:tab w:pos="6944" w:val="left" w:leader="none"/>
          <w:tab w:pos="7302" w:val="left" w:leader="none"/>
          <w:tab w:pos="8688" w:val="left" w:leader="none"/>
          <w:tab w:pos="9438" w:val="left" w:leader="none"/>
        </w:tabs>
        <w:spacing w:line="225" w:lineRule="auto" w:before="12"/>
        <w:ind w:right="134" w:firstLine="0"/>
      </w:pPr>
      <w:r>
        <w:rPr>
          <w:w w:val="130"/>
        </w:rPr>
        <w:t>kockázati</w:t>
        <w:tab/>
        <w:t>besorolást</w:t>
        <w:tab/>
        <w:t>kell</w:t>
        <w:tab/>
        <w:t>figyelembe</w:t>
        <w:tab/>
        <w:t>venni,</w:t>
        <w:tab/>
        <w:t>mint</w:t>
        <w:tab/>
        <w:t>a</w:t>
        <w:tab/>
        <w:t>legutóbbi</w:t>
        <w:tab/>
        <w:t>éves</w:t>
        <w:tab/>
      </w:r>
      <w:r>
        <w:rPr>
          <w:spacing w:val="-6"/>
          <w:w w:val="125"/>
        </w:rPr>
        <w:t>díj </w:t>
      </w:r>
      <w:r>
        <w:rPr>
          <w:w w:val="130"/>
        </w:rPr>
        <w:t>meghatározásánál.</w:t>
      </w:r>
    </w:p>
    <w:p>
      <w:pPr>
        <w:pStyle w:val="ListParagraph"/>
        <w:numPr>
          <w:ilvl w:val="0"/>
          <w:numId w:val="543"/>
        </w:numPr>
        <w:tabs>
          <w:tab w:pos="659" w:val="left" w:leader="none"/>
        </w:tabs>
        <w:spacing w:line="249" w:lineRule="exact" w:before="0" w:after="0"/>
        <w:ind w:left="658" w:right="0" w:hanging="341"/>
        <w:jc w:val="left"/>
        <w:rPr>
          <w:sz w:val="24"/>
        </w:rPr>
      </w:pPr>
      <w:r>
        <w:rPr>
          <w:i/>
          <w:w w:val="130"/>
          <w:position w:val="3"/>
          <w:sz w:val="18"/>
        </w:rPr>
        <w:t>3 </w:t>
      </w:r>
      <w:r>
        <w:rPr>
          <w:w w:val="130"/>
          <w:sz w:val="24"/>
        </w:rPr>
        <w:t>Ha a kölcsön igénybevételét, illetve kötvény kibocsátását</w:t>
      </w:r>
      <w:r>
        <w:rPr>
          <w:spacing w:val="33"/>
          <w:w w:val="130"/>
          <w:sz w:val="24"/>
        </w:rPr>
        <w:t> </w:t>
      </w:r>
      <w:r>
        <w:rPr>
          <w:w w:val="130"/>
          <w:sz w:val="24"/>
        </w:rPr>
        <w:t>szükségessé</w:t>
      </w:r>
    </w:p>
    <w:p>
      <w:pPr>
        <w:pStyle w:val="BodyText"/>
        <w:spacing w:line="225" w:lineRule="auto" w:before="12"/>
        <w:ind w:right="114" w:firstLine="0"/>
        <w:jc w:val="both"/>
      </w:pPr>
      <w:r>
        <w:rPr>
          <w:w w:val="130"/>
        </w:rPr>
        <w:t>tevő káresemény kapcsán az OBA bevételre tesz szert, azt elsősorban a fennálló kölcsön- vagy kötvénytartozás csökkentésére, ezt követően pedig a hitelintézeteket terhelő rendkívüli fizetési kötelezettség mérséklésére, visszafizetésére kell fordítani.</w:t>
      </w:r>
    </w:p>
    <w:p>
      <w:pPr>
        <w:pStyle w:val="ListParagraph"/>
        <w:numPr>
          <w:ilvl w:val="0"/>
          <w:numId w:val="543"/>
        </w:numPr>
        <w:tabs>
          <w:tab w:pos="977" w:val="left" w:leader="none"/>
        </w:tabs>
        <w:spacing w:line="225" w:lineRule="auto" w:before="2" w:after="0"/>
        <w:ind w:left="113" w:right="129" w:firstLine="204"/>
        <w:jc w:val="both"/>
        <w:rPr>
          <w:sz w:val="24"/>
        </w:rPr>
      </w:pPr>
      <w:r>
        <w:rPr>
          <w:w w:val="125"/>
          <w:sz w:val="24"/>
        </w:rPr>
        <w:t>A hitelintézet a végelszámolása vagy felszámolása kezdő évében a végelszámolás vagy felszámolás kezdő napjáig terjedő időszakra vonatkozóan az e §-ban meghatározottak szerint köteles időarányos éves díjat fizetni. A díj vetítési alapja a hitelintézet által a felszámolás vagy  végelszámolás  elrendelését megelőzően teljesített legutolsó díjfizetésének alapjául szolgáló betétállomány.</w:t>
      </w:r>
    </w:p>
    <w:p>
      <w:pPr>
        <w:pStyle w:val="BodyText"/>
        <w:spacing w:line="252" w:lineRule="exact"/>
        <w:ind w:left="317" w:firstLine="0"/>
      </w:pPr>
      <w:r>
        <w:rPr>
          <w:rFonts w:ascii="Arial" w:hAnsi="Arial"/>
          <w:b/>
          <w:w w:val="125"/>
        </w:rPr>
        <w:t>234/A. §</w:t>
      </w:r>
      <w:r>
        <w:rPr>
          <w:i/>
          <w:w w:val="125"/>
          <w:position w:val="3"/>
          <w:sz w:val="18"/>
        </w:rPr>
        <w:t>4 </w:t>
      </w:r>
      <w:r>
        <w:rPr>
          <w:w w:val="125"/>
        </w:rPr>
        <w:t>(1) Az OBA tagjainak éves befizetési kötelezettségét úgy kell</w:t>
      </w:r>
    </w:p>
    <w:p>
      <w:pPr>
        <w:pStyle w:val="BodyText"/>
        <w:spacing w:line="225" w:lineRule="auto" w:before="12"/>
        <w:ind w:right="127" w:firstLine="0"/>
        <w:jc w:val="both"/>
      </w:pPr>
      <w:r>
        <w:rPr>
          <w:w w:val="125"/>
        </w:rPr>
        <w:t>megállapítani, hogy az OBA pénzeszközei 2024. július 3-ig elérjék a kártalanítási kötelezettségének hatálya alá tartozó betétállomány 0,8%-át (célszint).</w:t>
      </w:r>
    </w:p>
    <w:p>
      <w:pPr>
        <w:pStyle w:val="ListParagraph"/>
        <w:numPr>
          <w:ilvl w:val="0"/>
          <w:numId w:val="547"/>
        </w:numPr>
        <w:tabs>
          <w:tab w:pos="878" w:val="left" w:leader="none"/>
        </w:tabs>
        <w:spacing w:line="225" w:lineRule="auto" w:before="2" w:after="0"/>
        <w:ind w:left="113" w:right="127" w:firstLine="204"/>
        <w:jc w:val="both"/>
        <w:rPr>
          <w:sz w:val="24"/>
        </w:rPr>
      </w:pPr>
      <w:r>
        <w:rPr>
          <w:w w:val="130"/>
          <w:sz w:val="24"/>
        </w:rPr>
        <w:t>Ha az (1) bekezdésben meghatározott célszint elérését követően kártalanítás kifizetése miatt az OBA pénzeszközei a célszint kétharmadánál alacsonyabb szintre csökkennek, az éves díjfizetési kötelezettséget az</w:t>
      </w:r>
      <w:r>
        <w:rPr>
          <w:spacing w:val="78"/>
          <w:w w:val="130"/>
          <w:sz w:val="24"/>
        </w:rPr>
        <w:t> </w:t>
      </w:r>
      <w:r>
        <w:rPr>
          <w:w w:val="130"/>
          <w:sz w:val="24"/>
        </w:rPr>
        <w:t>OBA-nak úgy kell megállapítania, hogy hat éven belül ismét elérje az (1) bekezdésben meghatározott</w:t>
      </w:r>
      <w:r>
        <w:rPr>
          <w:spacing w:val="-7"/>
          <w:w w:val="130"/>
          <w:sz w:val="24"/>
        </w:rPr>
        <w:t> </w:t>
      </w:r>
      <w:r>
        <w:rPr>
          <w:w w:val="130"/>
          <w:sz w:val="24"/>
        </w:rPr>
        <w:t>célszintet.</w:t>
      </w:r>
    </w:p>
    <w:p>
      <w:pPr>
        <w:pStyle w:val="ListParagraph"/>
        <w:numPr>
          <w:ilvl w:val="0"/>
          <w:numId w:val="547"/>
        </w:numPr>
        <w:tabs>
          <w:tab w:pos="659" w:val="left" w:leader="none"/>
        </w:tabs>
        <w:spacing w:line="257" w:lineRule="exact" w:before="0" w:after="0"/>
        <w:ind w:left="658" w:right="0" w:hanging="341"/>
        <w:jc w:val="left"/>
        <w:rPr>
          <w:sz w:val="24"/>
        </w:rPr>
      </w:pPr>
      <w:r>
        <w:rPr>
          <w:i/>
          <w:w w:val="125"/>
          <w:position w:val="3"/>
          <w:sz w:val="18"/>
        </w:rPr>
        <w:t>5 </w:t>
      </w:r>
      <w:r>
        <w:rPr>
          <w:w w:val="125"/>
          <w:sz w:val="24"/>
        </w:rPr>
        <w:t>Az OBA tagjainak éves befizetési kötelezettségének megállapításánál</w:t>
      </w:r>
      <w:r>
        <w:rPr>
          <w:spacing w:val="34"/>
          <w:w w:val="125"/>
          <w:sz w:val="24"/>
        </w:rPr>
        <w:t> </w:t>
      </w:r>
      <w:r>
        <w:rPr>
          <w:w w:val="125"/>
          <w:sz w:val="24"/>
        </w:rPr>
        <w:t>az</w:t>
      </w:r>
    </w:p>
    <w:p>
      <w:pPr>
        <w:pStyle w:val="ListParagraph"/>
        <w:numPr>
          <w:ilvl w:val="0"/>
          <w:numId w:val="548"/>
        </w:numPr>
        <w:tabs>
          <w:tab w:pos="535" w:val="left" w:leader="none"/>
        </w:tabs>
        <w:spacing w:line="225" w:lineRule="auto" w:before="5" w:after="0"/>
        <w:ind w:left="113" w:right="121" w:firstLine="0"/>
        <w:jc w:val="both"/>
        <w:rPr>
          <w:sz w:val="24"/>
        </w:rPr>
      </w:pPr>
      <w:r>
        <w:rPr>
          <w:w w:val="130"/>
          <w:sz w:val="24"/>
        </w:rPr>
        <w:t>bekezdésben</w:t>
      </w:r>
      <w:r>
        <w:rPr>
          <w:spacing w:val="-15"/>
          <w:w w:val="130"/>
          <w:sz w:val="24"/>
        </w:rPr>
        <w:t> </w:t>
      </w:r>
      <w:r>
        <w:rPr>
          <w:w w:val="130"/>
          <w:sz w:val="24"/>
        </w:rPr>
        <w:t>meghatározott</w:t>
      </w:r>
      <w:r>
        <w:rPr>
          <w:spacing w:val="-15"/>
          <w:w w:val="130"/>
          <w:sz w:val="24"/>
        </w:rPr>
        <w:t> </w:t>
      </w:r>
      <w:r>
        <w:rPr>
          <w:w w:val="130"/>
          <w:sz w:val="24"/>
        </w:rPr>
        <w:t>célszint</w:t>
      </w:r>
      <w:r>
        <w:rPr>
          <w:spacing w:val="-14"/>
          <w:w w:val="130"/>
          <w:sz w:val="24"/>
        </w:rPr>
        <w:t> </w:t>
      </w:r>
      <w:r>
        <w:rPr>
          <w:w w:val="130"/>
          <w:sz w:val="24"/>
        </w:rPr>
        <w:t>eléréséig</w:t>
      </w:r>
      <w:r>
        <w:rPr>
          <w:spacing w:val="-15"/>
          <w:w w:val="130"/>
          <w:sz w:val="24"/>
        </w:rPr>
        <w:t> </w:t>
      </w:r>
      <w:r>
        <w:rPr>
          <w:w w:val="130"/>
          <w:sz w:val="24"/>
        </w:rPr>
        <w:t>az</w:t>
      </w:r>
      <w:r>
        <w:rPr>
          <w:spacing w:val="-15"/>
          <w:w w:val="130"/>
          <w:sz w:val="24"/>
        </w:rPr>
        <w:t> </w:t>
      </w:r>
      <w:r>
        <w:rPr>
          <w:w w:val="130"/>
          <w:sz w:val="24"/>
        </w:rPr>
        <w:t>egyenletes</w:t>
      </w:r>
      <w:r>
        <w:rPr>
          <w:spacing w:val="-15"/>
          <w:w w:val="130"/>
          <w:sz w:val="24"/>
        </w:rPr>
        <w:t> </w:t>
      </w:r>
      <w:r>
        <w:rPr>
          <w:w w:val="130"/>
          <w:sz w:val="24"/>
        </w:rPr>
        <w:t>elosztásra</w:t>
      </w:r>
      <w:r>
        <w:rPr>
          <w:spacing w:val="-15"/>
          <w:w w:val="130"/>
          <w:sz w:val="24"/>
        </w:rPr>
        <w:t> </w:t>
      </w:r>
      <w:r>
        <w:rPr>
          <w:w w:val="130"/>
          <w:sz w:val="24"/>
        </w:rPr>
        <w:t>kell törekedni, figyelembe véve az üzleti ciklus szakaszát, valamint a prociklikus befizetések hatását az éves befizetések összegére és a hitelintézetek pénzügyi helyzetére.</w:t>
      </w:r>
    </w:p>
    <w:p>
      <w:pPr>
        <w:pStyle w:val="BodyText"/>
        <w:spacing w:before="4"/>
        <w:ind w:left="0" w:firstLine="0"/>
        <w:rPr>
          <w:sz w:val="11"/>
        </w:rPr>
      </w:pPr>
    </w:p>
    <w:p>
      <w:pPr>
        <w:pStyle w:val="BodyText"/>
        <w:spacing w:before="98"/>
        <w:ind w:left="3257" w:firstLine="0"/>
      </w:pPr>
      <w:r>
        <w:rPr>
          <w:w w:val="120"/>
        </w:rPr>
        <w:t>99. A díjfizetés elszámolása</w:t>
      </w:r>
    </w:p>
    <w:p>
      <w:pPr>
        <w:pStyle w:val="ListParagraph"/>
        <w:numPr>
          <w:ilvl w:val="1"/>
          <w:numId w:val="526"/>
        </w:numPr>
        <w:tabs>
          <w:tab w:pos="1005" w:val="left" w:leader="none"/>
        </w:tabs>
        <w:spacing w:line="225" w:lineRule="auto" w:before="237" w:after="0"/>
        <w:ind w:left="113" w:right="125" w:firstLine="204"/>
        <w:jc w:val="left"/>
        <w:rPr>
          <w:sz w:val="24"/>
        </w:rPr>
      </w:pPr>
      <w:r>
        <w:rPr>
          <w:rFonts w:ascii="Arial" w:hAnsi="Arial"/>
          <w:b/>
          <w:w w:val="125"/>
          <w:sz w:val="24"/>
        </w:rPr>
        <w:t>§ </w:t>
      </w:r>
      <w:r>
        <w:rPr>
          <w:w w:val="125"/>
          <w:sz w:val="24"/>
        </w:rPr>
        <w:t>A hitelintézet az OBA-ba befizetett összeget - ideértve a csatlakozási díjat is - egyéb ráfordításként számolja</w:t>
      </w:r>
      <w:r>
        <w:rPr>
          <w:spacing w:val="5"/>
          <w:w w:val="125"/>
          <w:sz w:val="24"/>
        </w:rPr>
        <w:t> </w:t>
      </w:r>
      <w:r>
        <w:rPr>
          <w:w w:val="125"/>
          <w:sz w:val="24"/>
        </w:rPr>
        <w:t>el.</w:t>
      </w:r>
    </w:p>
    <w:p>
      <w:pPr>
        <w:pStyle w:val="BodyText"/>
        <w:spacing w:before="228"/>
        <w:ind w:left="3167" w:firstLine="0"/>
      </w:pPr>
      <w:r>
        <w:rPr>
          <w:w w:val="125"/>
        </w:rPr>
        <w:t>100. Csatlakozás az OBA-hoz</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21"/>
        </w:rPr>
      </w:pPr>
      <w:r>
        <w:rPr/>
        <w:pict>
          <v:line style="position:absolute;mso-position-horizontal-relative:page;mso-position-vertical-relative:paragraph;z-index:2336;mso-wrap-distance-left:0;mso-wrap-distance-right:0" from="56.693001pt,14.480389pt" to="538.583001pt,14.480389pt" stroked="true" strokeweight=".5pt" strokecolor="#000000">
            <v:stroke dashstyle="solid"/>
            <w10:wrap type="topAndBottom"/>
          </v:line>
        </w:pict>
      </w:r>
    </w:p>
    <w:p>
      <w:pPr>
        <w:tabs>
          <w:tab w:pos="686" w:val="left" w:leader="none"/>
        </w:tabs>
        <w:spacing w:line="232" w:lineRule="auto" w:before="49"/>
        <w:ind w:left="342" w:right="2263" w:firstLine="0"/>
        <w:jc w:val="left"/>
        <w:rPr>
          <w:i/>
          <w:sz w:val="18"/>
        </w:rPr>
      </w:pPr>
      <w:r>
        <w:rPr>
          <w:i/>
          <w:w w:val="125"/>
          <w:sz w:val="18"/>
        </w:rPr>
        <w:t>1</w:t>
        <w:tab/>
        <w:t>Megállapította:</w:t>
      </w:r>
      <w:r>
        <w:rPr>
          <w:i/>
          <w:spacing w:val="-12"/>
          <w:w w:val="125"/>
          <w:sz w:val="18"/>
        </w:rPr>
        <w:t> </w:t>
      </w:r>
      <w:r>
        <w:rPr>
          <w:i/>
          <w:w w:val="125"/>
          <w:sz w:val="18"/>
        </w:rPr>
        <w:t>2018.</w:t>
      </w:r>
      <w:r>
        <w:rPr>
          <w:i/>
          <w:spacing w:val="-12"/>
          <w:w w:val="125"/>
          <w:sz w:val="18"/>
        </w:rPr>
        <w:t> </w:t>
      </w:r>
      <w:r>
        <w:rPr>
          <w:i/>
          <w:w w:val="125"/>
          <w:sz w:val="18"/>
        </w:rPr>
        <w:t>évi</w:t>
      </w:r>
      <w:r>
        <w:rPr>
          <w:i/>
          <w:spacing w:val="-12"/>
          <w:w w:val="125"/>
          <w:sz w:val="18"/>
        </w:rPr>
        <w:t> </w:t>
      </w:r>
      <w:r>
        <w:rPr>
          <w:i/>
          <w:w w:val="125"/>
          <w:sz w:val="18"/>
        </w:rPr>
        <w:t>CXXVI.</w:t>
      </w:r>
      <w:r>
        <w:rPr>
          <w:i/>
          <w:spacing w:val="-12"/>
          <w:w w:val="125"/>
          <w:sz w:val="18"/>
        </w:rPr>
        <w:t> </w:t>
      </w:r>
      <w:r>
        <w:rPr>
          <w:i/>
          <w:w w:val="125"/>
          <w:sz w:val="18"/>
        </w:rPr>
        <w:t>törvény</w:t>
      </w:r>
      <w:r>
        <w:rPr>
          <w:i/>
          <w:spacing w:val="-12"/>
          <w:w w:val="125"/>
          <w:sz w:val="18"/>
        </w:rPr>
        <w:t> </w:t>
      </w:r>
      <w:r>
        <w:rPr>
          <w:i/>
          <w:w w:val="125"/>
          <w:sz w:val="18"/>
        </w:rPr>
        <w:t>112.</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2018.</w:t>
      </w:r>
      <w:r>
        <w:rPr>
          <w:i/>
          <w:spacing w:val="-12"/>
          <w:w w:val="125"/>
          <w:sz w:val="18"/>
        </w:rPr>
        <w:t> </w:t>
      </w:r>
      <w:r>
        <w:rPr>
          <w:i/>
          <w:w w:val="125"/>
          <w:sz w:val="18"/>
        </w:rPr>
        <w:t>XII.</w:t>
      </w:r>
      <w:r>
        <w:rPr>
          <w:i/>
          <w:spacing w:val="-12"/>
          <w:w w:val="125"/>
          <w:sz w:val="18"/>
        </w:rPr>
        <w:t> </w:t>
      </w:r>
      <w:r>
        <w:rPr>
          <w:i/>
          <w:w w:val="125"/>
          <w:sz w:val="18"/>
        </w:rPr>
        <w:t>29-től. 2</w:t>
        <w:tab/>
        <w:t>Beiktatta:</w:t>
      </w:r>
      <w:r>
        <w:rPr>
          <w:i/>
          <w:spacing w:val="-6"/>
          <w:w w:val="125"/>
          <w:sz w:val="18"/>
        </w:rPr>
        <w:t> </w:t>
      </w:r>
      <w:r>
        <w:rPr>
          <w:i/>
          <w:w w:val="125"/>
          <w:sz w:val="18"/>
        </w:rPr>
        <w:t>2015.</w:t>
      </w:r>
      <w:r>
        <w:rPr>
          <w:i/>
          <w:spacing w:val="-6"/>
          <w:w w:val="125"/>
          <w:sz w:val="18"/>
        </w:rPr>
        <w:t> </w:t>
      </w:r>
      <w:r>
        <w:rPr>
          <w:i/>
          <w:w w:val="125"/>
          <w:sz w:val="18"/>
        </w:rPr>
        <w:t>évi</w:t>
      </w:r>
      <w:r>
        <w:rPr>
          <w:i/>
          <w:spacing w:val="-5"/>
          <w:w w:val="125"/>
          <w:sz w:val="18"/>
        </w:rPr>
        <w:t> </w:t>
      </w:r>
      <w:r>
        <w:rPr>
          <w:i/>
          <w:w w:val="125"/>
          <w:sz w:val="18"/>
        </w:rPr>
        <w:t>CCXV.</w:t>
      </w:r>
      <w:r>
        <w:rPr>
          <w:i/>
          <w:spacing w:val="-5"/>
          <w:w w:val="125"/>
          <w:sz w:val="18"/>
        </w:rPr>
        <w:t> </w:t>
      </w:r>
      <w:r>
        <w:rPr>
          <w:i/>
          <w:w w:val="125"/>
          <w:sz w:val="18"/>
        </w:rPr>
        <w:t>törvény</w:t>
      </w:r>
      <w:r>
        <w:rPr>
          <w:i/>
          <w:spacing w:val="-5"/>
          <w:w w:val="125"/>
          <w:sz w:val="18"/>
        </w:rPr>
        <w:t> </w:t>
      </w:r>
      <w:r>
        <w:rPr>
          <w:i/>
          <w:w w:val="125"/>
          <w:sz w:val="18"/>
        </w:rPr>
        <w:t>143.</w:t>
      </w:r>
      <w:r>
        <w:rPr>
          <w:i/>
          <w:spacing w:val="-6"/>
          <w:w w:val="125"/>
          <w:sz w:val="18"/>
        </w:rPr>
        <w:t> </w:t>
      </w:r>
      <w:r>
        <w:rPr>
          <w:i/>
          <w:w w:val="125"/>
          <w:sz w:val="18"/>
        </w:rPr>
        <w:t>§</w:t>
      </w:r>
      <w:r>
        <w:rPr>
          <w:i/>
          <w:spacing w:val="-5"/>
          <w:w w:val="125"/>
          <w:sz w:val="18"/>
        </w:rPr>
        <w:t> </w:t>
      </w:r>
      <w:r>
        <w:rPr>
          <w:i/>
          <w:w w:val="125"/>
          <w:sz w:val="18"/>
        </w:rPr>
        <w:t>(3).</w:t>
      </w:r>
      <w:r>
        <w:rPr>
          <w:i/>
          <w:spacing w:val="-4"/>
          <w:w w:val="125"/>
          <w:sz w:val="18"/>
        </w:rPr>
        <w:t> </w:t>
      </w:r>
      <w:r>
        <w:rPr>
          <w:i/>
          <w:w w:val="125"/>
          <w:sz w:val="18"/>
        </w:rPr>
        <w:t>Hatályos:</w:t>
      </w:r>
      <w:r>
        <w:rPr>
          <w:i/>
          <w:spacing w:val="-5"/>
          <w:w w:val="125"/>
          <w:sz w:val="18"/>
        </w:rPr>
        <w:t> </w:t>
      </w:r>
      <w:r>
        <w:rPr>
          <w:i/>
          <w:w w:val="125"/>
          <w:sz w:val="18"/>
        </w:rPr>
        <w:t>2016.</w:t>
      </w:r>
      <w:r>
        <w:rPr>
          <w:i/>
          <w:spacing w:val="-5"/>
          <w:w w:val="125"/>
          <w:sz w:val="18"/>
        </w:rPr>
        <w:t> </w:t>
      </w:r>
      <w:r>
        <w:rPr>
          <w:i/>
          <w:w w:val="125"/>
          <w:sz w:val="18"/>
        </w:rPr>
        <w:t>V.</w:t>
      </w:r>
      <w:r>
        <w:rPr>
          <w:i/>
          <w:spacing w:val="-5"/>
          <w:w w:val="125"/>
          <w:sz w:val="18"/>
        </w:rPr>
        <w:t> </w:t>
      </w:r>
      <w:r>
        <w:rPr>
          <w:i/>
          <w:w w:val="125"/>
          <w:sz w:val="18"/>
        </w:rPr>
        <w:t>31-től.</w:t>
      </w:r>
    </w:p>
    <w:p>
      <w:pPr>
        <w:pStyle w:val="ListParagraph"/>
        <w:numPr>
          <w:ilvl w:val="0"/>
          <w:numId w:val="549"/>
        </w:numPr>
        <w:tabs>
          <w:tab w:pos="686" w:val="left" w:leader="none"/>
          <w:tab w:pos="687" w:val="left" w:leader="none"/>
        </w:tabs>
        <w:spacing w:line="197" w:lineRule="exact" w:before="0" w:after="0"/>
        <w:ind w:left="686" w:right="0" w:hanging="344"/>
        <w:jc w:val="left"/>
        <w:rPr>
          <w:i/>
          <w:sz w:val="18"/>
        </w:rPr>
      </w:pPr>
      <w:r>
        <w:rPr>
          <w:i/>
          <w:w w:val="125"/>
          <w:sz w:val="18"/>
        </w:rPr>
        <w:t>Megállapította: 2015. évi LXXXV. törvény 227. § (2). Hatályos: 2015. VII.</w:t>
      </w:r>
      <w:r>
        <w:rPr>
          <w:i/>
          <w:spacing w:val="-30"/>
          <w:w w:val="125"/>
          <w:sz w:val="18"/>
        </w:rPr>
        <w:t> </w:t>
      </w:r>
      <w:r>
        <w:rPr>
          <w:i/>
          <w:w w:val="125"/>
          <w:sz w:val="18"/>
        </w:rPr>
        <w:t>7-től.</w:t>
      </w:r>
    </w:p>
    <w:p>
      <w:pPr>
        <w:pStyle w:val="ListParagraph"/>
        <w:numPr>
          <w:ilvl w:val="0"/>
          <w:numId w:val="549"/>
        </w:numPr>
        <w:tabs>
          <w:tab w:pos="686" w:val="left" w:leader="none"/>
          <w:tab w:pos="687" w:val="left" w:leader="none"/>
        </w:tabs>
        <w:spacing w:line="200" w:lineRule="exact" w:before="0" w:after="0"/>
        <w:ind w:left="686" w:right="0" w:hanging="344"/>
        <w:jc w:val="left"/>
        <w:rPr>
          <w:i/>
          <w:sz w:val="18"/>
        </w:rPr>
      </w:pPr>
      <w:r>
        <w:rPr>
          <w:i/>
          <w:w w:val="125"/>
          <w:sz w:val="18"/>
        </w:rPr>
        <w:t>Beiktatta: 2014. évi CIV. törvény 84. §. Hatályos: 2015. VII.</w:t>
      </w:r>
      <w:r>
        <w:rPr>
          <w:i/>
          <w:spacing w:val="-11"/>
          <w:w w:val="125"/>
          <w:sz w:val="18"/>
        </w:rPr>
        <w:t> </w:t>
      </w:r>
      <w:r>
        <w:rPr>
          <w:i/>
          <w:w w:val="125"/>
          <w:sz w:val="18"/>
        </w:rPr>
        <w:t>3-tól.</w:t>
      </w:r>
    </w:p>
    <w:p>
      <w:pPr>
        <w:pStyle w:val="ListParagraph"/>
        <w:numPr>
          <w:ilvl w:val="0"/>
          <w:numId w:val="549"/>
        </w:numPr>
        <w:tabs>
          <w:tab w:pos="686" w:val="left" w:leader="none"/>
          <w:tab w:pos="687" w:val="left" w:leader="none"/>
        </w:tabs>
        <w:spacing w:line="203" w:lineRule="exact" w:before="0" w:after="0"/>
        <w:ind w:left="686" w:right="0" w:hanging="344"/>
        <w:jc w:val="left"/>
        <w:rPr>
          <w:i/>
          <w:sz w:val="18"/>
        </w:rPr>
      </w:pPr>
      <w:r>
        <w:rPr>
          <w:i/>
          <w:w w:val="125"/>
          <w:sz w:val="18"/>
        </w:rPr>
        <w:t>Beiktatta: 2015. évi CCXV. törvény 144. §. Hatályos: 2016. V.</w:t>
      </w:r>
      <w:r>
        <w:rPr>
          <w:i/>
          <w:spacing w:val="-13"/>
          <w:w w:val="125"/>
          <w:sz w:val="18"/>
        </w:rPr>
        <w:t> </w:t>
      </w:r>
      <w:r>
        <w:rPr>
          <w:i/>
          <w:w w:val="125"/>
          <w:sz w:val="18"/>
        </w:rPr>
        <w:t>31-től.</w:t>
      </w:r>
    </w:p>
    <w:p>
      <w:pPr>
        <w:spacing w:after="0" w:line="203" w:lineRule="exact"/>
        <w:jc w:val="left"/>
        <w:rPr>
          <w:sz w:val="18"/>
        </w:rPr>
        <w:sectPr>
          <w:pgSz w:w="11900" w:h="16820"/>
          <w:pgMar w:header="1104" w:footer="0" w:top="1840" w:bottom="280" w:left="1020" w:right="1000"/>
        </w:sectPr>
      </w:pPr>
    </w:p>
    <w:p>
      <w:pPr>
        <w:pStyle w:val="ListParagraph"/>
        <w:numPr>
          <w:ilvl w:val="1"/>
          <w:numId w:val="526"/>
        </w:numPr>
        <w:tabs>
          <w:tab w:pos="1053" w:val="left" w:leader="none"/>
        </w:tabs>
        <w:spacing w:line="225" w:lineRule="auto" w:before="172" w:after="0"/>
        <w:ind w:left="113" w:right="120" w:firstLine="204"/>
        <w:jc w:val="both"/>
        <w:rPr>
          <w:sz w:val="24"/>
        </w:rPr>
      </w:pPr>
      <w:r>
        <w:rPr>
          <w:rFonts w:ascii="Arial" w:hAnsi="Arial"/>
          <w:b/>
          <w:w w:val="125"/>
          <w:sz w:val="24"/>
        </w:rPr>
        <w:t>§ </w:t>
      </w:r>
      <w:r>
        <w:rPr>
          <w:w w:val="125"/>
          <w:sz w:val="24"/>
        </w:rPr>
        <w:t>(1) A hitelintézet a 20. §-ban szabályozott tevékenységi engedély iránti kérelem benyújtásával egyidejűleg köteles a csatlakozásról szóló nyilatkozatot az OBA-nak megküldeni, és annak másolatát csatolni a tevékenységi engedély iránti kérelemhez, kivéve, ha a fióktelep formában működő hitelintézet a 209. § (3) bekezdése alapján nem köteles csatlakozni az OBA-hoz.</w:t>
      </w:r>
    </w:p>
    <w:p>
      <w:pPr>
        <w:pStyle w:val="ListParagraph"/>
        <w:numPr>
          <w:ilvl w:val="0"/>
          <w:numId w:val="548"/>
        </w:numPr>
        <w:tabs>
          <w:tab w:pos="857" w:val="left" w:leader="none"/>
        </w:tabs>
        <w:spacing w:line="225" w:lineRule="auto" w:before="3" w:after="0"/>
        <w:ind w:left="113" w:right="127" w:firstLine="204"/>
        <w:jc w:val="both"/>
        <w:rPr>
          <w:sz w:val="24"/>
        </w:rPr>
      </w:pPr>
      <w:r>
        <w:rPr>
          <w:w w:val="120"/>
          <w:sz w:val="24"/>
        </w:rPr>
        <w:t>A csatlakozási nyilatkozatot az OBA által közzétett formában kell  megtenni.</w:t>
      </w:r>
    </w:p>
    <w:p>
      <w:pPr>
        <w:pStyle w:val="BodyText"/>
        <w:spacing w:line="225" w:lineRule="auto" w:before="241"/>
        <w:ind w:left="3535" w:right="339" w:hanging="3194"/>
      </w:pPr>
      <w:r>
        <w:rPr>
          <w:w w:val="125"/>
        </w:rPr>
        <w:t>101. Intézkedések, szankciók kezdeményezése, az OBA-val fennálló tagsági viszony megszüntetése</w:t>
      </w:r>
    </w:p>
    <w:p>
      <w:pPr>
        <w:pStyle w:val="ListParagraph"/>
        <w:numPr>
          <w:ilvl w:val="0"/>
          <w:numId w:val="550"/>
        </w:numPr>
        <w:tabs>
          <w:tab w:pos="985" w:val="left" w:leader="none"/>
        </w:tabs>
        <w:spacing w:line="269" w:lineRule="exact" w:before="227" w:after="0"/>
        <w:ind w:left="984" w:right="0" w:hanging="667"/>
        <w:jc w:val="left"/>
        <w:rPr>
          <w:sz w:val="24"/>
        </w:rPr>
      </w:pPr>
      <w:r>
        <w:rPr>
          <w:rFonts w:ascii="Arial" w:hAnsi="Arial"/>
          <w:b/>
          <w:w w:val="125"/>
          <w:sz w:val="24"/>
        </w:rPr>
        <w:t>§ </w:t>
      </w:r>
      <w:r>
        <w:rPr>
          <w:w w:val="125"/>
          <w:sz w:val="24"/>
        </w:rPr>
        <w:t>(1) Ha a</w:t>
      </w:r>
      <w:r>
        <w:rPr>
          <w:spacing w:val="1"/>
          <w:w w:val="125"/>
          <w:sz w:val="24"/>
        </w:rPr>
        <w:t> </w:t>
      </w:r>
      <w:r>
        <w:rPr>
          <w:w w:val="125"/>
          <w:sz w:val="24"/>
        </w:rPr>
        <w:t>hitelintézet</w:t>
      </w:r>
    </w:p>
    <w:p>
      <w:pPr>
        <w:pStyle w:val="ListParagraph"/>
        <w:numPr>
          <w:ilvl w:val="0"/>
          <w:numId w:val="551"/>
        </w:numPr>
        <w:tabs>
          <w:tab w:pos="683" w:val="left" w:leader="none"/>
        </w:tabs>
        <w:spacing w:line="225" w:lineRule="auto" w:before="5" w:after="0"/>
        <w:ind w:left="113" w:right="129" w:firstLine="204"/>
        <w:jc w:val="both"/>
        <w:rPr>
          <w:sz w:val="24"/>
        </w:rPr>
      </w:pPr>
      <w:r>
        <w:rPr>
          <w:w w:val="130"/>
          <w:sz w:val="24"/>
        </w:rPr>
        <w:t>a 233-234. §-ban meghatározott fizetési kötelezettségét határidőre nem teljesíti,</w:t>
      </w:r>
    </w:p>
    <w:p>
      <w:pPr>
        <w:pStyle w:val="ListParagraph"/>
        <w:numPr>
          <w:ilvl w:val="0"/>
          <w:numId w:val="551"/>
        </w:numPr>
        <w:tabs>
          <w:tab w:pos="713" w:val="left" w:leader="none"/>
        </w:tabs>
        <w:spacing w:line="225" w:lineRule="auto" w:before="2" w:after="0"/>
        <w:ind w:left="113" w:right="129" w:firstLine="204"/>
        <w:jc w:val="both"/>
        <w:rPr>
          <w:sz w:val="24"/>
        </w:rPr>
      </w:pPr>
      <w:r>
        <w:rPr>
          <w:w w:val="125"/>
          <w:sz w:val="24"/>
        </w:rPr>
        <w:t>üzletszabályzatában vagy a betétokiratokon az OBA-ban való tagságát megtévesztő módon tünteti fel, vagy harmadik személyeket tévesen tájékoztat az OBA által biztosított betétekkel kapcsolatos lényeges</w:t>
      </w:r>
      <w:r>
        <w:rPr>
          <w:spacing w:val="19"/>
          <w:w w:val="125"/>
          <w:sz w:val="24"/>
        </w:rPr>
        <w:t> </w:t>
      </w:r>
      <w:r>
        <w:rPr>
          <w:w w:val="125"/>
          <w:sz w:val="24"/>
        </w:rPr>
        <w:t>kérdésekről,</w:t>
      </w:r>
    </w:p>
    <w:p>
      <w:pPr>
        <w:pStyle w:val="ListParagraph"/>
        <w:numPr>
          <w:ilvl w:val="0"/>
          <w:numId w:val="551"/>
        </w:numPr>
        <w:tabs>
          <w:tab w:pos="743" w:val="left" w:leader="none"/>
        </w:tabs>
        <w:spacing w:line="225" w:lineRule="auto" w:before="1" w:after="0"/>
        <w:ind w:left="113" w:right="115" w:firstLine="204"/>
        <w:jc w:val="both"/>
        <w:rPr>
          <w:sz w:val="24"/>
        </w:rPr>
      </w:pPr>
      <w:r>
        <w:rPr>
          <w:w w:val="130"/>
          <w:sz w:val="24"/>
        </w:rPr>
        <w:t>a betétbiztosítással összefüggő tájékoztatásra vonatkozó szabályokat megsérti,</w:t>
      </w:r>
    </w:p>
    <w:p>
      <w:pPr>
        <w:pStyle w:val="ListParagraph"/>
        <w:numPr>
          <w:ilvl w:val="0"/>
          <w:numId w:val="551"/>
        </w:numPr>
        <w:tabs>
          <w:tab w:pos="919" w:val="left" w:leader="none"/>
        </w:tabs>
        <w:spacing w:line="225" w:lineRule="auto" w:before="1" w:after="0"/>
        <w:ind w:left="113" w:right="128" w:firstLine="204"/>
        <w:jc w:val="both"/>
        <w:rPr>
          <w:sz w:val="24"/>
        </w:rPr>
      </w:pPr>
      <w:r>
        <w:rPr>
          <w:w w:val="130"/>
          <w:sz w:val="24"/>
        </w:rPr>
        <w:t>nyilvántartása nem teszi lehetővé a betétesek kártalanítási jogosultságának egyértelmű megállapítását,</w:t>
      </w:r>
      <w:r>
        <w:rPr>
          <w:spacing w:val="-17"/>
          <w:w w:val="130"/>
          <w:sz w:val="24"/>
        </w:rPr>
        <w:t> </w:t>
      </w:r>
      <w:r>
        <w:rPr>
          <w:w w:val="130"/>
          <w:sz w:val="24"/>
        </w:rPr>
        <w:t>vagy</w:t>
      </w:r>
    </w:p>
    <w:p>
      <w:pPr>
        <w:pStyle w:val="ListParagraph"/>
        <w:numPr>
          <w:ilvl w:val="0"/>
          <w:numId w:val="551"/>
        </w:numPr>
        <w:tabs>
          <w:tab w:pos="629" w:val="left" w:leader="none"/>
        </w:tabs>
        <w:spacing w:line="256" w:lineRule="exact" w:before="0" w:after="0"/>
        <w:ind w:left="628" w:right="0" w:hanging="311"/>
        <w:jc w:val="left"/>
        <w:rPr>
          <w:sz w:val="24"/>
        </w:rPr>
      </w:pPr>
      <w:r>
        <w:rPr>
          <w:w w:val="130"/>
          <w:sz w:val="24"/>
        </w:rPr>
        <w:t>a betétbiztosítással összefüggő szabályokat</w:t>
      </w:r>
      <w:r>
        <w:rPr>
          <w:spacing w:val="-22"/>
          <w:w w:val="130"/>
          <w:sz w:val="24"/>
        </w:rPr>
        <w:t> </w:t>
      </w:r>
      <w:r>
        <w:rPr>
          <w:w w:val="130"/>
          <w:sz w:val="24"/>
        </w:rPr>
        <w:t>megsérti,</w:t>
      </w:r>
    </w:p>
    <w:p>
      <w:pPr>
        <w:pStyle w:val="BodyText"/>
        <w:spacing w:line="225" w:lineRule="auto" w:before="6"/>
        <w:ind w:firstLine="0"/>
      </w:pPr>
      <w:r>
        <w:rPr>
          <w:w w:val="130"/>
        </w:rPr>
        <w:t>az OBA felszólítja a hitelintézetet a jogsértő magatartás megszüntetésére, és egyidejűleg tájékoztatja a Felügyeletet.</w:t>
      </w:r>
    </w:p>
    <w:p>
      <w:pPr>
        <w:pStyle w:val="ListParagraph"/>
        <w:numPr>
          <w:ilvl w:val="0"/>
          <w:numId w:val="552"/>
        </w:numPr>
        <w:tabs>
          <w:tab w:pos="659" w:val="left" w:leader="none"/>
        </w:tabs>
        <w:spacing w:line="249" w:lineRule="exact" w:before="0" w:after="0"/>
        <w:ind w:left="658" w:right="0" w:hanging="341"/>
        <w:jc w:val="left"/>
        <w:rPr>
          <w:sz w:val="24"/>
        </w:rPr>
      </w:pPr>
      <w:r>
        <w:rPr>
          <w:i/>
          <w:w w:val="125"/>
          <w:position w:val="3"/>
          <w:sz w:val="18"/>
        </w:rPr>
        <w:t>1 </w:t>
      </w:r>
      <w:r>
        <w:rPr>
          <w:w w:val="125"/>
          <w:sz w:val="24"/>
        </w:rPr>
        <w:t>A hitelintézet (1) bekezdésben meghatározott jogsértő</w:t>
      </w:r>
      <w:r>
        <w:rPr>
          <w:spacing w:val="-9"/>
          <w:w w:val="125"/>
          <w:sz w:val="24"/>
        </w:rPr>
        <w:t> </w:t>
      </w:r>
      <w:r>
        <w:rPr>
          <w:w w:val="125"/>
          <w:sz w:val="24"/>
        </w:rPr>
        <w:t>magatartása</w:t>
      </w:r>
    </w:p>
    <w:p>
      <w:pPr>
        <w:pStyle w:val="BodyText"/>
        <w:spacing w:line="225" w:lineRule="auto" w:before="12"/>
        <w:ind w:right="127" w:firstLine="0"/>
        <w:jc w:val="both"/>
      </w:pPr>
      <w:r>
        <w:rPr>
          <w:w w:val="130"/>
        </w:rPr>
        <w:t>esetén az OBA a Felügyelet tájékoztatásával egyidejűleg kezdeményezi a</w:t>
      </w:r>
      <w:r>
        <w:rPr>
          <w:spacing w:val="78"/>
          <w:w w:val="130"/>
        </w:rPr>
        <w:t> </w:t>
      </w:r>
      <w:r>
        <w:rPr>
          <w:w w:val="130"/>
        </w:rPr>
        <w:t>hitelintézettel</w:t>
      </w:r>
      <w:r>
        <w:rPr>
          <w:spacing w:val="-17"/>
          <w:w w:val="130"/>
        </w:rPr>
        <w:t> </w:t>
      </w:r>
      <w:r>
        <w:rPr>
          <w:w w:val="130"/>
        </w:rPr>
        <w:t>szemben</w:t>
      </w:r>
      <w:r>
        <w:rPr>
          <w:spacing w:val="-17"/>
          <w:w w:val="130"/>
        </w:rPr>
        <w:t> </w:t>
      </w:r>
      <w:r>
        <w:rPr>
          <w:w w:val="130"/>
        </w:rPr>
        <w:t>intézkedés,</w:t>
      </w:r>
      <w:r>
        <w:rPr>
          <w:spacing w:val="-17"/>
          <w:w w:val="130"/>
        </w:rPr>
        <w:t> </w:t>
      </w:r>
      <w:r>
        <w:rPr>
          <w:w w:val="130"/>
        </w:rPr>
        <w:t>bírság</w:t>
      </w:r>
      <w:r>
        <w:rPr>
          <w:spacing w:val="-16"/>
          <w:w w:val="130"/>
        </w:rPr>
        <w:t> </w:t>
      </w:r>
      <w:r>
        <w:rPr>
          <w:w w:val="130"/>
        </w:rPr>
        <w:t>alkalmazását.</w:t>
      </w:r>
      <w:r>
        <w:rPr>
          <w:spacing w:val="-17"/>
          <w:w w:val="130"/>
        </w:rPr>
        <w:t> </w:t>
      </w:r>
      <w:r>
        <w:rPr>
          <w:w w:val="130"/>
        </w:rPr>
        <w:t>Az</w:t>
      </w:r>
      <w:r>
        <w:rPr>
          <w:spacing w:val="-17"/>
          <w:w w:val="130"/>
        </w:rPr>
        <w:t> </w:t>
      </w:r>
      <w:r>
        <w:rPr>
          <w:w w:val="130"/>
        </w:rPr>
        <w:t>OBA</w:t>
      </w:r>
      <w:r>
        <w:rPr>
          <w:spacing w:val="-16"/>
          <w:w w:val="130"/>
        </w:rPr>
        <w:t> </w:t>
      </w:r>
      <w:r>
        <w:rPr>
          <w:w w:val="130"/>
        </w:rPr>
        <w:t>a</w:t>
      </w:r>
      <w:r>
        <w:rPr>
          <w:spacing w:val="-17"/>
          <w:w w:val="130"/>
        </w:rPr>
        <w:t> </w:t>
      </w:r>
      <w:r>
        <w:rPr>
          <w:w w:val="130"/>
        </w:rPr>
        <w:t>Felügyelet egyetértésével kizárja a hitelintézetet tagjai sorából legalább tizenkét hónappal az erre vonatkozó értesítés hitelintézet részére történő megküldése után, ha ez alatt az idő alatt a hitelintézet továbbra sem szüntette meg az (1) bekezdésben meghatározott jogsértő</w:t>
      </w:r>
      <w:r>
        <w:rPr>
          <w:spacing w:val="-9"/>
          <w:w w:val="130"/>
        </w:rPr>
        <w:t> </w:t>
      </w:r>
      <w:r>
        <w:rPr>
          <w:w w:val="130"/>
        </w:rPr>
        <w:t>magatartást.</w:t>
      </w:r>
    </w:p>
    <w:p>
      <w:pPr>
        <w:pStyle w:val="ListParagraph"/>
        <w:numPr>
          <w:ilvl w:val="0"/>
          <w:numId w:val="552"/>
        </w:numPr>
        <w:tabs>
          <w:tab w:pos="797" w:val="left" w:leader="none"/>
        </w:tabs>
        <w:spacing w:line="225" w:lineRule="auto" w:before="3" w:after="0"/>
        <w:ind w:left="113" w:right="129" w:firstLine="204"/>
        <w:jc w:val="both"/>
        <w:rPr>
          <w:sz w:val="24"/>
        </w:rPr>
      </w:pPr>
      <w:r>
        <w:rPr>
          <w:w w:val="125"/>
          <w:sz w:val="24"/>
        </w:rPr>
        <w:t>Kizárás kezdeményezése esetén a hitelintézet tagsága az OBA-ban az előzetes felszólításban megjelölt határidőt követően megszűnik, kivéve, ha a hitelintézet meghozta az előírásokhoz való alkalmazkodást vagy szabálytalanság megszüntetését célzó</w:t>
      </w:r>
      <w:r>
        <w:rPr>
          <w:spacing w:val="12"/>
          <w:w w:val="125"/>
          <w:sz w:val="24"/>
        </w:rPr>
        <w:t> </w:t>
      </w:r>
      <w:r>
        <w:rPr>
          <w:w w:val="125"/>
          <w:sz w:val="24"/>
        </w:rPr>
        <w:t>intézkedéseket.</w:t>
      </w:r>
    </w:p>
    <w:p>
      <w:pPr>
        <w:pStyle w:val="ListParagraph"/>
        <w:numPr>
          <w:ilvl w:val="0"/>
          <w:numId w:val="550"/>
        </w:numPr>
        <w:tabs>
          <w:tab w:pos="1013" w:val="left" w:leader="none"/>
        </w:tabs>
        <w:spacing w:line="225" w:lineRule="auto" w:before="2" w:after="0"/>
        <w:ind w:left="113" w:right="129" w:firstLine="204"/>
        <w:jc w:val="both"/>
        <w:rPr>
          <w:sz w:val="24"/>
        </w:rPr>
      </w:pPr>
      <w:r>
        <w:rPr>
          <w:rFonts w:ascii="Arial" w:hAnsi="Arial"/>
          <w:b/>
          <w:w w:val="125"/>
          <w:sz w:val="24"/>
        </w:rPr>
        <w:t>§ </w:t>
      </w:r>
      <w:r>
        <w:rPr>
          <w:w w:val="125"/>
          <w:sz w:val="24"/>
        </w:rPr>
        <w:t>A hitelintézet OBA-ban fennálló tagsága megszűnik, ha a Felügyelet határozata alapján a hitelintézet nem gyűjthet</w:t>
      </w:r>
      <w:r>
        <w:rPr>
          <w:spacing w:val="31"/>
          <w:w w:val="125"/>
          <w:sz w:val="24"/>
        </w:rPr>
        <w:t> </w:t>
      </w:r>
      <w:r>
        <w:rPr>
          <w:w w:val="125"/>
          <w:sz w:val="24"/>
        </w:rPr>
        <w:t>betétet.</w:t>
      </w:r>
    </w:p>
    <w:p>
      <w:pPr>
        <w:pStyle w:val="ListParagraph"/>
        <w:numPr>
          <w:ilvl w:val="0"/>
          <w:numId w:val="550"/>
        </w:numPr>
        <w:tabs>
          <w:tab w:pos="1003" w:val="left" w:leader="none"/>
        </w:tabs>
        <w:spacing w:line="225" w:lineRule="auto" w:before="0" w:after="0"/>
        <w:ind w:left="113" w:right="130" w:firstLine="204"/>
        <w:jc w:val="both"/>
        <w:rPr>
          <w:sz w:val="24"/>
        </w:rPr>
      </w:pPr>
      <w:r>
        <w:rPr>
          <w:rFonts w:ascii="Arial" w:hAnsi="Arial"/>
          <w:b/>
          <w:w w:val="125"/>
          <w:sz w:val="24"/>
        </w:rPr>
        <w:t>§ </w:t>
      </w:r>
      <w:r>
        <w:rPr>
          <w:w w:val="125"/>
          <w:sz w:val="24"/>
        </w:rPr>
        <w:t>(1) A hitelintézet kizárása vagy a tagsági jogviszony megszüntetése -  a (4) bekezdésben foglalt kivétellel - nem érinti a tagság fennállása alatt a hitelintézetnél elhelyezett betétekre vonatkozó</w:t>
      </w:r>
      <w:r>
        <w:rPr>
          <w:spacing w:val="16"/>
          <w:w w:val="125"/>
          <w:sz w:val="24"/>
        </w:rPr>
        <w:t> </w:t>
      </w:r>
      <w:r>
        <w:rPr>
          <w:w w:val="125"/>
          <w:sz w:val="24"/>
        </w:rPr>
        <w:t>biztosítást.</w:t>
      </w:r>
    </w:p>
    <w:p>
      <w:pPr>
        <w:pStyle w:val="ListParagraph"/>
        <w:numPr>
          <w:ilvl w:val="0"/>
          <w:numId w:val="553"/>
        </w:numPr>
        <w:tabs>
          <w:tab w:pos="659" w:val="left" w:leader="none"/>
        </w:tabs>
        <w:spacing w:line="250" w:lineRule="exact" w:before="0" w:after="0"/>
        <w:ind w:left="658" w:right="0" w:hanging="341"/>
        <w:jc w:val="left"/>
        <w:rPr>
          <w:sz w:val="24"/>
        </w:rPr>
      </w:pPr>
      <w:r>
        <w:rPr>
          <w:i/>
          <w:w w:val="130"/>
          <w:position w:val="3"/>
          <w:sz w:val="18"/>
        </w:rPr>
        <w:t>2 </w:t>
      </w:r>
      <w:r>
        <w:rPr>
          <w:w w:val="130"/>
          <w:sz w:val="24"/>
        </w:rPr>
        <w:t>Ha a hitelintézetet az OBA-ból kizárták vagy tagsági</w:t>
      </w:r>
      <w:r>
        <w:rPr>
          <w:spacing w:val="66"/>
          <w:w w:val="130"/>
          <w:sz w:val="24"/>
        </w:rPr>
        <w:t> </w:t>
      </w:r>
      <w:r>
        <w:rPr>
          <w:w w:val="130"/>
          <w:sz w:val="24"/>
        </w:rPr>
        <w:t>jogviszonya</w:t>
      </w:r>
    </w:p>
    <w:p>
      <w:pPr>
        <w:pStyle w:val="BodyText"/>
        <w:spacing w:line="225" w:lineRule="auto" w:before="12"/>
        <w:ind w:right="127" w:firstLine="0"/>
        <w:jc w:val="both"/>
      </w:pPr>
      <w:r>
        <w:rPr>
          <w:w w:val="130"/>
        </w:rPr>
        <w:t>megszűnt, vagy azt megszüntették, a korábban teljesített befizetését - az (5) bekezdésben foglalt kivétellel - nem igényelheti vissza. A kizárás vagy a tagsági viszony megszűnése vagy megszüntetése nem érinti a kizárt hitelintézetnek azt a kötelezettségét, hogy a biztosítás alá eső betétek után a</w:t>
      </w:r>
    </w:p>
    <w:p>
      <w:pPr>
        <w:pStyle w:val="BodyText"/>
        <w:spacing w:line="257" w:lineRule="exact"/>
        <w:ind w:firstLine="0"/>
      </w:pPr>
      <w:r>
        <w:rPr>
          <w:w w:val="125"/>
        </w:rPr>
        <w:t>234. §-nak megfelelően éves díjat fizessen.</w:t>
      </w:r>
    </w:p>
    <w:p>
      <w:pPr>
        <w:pStyle w:val="ListParagraph"/>
        <w:numPr>
          <w:ilvl w:val="0"/>
          <w:numId w:val="553"/>
        </w:numPr>
        <w:tabs>
          <w:tab w:pos="770" w:val="left" w:leader="none"/>
        </w:tabs>
        <w:spacing w:line="225" w:lineRule="auto" w:before="5" w:after="0"/>
        <w:ind w:left="113" w:right="125" w:firstLine="204"/>
        <w:jc w:val="both"/>
        <w:rPr>
          <w:sz w:val="24"/>
        </w:rPr>
      </w:pPr>
      <w:r>
        <w:rPr>
          <w:w w:val="125"/>
          <w:sz w:val="24"/>
        </w:rPr>
        <w:t>A hitelintézet a jegyzett tőkéjének felemelése, vagy csökkentése esetén nem köteles az emelés összege után csatlakozási díjat fizetni vagy a már megfizetett csatlakozási díj arányos részét nem igényelheti</w:t>
      </w:r>
      <w:r>
        <w:rPr>
          <w:spacing w:val="27"/>
          <w:w w:val="125"/>
          <w:sz w:val="24"/>
        </w:rPr>
        <w:t> </w:t>
      </w:r>
      <w:r>
        <w:rPr>
          <w:w w:val="125"/>
          <w:sz w:val="24"/>
        </w:rPr>
        <w:t>vissza.</w:t>
      </w:r>
    </w:p>
    <w:p>
      <w:pPr>
        <w:pStyle w:val="BodyText"/>
        <w:spacing w:before="11"/>
        <w:ind w:left="0" w:firstLine="0"/>
        <w:rPr>
          <w:sz w:val="13"/>
        </w:rPr>
      </w:pPr>
      <w:r>
        <w:rPr/>
        <w:pict>
          <v:line style="position:absolute;mso-position-horizontal-relative:page;mso-position-vertical-relative:paragraph;z-index:2360;mso-wrap-distance-left:0;mso-wrap-distance-right:0" from="56.693001pt,10.225746pt" to="538.583001pt,10.225746pt" stroked="true" strokeweight=".5pt" strokecolor="#000000">
            <v:stroke dashstyle="solid"/>
            <w10:wrap type="topAndBottom"/>
          </v:line>
        </w:pict>
      </w:r>
    </w:p>
    <w:p>
      <w:pPr>
        <w:pStyle w:val="ListParagraph"/>
        <w:numPr>
          <w:ilvl w:val="0"/>
          <w:numId w:val="554"/>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2"/>
          <w:w w:val="125"/>
          <w:sz w:val="18"/>
        </w:rPr>
        <w:t> </w:t>
      </w:r>
      <w:r>
        <w:rPr>
          <w:i/>
          <w:w w:val="125"/>
          <w:sz w:val="18"/>
        </w:rPr>
        <w:t>2018.</w:t>
      </w:r>
      <w:r>
        <w:rPr>
          <w:i/>
          <w:spacing w:val="-12"/>
          <w:w w:val="125"/>
          <w:sz w:val="18"/>
        </w:rPr>
        <w:t> </w:t>
      </w:r>
      <w:r>
        <w:rPr>
          <w:i/>
          <w:w w:val="125"/>
          <w:sz w:val="18"/>
        </w:rPr>
        <w:t>évi</w:t>
      </w:r>
      <w:r>
        <w:rPr>
          <w:i/>
          <w:spacing w:val="-11"/>
          <w:w w:val="125"/>
          <w:sz w:val="18"/>
        </w:rPr>
        <w:t> </w:t>
      </w:r>
      <w:r>
        <w:rPr>
          <w:i/>
          <w:w w:val="125"/>
          <w:sz w:val="18"/>
        </w:rPr>
        <w:t>CXXVI.</w:t>
      </w:r>
      <w:r>
        <w:rPr>
          <w:i/>
          <w:spacing w:val="-11"/>
          <w:w w:val="125"/>
          <w:sz w:val="18"/>
        </w:rPr>
        <w:t> </w:t>
      </w:r>
      <w:r>
        <w:rPr>
          <w:i/>
          <w:w w:val="125"/>
          <w:sz w:val="18"/>
        </w:rPr>
        <w:t>törvény</w:t>
      </w:r>
      <w:r>
        <w:rPr>
          <w:i/>
          <w:spacing w:val="-11"/>
          <w:w w:val="125"/>
          <w:sz w:val="18"/>
        </w:rPr>
        <w:t> </w:t>
      </w:r>
      <w:r>
        <w:rPr>
          <w:i/>
          <w:w w:val="125"/>
          <w:sz w:val="18"/>
        </w:rPr>
        <w:t>113.</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2019.</w:t>
      </w:r>
      <w:r>
        <w:rPr>
          <w:i/>
          <w:spacing w:val="-12"/>
          <w:w w:val="125"/>
          <w:sz w:val="18"/>
        </w:rPr>
        <w:t> </w:t>
      </w:r>
      <w:r>
        <w:rPr>
          <w:i/>
          <w:w w:val="125"/>
          <w:sz w:val="18"/>
        </w:rPr>
        <w:t>I.</w:t>
      </w:r>
      <w:r>
        <w:rPr>
          <w:i/>
          <w:spacing w:val="-11"/>
          <w:w w:val="125"/>
          <w:sz w:val="18"/>
        </w:rPr>
        <w:t> </w:t>
      </w:r>
      <w:r>
        <w:rPr>
          <w:i/>
          <w:w w:val="125"/>
          <w:sz w:val="18"/>
        </w:rPr>
        <w:t>15-től.</w:t>
      </w:r>
    </w:p>
    <w:p>
      <w:pPr>
        <w:pStyle w:val="ListParagraph"/>
        <w:numPr>
          <w:ilvl w:val="0"/>
          <w:numId w:val="554"/>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1"/>
          <w:w w:val="125"/>
          <w:sz w:val="18"/>
        </w:rPr>
        <w:t> </w:t>
      </w:r>
      <w:r>
        <w:rPr>
          <w:i/>
          <w:w w:val="125"/>
          <w:sz w:val="18"/>
        </w:rPr>
        <w:t>CIV.</w:t>
      </w:r>
      <w:r>
        <w:rPr>
          <w:i/>
          <w:spacing w:val="-10"/>
          <w:w w:val="125"/>
          <w:sz w:val="18"/>
        </w:rPr>
        <w:t> </w:t>
      </w:r>
      <w:r>
        <w:rPr>
          <w:i/>
          <w:w w:val="125"/>
          <w:sz w:val="18"/>
        </w:rPr>
        <w:t>törvény</w:t>
      </w:r>
      <w:r>
        <w:rPr>
          <w:i/>
          <w:spacing w:val="-11"/>
          <w:w w:val="125"/>
          <w:sz w:val="18"/>
        </w:rPr>
        <w:t> </w:t>
      </w:r>
      <w:r>
        <w:rPr>
          <w:i/>
          <w:w w:val="125"/>
          <w:sz w:val="18"/>
        </w:rPr>
        <w:t>85.</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1"/>
          <w:w w:val="125"/>
          <w:sz w:val="18"/>
        </w:rPr>
        <w:t> </w:t>
      </w:r>
      <w:r>
        <w:rPr>
          <w:i/>
          <w:w w:val="125"/>
          <w:sz w:val="18"/>
        </w:rPr>
        <w:t>2015.</w:t>
      </w:r>
      <w:r>
        <w:rPr>
          <w:i/>
          <w:spacing w:val="-11"/>
          <w:w w:val="125"/>
          <w:sz w:val="18"/>
        </w:rPr>
        <w:t> </w:t>
      </w:r>
      <w:r>
        <w:rPr>
          <w:i/>
          <w:w w:val="125"/>
          <w:sz w:val="18"/>
        </w:rPr>
        <w:t>VII.</w:t>
      </w:r>
      <w:r>
        <w:rPr>
          <w:i/>
          <w:spacing w:val="-10"/>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53"/>
        </w:numPr>
        <w:tabs>
          <w:tab w:pos="747" w:val="left" w:leader="none"/>
        </w:tabs>
        <w:spacing w:line="225" w:lineRule="auto" w:before="173" w:after="0"/>
        <w:ind w:left="113" w:right="127" w:firstLine="204"/>
        <w:jc w:val="both"/>
        <w:rPr>
          <w:sz w:val="24"/>
        </w:rPr>
      </w:pPr>
      <w:r>
        <w:rPr>
          <w:w w:val="125"/>
          <w:sz w:val="24"/>
        </w:rPr>
        <w:t>Az OBA - a hitelintézet tagsági viszonyának megszűnését követően - nem fizet kártalanítást azokra a betétekre, amelyekre más ország betétbiztosítása kiterjed.</w:t>
      </w:r>
    </w:p>
    <w:p>
      <w:pPr>
        <w:pStyle w:val="ListParagraph"/>
        <w:numPr>
          <w:ilvl w:val="0"/>
          <w:numId w:val="553"/>
        </w:numPr>
        <w:tabs>
          <w:tab w:pos="659" w:val="left" w:leader="none"/>
        </w:tabs>
        <w:spacing w:line="250" w:lineRule="exact" w:before="0" w:after="0"/>
        <w:ind w:left="658" w:right="0" w:hanging="341"/>
        <w:jc w:val="left"/>
        <w:rPr>
          <w:sz w:val="24"/>
        </w:rPr>
      </w:pPr>
      <w:r>
        <w:rPr>
          <w:i/>
          <w:w w:val="130"/>
          <w:position w:val="3"/>
          <w:sz w:val="18"/>
        </w:rPr>
        <w:t>1 </w:t>
      </w:r>
      <w:r>
        <w:rPr>
          <w:w w:val="130"/>
          <w:sz w:val="24"/>
        </w:rPr>
        <w:t>Ha a hitelintézet megszünteti az OBA-val fennálló tagsági viszonyát</w:t>
      </w:r>
      <w:r>
        <w:rPr>
          <w:spacing w:val="-23"/>
          <w:w w:val="130"/>
          <w:sz w:val="24"/>
        </w:rPr>
        <w:t> </w:t>
      </w:r>
      <w:r>
        <w:rPr>
          <w:w w:val="130"/>
          <w:sz w:val="24"/>
        </w:rPr>
        <w:t>és</w:t>
      </w:r>
    </w:p>
    <w:p>
      <w:pPr>
        <w:pStyle w:val="BodyText"/>
        <w:spacing w:line="225" w:lineRule="auto" w:before="12"/>
        <w:ind w:right="127" w:firstLine="0"/>
        <w:jc w:val="both"/>
      </w:pPr>
      <w:r>
        <w:rPr>
          <w:w w:val="125"/>
        </w:rPr>
        <w:t>egy másik EGT-állam betétbiztosítási rendszeréhez csatlakozik, a tagsági viszony megszűnését megelőző 12 hónapban teljesített díjfizetéseket a 234. §</w:t>
      </w:r>
    </w:p>
    <w:p>
      <w:pPr>
        <w:pStyle w:val="BodyText"/>
        <w:spacing w:line="225" w:lineRule="auto" w:before="1"/>
        <w:ind w:right="110" w:firstLine="0"/>
        <w:jc w:val="both"/>
      </w:pPr>
      <w:r>
        <w:rPr>
          <w:w w:val="125"/>
        </w:rPr>
        <w:t>(8) bekezdésben meghatározott rendkívüli fizetés kivételével átviszi a másik EGT-állam betétbiztosítási rendszerébe. Ha a hitelintézet betétállományát átruházza egy másik EGT-államban székhellyel rendelkező hitelintézetre, az átruházást megelőző 12 hónapban teljesített díjfizetéseket - a 234. § (8) bekezdésben meghatározott rendkívüli fizetés kivételével - az áthelyezett, biztosított betétállomány összegének arányában kell átvinni  a  másik  EGT-állam betétbiztosítási</w:t>
      </w:r>
      <w:r>
        <w:rPr>
          <w:spacing w:val="2"/>
          <w:w w:val="125"/>
        </w:rPr>
        <w:t> </w:t>
      </w:r>
      <w:r>
        <w:rPr>
          <w:w w:val="125"/>
        </w:rPr>
        <w:t>rendszerébe.</w:t>
      </w:r>
    </w:p>
    <w:p>
      <w:pPr>
        <w:pStyle w:val="BodyText"/>
        <w:spacing w:line="252" w:lineRule="exact"/>
        <w:ind w:left="317" w:firstLine="0"/>
      </w:pPr>
      <w:r>
        <w:rPr>
          <w:w w:val="125"/>
        </w:rPr>
        <w:t>(6)</w:t>
      </w:r>
      <w:r>
        <w:rPr>
          <w:i/>
          <w:w w:val="125"/>
          <w:position w:val="3"/>
          <w:sz w:val="18"/>
        </w:rPr>
        <w:t>2 </w:t>
      </w:r>
      <w:r>
        <w:rPr>
          <w:w w:val="125"/>
        </w:rPr>
        <w:t>A hitelintézetnek legalább hat hónappal korábban jeleznie kell az</w:t>
      </w:r>
    </w:p>
    <w:p>
      <w:pPr>
        <w:pStyle w:val="BodyText"/>
        <w:spacing w:line="225" w:lineRule="auto" w:before="12"/>
        <w:ind w:right="110" w:firstLine="0"/>
        <w:jc w:val="both"/>
      </w:pPr>
      <w:r>
        <w:rPr>
          <w:w w:val="125"/>
        </w:rPr>
        <w:t>OBA-nak, ha másik EGT-állam betétbiztosítási rendszeréhez kíván csatlakozni. Ezalatt az időszak alatt a hitelintézet 234. § szerinti díjfizetési kötelessége változatlanul fennáll.</w:t>
      </w:r>
    </w:p>
    <w:p>
      <w:pPr>
        <w:pStyle w:val="ListParagraph"/>
        <w:numPr>
          <w:ilvl w:val="0"/>
          <w:numId w:val="555"/>
        </w:numPr>
        <w:tabs>
          <w:tab w:pos="1003" w:val="left" w:leader="none"/>
        </w:tabs>
        <w:spacing w:line="225" w:lineRule="auto" w:before="1" w:after="0"/>
        <w:ind w:left="113" w:right="126" w:firstLine="204"/>
        <w:jc w:val="both"/>
        <w:rPr>
          <w:sz w:val="24"/>
        </w:rPr>
      </w:pPr>
      <w:r>
        <w:rPr>
          <w:rFonts w:ascii="Arial" w:hAnsi="Arial"/>
          <w:b/>
          <w:w w:val="120"/>
          <w:sz w:val="24"/>
        </w:rPr>
        <w:t>§ </w:t>
      </w:r>
      <w:r>
        <w:rPr>
          <w:w w:val="120"/>
          <w:sz w:val="24"/>
        </w:rPr>
        <w:t>Az OBA a 237. §-ban foglalt kizárás esetén - huszonnégy órán belül - írásban tájékoztatja a kizárás tényéről és okáról a Felügyeletet. Az OBA erről negyvennyolc órán  belül  legalább  két  országos  napilapban  felhívást  tesz  közzé.</w:t>
      </w:r>
    </w:p>
    <w:p>
      <w:pPr>
        <w:pStyle w:val="BodyText"/>
        <w:ind w:left="0" w:firstLine="0"/>
        <w:rPr>
          <w:sz w:val="11"/>
        </w:rPr>
      </w:pPr>
    </w:p>
    <w:p>
      <w:pPr>
        <w:pStyle w:val="Heading2"/>
        <w:numPr>
          <w:ilvl w:val="0"/>
          <w:numId w:val="321"/>
        </w:numPr>
        <w:tabs>
          <w:tab w:pos="4684" w:val="left" w:leader="none"/>
        </w:tabs>
        <w:spacing w:line="240" w:lineRule="auto" w:before="106" w:after="0"/>
        <w:ind w:left="4683" w:right="0" w:hanging="464"/>
        <w:jc w:val="left"/>
      </w:pPr>
      <w:r>
        <w:rPr>
          <w:w w:val="110"/>
        </w:rPr>
        <w:t>Fejezet</w:t>
      </w:r>
    </w:p>
    <w:p>
      <w:pPr>
        <w:pStyle w:val="BodyText"/>
        <w:spacing w:before="1"/>
        <w:ind w:left="0" w:firstLine="0"/>
        <w:rPr>
          <w:rFonts w:ascii="Georgia-BoldItalic"/>
          <w:b/>
          <w:i/>
          <w:sz w:val="41"/>
        </w:rPr>
      </w:pPr>
    </w:p>
    <w:p>
      <w:pPr>
        <w:spacing w:before="0"/>
        <w:ind w:left="2290" w:right="0" w:firstLine="0"/>
        <w:jc w:val="left"/>
        <w:rPr>
          <w:rFonts w:ascii="Georgia-BoldItalic" w:hAnsi="Georgia-BoldItalic"/>
          <w:b/>
          <w:i/>
          <w:sz w:val="24"/>
        </w:rPr>
      </w:pPr>
      <w:r>
        <w:rPr>
          <w:rFonts w:ascii="Georgia-BoldItalic" w:hAnsi="Georgia-BoldItalic"/>
          <w:b/>
          <w:i/>
          <w:w w:val="110"/>
          <w:sz w:val="24"/>
        </w:rPr>
        <w:t>Önkéntes betét- és intézménybiztosítás</w:t>
      </w:r>
    </w:p>
    <w:p>
      <w:pPr>
        <w:pStyle w:val="BodyText"/>
        <w:spacing w:before="9"/>
        <w:ind w:left="0" w:firstLine="0"/>
        <w:rPr>
          <w:rFonts w:ascii="Georgia-BoldItalic"/>
          <w:b/>
          <w:i/>
          <w:sz w:val="40"/>
        </w:rPr>
      </w:pPr>
    </w:p>
    <w:p>
      <w:pPr>
        <w:pStyle w:val="BodyText"/>
        <w:ind w:left="3150" w:firstLine="0"/>
      </w:pPr>
      <w:r>
        <w:rPr>
          <w:w w:val="125"/>
        </w:rPr>
        <w:t>102. Általános rendelkezések</w:t>
      </w:r>
    </w:p>
    <w:p>
      <w:pPr>
        <w:pStyle w:val="ListParagraph"/>
        <w:numPr>
          <w:ilvl w:val="0"/>
          <w:numId w:val="555"/>
        </w:numPr>
        <w:tabs>
          <w:tab w:pos="1310" w:val="left" w:leader="none"/>
        </w:tabs>
        <w:spacing w:line="225" w:lineRule="auto" w:before="237" w:after="0"/>
        <w:ind w:left="113" w:right="122" w:firstLine="204"/>
        <w:jc w:val="both"/>
        <w:rPr>
          <w:sz w:val="24"/>
        </w:rPr>
      </w:pPr>
      <w:r>
        <w:rPr>
          <w:rFonts w:ascii="Arial" w:hAnsi="Arial"/>
          <w:b/>
          <w:w w:val="125"/>
          <w:sz w:val="24"/>
        </w:rPr>
        <w:t>§ </w:t>
      </w:r>
      <w:r>
        <w:rPr>
          <w:w w:val="125"/>
          <w:sz w:val="24"/>
        </w:rPr>
        <w:t>(1) A hitelintézetek önkéntes betétbiztosítási, illetve intézményvédelmi alapot (a továbbiakban: önkéntes alap) hozhatnak létre. Az önkéntes alap jogi</w:t>
      </w:r>
      <w:r>
        <w:rPr>
          <w:spacing w:val="2"/>
          <w:w w:val="125"/>
          <w:sz w:val="24"/>
        </w:rPr>
        <w:t> </w:t>
      </w:r>
      <w:r>
        <w:rPr>
          <w:w w:val="125"/>
          <w:sz w:val="24"/>
        </w:rPr>
        <w:t>személy.</w:t>
      </w:r>
    </w:p>
    <w:p>
      <w:pPr>
        <w:pStyle w:val="ListParagraph"/>
        <w:numPr>
          <w:ilvl w:val="0"/>
          <w:numId w:val="556"/>
        </w:numPr>
        <w:tabs>
          <w:tab w:pos="764" w:val="left" w:leader="none"/>
        </w:tabs>
        <w:spacing w:line="225" w:lineRule="auto" w:before="1" w:after="0"/>
        <w:ind w:left="113" w:right="118" w:firstLine="204"/>
        <w:jc w:val="both"/>
        <w:rPr>
          <w:sz w:val="24"/>
        </w:rPr>
      </w:pPr>
      <w:r>
        <w:rPr>
          <w:w w:val="130"/>
          <w:sz w:val="24"/>
        </w:rPr>
        <w:t>Az önkéntes alap pénzeszközei nem vonhatók el, és a létesítő okiratban meghatározottól eltérő célra nem használhatók fel. Az önkéntes alapból kilépés esetén kifizetés nem</w:t>
      </w:r>
      <w:r>
        <w:rPr>
          <w:spacing w:val="-17"/>
          <w:w w:val="130"/>
          <w:sz w:val="24"/>
        </w:rPr>
        <w:t> </w:t>
      </w:r>
      <w:r>
        <w:rPr>
          <w:w w:val="130"/>
          <w:sz w:val="24"/>
        </w:rPr>
        <w:t>teljesíthető.</w:t>
      </w:r>
    </w:p>
    <w:p>
      <w:pPr>
        <w:pStyle w:val="ListParagraph"/>
        <w:numPr>
          <w:ilvl w:val="0"/>
          <w:numId w:val="556"/>
        </w:numPr>
        <w:tabs>
          <w:tab w:pos="854" w:val="left" w:leader="none"/>
        </w:tabs>
        <w:spacing w:line="225" w:lineRule="auto" w:before="2" w:after="0"/>
        <w:ind w:left="113" w:right="111" w:firstLine="204"/>
        <w:jc w:val="both"/>
        <w:rPr>
          <w:sz w:val="24"/>
        </w:rPr>
      </w:pPr>
      <w:r>
        <w:rPr>
          <w:w w:val="125"/>
          <w:sz w:val="24"/>
        </w:rPr>
        <w:t>Az önkéntes alap - a házipénztárt, a pénzforgalmi számlán tartott likviditási tartalékot, valamint a kifizetések lebonyolítására vagy más, az önkéntes alap működéséhez szükséges célra hitelintézethez átutalt összeget kivéve - pénzeszközeit állampapírban kell</w:t>
      </w:r>
      <w:r>
        <w:rPr>
          <w:spacing w:val="4"/>
          <w:w w:val="125"/>
          <w:sz w:val="24"/>
        </w:rPr>
        <w:t> </w:t>
      </w:r>
      <w:r>
        <w:rPr>
          <w:w w:val="125"/>
          <w:sz w:val="24"/>
        </w:rPr>
        <w:t>tartani.</w:t>
      </w:r>
    </w:p>
    <w:p>
      <w:pPr>
        <w:pStyle w:val="ListParagraph"/>
        <w:numPr>
          <w:ilvl w:val="0"/>
          <w:numId w:val="556"/>
        </w:numPr>
        <w:tabs>
          <w:tab w:pos="734" w:val="left" w:leader="none"/>
        </w:tabs>
        <w:spacing w:line="225" w:lineRule="auto" w:before="2" w:after="0"/>
        <w:ind w:left="113" w:right="122" w:firstLine="204"/>
        <w:jc w:val="both"/>
        <w:rPr>
          <w:sz w:val="24"/>
        </w:rPr>
      </w:pPr>
      <w:r>
        <w:rPr>
          <w:w w:val="130"/>
          <w:sz w:val="24"/>
        </w:rPr>
        <w:t>A</w:t>
      </w:r>
      <w:r>
        <w:rPr>
          <w:spacing w:val="-18"/>
          <w:w w:val="130"/>
          <w:sz w:val="24"/>
        </w:rPr>
        <w:t> </w:t>
      </w:r>
      <w:r>
        <w:rPr>
          <w:w w:val="130"/>
          <w:sz w:val="24"/>
        </w:rPr>
        <w:t>hitelintézet</w:t>
      </w:r>
      <w:r>
        <w:rPr>
          <w:spacing w:val="-18"/>
          <w:w w:val="130"/>
          <w:sz w:val="24"/>
        </w:rPr>
        <w:t> </w:t>
      </w:r>
      <w:r>
        <w:rPr>
          <w:w w:val="130"/>
          <w:sz w:val="24"/>
        </w:rPr>
        <w:t>az</w:t>
      </w:r>
      <w:r>
        <w:rPr>
          <w:spacing w:val="-18"/>
          <w:w w:val="130"/>
          <w:sz w:val="24"/>
        </w:rPr>
        <w:t> </w:t>
      </w:r>
      <w:r>
        <w:rPr>
          <w:w w:val="130"/>
          <w:sz w:val="24"/>
        </w:rPr>
        <w:t>önkéntes</w:t>
      </w:r>
      <w:r>
        <w:rPr>
          <w:spacing w:val="-18"/>
          <w:w w:val="130"/>
          <w:sz w:val="24"/>
        </w:rPr>
        <w:t> </w:t>
      </w:r>
      <w:r>
        <w:rPr>
          <w:w w:val="130"/>
          <w:sz w:val="24"/>
        </w:rPr>
        <w:t>alapba</w:t>
      </w:r>
      <w:r>
        <w:rPr>
          <w:spacing w:val="-18"/>
          <w:w w:val="130"/>
          <w:sz w:val="24"/>
        </w:rPr>
        <w:t> </w:t>
      </w:r>
      <w:r>
        <w:rPr>
          <w:w w:val="130"/>
          <w:sz w:val="24"/>
        </w:rPr>
        <w:t>befizetett</w:t>
      </w:r>
      <w:r>
        <w:rPr>
          <w:spacing w:val="-18"/>
          <w:w w:val="130"/>
          <w:sz w:val="24"/>
        </w:rPr>
        <w:t> </w:t>
      </w:r>
      <w:r>
        <w:rPr>
          <w:w w:val="130"/>
          <w:sz w:val="24"/>
        </w:rPr>
        <w:t>összeget</w:t>
      </w:r>
      <w:r>
        <w:rPr>
          <w:spacing w:val="-17"/>
          <w:w w:val="130"/>
          <w:sz w:val="24"/>
        </w:rPr>
        <w:t> </w:t>
      </w:r>
      <w:r>
        <w:rPr>
          <w:w w:val="130"/>
          <w:sz w:val="24"/>
        </w:rPr>
        <w:t>egyéb</w:t>
      </w:r>
      <w:r>
        <w:rPr>
          <w:spacing w:val="-18"/>
          <w:w w:val="130"/>
          <w:sz w:val="24"/>
        </w:rPr>
        <w:t> </w:t>
      </w:r>
      <w:r>
        <w:rPr>
          <w:w w:val="130"/>
          <w:sz w:val="24"/>
        </w:rPr>
        <w:t>ráfordításként számolja</w:t>
      </w:r>
      <w:r>
        <w:rPr>
          <w:spacing w:val="-3"/>
          <w:w w:val="130"/>
          <w:sz w:val="24"/>
        </w:rPr>
        <w:t> </w:t>
      </w:r>
      <w:r>
        <w:rPr>
          <w:w w:val="130"/>
          <w:sz w:val="24"/>
        </w:rPr>
        <w:t>el.</w:t>
      </w:r>
    </w:p>
    <w:p>
      <w:pPr>
        <w:pStyle w:val="BodyText"/>
        <w:spacing w:before="3"/>
        <w:ind w:left="0" w:firstLine="0"/>
        <w:rPr>
          <w:sz w:val="11"/>
        </w:rPr>
      </w:pPr>
    </w:p>
    <w:p>
      <w:pPr>
        <w:pStyle w:val="BodyText"/>
        <w:spacing w:before="99"/>
        <w:ind w:left="2748" w:firstLine="0"/>
      </w:pPr>
      <w:r>
        <w:rPr>
          <w:w w:val="125"/>
        </w:rPr>
        <w:t>103. Az önkéntes alap megalakítása</w:t>
      </w:r>
    </w:p>
    <w:p>
      <w:pPr>
        <w:pStyle w:val="ListParagraph"/>
        <w:numPr>
          <w:ilvl w:val="0"/>
          <w:numId w:val="555"/>
        </w:numPr>
        <w:tabs>
          <w:tab w:pos="1036" w:val="left" w:leader="none"/>
        </w:tabs>
        <w:spacing w:line="225" w:lineRule="auto" w:before="236" w:after="0"/>
        <w:ind w:left="113" w:right="128" w:firstLine="204"/>
        <w:jc w:val="both"/>
        <w:rPr>
          <w:sz w:val="24"/>
        </w:rPr>
      </w:pPr>
      <w:r>
        <w:rPr>
          <w:rFonts w:ascii="Arial" w:hAnsi="Arial"/>
          <w:b/>
          <w:w w:val="125"/>
          <w:sz w:val="24"/>
        </w:rPr>
        <w:t>§ </w:t>
      </w:r>
      <w:r>
        <w:rPr>
          <w:w w:val="125"/>
          <w:sz w:val="24"/>
        </w:rPr>
        <w:t>(1) Az önkéntes alap megalakítása céljából alakuló közgyűlést kell tartani, amelynek feladata a tagok névjegyzékének megállapítása, a létesítő okirat megalkotása, az e törvényben meghatározott belső szabályzatok elfogadása, valamint a tisztségviselők</w:t>
      </w:r>
      <w:r>
        <w:rPr>
          <w:spacing w:val="18"/>
          <w:w w:val="125"/>
          <w:sz w:val="24"/>
        </w:rPr>
        <w:t> </w:t>
      </w:r>
      <w:r>
        <w:rPr>
          <w:w w:val="125"/>
          <w:sz w:val="24"/>
        </w:rPr>
        <w:t>megválasztása.</w:t>
      </w:r>
    </w:p>
    <w:p>
      <w:pPr>
        <w:pStyle w:val="BodyText"/>
        <w:ind w:left="0" w:firstLine="0"/>
        <w:rPr>
          <w:sz w:val="20"/>
        </w:rPr>
      </w:pPr>
    </w:p>
    <w:p>
      <w:pPr>
        <w:pStyle w:val="BodyText"/>
        <w:ind w:left="0" w:firstLine="0"/>
        <w:rPr>
          <w:sz w:val="27"/>
        </w:rPr>
      </w:pPr>
      <w:r>
        <w:rPr/>
        <w:pict>
          <v:line style="position:absolute;mso-position-horizontal-relative:page;mso-position-vertical-relative:paragraph;z-index:2384;mso-wrap-distance-left:0;mso-wrap-distance-right:0" from="56.693001pt,17.744333pt" to="538.583001pt,17.744333pt" stroked="true" strokeweight=".5pt" strokecolor="#000000">
            <v:stroke dashstyle="solid"/>
            <w10:wrap type="topAndBottom"/>
          </v:line>
        </w:pict>
      </w:r>
    </w:p>
    <w:p>
      <w:pPr>
        <w:pStyle w:val="ListParagraph"/>
        <w:numPr>
          <w:ilvl w:val="0"/>
          <w:numId w:val="557"/>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85.</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pStyle w:val="ListParagraph"/>
        <w:numPr>
          <w:ilvl w:val="0"/>
          <w:numId w:val="557"/>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4"/>
          <w:w w:val="120"/>
          <w:sz w:val="18"/>
        </w:rPr>
        <w:t> </w:t>
      </w:r>
      <w:r>
        <w:rPr>
          <w:i/>
          <w:w w:val="120"/>
          <w:sz w:val="18"/>
        </w:rPr>
        <w:t>évi</w:t>
      </w:r>
      <w:r>
        <w:rPr>
          <w:i/>
          <w:spacing w:val="14"/>
          <w:w w:val="120"/>
          <w:sz w:val="18"/>
        </w:rPr>
        <w:t> </w:t>
      </w:r>
      <w:r>
        <w:rPr>
          <w:i/>
          <w:w w:val="120"/>
          <w:sz w:val="18"/>
        </w:rPr>
        <w:t>CIV.</w:t>
      </w:r>
      <w:r>
        <w:rPr>
          <w:i/>
          <w:spacing w:val="15"/>
          <w:w w:val="120"/>
          <w:sz w:val="18"/>
        </w:rPr>
        <w:t> </w:t>
      </w:r>
      <w:r>
        <w:rPr>
          <w:i/>
          <w:w w:val="120"/>
          <w:sz w:val="18"/>
        </w:rPr>
        <w:t>törvény</w:t>
      </w:r>
      <w:r>
        <w:rPr>
          <w:i/>
          <w:spacing w:val="14"/>
          <w:w w:val="120"/>
          <w:sz w:val="18"/>
        </w:rPr>
        <w:t> </w:t>
      </w:r>
      <w:r>
        <w:rPr>
          <w:i/>
          <w:w w:val="120"/>
          <w:sz w:val="18"/>
        </w:rPr>
        <w:t>85.</w:t>
      </w:r>
      <w:r>
        <w:rPr>
          <w:i/>
          <w:spacing w:val="14"/>
          <w:w w:val="120"/>
          <w:sz w:val="18"/>
        </w:rPr>
        <w:t> </w:t>
      </w:r>
      <w:r>
        <w:rPr>
          <w:i/>
          <w:w w:val="120"/>
          <w:sz w:val="18"/>
        </w:rPr>
        <w:t>§</w:t>
      </w:r>
      <w:r>
        <w:rPr>
          <w:i/>
          <w:spacing w:val="15"/>
          <w:w w:val="120"/>
          <w:sz w:val="18"/>
        </w:rPr>
        <w:t> </w:t>
      </w:r>
      <w:r>
        <w:rPr>
          <w:i/>
          <w:w w:val="120"/>
          <w:sz w:val="18"/>
        </w:rPr>
        <w:t>(2).</w:t>
      </w:r>
      <w:r>
        <w:rPr>
          <w:i/>
          <w:spacing w:val="15"/>
          <w:w w:val="120"/>
          <w:sz w:val="18"/>
        </w:rPr>
        <w:t> </w:t>
      </w:r>
      <w:r>
        <w:rPr>
          <w:i/>
          <w:w w:val="120"/>
          <w:sz w:val="18"/>
        </w:rPr>
        <w:t>Hatályos:</w:t>
      </w:r>
      <w:r>
        <w:rPr>
          <w:i/>
          <w:spacing w:val="16"/>
          <w:w w:val="120"/>
          <w:sz w:val="18"/>
        </w:rPr>
        <w:t> </w:t>
      </w:r>
      <w:r>
        <w:rPr>
          <w:i/>
          <w:w w:val="120"/>
          <w:sz w:val="18"/>
        </w:rPr>
        <w:t>2015.</w:t>
      </w:r>
      <w:r>
        <w:rPr>
          <w:i/>
          <w:spacing w:val="14"/>
          <w:w w:val="120"/>
          <w:sz w:val="18"/>
        </w:rPr>
        <w:t> </w:t>
      </w:r>
      <w:r>
        <w:rPr>
          <w:i/>
          <w:w w:val="120"/>
          <w:sz w:val="18"/>
        </w:rPr>
        <w:t>VII.</w:t>
      </w:r>
      <w:r>
        <w:rPr>
          <w:i/>
          <w:spacing w:val="15"/>
          <w:w w:val="120"/>
          <w:sz w:val="18"/>
        </w:rPr>
        <w:t> </w:t>
      </w:r>
      <w:r>
        <w:rPr>
          <w:i/>
          <w:w w:val="120"/>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558"/>
        </w:numPr>
        <w:tabs>
          <w:tab w:pos="850" w:val="left" w:leader="none"/>
        </w:tabs>
        <w:spacing w:line="225" w:lineRule="auto" w:before="173" w:after="0"/>
        <w:ind w:left="113" w:right="129" w:firstLine="204"/>
        <w:jc w:val="both"/>
        <w:rPr>
          <w:sz w:val="24"/>
        </w:rPr>
      </w:pPr>
      <w:r>
        <w:rPr>
          <w:w w:val="125"/>
          <w:sz w:val="24"/>
        </w:rPr>
        <w:t>Az alakuló közgyűlés határozatait egyszerű szótöbbséggel hozza. A határozathozatalra egyebekben e törvény rendelkezéseit kell</w:t>
      </w:r>
      <w:r>
        <w:rPr>
          <w:spacing w:val="-20"/>
          <w:w w:val="125"/>
          <w:sz w:val="24"/>
        </w:rPr>
        <w:t> </w:t>
      </w:r>
      <w:r>
        <w:rPr>
          <w:w w:val="125"/>
          <w:sz w:val="24"/>
        </w:rPr>
        <w:t>alkalmazni.</w:t>
      </w:r>
    </w:p>
    <w:p>
      <w:pPr>
        <w:pStyle w:val="ListParagraph"/>
        <w:numPr>
          <w:ilvl w:val="0"/>
          <w:numId w:val="558"/>
        </w:numPr>
        <w:tabs>
          <w:tab w:pos="734" w:val="left" w:leader="none"/>
        </w:tabs>
        <w:spacing w:line="255" w:lineRule="exact" w:before="0" w:after="0"/>
        <w:ind w:left="733" w:right="0" w:hanging="416"/>
        <w:jc w:val="left"/>
        <w:rPr>
          <w:sz w:val="24"/>
        </w:rPr>
      </w:pPr>
      <w:r>
        <w:rPr>
          <w:w w:val="130"/>
          <w:sz w:val="24"/>
        </w:rPr>
        <w:t>Önkéntes alapot kizárólag határozatlan időre lehet</w:t>
      </w:r>
      <w:r>
        <w:rPr>
          <w:spacing w:val="-41"/>
          <w:w w:val="130"/>
          <w:sz w:val="24"/>
        </w:rPr>
        <w:t> </w:t>
      </w:r>
      <w:r>
        <w:rPr>
          <w:w w:val="130"/>
          <w:sz w:val="24"/>
        </w:rPr>
        <w:t>alapítani.</w:t>
      </w:r>
    </w:p>
    <w:p>
      <w:pPr>
        <w:pStyle w:val="ListParagraph"/>
        <w:numPr>
          <w:ilvl w:val="0"/>
          <w:numId w:val="555"/>
        </w:numPr>
        <w:tabs>
          <w:tab w:pos="1042" w:val="left" w:leader="none"/>
        </w:tabs>
        <w:spacing w:line="225" w:lineRule="auto" w:before="5" w:after="0"/>
        <w:ind w:left="113" w:right="128" w:firstLine="204"/>
        <w:jc w:val="both"/>
        <w:rPr>
          <w:sz w:val="24"/>
        </w:rPr>
      </w:pPr>
      <w:r>
        <w:rPr>
          <w:rFonts w:ascii="Arial" w:hAnsi="Arial"/>
          <w:b/>
          <w:w w:val="125"/>
          <w:sz w:val="24"/>
        </w:rPr>
        <w:t>§ </w:t>
      </w:r>
      <w:r>
        <w:rPr>
          <w:w w:val="125"/>
          <w:sz w:val="24"/>
        </w:rPr>
        <w:t>(1) Az alakuló közgyűlésről jegyzőkönyvet kell felvenni, amelyet a közgyűlés által választott elnök és jegyzőkönyvvezető ír alá, valamint két tag hitelesít.</w:t>
      </w:r>
    </w:p>
    <w:p>
      <w:pPr>
        <w:pStyle w:val="BodyText"/>
        <w:spacing w:line="249" w:lineRule="exact"/>
        <w:ind w:left="317" w:firstLine="0"/>
      </w:pPr>
      <w:r>
        <w:rPr>
          <w:w w:val="125"/>
        </w:rPr>
        <w:t>(2)</w:t>
      </w:r>
      <w:r>
        <w:rPr>
          <w:i/>
          <w:w w:val="125"/>
          <w:position w:val="3"/>
          <w:sz w:val="18"/>
        </w:rPr>
        <w:t>1 </w:t>
      </w:r>
      <w:r>
        <w:rPr>
          <w:w w:val="125"/>
        </w:rPr>
        <w:t>Az alakuló közgyűlés által elfogadott létesítő okiratot valamennyi tag</w:t>
      </w:r>
    </w:p>
    <w:p>
      <w:pPr>
        <w:pStyle w:val="BodyText"/>
        <w:spacing w:line="225" w:lineRule="auto" w:before="12"/>
        <w:ind w:firstLine="0"/>
      </w:pPr>
      <w:r>
        <w:rPr>
          <w:w w:val="125"/>
        </w:rPr>
        <w:t>által aláírt közjegyzői hitelesítéssel ellátott okiratba vagy ügyvéd vagy kamarai jogtanácsos által ellenjegyzett okiratba kell foglalni.</w:t>
      </w:r>
    </w:p>
    <w:p>
      <w:pPr>
        <w:pStyle w:val="ListParagraph"/>
        <w:numPr>
          <w:ilvl w:val="0"/>
          <w:numId w:val="555"/>
        </w:numPr>
        <w:tabs>
          <w:tab w:pos="1096" w:val="left" w:leader="none"/>
        </w:tabs>
        <w:spacing w:line="225" w:lineRule="auto" w:before="0" w:after="0"/>
        <w:ind w:left="113" w:right="128" w:firstLine="204"/>
        <w:jc w:val="left"/>
        <w:rPr>
          <w:sz w:val="24"/>
        </w:rPr>
      </w:pPr>
      <w:r>
        <w:rPr>
          <w:rFonts w:ascii="Arial" w:hAnsi="Arial"/>
          <w:b/>
          <w:w w:val="120"/>
          <w:sz w:val="24"/>
        </w:rPr>
        <w:t>§ </w:t>
      </w:r>
      <w:r>
        <w:rPr>
          <w:w w:val="120"/>
          <w:sz w:val="24"/>
        </w:rPr>
        <w:t>(1) Az önkéntes alap alapítását  a  létesítő  okirat  elfogadásától számított tizenöt napon belül engedélyezés</w:t>
      </w:r>
      <w:r>
        <w:rPr>
          <w:spacing w:val="49"/>
          <w:w w:val="120"/>
          <w:sz w:val="24"/>
        </w:rPr>
        <w:t> </w:t>
      </w:r>
      <w:r>
        <w:rPr>
          <w:w w:val="120"/>
          <w:sz w:val="24"/>
        </w:rPr>
        <w:t>végett</w:t>
      </w:r>
    </w:p>
    <w:p>
      <w:pPr>
        <w:pStyle w:val="ListParagraph"/>
        <w:numPr>
          <w:ilvl w:val="0"/>
          <w:numId w:val="559"/>
        </w:numPr>
        <w:tabs>
          <w:tab w:pos="631" w:val="left" w:leader="none"/>
        </w:tabs>
        <w:spacing w:line="256" w:lineRule="exact" w:before="0" w:after="0"/>
        <w:ind w:left="630" w:right="0" w:hanging="313"/>
        <w:jc w:val="left"/>
        <w:rPr>
          <w:sz w:val="24"/>
        </w:rPr>
      </w:pPr>
      <w:r>
        <w:rPr>
          <w:w w:val="125"/>
          <w:sz w:val="24"/>
        </w:rPr>
        <w:t>az alakuló közgyűlésről felvett hitelesített</w:t>
      </w:r>
      <w:r>
        <w:rPr>
          <w:spacing w:val="-1"/>
          <w:w w:val="125"/>
          <w:sz w:val="24"/>
        </w:rPr>
        <w:t> </w:t>
      </w:r>
      <w:r>
        <w:rPr>
          <w:w w:val="125"/>
          <w:sz w:val="24"/>
        </w:rPr>
        <w:t>jegyzőkönyvet,</w:t>
      </w:r>
    </w:p>
    <w:p>
      <w:pPr>
        <w:pStyle w:val="ListParagraph"/>
        <w:numPr>
          <w:ilvl w:val="0"/>
          <w:numId w:val="559"/>
        </w:numPr>
        <w:tabs>
          <w:tab w:pos="653" w:val="left" w:leader="none"/>
        </w:tabs>
        <w:spacing w:line="260" w:lineRule="exact" w:before="0" w:after="0"/>
        <w:ind w:left="652" w:right="0" w:hanging="335"/>
        <w:jc w:val="left"/>
        <w:rPr>
          <w:sz w:val="24"/>
        </w:rPr>
      </w:pPr>
      <w:r>
        <w:rPr>
          <w:w w:val="130"/>
          <w:sz w:val="24"/>
        </w:rPr>
        <w:t>a létesítő okiratot,</w:t>
      </w:r>
      <w:r>
        <w:rPr>
          <w:spacing w:val="-21"/>
          <w:w w:val="130"/>
          <w:sz w:val="24"/>
        </w:rPr>
        <w:t> </w:t>
      </w:r>
      <w:r>
        <w:rPr>
          <w:w w:val="130"/>
          <w:sz w:val="24"/>
        </w:rPr>
        <w:t>valamint</w:t>
      </w:r>
    </w:p>
    <w:p>
      <w:pPr>
        <w:pStyle w:val="ListParagraph"/>
        <w:numPr>
          <w:ilvl w:val="0"/>
          <w:numId w:val="559"/>
        </w:numPr>
        <w:tabs>
          <w:tab w:pos="623" w:val="left" w:leader="none"/>
        </w:tabs>
        <w:spacing w:line="225" w:lineRule="auto" w:before="5" w:after="0"/>
        <w:ind w:left="113" w:right="6537" w:firstLine="204"/>
        <w:jc w:val="left"/>
        <w:rPr>
          <w:sz w:val="24"/>
        </w:rPr>
      </w:pPr>
      <w:r>
        <w:rPr>
          <w:w w:val="130"/>
          <w:sz w:val="24"/>
        </w:rPr>
        <w:t>a tagok névjegyzékét megküldi</w:t>
      </w:r>
      <w:r>
        <w:rPr>
          <w:spacing w:val="-49"/>
          <w:w w:val="130"/>
          <w:sz w:val="24"/>
        </w:rPr>
        <w:t> </w:t>
      </w:r>
      <w:r>
        <w:rPr>
          <w:w w:val="130"/>
          <w:sz w:val="24"/>
        </w:rPr>
        <w:t>a</w:t>
      </w:r>
      <w:r>
        <w:rPr>
          <w:spacing w:val="-49"/>
          <w:w w:val="130"/>
          <w:sz w:val="24"/>
        </w:rPr>
        <w:t> </w:t>
      </w:r>
      <w:r>
        <w:rPr>
          <w:w w:val="130"/>
          <w:sz w:val="24"/>
        </w:rPr>
        <w:t>Felügyeletnek.</w:t>
      </w:r>
    </w:p>
    <w:p>
      <w:pPr>
        <w:pStyle w:val="ListParagraph"/>
        <w:numPr>
          <w:ilvl w:val="0"/>
          <w:numId w:val="560"/>
        </w:numPr>
        <w:tabs>
          <w:tab w:pos="812" w:val="left" w:leader="none"/>
        </w:tabs>
        <w:spacing w:line="225" w:lineRule="auto" w:before="2" w:after="0"/>
        <w:ind w:left="113" w:right="135" w:firstLine="204"/>
        <w:jc w:val="left"/>
        <w:rPr>
          <w:sz w:val="24"/>
        </w:rPr>
      </w:pPr>
      <w:r>
        <w:rPr>
          <w:w w:val="130"/>
          <w:sz w:val="24"/>
        </w:rPr>
        <w:t>Az engedélyt megadottnak kell tekinteni, ha a Felügyelet a kérelem kézhezvételét követő harminc napon</w:t>
      </w:r>
      <w:r>
        <w:rPr>
          <w:spacing w:val="-59"/>
          <w:w w:val="130"/>
          <w:sz w:val="24"/>
        </w:rPr>
        <w:t> </w:t>
      </w:r>
      <w:r>
        <w:rPr>
          <w:w w:val="130"/>
          <w:sz w:val="24"/>
        </w:rPr>
        <w:t>belül azt nem utasítja el.</w:t>
      </w:r>
    </w:p>
    <w:p>
      <w:pPr>
        <w:pStyle w:val="ListParagraph"/>
        <w:numPr>
          <w:ilvl w:val="0"/>
          <w:numId w:val="560"/>
        </w:numPr>
        <w:tabs>
          <w:tab w:pos="849" w:val="left" w:leader="none"/>
        </w:tabs>
        <w:spacing w:line="225" w:lineRule="auto" w:before="1" w:after="0"/>
        <w:ind w:left="113" w:right="131" w:firstLine="204"/>
        <w:jc w:val="left"/>
        <w:rPr>
          <w:sz w:val="24"/>
        </w:rPr>
      </w:pPr>
      <w:r>
        <w:rPr>
          <w:w w:val="130"/>
          <w:sz w:val="24"/>
        </w:rPr>
        <w:t>A Felügyelet az engedélykérelmet csak akkor utasíthatja el, ha a benyújtott</w:t>
      </w:r>
      <w:r>
        <w:rPr>
          <w:spacing w:val="-22"/>
          <w:w w:val="130"/>
          <w:sz w:val="24"/>
        </w:rPr>
        <w:t> </w:t>
      </w:r>
      <w:r>
        <w:rPr>
          <w:w w:val="130"/>
          <w:sz w:val="24"/>
        </w:rPr>
        <w:t>iratok</w:t>
      </w:r>
      <w:r>
        <w:rPr>
          <w:spacing w:val="-23"/>
          <w:w w:val="130"/>
          <w:sz w:val="24"/>
        </w:rPr>
        <w:t> </w:t>
      </w:r>
      <w:r>
        <w:rPr>
          <w:w w:val="130"/>
          <w:sz w:val="24"/>
        </w:rPr>
        <w:t>nem</w:t>
      </w:r>
      <w:r>
        <w:rPr>
          <w:spacing w:val="-22"/>
          <w:w w:val="130"/>
          <w:sz w:val="24"/>
        </w:rPr>
        <w:t> </w:t>
      </w:r>
      <w:r>
        <w:rPr>
          <w:w w:val="130"/>
          <w:sz w:val="24"/>
        </w:rPr>
        <w:t>felelnek</w:t>
      </w:r>
      <w:r>
        <w:rPr>
          <w:spacing w:val="-22"/>
          <w:w w:val="130"/>
          <w:sz w:val="24"/>
        </w:rPr>
        <w:t> </w:t>
      </w:r>
      <w:r>
        <w:rPr>
          <w:w w:val="130"/>
          <w:sz w:val="24"/>
        </w:rPr>
        <w:t>meg</w:t>
      </w:r>
      <w:r>
        <w:rPr>
          <w:spacing w:val="-22"/>
          <w:w w:val="130"/>
          <w:sz w:val="24"/>
        </w:rPr>
        <w:t> </w:t>
      </w:r>
      <w:r>
        <w:rPr>
          <w:w w:val="130"/>
          <w:sz w:val="24"/>
        </w:rPr>
        <w:t>a</w:t>
      </w:r>
      <w:r>
        <w:rPr>
          <w:spacing w:val="-23"/>
          <w:w w:val="130"/>
          <w:sz w:val="24"/>
        </w:rPr>
        <w:t> </w:t>
      </w:r>
      <w:r>
        <w:rPr>
          <w:w w:val="130"/>
          <w:sz w:val="24"/>
        </w:rPr>
        <w:t>jogszabályokban</w:t>
      </w:r>
      <w:r>
        <w:rPr>
          <w:spacing w:val="-22"/>
          <w:w w:val="130"/>
          <w:sz w:val="24"/>
        </w:rPr>
        <w:t> </w:t>
      </w:r>
      <w:r>
        <w:rPr>
          <w:w w:val="130"/>
          <w:sz w:val="24"/>
        </w:rPr>
        <w:t>foglalt</w:t>
      </w:r>
      <w:r>
        <w:rPr>
          <w:spacing w:val="-15"/>
          <w:w w:val="130"/>
          <w:sz w:val="24"/>
        </w:rPr>
        <w:t> </w:t>
      </w:r>
      <w:r>
        <w:rPr>
          <w:w w:val="130"/>
          <w:sz w:val="24"/>
        </w:rPr>
        <w:t>előírásoknak.</w:t>
      </w:r>
    </w:p>
    <w:p>
      <w:pPr>
        <w:pStyle w:val="ListParagraph"/>
        <w:numPr>
          <w:ilvl w:val="0"/>
          <w:numId w:val="560"/>
        </w:numPr>
        <w:tabs>
          <w:tab w:pos="847" w:val="left" w:leader="none"/>
        </w:tabs>
        <w:spacing w:line="225" w:lineRule="auto" w:before="1" w:after="0"/>
        <w:ind w:left="113" w:right="126" w:firstLine="204"/>
        <w:jc w:val="both"/>
        <w:rPr>
          <w:sz w:val="24"/>
        </w:rPr>
      </w:pPr>
      <w:r>
        <w:rPr>
          <w:w w:val="125"/>
          <w:sz w:val="24"/>
        </w:rPr>
        <w:t>Az engedély megadását - illetve a (2) bekezdésben meghatározott  esetben a határidő lejártát - követő harminc napon belül az önkéntes alap megalapítását - az (1) bekezdésben meghatározott iratok benyújtásával - nyilvántartásba vétel kérése céljából be kell jelenteni az önkéntes alap székhelye szerint illetékes törvényszéknek (a továbbiakban:</w:t>
      </w:r>
      <w:r>
        <w:rPr>
          <w:spacing w:val="22"/>
          <w:w w:val="125"/>
          <w:sz w:val="24"/>
        </w:rPr>
        <w:t> </w:t>
      </w:r>
      <w:r>
        <w:rPr>
          <w:w w:val="125"/>
          <w:sz w:val="24"/>
        </w:rPr>
        <w:t>bíróság).</w:t>
      </w:r>
    </w:p>
    <w:p>
      <w:pPr>
        <w:pStyle w:val="ListParagraph"/>
        <w:numPr>
          <w:ilvl w:val="0"/>
          <w:numId w:val="560"/>
        </w:numPr>
        <w:tabs>
          <w:tab w:pos="934" w:val="left" w:leader="none"/>
        </w:tabs>
        <w:spacing w:line="225" w:lineRule="auto" w:before="3" w:after="0"/>
        <w:ind w:left="113" w:right="128" w:firstLine="204"/>
        <w:jc w:val="both"/>
        <w:rPr>
          <w:sz w:val="24"/>
        </w:rPr>
      </w:pPr>
      <w:r>
        <w:rPr>
          <w:w w:val="125"/>
          <w:sz w:val="24"/>
        </w:rPr>
        <w:t>A nyilvántartásba vételre irányuló kérelmet az önkéntes alap képviseletére jogosult személy nyújtja be. A bíróság a nyilvántartásba vételről nemperes eljárásban, soron kívül határoz. A bíróság a nyilvántartásba vételről szóló határozatát a Felügyeletnek is</w:t>
      </w:r>
      <w:r>
        <w:rPr>
          <w:spacing w:val="10"/>
          <w:w w:val="125"/>
          <w:sz w:val="24"/>
        </w:rPr>
        <w:t> </w:t>
      </w:r>
      <w:r>
        <w:rPr>
          <w:w w:val="125"/>
          <w:sz w:val="24"/>
        </w:rPr>
        <w:t>kézbesíti.</w:t>
      </w:r>
    </w:p>
    <w:p>
      <w:pPr>
        <w:pStyle w:val="ListParagraph"/>
        <w:numPr>
          <w:ilvl w:val="0"/>
          <w:numId w:val="560"/>
        </w:numPr>
        <w:tabs>
          <w:tab w:pos="834" w:val="left" w:leader="none"/>
        </w:tabs>
        <w:spacing w:line="225" w:lineRule="auto" w:before="2" w:after="0"/>
        <w:ind w:left="113" w:right="128" w:firstLine="204"/>
        <w:jc w:val="left"/>
        <w:rPr>
          <w:sz w:val="24"/>
        </w:rPr>
      </w:pPr>
      <w:r>
        <w:rPr>
          <w:w w:val="130"/>
          <w:sz w:val="24"/>
        </w:rPr>
        <w:t>Az önkéntes alap nyilvántartásba vétele nem tagadható meg, ha az alapítói az e törvényben előírt feltételeknek eleget</w:t>
      </w:r>
      <w:r>
        <w:rPr>
          <w:spacing w:val="-36"/>
          <w:w w:val="130"/>
          <w:sz w:val="24"/>
        </w:rPr>
        <w:t> </w:t>
      </w:r>
      <w:r>
        <w:rPr>
          <w:w w:val="130"/>
          <w:sz w:val="24"/>
        </w:rPr>
        <w:t>tettek.</w:t>
      </w:r>
    </w:p>
    <w:p>
      <w:pPr>
        <w:pStyle w:val="ListParagraph"/>
        <w:numPr>
          <w:ilvl w:val="0"/>
          <w:numId w:val="560"/>
        </w:numPr>
        <w:tabs>
          <w:tab w:pos="870" w:val="left" w:leader="none"/>
          <w:tab w:pos="871" w:val="left" w:leader="none"/>
          <w:tab w:pos="1383" w:val="left" w:leader="none"/>
          <w:tab w:pos="2699" w:val="left" w:leader="none"/>
          <w:tab w:pos="3428" w:val="left" w:leader="none"/>
          <w:tab w:pos="3784" w:val="left" w:leader="none"/>
          <w:tab w:pos="4907" w:val="left" w:leader="none"/>
          <w:tab w:pos="7010" w:val="left" w:leader="none"/>
          <w:tab w:pos="8384" w:val="left" w:leader="none"/>
          <w:tab w:pos="8867" w:val="left" w:leader="none"/>
        </w:tabs>
        <w:spacing w:line="225" w:lineRule="auto" w:before="1" w:after="0"/>
        <w:ind w:left="113" w:right="126" w:firstLine="204"/>
        <w:jc w:val="left"/>
        <w:rPr>
          <w:sz w:val="24"/>
        </w:rPr>
      </w:pPr>
      <w:r>
        <w:rPr>
          <w:w w:val="130"/>
          <w:sz w:val="24"/>
        </w:rPr>
        <w:t>Az</w:t>
        <w:tab/>
        <w:t>önkéntes</w:t>
        <w:tab/>
        <w:t>alap</w:t>
        <w:tab/>
        <w:t>a</w:t>
        <w:tab/>
        <w:t>bíróság</w:t>
        <w:tab/>
        <w:t>nyilvántartásba</w:t>
        <w:tab/>
        <w:t>vételével,</w:t>
        <w:tab/>
        <w:t>az</w:t>
        <w:tab/>
      </w:r>
      <w:r>
        <w:rPr>
          <w:spacing w:val="-3"/>
          <w:w w:val="125"/>
          <w:sz w:val="24"/>
        </w:rPr>
        <w:t>alakuló </w:t>
      </w:r>
      <w:r>
        <w:rPr>
          <w:w w:val="130"/>
          <w:sz w:val="24"/>
        </w:rPr>
        <w:t>közgyűlés napjára visszamenő hatállyal jön</w:t>
      </w:r>
      <w:r>
        <w:rPr>
          <w:spacing w:val="-30"/>
          <w:w w:val="130"/>
          <w:sz w:val="24"/>
        </w:rPr>
        <w:t> </w:t>
      </w:r>
      <w:r>
        <w:rPr>
          <w:w w:val="130"/>
          <w:sz w:val="24"/>
        </w:rPr>
        <w:t>létre.</w:t>
      </w:r>
    </w:p>
    <w:p>
      <w:pPr>
        <w:pStyle w:val="ListParagraph"/>
        <w:numPr>
          <w:ilvl w:val="0"/>
          <w:numId w:val="560"/>
        </w:numPr>
        <w:tabs>
          <w:tab w:pos="759" w:val="left" w:leader="none"/>
        </w:tabs>
        <w:spacing w:line="225" w:lineRule="auto" w:before="1" w:after="0"/>
        <w:ind w:left="113" w:right="127" w:firstLine="204"/>
        <w:jc w:val="both"/>
        <w:rPr>
          <w:sz w:val="24"/>
        </w:rPr>
      </w:pPr>
      <w:r>
        <w:rPr>
          <w:w w:val="130"/>
          <w:sz w:val="24"/>
        </w:rPr>
        <w:t>Az</w:t>
      </w:r>
      <w:r>
        <w:rPr>
          <w:spacing w:val="-34"/>
          <w:w w:val="130"/>
          <w:sz w:val="24"/>
        </w:rPr>
        <w:t> </w:t>
      </w:r>
      <w:r>
        <w:rPr>
          <w:w w:val="130"/>
          <w:sz w:val="24"/>
        </w:rPr>
        <w:t>önkéntes</w:t>
      </w:r>
      <w:r>
        <w:rPr>
          <w:spacing w:val="-22"/>
          <w:w w:val="130"/>
          <w:sz w:val="24"/>
        </w:rPr>
        <w:t> </w:t>
      </w:r>
      <w:r>
        <w:rPr>
          <w:w w:val="130"/>
          <w:sz w:val="24"/>
        </w:rPr>
        <w:t>alap</w:t>
      </w:r>
      <w:r>
        <w:rPr>
          <w:spacing w:val="-22"/>
          <w:w w:val="130"/>
          <w:sz w:val="24"/>
        </w:rPr>
        <w:t> </w:t>
      </w:r>
      <w:r>
        <w:rPr>
          <w:w w:val="130"/>
          <w:sz w:val="24"/>
        </w:rPr>
        <w:t>nyilvántartásba</w:t>
      </w:r>
      <w:r>
        <w:rPr>
          <w:spacing w:val="-22"/>
          <w:w w:val="130"/>
          <w:sz w:val="24"/>
        </w:rPr>
        <w:t> </w:t>
      </w:r>
      <w:r>
        <w:rPr>
          <w:w w:val="130"/>
          <w:sz w:val="24"/>
        </w:rPr>
        <w:t>vételére</w:t>
      </w:r>
      <w:r>
        <w:rPr>
          <w:spacing w:val="-22"/>
          <w:w w:val="130"/>
          <w:sz w:val="24"/>
        </w:rPr>
        <w:t> </w:t>
      </w:r>
      <w:r>
        <w:rPr>
          <w:w w:val="130"/>
          <w:sz w:val="24"/>
        </w:rPr>
        <w:t>egyebekben</w:t>
      </w:r>
      <w:r>
        <w:rPr>
          <w:spacing w:val="-23"/>
          <w:w w:val="130"/>
          <w:sz w:val="24"/>
        </w:rPr>
        <w:t> </w:t>
      </w:r>
      <w:r>
        <w:rPr>
          <w:w w:val="130"/>
          <w:sz w:val="24"/>
        </w:rPr>
        <w:t>a</w:t>
      </w:r>
      <w:r>
        <w:rPr>
          <w:spacing w:val="-22"/>
          <w:w w:val="130"/>
          <w:sz w:val="24"/>
        </w:rPr>
        <w:t> </w:t>
      </w:r>
      <w:r>
        <w:rPr>
          <w:w w:val="130"/>
          <w:sz w:val="24"/>
        </w:rPr>
        <w:t>civil</w:t>
      </w:r>
      <w:r>
        <w:rPr>
          <w:spacing w:val="-22"/>
          <w:w w:val="130"/>
          <w:sz w:val="24"/>
        </w:rPr>
        <w:t> </w:t>
      </w:r>
      <w:r>
        <w:rPr>
          <w:w w:val="130"/>
          <w:sz w:val="24"/>
        </w:rPr>
        <w:t>szervezetek bírósági nyilvántartásáról és az ezzel összefüggő eljárási szabályokról szóló törvény</w:t>
      </w:r>
      <w:r>
        <w:rPr>
          <w:spacing w:val="-34"/>
          <w:w w:val="130"/>
          <w:sz w:val="24"/>
        </w:rPr>
        <w:t> </w:t>
      </w:r>
      <w:r>
        <w:rPr>
          <w:w w:val="130"/>
          <w:sz w:val="24"/>
        </w:rPr>
        <w:t>egyesületekre</w:t>
      </w:r>
      <w:r>
        <w:rPr>
          <w:spacing w:val="-34"/>
          <w:w w:val="130"/>
          <w:sz w:val="24"/>
        </w:rPr>
        <w:t> </w:t>
      </w:r>
      <w:r>
        <w:rPr>
          <w:w w:val="130"/>
          <w:sz w:val="24"/>
        </w:rPr>
        <w:t>vonatkozó</w:t>
      </w:r>
      <w:r>
        <w:rPr>
          <w:spacing w:val="-34"/>
          <w:w w:val="130"/>
          <w:sz w:val="24"/>
        </w:rPr>
        <w:t> </w:t>
      </w:r>
      <w:r>
        <w:rPr>
          <w:w w:val="130"/>
          <w:sz w:val="24"/>
        </w:rPr>
        <w:t>rendelkezéseit</w:t>
      </w:r>
      <w:r>
        <w:rPr>
          <w:spacing w:val="-34"/>
          <w:w w:val="130"/>
          <w:sz w:val="24"/>
        </w:rPr>
        <w:t> </w:t>
      </w:r>
      <w:r>
        <w:rPr>
          <w:w w:val="130"/>
          <w:sz w:val="24"/>
        </w:rPr>
        <w:t>kell</w:t>
      </w:r>
      <w:r>
        <w:rPr>
          <w:spacing w:val="-34"/>
          <w:w w:val="130"/>
          <w:sz w:val="24"/>
        </w:rPr>
        <w:t> </w:t>
      </w:r>
      <w:r>
        <w:rPr>
          <w:w w:val="130"/>
          <w:sz w:val="24"/>
        </w:rPr>
        <w:t>megfelelően</w:t>
      </w:r>
      <w:r>
        <w:rPr>
          <w:spacing w:val="-27"/>
          <w:w w:val="130"/>
          <w:sz w:val="24"/>
        </w:rPr>
        <w:t> </w:t>
      </w:r>
      <w:r>
        <w:rPr>
          <w:w w:val="130"/>
          <w:sz w:val="24"/>
        </w:rPr>
        <w:t>alkalmazni.</w:t>
      </w:r>
    </w:p>
    <w:p>
      <w:pPr>
        <w:pStyle w:val="BodyText"/>
        <w:spacing w:before="229"/>
        <w:ind w:left="3656" w:firstLine="0"/>
      </w:pPr>
      <w:r>
        <w:rPr>
          <w:w w:val="125"/>
        </w:rPr>
        <w:t>104. A létesítő okirat</w:t>
      </w:r>
    </w:p>
    <w:p>
      <w:pPr>
        <w:pStyle w:val="ListParagraph"/>
        <w:numPr>
          <w:ilvl w:val="0"/>
          <w:numId w:val="555"/>
        </w:numPr>
        <w:tabs>
          <w:tab w:pos="988" w:val="left" w:leader="none"/>
        </w:tabs>
        <w:spacing w:line="225" w:lineRule="auto" w:before="236" w:after="0"/>
        <w:ind w:left="113" w:right="125" w:firstLine="204"/>
        <w:jc w:val="left"/>
        <w:rPr>
          <w:sz w:val="24"/>
        </w:rPr>
      </w:pPr>
      <w:r>
        <w:rPr>
          <w:rFonts w:ascii="Arial" w:hAnsi="Arial"/>
          <w:b/>
          <w:w w:val="120"/>
          <w:sz w:val="24"/>
        </w:rPr>
        <w:t>§ </w:t>
      </w:r>
      <w:r>
        <w:rPr>
          <w:w w:val="120"/>
          <w:sz w:val="24"/>
        </w:rPr>
        <w:t>(1) Az önkéntes alap szervezetének és működésének rendjét a létesítő okirat</w:t>
      </w:r>
      <w:r>
        <w:rPr>
          <w:spacing w:val="5"/>
          <w:w w:val="120"/>
          <w:sz w:val="24"/>
        </w:rPr>
        <w:t> </w:t>
      </w:r>
      <w:r>
        <w:rPr>
          <w:w w:val="120"/>
          <w:sz w:val="24"/>
        </w:rPr>
        <w:t>tartalmazza.</w:t>
      </w:r>
    </w:p>
    <w:p>
      <w:pPr>
        <w:pStyle w:val="ListParagraph"/>
        <w:numPr>
          <w:ilvl w:val="0"/>
          <w:numId w:val="561"/>
        </w:numPr>
        <w:tabs>
          <w:tab w:pos="734" w:val="left" w:leader="none"/>
        </w:tabs>
        <w:spacing w:line="256" w:lineRule="exact" w:before="0" w:after="0"/>
        <w:ind w:left="733" w:right="0" w:hanging="416"/>
        <w:jc w:val="left"/>
        <w:rPr>
          <w:sz w:val="24"/>
        </w:rPr>
      </w:pPr>
      <w:r>
        <w:rPr>
          <w:w w:val="125"/>
          <w:sz w:val="24"/>
        </w:rPr>
        <w:t>A létesítő okiratban meg kell</w:t>
      </w:r>
      <w:r>
        <w:rPr>
          <w:spacing w:val="4"/>
          <w:w w:val="125"/>
          <w:sz w:val="24"/>
        </w:rPr>
        <w:t> </w:t>
      </w:r>
      <w:r>
        <w:rPr>
          <w:w w:val="125"/>
          <w:sz w:val="24"/>
        </w:rPr>
        <w:t>határozni:</w:t>
      </w:r>
    </w:p>
    <w:p>
      <w:pPr>
        <w:pStyle w:val="ListParagraph"/>
        <w:numPr>
          <w:ilvl w:val="0"/>
          <w:numId w:val="562"/>
        </w:numPr>
        <w:tabs>
          <w:tab w:pos="631" w:val="left" w:leader="none"/>
        </w:tabs>
        <w:spacing w:line="260" w:lineRule="exact" w:before="0" w:after="0"/>
        <w:ind w:left="630" w:right="0" w:hanging="313"/>
        <w:jc w:val="left"/>
        <w:rPr>
          <w:sz w:val="24"/>
        </w:rPr>
      </w:pPr>
      <w:r>
        <w:rPr>
          <w:w w:val="130"/>
          <w:sz w:val="24"/>
        </w:rPr>
        <w:t>az önkéntes alap nevét és</w:t>
      </w:r>
      <w:r>
        <w:rPr>
          <w:spacing w:val="-19"/>
          <w:w w:val="130"/>
          <w:sz w:val="24"/>
        </w:rPr>
        <w:t> </w:t>
      </w:r>
      <w:r>
        <w:rPr>
          <w:w w:val="130"/>
          <w:sz w:val="24"/>
        </w:rPr>
        <w:t>székhelyét,</w:t>
      </w:r>
    </w:p>
    <w:p>
      <w:pPr>
        <w:pStyle w:val="ListParagraph"/>
        <w:numPr>
          <w:ilvl w:val="0"/>
          <w:numId w:val="562"/>
        </w:numPr>
        <w:tabs>
          <w:tab w:pos="653" w:val="left" w:leader="none"/>
        </w:tabs>
        <w:spacing w:line="260" w:lineRule="exact" w:before="0" w:after="0"/>
        <w:ind w:left="652" w:right="0" w:hanging="335"/>
        <w:jc w:val="left"/>
        <w:rPr>
          <w:sz w:val="24"/>
        </w:rPr>
      </w:pPr>
      <w:r>
        <w:rPr>
          <w:w w:val="130"/>
          <w:sz w:val="24"/>
        </w:rPr>
        <w:t>az</w:t>
      </w:r>
      <w:r>
        <w:rPr>
          <w:spacing w:val="-14"/>
          <w:w w:val="130"/>
          <w:sz w:val="24"/>
        </w:rPr>
        <w:t> </w:t>
      </w:r>
      <w:r>
        <w:rPr>
          <w:w w:val="130"/>
          <w:sz w:val="24"/>
        </w:rPr>
        <w:t>alapítókat,</w:t>
      </w:r>
    </w:p>
    <w:p>
      <w:pPr>
        <w:pStyle w:val="ListParagraph"/>
        <w:numPr>
          <w:ilvl w:val="0"/>
          <w:numId w:val="562"/>
        </w:numPr>
        <w:tabs>
          <w:tab w:pos="703" w:val="left" w:leader="none"/>
        </w:tabs>
        <w:spacing w:line="225" w:lineRule="auto" w:before="6" w:after="0"/>
        <w:ind w:left="113" w:right="130" w:firstLine="204"/>
        <w:jc w:val="left"/>
        <w:rPr>
          <w:sz w:val="24"/>
        </w:rPr>
      </w:pPr>
      <w:r>
        <w:rPr>
          <w:w w:val="130"/>
          <w:sz w:val="24"/>
        </w:rPr>
        <w:t>az önkéntes alaphoz történő csatlakozás és az abból történő kilépés, kizárás</w:t>
      </w:r>
      <w:r>
        <w:rPr>
          <w:spacing w:val="13"/>
          <w:w w:val="130"/>
          <w:sz w:val="24"/>
        </w:rPr>
        <w:t> </w:t>
      </w:r>
      <w:r>
        <w:rPr>
          <w:w w:val="130"/>
          <w:sz w:val="24"/>
        </w:rPr>
        <w:t>rendjét,</w:t>
      </w:r>
    </w:p>
    <w:p>
      <w:pPr>
        <w:pStyle w:val="ListParagraph"/>
        <w:numPr>
          <w:ilvl w:val="0"/>
          <w:numId w:val="562"/>
        </w:numPr>
        <w:tabs>
          <w:tab w:pos="697" w:val="left" w:leader="none"/>
        </w:tabs>
        <w:spacing w:line="225" w:lineRule="auto" w:before="1" w:after="0"/>
        <w:ind w:left="113" w:right="129" w:firstLine="204"/>
        <w:jc w:val="left"/>
        <w:rPr>
          <w:sz w:val="24"/>
        </w:rPr>
      </w:pPr>
      <w:r>
        <w:rPr>
          <w:w w:val="130"/>
          <w:sz w:val="24"/>
        </w:rPr>
        <w:t>az önkéntes alap szervezetét, valamint az önkéntes alap ellenőrzési és</w:t>
      </w:r>
      <w:r>
        <w:rPr>
          <w:spacing w:val="78"/>
          <w:w w:val="130"/>
          <w:sz w:val="24"/>
        </w:rPr>
        <w:t> </w:t>
      </w:r>
      <w:r>
        <w:rPr>
          <w:w w:val="130"/>
          <w:sz w:val="24"/>
        </w:rPr>
        <w:t>válságkezelési rendszerére vonatkozó</w:t>
      </w:r>
      <w:r>
        <w:rPr>
          <w:spacing w:val="-17"/>
          <w:w w:val="130"/>
          <w:sz w:val="24"/>
        </w:rPr>
        <w:t> </w:t>
      </w:r>
      <w:r>
        <w:rPr>
          <w:w w:val="130"/>
          <w:sz w:val="24"/>
        </w:rPr>
        <w:t>előírásokat,</w:t>
      </w:r>
    </w:p>
    <w:p>
      <w:pPr>
        <w:pStyle w:val="ListParagraph"/>
        <w:numPr>
          <w:ilvl w:val="0"/>
          <w:numId w:val="562"/>
        </w:numPr>
        <w:tabs>
          <w:tab w:pos="629" w:val="left" w:leader="none"/>
        </w:tabs>
        <w:spacing w:line="256" w:lineRule="exact" w:before="0" w:after="0"/>
        <w:ind w:left="628" w:right="0" w:hanging="311"/>
        <w:jc w:val="left"/>
        <w:rPr>
          <w:sz w:val="24"/>
        </w:rPr>
      </w:pPr>
      <w:r>
        <w:rPr>
          <w:w w:val="130"/>
          <w:sz w:val="24"/>
        </w:rPr>
        <w:t>a</w:t>
      </w:r>
      <w:r>
        <w:rPr>
          <w:spacing w:val="-9"/>
          <w:w w:val="130"/>
          <w:sz w:val="24"/>
        </w:rPr>
        <w:t> </w:t>
      </w:r>
      <w:r>
        <w:rPr>
          <w:w w:val="130"/>
          <w:sz w:val="24"/>
        </w:rPr>
        <w:t>közgyűlésen</w:t>
      </w:r>
      <w:r>
        <w:rPr>
          <w:spacing w:val="-9"/>
          <w:w w:val="130"/>
          <w:sz w:val="24"/>
        </w:rPr>
        <w:t> </w:t>
      </w:r>
      <w:r>
        <w:rPr>
          <w:w w:val="130"/>
          <w:sz w:val="24"/>
        </w:rPr>
        <w:t>történő</w:t>
      </w:r>
      <w:r>
        <w:rPr>
          <w:spacing w:val="-9"/>
          <w:w w:val="130"/>
          <w:sz w:val="24"/>
        </w:rPr>
        <w:t> </w:t>
      </w:r>
      <w:r>
        <w:rPr>
          <w:w w:val="130"/>
          <w:sz w:val="24"/>
        </w:rPr>
        <w:t>szavazás</w:t>
      </w:r>
      <w:r>
        <w:rPr>
          <w:spacing w:val="-8"/>
          <w:w w:val="130"/>
          <w:sz w:val="24"/>
        </w:rPr>
        <w:t> </w:t>
      </w:r>
      <w:r>
        <w:rPr>
          <w:w w:val="130"/>
          <w:sz w:val="24"/>
        </w:rPr>
        <w:t>rendjét,</w:t>
      </w:r>
      <w:r>
        <w:rPr>
          <w:spacing w:val="-7"/>
          <w:w w:val="130"/>
          <w:sz w:val="24"/>
        </w:rPr>
        <w:t> </w:t>
      </w:r>
      <w:r>
        <w:rPr>
          <w:w w:val="130"/>
          <w:sz w:val="24"/>
        </w:rPr>
        <w:t>a</w:t>
      </w:r>
      <w:r>
        <w:rPr>
          <w:spacing w:val="-9"/>
          <w:w w:val="130"/>
          <w:sz w:val="24"/>
        </w:rPr>
        <w:t> </w:t>
      </w:r>
      <w:r>
        <w:rPr>
          <w:w w:val="130"/>
          <w:sz w:val="24"/>
        </w:rPr>
        <w:t>tagok</w:t>
      </w:r>
      <w:r>
        <w:rPr>
          <w:spacing w:val="-9"/>
          <w:w w:val="130"/>
          <w:sz w:val="24"/>
        </w:rPr>
        <w:t> </w:t>
      </w:r>
      <w:r>
        <w:rPr>
          <w:w w:val="130"/>
          <w:sz w:val="24"/>
        </w:rPr>
        <w:t>szavazati</w:t>
      </w:r>
      <w:r>
        <w:rPr>
          <w:spacing w:val="-8"/>
          <w:w w:val="130"/>
          <w:sz w:val="24"/>
        </w:rPr>
        <w:t> </w:t>
      </w:r>
      <w:r>
        <w:rPr>
          <w:w w:val="130"/>
          <w:sz w:val="24"/>
        </w:rPr>
        <w:t>arányát,</w:t>
      </w:r>
    </w:p>
    <w:p>
      <w:pPr>
        <w:pStyle w:val="ListParagraph"/>
        <w:numPr>
          <w:ilvl w:val="0"/>
          <w:numId w:val="562"/>
        </w:numPr>
        <w:tabs>
          <w:tab w:pos="599" w:val="left" w:leader="none"/>
        </w:tabs>
        <w:spacing w:line="225" w:lineRule="auto" w:before="5" w:after="0"/>
        <w:ind w:left="113" w:right="130" w:firstLine="204"/>
        <w:jc w:val="both"/>
        <w:rPr>
          <w:sz w:val="24"/>
        </w:rPr>
      </w:pPr>
      <w:r>
        <w:rPr>
          <w:w w:val="130"/>
          <w:sz w:val="24"/>
        </w:rPr>
        <w:t>az önkéntes alap feladatait és az azokhoz kapcsolódó jogokat, ideértve az önkéntes alap feladatainak ellátásához szükséges ellenőrzéssel és adatszolgáltatással összefüggő jogokat</w:t>
      </w:r>
      <w:r>
        <w:rPr>
          <w:spacing w:val="-3"/>
          <w:w w:val="130"/>
          <w:sz w:val="24"/>
        </w:rPr>
        <w:t> </w:t>
      </w:r>
      <w:r>
        <w:rPr>
          <w:w w:val="130"/>
          <w:sz w:val="24"/>
        </w:rPr>
        <w:t>is,</w:t>
      </w:r>
    </w:p>
    <w:p>
      <w:pPr>
        <w:pStyle w:val="BodyText"/>
        <w:spacing w:before="8"/>
        <w:ind w:left="0" w:firstLine="0"/>
        <w:rPr>
          <w:sz w:val="8"/>
        </w:rPr>
      </w:pPr>
      <w:r>
        <w:rPr/>
        <w:pict>
          <v:line style="position:absolute;mso-position-horizontal-relative:page;mso-position-vertical-relative:paragraph;z-index:2408;mso-wrap-distance-left:0;mso-wrap-distance-right:0" from="56.693001pt,7.223633pt" to="538.583001pt,7.22363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CXXXVI. törvény 87. §</w:t>
      </w:r>
      <w:r>
        <w:rPr>
          <w:i/>
          <w:spacing w:val="-6"/>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ListParagraph"/>
        <w:numPr>
          <w:ilvl w:val="0"/>
          <w:numId w:val="562"/>
        </w:numPr>
        <w:tabs>
          <w:tab w:pos="653" w:val="left" w:leader="none"/>
        </w:tabs>
        <w:spacing w:line="268" w:lineRule="exact" w:before="159" w:after="0"/>
        <w:ind w:left="652" w:right="0" w:hanging="335"/>
        <w:jc w:val="left"/>
        <w:rPr>
          <w:sz w:val="24"/>
        </w:rPr>
      </w:pPr>
      <w:r>
        <w:rPr>
          <w:w w:val="130"/>
          <w:sz w:val="24"/>
        </w:rPr>
        <w:t>az önkéntes alap tagjának jogait és</w:t>
      </w:r>
      <w:r>
        <w:rPr>
          <w:spacing w:val="-37"/>
          <w:w w:val="130"/>
          <w:sz w:val="24"/>
        </w:rPr>
        <w:t> </w:t>
      </w:r>
      <w:r>
        <w:rPr>
          <w:w w:val="130"/>
          <w:sz w:val="24"/>
        </w:rPr>
        <w:t>kötelezettségeit,</w:t>
      </w:r>
    </w:p>
    <w:p>
      <w:pPr>
        <w:pStyle w:val="ListParagraph"/>
        <w:numPr>
          <w:ilvl w:val="0"/>
          <w:numId w:val="562"/>
        </w:numPr>
        <w:tabs>
          <w:tab w:pos="643" w:val="left" w:leader="none"/>
        </w:tabs>
        <w:spacing w:line="260" w:lineRule="exact" w:before="0" w:after="0"/>
        <w:ind w:left="642" w:right="0" w:hanging="325"/>
        <w:jc w:val="left"/>
        <w:rPr>
          <w:sz w:val="24"/>
        </w:rPr>
      </w:pPr>
      <w:r>
        <w:rPr>
          <w:w w:val="130"/>
          <w:sz w:val="24"/>
        </w:rPr>
        <w:t>az</w:t>
      </w:r>
      <w:r>
        <w:rPr>
          <w:spacing w:val="-9"/>
          <w:w w:val="130"/>
          <w:sz w:val="24"/>
        </w:rPr>
        <w:t> </w:t>
      </w:r>
      <w:r>
        <w:rPr>
          <w:w w:val="130"/>
          <w:sz w:val="24"/>
        </w:rPr>
        <w:t>önkéntes</w:t>
      </w:r>
      <w:r>
        <w:rPr>
          <w:spacing w:val="-8"/>
          <w:w w:val="130"/>
          <w:sz w:val="24"/>
        </w:rPr>
        <w:t> </w:t>
      </w:r>
      <w:r>
        <w:rPr>
          <w:w w:val="130"/>
          <w:sz w:val="24"/>
        </w:rPr>
        <w:t>alap</w:t>
      </w:r>
      <w:r>
        <w:rPr>
          <w:spacing w:val="-8"/>
          <w:w w:val="130"/>
          <w:sz w:val="24"/>
        </w:rPr>
        <w:t> </w:t>
      </w:r>
      <w:r>
        <w:rPr>
          <w:w w:val="130"/>
          <w:sz w:val="24"/>
        </w:rPr>
        <w:t>által</w:t>
      </w:r>
      <w:r>
        <w:rPr>
          <w:spacing w:val="-9"/>
          <w:w w:val="130"/>
          <w:sz w:val="24"/>
        </w:rPr>
        <w:t> </w:t>
      </w:r>
      <w:r>
        <w:rPr>
          <w:w w:val="130"/>
          <w:sz w:val="24"/>
        </w:rPr>
        <w:t>kezelt</w:t>
      </w:r>
      <w:r>
        <w:rPr>
          <w:spacing w:val="-9"/>
          <w:w w:val="130"/>
          <w:sz w:val="24"/>
        </w:rPr>
        <w:t> </w:t>
      </w:r>
      <w:r>
        <w:rPr>
          <w:w w:val="130"/>
          <w:sz w:val="24"/>
        </w:rPr>
        <w:t>vagyon</w:t>
      </w:r>
      <w:r>
        <w:rPr>
          <w:spacing w:val="-8"/>
          <w:w w:val="130"/>
          <w:sz w:val="24"/>
        </w:rPr>
        <w:t> </w:t>
      </w:r>
      <w:r>
        <w:rPr>
          <w:w w:val="130"/>
          <w:sz w:val="24"/>
        </w:rPr>
        <w:t>kezelésének</w:t>
      </w:r>
      <w:r>
        <w:rPr>
          <w:spacing w:val="-9"/>
          <w:w w:val="130"/>
          <w:sz w:val="24"/>
        </w:rPr>
        <w:t> </w:t>
      </w:r>
      <w:r>
        <w:rPr>
          <w:w w:val="130"/>
          <w:sz w:val="24"/>
        </w:rPr>
        <w:t>szabályait,</w:t>
      </w:r>
    </w:p>
    <w:p>
      <w:pPr>
        <w:pStyle w:val="ListParagraph"/>
        <w:numPr>
          <w:ilvl w:val="0"/>
          <w:numId w:val="562"/>
        </w:numPr>
        <w:tabs>
          <w:tab w:pos="564" w:val="left" w:leader="none"/>
        </w:tabs>
        <w:spacing w:line="260" w:lineRule="exact" w:before="0" w:after="0"/>
        <w:ind w:left="563" w:right="0" w:hanging="246"/>
        <w:jc w:val="left"/>
        <w:rPr>
          <w:sz w:val="24"/>
        </w:rPr>
      </w:pPr>
      <w:r>
        <w:rPr>
          <w:w w:val="125"/>
          <w:sz w:val="24"/>
        </w:rPr>
        <w:t>a tagok díjfizetési rendjét,</w:t>
      </w:r>
      <w:r>
        <w:rPr>
          <w:spacing w:val="4"/>
          <w:w w:val="125"/>
          <w:sz w:val="24"/>
        </w:rPr>
        <w:t> </w:t>
      </w:r>
      <w:r>
        <w:rPr>
          <w:w w:val="125"/>
          <w:sz w:val="24"/>
        </w:rPr>
        <w:t>valamint</w:t>
      </w:r>
    </w:p>
    <w:p>
      <w:pPr>
        <w:pStyle w:val="ListParagraph"/>
        <w:numPr>
          <w:ilvl w:val="0"/>
          <w:numId w:val="562"/>
        </w:numPr>
        <w:tabs>
          <w:tab w:pos="563" w:val="left" w:leader="none"/>
        </w:tabs>
        <w:spacing w:line="260" w:lineRule="exact" w:before="0" w:after="0"/>
        <w:ind w:left="562" w:right="0" w:hanging="245"/>
        <w:jc w:val="left"/>
        <w:rPr>
          <w:sz w:val="24"/>
        </w:rPr>
      </w:pPr>
      <w:r>
        <w:rPr>
          <w:i/>
          <w:w w:val="130"/>
          <w:sz w:val="24"/>
        </w:rPr>
        <w:t>a </w:t>
      </w:r>
      <w:r>
        <w:rPr>
          <w:w w:val="130"/>
          <w:sz w:val="24"/>
        </w:rPr>
        <w:t>tagok kilépése, kizárása esetén történő elszámolás</w:t>
      </w:r>
      <w:r>
        <w:rPr>
          <w:spacing w:val="-40"/>
          <w:w w:val="130"/>
          <w:sz w:val="24"/>
        </w:rPr>
        <w:t> </w:t>
      </w:r>
      <w:r>
        <w:rPr>
          <w:w w:val="130"/>
          <w:sz w:val="24"/>
        </w:rPr>
        <w:t>rendjét.</w:t>
      </w:r>
    </w:p>
    <w:p>
      <w:pPr>
        <w:pStyle w:val="ListParagraph"/>
        <w:numPr>
          <w:ilvl w:val="0"/>
          <w:numId w:val="561"/>
        </w:numPr>
        <w:tabs>
          <w:tab w:pos="777" w:val="left" w:leader="none"/>
        </w:tabs>
        <w:spacing w:line="225" w:lineRule="auto" w:before="6" w:after="0"/>
        <w:ind w:left="113" w:right="125" w:firstLine="204"/>
        <w:jc w:val="both"/>
        <w:rPr>
          <w:sz w:val="24"/>
        </w:rPr>
      </w:pPr>
      <w:r>
        <w:rPr>
          <w:w w:val="125"/>
          <w:sz w:val="24"/>
        </w:rPr>
        <w:t>Az önkéntes alap létesítő okiratának elfogadásához, valamint a létesítő okirat módosításához, az önkéntes alap megszűnéséhez - a 244. § megfelelő alkalmazásával - a Felügyelet jóváhagyása</w:t>
      </w:r>
      <w:r>
        <w:rPr>
          <w:spacing w:val="15"/>
          <w:w w:val="125"/>
          <w:sz w:val="24"/>
        </w:rPr>
        <w:t> </w:t>
      </w:r>
      <w:r>
        <w:rPr>
          <w:w w:val="125"/>
          <w:sz w:val="24"/>
        </w:rPr>
        <w:t>szükséges.</w:t>
      </w:r>
    </w:p>
    <w:p>
      <w:pPr>
        <w:pStyle w:val="BodyText"/>
        <w:spacing w:before="228"/>
        <w:ind w:left="3377" w:firstLine="0"/>
      </w:pPr>
      <w:r>
        <w:rPr>
          <w:w w:val="120"/>
        </w:rPr>
        <w:t>105. A tagok névjegyzéke</w:t>
      </w:r>
    </w:p>
    <w:p>
      <w:pPr>
        <w:pStyle w:val="ListParagraph"/>
        <w:numPr>
          <w:ilvl w:val="0"/>
          <w:numId w:val="555"/>
        </w:numPr>
        <w:tabs>
          <w:tab w:pos="989" w:val="left" w:leader="none"/>
        </w:tabs>
        <w:spacing w:line="225" w:lineRule="auto" w:before="236" w:after="0"/>
        <w:ind w:left="113" w:right="129" w:firstLine="204"/>
        <w:jc w:val="both"/>
        <w:rPr>
          <w:sz w:val="24"/>
        </w:rPr>
      </w:pPr>
      <w:r>
        <w:rPr>
          <w:rFonts w:ascii="Arial" w:hAnsi="Arial"/>
          <w:b/>
          <w:w w:val="120"/>
          <w:sz w:val="24"/>
        </w:rPr>
        <w:t>§ </w:t>
      </w:r>
      <w:r>
        <w:rPr>
          <w:w w:val="120"/>
          <w:sz w:val="24"/>
        </w:rPr>
        <w:t>(1) Az önkéntes alap tagjairól névjegyzéket kell készíteni, és az abban bekövetkezett változásokat folyamatosan vezetni kell. A névjegyzéket az igazgatóság</w:t>
      </w:r>
      <w:r>
        <w:rPr>
          <w:spacing w:val="4"/>
          <w:w w:val="120"/>
          <w:sz w:val="24"/>
        </w:rPr>
        <w:t> </w:t>
      </w:r>
      <w:r>
        <w:rPr>
          <w:w w:val="120"/>
          <w:sz w:val="24"/>
        </w:rPr>
        <w:t>vezeti.</w:t>
      </w:r>
    </w:p>
    <w:p>
      <w:pPr>
        <w:pStyle w:val="ListParagraph"/>
        <w:numPr>
          <w:ilvl w:val="0"/>
          <w:numId w:val="563"/>
        </w:numPr>
        <w:tabs>
          <w:tab w:pos="852" w:val="left" w:leader="none"/>
        </w:tabs>
        <w:spacing w:line="225" w:lineRule="auto" w:before="2" w:after="0"/>
        <w:ind w:left="113" w:right="125" w:firstLine="204"/>
        <w:jc w:val="both"/>
        <w:rPr>
          <w:sz w:val="24"/>
        </w:rPr>
      </w:pPr>
      <w:r>
        <w:rPr>
          <w:w w:val="130"/>
          <w:sz w:val="24"/>
        </w:rPr>
        <w:t>A névjegyzékben legalább a tag nevének (cégének), székhelyének, valamint a tagok kirendeltségei címének és vezető állású személyei nevének szerepelnie</w:t>
      </w:r>
      <w:r>
        <w:rPr>
          <w:spacing w:val="-3"/>
          <w:w w:val="130"/>
          <w:sz w:val="24"/>
        </w:rPr>
        <w:t> </w:t>
      </w:r>
      <w:r>
        <w:rPr>
          <w:w w:val="130"/>
          <w:sz w:val="24"/>
        </w:rPr>
        <w:t>kell.</w:t>
      </w:r>
    </w:p>
    <w:p>
      <w:pPr>
        <w:pStyle w:val="ListParagraph"/>
        <w:numPr>
          <w:ilvl w:val="0"/>
          <w:numId w:val="563"/>
        </w:numPr>
        <w:tabs>
          <w:tab w:pos="868" w:val="left" w:leader="none"/>
        </w:tabs>
        <w:spacing w:line="225" w:lineRule="auto" w:before="2" w:after="0"/>
        <w:ind w:left="113" w:right="130" w:firstLine="204"/>
        <w:jc w:val="both"/>
        <w:rPr>
          <w:sz w:val="24"/>
        </w:rPr>
      </w:pPr>
      <w:r>
        <w:rPr>
          <w:w w:val="125"/>
          <w:sz w:val="24"/>
        </w:rPr>
        <w:t>A tagsági viszony a névjegyzékbe történt felvétellel, a közgyűlés döntésének napjára visszamenő hatállyal jön</w:t>
      </w:r>
      <w:r>
        <w:rPr>
          <w:spacing w:val="13"/>
          <w:w w:val="125"/>
          <w:sz w:val="24"/>
        </w:rPr>
        <w:t> </w:t>
      </w:r>
      <w:r>
        <w:rPr>
          <w:w w:val="125"/>
          <w:sz w:val="24"/>
        </w:rPr>
        <w:t>létre.</w:t>
      </w:r>
    </w:p>
    <w:p>
      <w:pPr>
        <w:pStyle w:val="BodyText"/>
        <w:spacing w:before="228"/>
        <w:ind w:left="4010" w:firstLine="0"/>
      </w:pPr>
      <w:r>
        <w:rPr>
          <w:w w:val="125"/>
        </w:rPr>
        <w:t>106. Közgyűlés</w:t>
      </w:r>
    </w:p>
    <w:p>
      <w:pPr>
        <w:pStyle w:val="ListParagraph"/>
        <w:numPr>
          <w:ilvl w:val="0"/>
          <w:numId w:val="555"/>
        </w:numPr>
        <w:tabs>
          <w:tab w:pos="1058" w:val="left" w:leader="none"/>
        </w:tabs>
        <w:spacing w:line="225" w:lineRule="auto" w:before="236" w:after="0"/>
        <w:ind w:left="113" w:right="131" w:firstLine="204"/>
        <w:jc w:val="both"/>
        <w:rPr>
          <w:sz w:val="24"/>
        </w:rPr>
      </w:pPr>
      <w:r>
        <w:rPr>
          <w:rFonts w:ascii="Arial" w:hAnsi="Arial"/>
          <w:b/>
          <w:w w:val="120"/>
          <w:sz w:val="24"/>
        </w:rPr>
        <w:t>§ </w:t>
      </w:r>
      <w:r>
        <w:rPr>
          <w:w w:val="120"/>
          <w:sz w:val="24"/>
        </w:rPr>
        <w:t>(1) Az önkéntes alap legfőbb szerve a közgyűlés, amely a tagok összességéből</w:t>
      </w:r>
      <w:r>
        <w:rPr>
          <w:spacing w:val="5"/>
          <w:w w:val="120"/>
          <w:sz w:val="24"/>
        </w:rPr>
        <w:t> </w:t>
      </w:r>
      <w:r>
        <w:rPr>
          <w:w w:val="120"/>
          <w:sz w:val="24"/>
        </w:rPr>
        <w:t>áll.</w:t>
      </w:r>
    </w:p>
    <w:p>
      <w:pPr>
        <w:pStyle w:val="ListParagraph"/>
        <w:numPr>
          <w:ilvl w:val="0"/>
          <w:numId w:val="564"/>
        </w:numPr>
        <w:tabs>
          <w:tab w:pos="796" w:val="left" w:leader="none"/>
        </w:tabs>
        <w:spacing w:line="225" w:lineRule="auto" w:before="1" w:after="0"/>
        <w:ind w:left="113" w:right="131" w:firstLine="204"/>
        <w:jc w:val="both"/>
        <w:rPr>
          <w:sz w:val="24"/>
        </w:rPr>
      </w:pPr>
      <w:r>
        <w:rPr>
          <w:w w:val="130"/>
          <w:sz w:val="24"/>
        </w:rPr>
        <w:t>Az önkéntes alap minden tagja jogosult a közgyűlés tevékenységében részt</w:t>
      </w:r>
      <w:r>
        <w:rPr>
          <w:spacing w:val="-3"/>
          <w:w w:val="130"/>
          <w:sz w:val="24"/>
        </w:rPr>
        <w:t> </w:t>
      </w:r>
      <w:r>
        <w:rPr>
          <w:w w:val="130"/>
          <w:sz w:val="24"/>
        </w:rPr>
        <w:t>venni.</w:t>
      </w:r>
    </w:p>
    <w:p>
      <w:pPr>
        <w:pStyle w:val="ListParagraph"/>
        <w:numPr>
          <w:ilvl w:val="0"/>
          <w:numId w:val="564"/>
        </w:numPr>
        <w:tabs>
          <w:tab w:pos="863" w:val="left" w:leader="none"/>
        </w:tabs>
        <w:spacing w:line="225" w:lineRule="auto" w:before="1" w:after="0"/>
        <w:ind w:left="113" w:right="131" w:firstLine="204"/>
        <w:jc w:val="both"/>
        <w:rPr>
          <w:sz w:val="24"/>
        </w:rPr>
      </w:pPr>
      <w:r>
        <w:rPr>
          <w:w w:val="125"/>
          <w:sz w:val="24"/>
        </w:rPr>
        <w:t>A közgyűlés hatáskörét a létesítő okiratban kell meghatározni. A közgyűlés kizárólagos hatásköre</w:t>
      </w:r>
    </w:p>
    <w:p>
      <w:pPr>
        <w:pStyle w:val="ListParagraph"/>
        <w:numPr>
          <w:ilvl w:val="0"/>
          <w:numId w:val="565"/>
        </w:numPr>
        <w:tabs>
          <w:tab w:pos="631" w:val="left" w:leader="none"/>
        </w:tabs>
        <w:spacing w:line="256" w:lineRule="exact" w:before="0" w:after="0"/>
        <w:ind w:left="630" w:right="0" w:hanging="313"/>
        <w:jc w:val="left"/>
        <w:rPr>
          <w:sz w:val="24"/>
        </w:rPr>
      </w:pPr>
      <w:r>
        <w:rPr>
          <w:w w:val="130"/>
          <w:sz w:val="24"/>
        </w:rPr>
        <w:t>a létesítő okirat megalkotása és</w:t>
      </w:r>
      <w:r>
        <w:rPr>
          <w:spacing w:val="-22"/>
          <w:w w:val="130"/>
          <w:sz w:val="24"/>
        </w:rPr>
        <w:t> </w:t>
      </w:r>
      <w:r>
        <w:rPr>
          <w:w w:val="130"/>
          <w:sz w:val="24"/>
        </w:rPr>
        <w:t>módosítása,</w:t>
      </w:r>
    </w:p>
    <w:p>
      <w:pPr>
        <w:pStyle w:val="ListParagraph"/>
        <w:numPr>
          <w:ilvl w:val="0"/>
          <w:numId w:val="565"/>
        </w:numPr>
        <w:tabs>
          <w:tab w:pos="653" w:val="left" w:leader="none"/>
        </w:tabs>
        <w:spacing w:line="260" w:lineRule="exact" w:before="0" w:after="0"/>
        <w:ind w:left="652" w:right="0" w:hanging="335"/>
        <w:jc w:val="left"/>
        <w:rPr>
          <w:sz w:val="24"/>
        </w:rPr>
      </w:pPr>
      <w:r>
        <w:rPr>
          <w:w w:val="130"/>
          <w:sz w:val="24"/>
        </w:rPr>
        <w:t>a döntés tagfelvételről, valamint</w:t>
      </w:r>
      <w:r>
        <w:rPr>
          <w:spacing w:val="-31"/>
          <w:w w:val="130"/>
          <w:sz w:val="24"/>
        </w:rPr>
        <w:t> </w:t>
      </w:r>
      <w:r>
        <w:rPr>
          <w:w w:val="130"/>
          <w:sz w:val="24"/>
        </w:rPr>
        <w:t>kizárásról,</w:t>
      </w:r>
    </w:p>
    <w:p>
      <w:pPr>
        <w:pStyle w:val="ListParagraph"/>
        <w:numPr>
          <w:ilvl w:val="0"/>
          <w:numId w:val="565"/>
        </w:numPr>
        <w:tabs>
          <w:tab w:pos="757" w:val="left" w:leader="none"/>
        </w:tabs>
        <w:spacing w:line="225" w:lineRule="auto" w:before="6" w:after="0"/>
        <w:ind w:left="113" w:right="132" w:firstLine="204"/>
        <w:jc w:val="both"/>
        <w:rPr>
          <w:sz w:val="24"/>
        </w:rPr>
      </w:pPr>
      <w:r>
        <w:rPr>
          <w:w w:val="130"/>
          <w:sz w:val="24"/>
        </w:rPr>
        <w:t>az önkéntes alap éves költségvetésének megállapítása és az éves beszámoló</w:t>
      </w:r>
      <w:r>
        <w:rPr>
          <w:spacing w:val="-4"/>
          <w:w w:val="130"/>
          <w:sz w:val="24"/>
        </w:rPr>
        <w:t> </w:t>
      </w:r>
      <w:r>
        <w:rPr>
          <w:w w:val="130"/>
          <w:sz w:val="24"/>
        </w:rPr>
        <w:t>elfogadása,</w:t>
      </w:r>
    </w:p>
    <w:p>
      <w:pPr>
        <w:pStyle w:val="ListParagraph"/>
        <w:numPr>
          <w:ilvl w:val="0"/>
          <w:numId w:val="565"/>
        </w:numPr>
        <w:tabs>
          <w:tab w:pos="880" w:val="left" w:leader="none"/>
        </w:tabs>
        <w:spacing w:line="225" w:lineRule="auto" w:before="1" w:after="0"/>
        <w:ind w:left="113" w:right="132" w:firstLine="204"/>
        <w:jc w:val="both"/>
        <w:rPr>
          <w:sz w:val="24"/>
        </w:rPr>
      </w:pPr>
      <w:r>
        <w:rPr>
          <w:w w:val="130"/>
          <w:sz w:val="24"/>
        </w:rPr>
        <w:t>az igazgatóság, a felügyelő bizottság tagjainak és elnökének megválasztása,</w:t>
      </w:r>
    </w:p>
    <w:p>
      <w:pPr>
        <w:pStyle w:val="ListParagraph"/>
        <w:numPr>
          <w:ilvl w:val="0"/>
          <w:numId w:val="565"/>
        </w:numPr>
        <w:tabs>
          <w:tab w:pos="629" w:val="left" w:leader="none"/>
        </w:tabs>
        <w:spacing w:line="256" w:lineRule="exact" w:before="0" w:after="0"/>
        <w:ind w:left="628" w:right="0" w:hanging="311"/>
        <w:jc w:val="left"/>
        <w:rPr>
          <w:sz w:val="24"/>
        </w:rPr>
      </w:pPr>
      <w:r>
        <w:rPr>
          <w:w w:val="130"/>
          <w:sz w:val="24"/>
        </w:rPr>
        <w:t>a könyvvizsgáló</w:t>
      </w:r>
      <w:r>
        <w:rPr>
          <w:spacing w:val="-11"/>
          <w:w w:val="130"/>
          <w:sz w:val="24"/>
        </w:rPr>
        <w:t> </w:t>
      </w:r>
      <w:r>
        <w:rPr>
          <w:w w:val="130"/>
          <w:sz w:val="24"/>
        </w:rPr>
        <w:t>megválasztása,</w:t>
      </w:r>
    </w:p>
    <w:p>
      <w:pPr>
        <w:pStyle w:val="ListParagraph"/>
        <w:numPr>
          <w:ilvl w:val="0"/>
          <w:numId w:val="565"/>
        </w:numPr>
        <w:tabs>
          <w:tab w:pos="577" w:val="left" w:leader="none"/>
        </w:tabs>
        <w:spacing w:line="260" w:lineRule="exact" w:before="0" w:after="0"/>
        <w:ind w:left="576" w:right="0" w:hanging="259"/>
        <w:jc w:val="left"/>
        <w:rPr>
          <w:sz w:val="24"/>
        </w:rPr>
      </w:pPr>
      <w:r>
        <w:rPr>
          <w:w w:val="130"/>
          <w:sz w:val="24"/>
        </w:rPr>
        <w:t>a döntés egyesülés, szétválás és a megszűnés</w:t>
      </w:r>
      <w:r>
        <w:rPr>
          <w:spacing w:val="-57"/>
          <w:w w:val="130"/>
          <w:sz w:val="24"/>
        </w:rPr>
        <w:t> </w:t>
      </w:r>
      <w:r>
        <w:rPr>
          <w:w w:val="130"/>
          <w:sz w:val="24"/>
        </w:rPr>
        <w:t>kérdésében, valamint</w:t>
      </w:r>
    </w:p>
    <w:p>
      <w:pPr>
        <w:pStyle w:val="ListParagraph"/>
        <w:numPr>
          <w:ilvl w:val="0"/>
          <w:numId w:val="565"/>
        </w:numPr>
        <w:tabs>
          <w:tab w:pos="653" w:val="left" w:leader="none"/>
        </w:tabs>
        <w:spacing w:line="260" w:lineRule="exact" w:before="0" w:after="0"/>
        <w:ind w:left="652" w:right="0" w:hanging="335"/>
        <w:jc w:val="left"/>
        <w:rPr>
          <w:sz w:val="24"/>
        </w:rPr>
      </w:pPr>
      <w:r>
        <w:rPr>
          <w:w w:val="130"/>
          <w:sz w:val="24"/>
        </w:rPr>
        <w:t>amelyet törvény hatáskörébe</w:t>
      </w:r>
      <w:r>
        <w:rPr>
          <w:spacing w:val="-21"/>
          <w:w w:val="130"/>
          <w:sz w:val="24"/>
        </w:rPr>
        <w:t> </w:t>
      </w:r>
      <w:r>
        <w:rPr>
          <w:w w:val="130"/>
          <w:sz w:val="24"/>
        </w:rPr>
        <w:t>utal.</w:t>
      </w:r>
    </w:p>
    <w:p>
      <w:pPr>
        <w:pStyle w:val="ListParagraph"/>
        <w:numPr>
          <w:ilvl w:val="0"/>
          <w:numId w:val="564"/>
        </w:numPr>
        <w:tabs>
          <w:tab w:pos="749" w:val="left" w:leader="none"/>
        </w:tabs>
        <w:spacing w:line="225" w:lineRule="auto" w:before="5" w:after="0"/>
        <w:ind w:left="113" w:right="130" w:firstLine="204"/>
        <w:jc w:val="both"/>
        <w:rPr>
          <w:sz w:val="24"/>
        </w:rPr>
      </w:pPr>
      <w:r>
        <w:rPr>
          <w:w w:val="125"/>
          <w:sz w:val="24"/>
        </w:rPr>
        <w:t>A közgyűlést a létesítő okiratban meghatározott időközönként, de évente legalább egy alkalommal össze kell hívni. A közgyűlést akkor is össze kell hívni, ha azt a bíróság elrendeli vagy a tagok - létesítő  okiratban  meghatározott hányada - az ok és a cél megjelölésével</w:t>
      </w:r>
      <w:r>
        <w:rPr>
          <w:spacing w:val="15"/>
          <w:w w:val="125"/>
          <w:sz w:val="24"/>
        </w:rPr>
        <w:t> </w:t>
      </w:r>
      <w:r>
        <w:rPr>
          <w:w w:val="125"/>
          <w:sz w:val="24"/>
        </w:rPr>
        <w:t>indítványozza.</w:t>
      </w:r>
    </w:p>
    <w:p>
      <w:pPr>
        <w:pStyle w:val="ListParagraph"/>
        <w:numPr>
          <w:ilvl w:val="0"/>
          <w:numId w:val="564"/>
        </w:numPr>
        <w:tabs>
          <w:tab w:pos="868" w:val="left" w:leader="none"/>
        </w:tabs>
        <w:spacing w:line="225" w:lineRule="auto" w:before="3" w:after="0"/>
        <w:ind w:left="113" w:right="116" w:firstLine="204"/>
        <w:jc w:val="both"/>
        <w:rPr>
          <w:sz w:val="24"/>
        </w:rPr>
      </w:pPr>
      <w:r>
        <w:rPr>
          <w:w w:val="125"/>
          <w:sz w:val="24"/>
        </w:rPr>
        <w:t>A közgyűlést a kitűzött időpont előtt legalább tizenöt nappal az igazgatóságnak írásban kell összehívnia. A határozathozatal és a választás rendjét a létesítő okiratban kell meghatározni, azzal, hogy - az e törvényben rögzítettek figyelembevételével - valamennyi határozat meghozatalához legalább az önkéntes alap összes szavazatának többsége</w:t>
      </w:r>
      <w:r>
        <w:rPr>
          <w:spacing w:val="48"/>
          <w:w w:val="125"/>
          <w:sz w:val="24"/>
        </w:rPr>
        <w:t> </w:t>
      </w:r>
      <w:r>
        <w:rPr>
          <w:w w:val="125"/>
          <w:sz w:val="24"/>
        </w:rPr>
        <w:t>szükséges.</w:t>
      </w:r>
    </w:p>
    <w:p>
      <w:pPr>
        <w:pStyle w:val="ListParagraph"/>
        <w:numPr>
          <w:ilvl w:val="0"/>
          <w:numId w:val="564"/>
        </w:numPr>
        <w:tabs>
          <w:tab w:pos="765" w:val="left" w:leader="none"/>
        </w:tabs>
        <w:spacing w:line="225" w:lineRule="auto" w:before="3" w:after="0"/>
        <w:ind w:left="113" w:right="130" w:firstLine="204"/>
        <w:jc w:val="both"/>
        <w:rPr>
          <w:sz w:val="24"/>
        </w:rPr>
      </w:pPr>
      <w:r>
        <w:rPr>
          <w:w w:val="130"/>
          <w:sz w:val="24"/>
        </w:rPr>
        <w:t>A közgyűlés - ha a létesítő okirat eltérően nem rendelkezik - az ülésére szóló</w:t>
      </w:r>
      <w:r>
        <w:rPr>
          <w:spacing w:val="-22"/>
          <w:w w:val="130"/>
          <w:sz w:val="24"/>
        </w:rPr>
        <w:t> </w:t>
      </w:r>
      <w:r>
        <w:rPr>
          <w:w w:val="130"/>
          <w:sz w:val="24"/>
        </w:rPr>
        <w:t>meghívóban</w:t>
      </w:r>
      <w:r>
        <w:rPr>
          <w:spacing w:val="-22"/>
          <w:w w:val="130"/>
          <w:sz w:val="24"/>
        </w:rPr>
        <w:t> </w:t>
      </w:r>
      <w:r>
        <w:rPr>
          <w:w w:val="130"/>
          <w:sz w:val="24"/>
        </w:rPr>
        <w:t>nem</w:t>
      </w:r>
      <w:r>
        <w:rPr>
          <w:spacing w:val="-22"/>
          <w:w w:val="130"/>
          <w:sz w:val="24"/>
        </w:rPr>
        <w:t> </w:t>
      </w:r>
      <w:r>
        <w:rPr>
          <w:w w:val="130"/>
          <w:sz w:val="24"/>
        </w:rPr>
        <w:t>szereplő</w:t>
      </w:r>
      <w:r>
        <w:rPr>
          <w:spacing w:val="-22"/>
          <w:w w:val="130"/>
          <w:sz w:val="24"/>
        </w:rPr>
        <w:t> </w:t>
      </w:r>
      <w:r>
        <w:rPr>
          <w:w w:val="130"/>
          <w:sz w:val="24"/>
        </w:rPr>
        <w:t>kérdéseket</w:t>
      </w:r>
      <w:r>
        <w:rPr>
          <w:spacing w:val="-22"/>
          <w:w w:val="130"/>
          <w:sz w:val="24"/>
        </w:rPr>
        <w:t> </w:t>
      </w:r>
      <w:r>
        <w:rPr>
          <w:w w:val="130"/>
          <w:sz w:val="24"/>
        </w:rPr>
        <w:t>csak</w:t>
      </w:r>
      <w:r>
        <w:rPr>
          <w:spacing w:val="-22"/>
          <w:w w:val="130"/>
          <w:sz w:val="24"/>
        </w:rPr>
        <w:t> </w:t>
      </w:r>
      <w:r>
        <w:rPr>
          <w:w w:val="130"/>
          <w:sz w:val="24"/>
        </w:rPr>
        <w:t>akkor</w:t>
      </w:r>
      <w:r>
        <w:rPr>
          <w:spacing w:val="-12"/>
          <w:w w:val="130"/>
          <w:sz w:val="24"/>
        </w:rPr>
        <w:t> </w:t>
      </w:r>
      <w:r>
        <w:rPr>
          <w:w w:val="130"/>
          <w:sz w:val="24"/>
        </w:rPr>
        <w:t>tárgyalhatja</w:t>
      </w:r>
      <w:r>
        <w:rPr>
          <w:spacing w:val="-32"/>
          <w:w w:val="130"/>
          <w:sz w:val="24"/>
        </w:rPr>
        <w:t> </w:t>
      </w:r>
      <w:r>
        <w:rPr>
          <w:w w:val="130"/>
          <w:sz w:val="24"/>
        </w:rPr>
        <w:t>meg,</w:t>
      </w:r>
      <w:r>
        <w:rPr>
          <w:spacing w:val="-22"/>
          <w:w w:val="130"/>
          <w:sz w:val="24"/>
        </w:rPr>
        <w:t> </w:t>
      </w:r>
      <w:r>
        <w:rPr>
          <w:w w:val="130"/>
          <w:sz w:val="24"/>
        </w:rPr>
        <w:t>ha</w:t>
      </w:r>
      <w:r>
        <w:rPr>
          <w:spacing w:val="-22"/>
          <w:w w:val="130"/>
          <w:sz w:val="24"/>
        </w:rPr>
        <w:t> </w:t>
      </w:r>
      <w:r>
        <w:rPr>
          <w:w w:val="130"/>
          <w:sz w:val="24"/>
        </w:rPr>
        <w:t>az önkéntes alap összes szavazatának legalább kétharmada hozzájárul a napirendi kérdés</w:t>
      </w:r>
      <w:r>
        <w:rPr>
          <w:spacing w:val="-7"/>
          <w:w w:val="130"/>
          <w:sz w:val="24"/>
        </w:rPr>
        <w:t> </w:t>
      </w:r>
      <w:r>
        <w:rPr>
          <w:w w:val="130"/>
          <w:sz w:val="24"/>
        </w:rPr>
        <w:t>megtárgyalásához.</w:t>
      </w:r>
    </w:p>
    <w:p>
      <w:pPr>
        <w:pStyle w:val="BodyText"/>
        <w:spacing w:before="228"/>
        <w:ind w:left="3890" w:firstLine="0"/>
      </w:pPr>
      <w:r>
        <w:rPr>
          <w:w w:val="130"/>
        </w:rPr>
        <w:t>107. Igazgatóság</w:t>
      </w:r>
    </w:p>
    <w:p>
      <w:pPr>
        <w:spacing w:after="0"/>
        <w:sectPr>
          <w:pgSz w:w="11900" w:h="16820"/>
          <w:pgMar w:header="1104" w:footer="0" w:top="1840" w:bottom="280" w:left="1020" w:right="1000"/>
        </w:sectPr>
      </w:pPr>
    </w:p>
    <w:p>
      <w:pPr>
        <w:pStyle w:val="ListParagraph"/>
        <w:numPr>
          <w:ilvl w:val="0"/>
          <w:numId w:val="555"/>
        </w:numPr>
        <w:tabs>
          <w:tab w:pos="1030" w:val="left" w:leader="none"/>
        </w:tabs>
        <w:spacing w:line="225" w:lineRule="auto" w:before="172" w:after="0"/>
        <w:ind w:left="113" w:right="133" w:firstLine="204"/>
        <w:jc w:val="both"/>
        <w:rPr>
          <w:sz w:val="24"/>
        </w:rPr>
      </w:pPr>
      <w:r>
        <w:rPr>
          <w:rFonts w:ascii="Arial" w:hAnsi="Arial"/>
          <w:b/>
          <w:w w:val="125"/>
          <w:sz w:val="24"/>
        </w:rPr>
        <w:t>§ </w:t>
      </w:r>
      <w:r>
        <w:rPr>
          <w:w w:val="125"/>
          <w:sz w:val="24"/>
        </w:rPr>
        <w:t>(1) A közgyűlés - a létesítő okiratban meghatározott létszámú - de legalább öt, legfeljebb tizenegy tagból álló igazgatóságot, s ennek tagjai közül elnököt választ.</w:t>
      </w:r>
    </w:p>
    <w:p>
      <w:pPr>
        <w:pStyle w:val="BodyText"/>
        <w:spacing w:line="225" w:lineRule="auto" w:before="1"/>
        <w:ind w:right="124"/>
        <w:jc w:val="both"/>
      </w:pPr>
      <w:r>
        <w:rPr>
          <w:w w:val="125"/>
        </w:rPr>
        <w:t>(2) Az önkéntes alapot harmadik személyekkel szemben és a hatóságok előtt az elnök képviseli. A létesítő okirat a képviseletre az elnökön kívül más tagot is feljogosíthat.</w:t>
      </w:r>
    </w:p>
    <w:p>
      <w:pPr>
        <w:pStyle w:val="ListParagraph"/>
        <w:numPr>
          <w:ilvl w:val="0"/>
          <w:numId w:val="555"/>
        </w:numPr>
        <w:tabs>
          <w:tab w:pos="1086" w:val="left" w:leader="none"/>
        </w:tabs>
        <w:spacing w:line="225" w:lineRule="auto" w:before="1" w:after="0"/>
        <w:ind w:left="113" w:right="127" w:firstLine="204"/>
        <w:jc w:val="both"/>
        <w:rPr>
          <w:sz w:val="24"/>
        </w:rPr>
      </w:pPr>
      <w:r>
        <w:rPr>
          <w:rFonts w:ascii="Arial" w:hAnsi="Arial"/>
          <w:b/>
          <w:w w:val="125"/>
          <w:sz w:val="24"/>
        </w:rPr>
        <w:t>§ </w:t>
      </w:r>
      <w:r>
        <w:rPr>
          <w:w w:val="125"/>
          <w:sz w:val="24"/>
        </w:rPr>
        <w:t>(1) Az igazgatóság a közgyűlés határozatai szerint irányítja az önkéntes alap működését, dönt minden olyan ügyben, amelyet törvény vagy a létesítő okirat nem utal az önkéntes alap más testületének vagy tisztségviselőjének hatáskörébe.</w:t>
      </w:r>
    </w:p>
    <w:p>
      <w:pPr>
        <w:pStyle w:val="ListParagraph"/>
        <w:numPr>
          <w:ilvl w:val="0"/>
          <w:numId w:val="566"/>
        </w:numPr>
        <w:tabs>
          <w:tab w:pos="817" w:val="left" w:leader="none"/>
        </w:tabs>
        <w:spacing w:line="225" w:lineRule="auto" w:before="2" w:after="0"/>
        <w:ind w:left="113" w:right="130" w:firstLine="204"/>
        <w:jc w:val="both"/>
        <w:rPr>
          <w:sz w:val="24"/>
        </w:rPr>
      </w:pPr>
      <w:r>
        <w:rPr>
          <w:w w:val="125"/>
          <w:sz w:val="24"/>
        </w:rPr>
        <w:t>Az igazgatóság a létesítő okiratban meghatározott gyakorisággal, de legalább kéthavonta ülésezik. Tevékenységéről legalább évente beszámol a közgyűlésnek.</w:t>
      </w:r>
    </w:p>
    <w:p>
      <w:pPr>
        <w:pStyle w:val="ListParagraph"/>
        <w:numPr>
          <w:ilvl w:val="0"/>
          <w:numId w:val="566"/>
        </w:numPr>
        <w:tabs>
          <w:tab w:pos="767" w:val="left" w:leader="none"/>
        </w:tabs>
        <w:spacing w:line="225" w:lineRule="auto" w:before="2" w:after="0"/>
        <w:ind w:left="113" w:right="135" w:firstLine="204"/>
        <w:jc w:val="both"/>
        <w:rPr>
          <w:sz w:val="24"/>
        </w:rPr>
      </w:pPr>
      <w:r>
        <w:rPr>
          <w:w w:val="130"/>
          <w:sz w:val="24"/>
        </w:rPr>
        <w:t>Az igazgatóság határozatképes, ha tagjainak legalább kétharmada jelen van. Ügyrendjét egyebekben maga állapítja meg, amelyet a közgyűlés hagy jóvá.</w:t>
      </w:r>
    </w:p>
    <w:p>
      <w:pPr>
        <w:pStyle w:val="ListParagraph"/>
        <w:numPr>
          <w:ilvl w:val="0"/>
          <w:numId w:val="566"/>
        </w:numPr>
        <w:tabs>
          <w:tab w:pos="774" w:val="left" w:leader="none"/>
        </w:tabs>
        <w:spacing w:line="225" w:lineRule="auto" w:before="2" w:after="0"/>
        <w:ind w:left="113" w:right="118" w:firstLine="204"/>
        <w:jc w:val="both"/>
        <w:rPr>
          <w:sz w:val="24"/>
        </w:rPr>
      </w:pPr>
      <w:r>
        <w:rPr>
          <w:w w:val="125"/>
          <w:sz w:val="24"/>
        </w:rPr>
        <w:t>Az igazgatóság tagjai az ilyen tisztséget betöltő személyektől elvárható fokozott gondossággal, az önkéntes alap érdekeinek elsődlegessége alapján kötelesek eljárni. Kötelezettségeik megszegésével az önkéntes alapnak okozott károkért a polgári jog szabályai szerint  korlátlanul  és  egyetemlegesen felelnek.</w:t>
      </w:r>
    </w:p>
    <w:p>
      <w:pPr>
        <w:pStyle w:val="ListParagraph"/>
        <w:numPr>
          <w:ilvl w:val="0"/>
          <w:numId w:val="566"/>
        </w:numPr>
        <w:tabs>
          <w:tab w:pos="758" w:val="left" w:leader="none"/>
        </w:tabs>
        <w:spacing w:line="225" w:lineRule="auto" w:before="3" w:after="0"/>
        <w:ind w:left="113" w:right="112" w:firstLine="204"/>
        <w:jc w:val="both"/>
        <w:rPr>
          <w:sz w:val="24"/>
        </w:rPr>
      </w:pPr>
      <w:r>
        <w:rPr>
          <w:w w:val="130"/>
          <w:sz w:val="24"/>
        </w:rPr>
        <w:t>Nem terheli a (4) bekezdés szerinti felelősség azt az igazgatósági tagot, aki a határozat ellen szavazott vagy az intézkedés ellen tiltakozott, és tiltakozását a felügyelő bizottságnak</w:t>
      </w:r>
      <w:r>
        <w:rPr>
          <w:spacing w:val="-13"/>
          <w:w w:val="130"/>
          <w:sz w:val="24"/>
        </w:rPr>
        <w:t> </w:t>
      </w:r>
      <w:r>
        <w:rPr>
          <w:w w:val="130"/>
          <w:sz w:val="24"/>
        </w:rPr>
        <w:t>bejelentette.</w:t>
      </w:r>
    </w:p>
    <w:p>
      <w:pPr>
        <w:pStyle w:val="BodyText"/>
        <w:spacing w:before="228"/>
        <w:ind w:left="3437" w:firstLine="0"/>
      </w:pPr>
      <w:r>
        <w:rPr>
          <w:w w:val="125"/>
        </w:rPr>
        <w:t>108. Felügyelő bizottság</w:t>
      </w:r>
    </w:p>
    <w:p>
      <w:pPr>
        <w:pStyle w:val="ListParagraph"/>
        <w:numPr>
          <w:ilvl w:val="0"/>
          <w:numId w:val="555"/>
        </w:numPr>
        <w:tabs>
          <w:tab w:pos="1030" w:val="left" w:leader="none"/>
        </w:tabs>
        <w:spacing w:line="225" w:lineRule="auto" w:before="236" w:after="0"/>
        <w:ind w:left="113" w:right="133" w:firstLine="204"/>
        <w:jc w:val="both"/>
        <w:rPr>
          <w:sz w:val="24"/>
        </w:rPr>
      </w:pPr>
      <w:r>
        <w:rPr>
          <w:rFonts w:ascii="Arial" w:hAnsi="Arial"/>
          <w:b/>
          <w:w w:val="125"/>
          <w:sz w:val="24"/>
        </w:rPr>
        <w:t>§ </w:t>
      </w:r>
      <w:r>
        <w:rPr>
          <w:w w:val="125"/>
          <w:sz w:val="24"/>
        </w:rPr>
        <w:t>(1) A közgyűlés - a létesítő okiratban meghatározott létszámú - de legalább három, legfeljebb kilenc tagból álló felügyelő bizottságot, s ennek tagjai közül elnököt</w:t>
      </w:r>
      <w:r>
        <w:rPr>
          <w:spacing w:val="-1"/>
          <w:w w:val="125"/>
          <w:sz w:val="24"/>
        </w:rPr>
        <w:t> </w:t>
      </w:r>
      <w:r>
        <w:rPr>
          <w:w w:val="125"/>
          <w:sz w:val="24"/>
        </w:rPr>
        <w:t>választ.</w:t>
      </w:r>
    </w:p>
    <w:p>
      <w:pPr>
        <w:pStyle w:val="ListParagraph"/>
        <w:numPr>
          <w:ilvl w:val="0"/>
          <w:numId w:val="567"/>
        </w:numPr>
        <w:tabs>
          <w:tab w:pos="809" w:val="left" w:leader="none"/>
        </w:tabs>
        <w:spacing w:line="225" w:lineRule="auto" w:before="2" w:after="0"/>
        <w:ind w:left="113" w:right="129" w:firstLine="204"/>
        <w:jc w:val="both"/>
        <w:rPr>
          <w:sz w:val="24"/>
        </w:rPr>
      </w:pPr>
      <w:r>
        <w:rPr>
          <w:w w:val="125"/>
          <w:sz w:val="24"/>
        </w:rPr>
        <w:t>A felügyelő bizottság a közgyűlés részére ellenőrzi az önkéntes alap ügyvezetését.</w:t>
      </w:r>
    </w:p>
    <w:p>
      <w:pPr>
        <w:pStyle w:val="ListParagraph"/>
        <w:numPr>
          <w:ilvl w:val="0"/>
          <w:numId w:val="567"/>
        </w:numPr>
        <w:tabs>
          <w:tab w:pos="734" w:val="left" w:leader="none"/>
        </w:tabs>
        <w:spacing w:line="256" w:lineRule="exact" w:before="0" w:after="0"/>
        <w:ind w:left="733" w:right="0" w:hanging="416"/>
        <w:jc w:val="left"/>
        <w:rPr>
          <w:sz w:val="24"/>
        </w:rPr>
      </w:pPr>
      <w:r>
        <w:rPr>
          <w:w w:val="120"/>
          <w:sz w:val="24"/>
        </w:rPr>
        <w:t>A felügyelő</w:t>
      </w:r>
      <w:r>
        <w:rPr>
          <w:spacing w:val="9"/>
          <w:w w:val="120"/>
          <w:sz w:val="24"/>
        </w:rPr>
        <w:t> </w:t>
      </w:r>
      <w:r>
        <w:rPr>
          <w:w w:val="120"/>
          <w:sz w:val="24"/>
        </w:rPr>
        <w:t>bizottság</w:t>
      </w:r>
    </w:p>
    <w:p>
      <w:pPr>
        <w:pStyle w:val="ListParagraph"/>
        <w:numPr>
          <w:ilvl w:val="0"/>
          <w:numId w:val="568"/>
        </w:numPr>
        <w:tabs>
          <w:tab w:pos="646" w:val="left" w:leader="none"/>
        </w:tabs>
        <w:spacing w:line="225" w:lineRule="auto" w:before="6" w:after="0"/>
        <w:ind w:left="113" w:right="126" w:firstLine="204"/>
        <w:jc w:val="both"/>
        <w:rPr>
          <w:sz w:val="24"/>
        </w:rPr>
      </w:pPr>
      <w:r>
        <w:rPr>
          <w:w w:val="125"/>
          <w:sz w:val="24"/>
        </w:rPr>
        <w:t>az önkéntes alap szerveinek működésével és gazdálkodásával kapcsolatos bármely ügyet</w:t>
      </w:r>
      <w:r>
        <w:rPr>
          <w:spacing w:val="4"/>
          <w:w w:val="125"/>
          <w:sz w:val="24"/>
        </w:rPr>
        <w:t> </w:t>
      </w:r>
      <w:r>
        <w:rPr>
          <w:w w:val="125"/>
          <w:sz w:val="24"/>
        </w:rPr>
        <w:t>megvizsgálhat,</w:t>
      </w:r>
    </w:p>
    <w:p>
      <w:pPr>
        <w:pStyle w:val="ListParagraph"/>
        <w:numPr>
          <w:ilvl w:val="0"/>
          <w:numId w:val="568"/>
        </w:numPr>
        <w:tabs>
          <w:tab w:pos="659" w:val="left" w:leader="none"/>
        </w:tabs>
        <w:spacing w:line="225" w:lineRule="auto" w:before="1" w:after="0"/>
        <w:ind w:left="113" w:right="129" w:firstLine="204"/>
        <w:jc w:val="both"/>
        <w:rPr>
          <w:sz w:val="24"/>
        </w:rPr>
      </w:pPr>
      <w:r>
        <w:rPr>
          <w:w w:val="125"/>
          <w:sz w:val="24"/>
        </w:rPr>
        <w:t>felhívhatja az igazgatóságot, hogy a jogszabályoknak, a létesítő okiratnak vagy más belső szabályzatnak megfelelően járjon</w:t>
      </w:r>
      <w:r>
        <w:rPr>
          <w:spacing w:val="4"/>
          <w:w w:val="125"/>
          <w:sz w:val="24"/>
        </w:rPr>
        <w:t> </w:t>
      </w:r>
      <w:r>
        <w:rPr>
          <w:w w:val="125"/>
          <w:sz w:val="24"/>
        </w:rPr>
        <w:t>el,</w:t>
      </w:r>
    </w:p>
    <w:p>
      <w:pPr>
        <w:pStyle w:val="ListParagraph"/>
        <w:numPr>
          <w:ilvl w:val="0"/>
          <w:numId w:val="568"/>
        </w:numPr>
        <w:tabs>
          <w:tab w:pos="805" w:val="left" w:leader="none"/>
        </w:tabs>
        <w:spacing w:line="225" w:lineRule="auto" w:before="1" w:after="0"/>
        <w:ind w:left="113" w:right="122" w:firstLine="204"/>
        <w:jc w:val="both"/>
        <w:rPr>
          <w:sz w:val="24"/>
        </w:rPr>
      </w:pPr>
      <w:r>
        <w:rPr>
          <w:w w:val="125"/>
          <w:sz w:val="24"/>
        </w:rPr>
        <w:t>indítványozhatja az igazgatóság egészének vagy egyes tagjainak felmentését, felelősségre vonását, valamint a közgyűlés rendkívüli  összehívását,</w:t>
      </w:r>
    </w:p>
    <w:p>
      <w:pPr>
        <w:pStyle w:val="ListParagraph"/>
        <w:numPr>
          <w:ilvl w:val="0"/>
          <w:numId w:val="568"/>
        </w:numPr>
        <w:tabs>
          <w:tab w:pos="666" w:val="left" w:leader="none"/>
        </w:tabs>
        <w:spacing w:line="225" w:lineRule="auto" w:before="2" w:after="0"/>
        <w:ind w:left="113" w:right="139" w:firstLine="204"/>
        <w:jc w:val="both"/>
        <w:rPr>
          <w:sz w:val="24"/>
        </w:rPr>
      </w:pPr>
      <w:r>
        <w:rPr>
          <w:w w:val="130"/>
          <w:sz w:val="24"/>
        </w:rPr>
        <w:t>a Felügyelet egyidejűleg történt értesítésével összehívja a közgyűlést, ha az igazgatóság nem tesz eleget erre vonatkozó</w:t>
      </w:r>
      <w:r>
        <w:rPr>
          <w:spacing w:val="-49"/>
          <w:w w:val="130"/>
          <w:sz w:val="24"/>
        </w:rPr>
        <w:t> </w:t>
      </w:r>
      <w:r>
        <w:rPr>
          <w:w w:val="130"/>
          <w:sz w:val="24"/>
        </w:rPr>
        <w:t>kötelezettségének,</w:t>
      </w:r>
    </w:p>
    <w:p>
      <w:pPr>
        <w:pStyle w:val="ListParagraph"/>
        <w:numPr>
          <w:ilvl w:val="0"/>
          <w:numId w:val="568"/>
        </w:numPr>
        <w:tabs>
          <w:tab w:pos="738" w:val="left" w:leader="none"/>
        </w:tabs>
        <w:spacing w:line="225" w:lineRule="auto" w:before="1" w:after="0"/>
        <w:ind w:left="113" w:right="133" w:firstLine="204"/>
        <w:jc w:val="both"/>
        <w:rPr>
          <w:sz w:val="24"/>
        </w:rPr>
      </w:pPr>
      <w:r>
        <w:rPr>
          <w:w w:val="130"/>
          <w:sz w:val="24"/>
        </w:rPr>
        <w:t>véleményt nyilvánít a közgyűlés elé terjesztett éves költségvetésről, valamint</w:t>
      </w:r>
      <w:r>
        <w:rPr>
          <w:spacing w:val="-23"/>
          <w:w w:val="130"/>
          <w:sz w:val="24"/>
        </w:rPr>
        <w:t> </w:t>
      </w:r>
      <w:r>
        <w:rPr>
          <w:w w:val="130"/>
          <w:sz w:val="24"/>
        </w:rPr>
        <w:t>éves</w:t>
      </w:r>
      <w:r>
        <w:rPr>
          <w:spacing w:val="-23"/>
          <w:w w:val="130"/>
          <w:sz w:val="24"/>
        </w:rPr>
        <w:t> </w:t>
      </w:r>
      <w:r>
        <w:rPr>
          <w:w w:val="130"/>
          <w:sz w:val="24"/>
        </w:rPr>
        <w:t>beszámolóról,</w:t>
      </w:r>
      <w:r>
        <w:rPr>
          <w:spacing w:val="-23"/>
          <w:w w:val="130"/>
          <w:sz w:val="24"/>
        </w:rPr>
        <w:t> </w:t>
      </w:r>
      <w:r>
        <w:rPr>
          <w:w w:val="130"/>
          <w:sz w:val="24"/>
        </w:rPr>
        <w:t>amely</w:t>
      </w:r>
      <w:r>
        <w:rPr>
          <w:spacing w:val="-23"/>
          <w:w w:val="130"/>
          <w:sz w:val="24"/>
        </w:rPr>
        <w:t> </w:t>
      </w:r>
      <w:r>
        <w:rPr>
          <w:w w:val="130"/>
          <w:sz w:val="24"/>
        </w:rPr>
        <w:t>nélkül</w:t>
      </w:r>
      <w:r>
        <w:rPr>
          <w:spacing w:val="-23"/>
          <w:w w:val="130"/>
          <w:sz w:val="24"/>
        </w:rPr>
        <w:t> </w:t>
      </w:r>
      <w:r>
        <w:rPr>
          <w:w w:val="130"/>
          <w:sz w:val="24"/>
        </w:rPr>
        <w:t>ezen</w:t>
      </w:r>
      <w:r>
        <w:rPr>
          <w:spacing w:val="-22"/>
          <w:w w:val="130"/>
          <w:sz w:val="24"/>
        </w:rPr>
        <w:t> </w:t>
      </w:r>
      <w:r>
        <w:rPr>
          <w:w w:val="130"/>
          <w:sz w:val="24"/>
        </w:rPr>
        <w:t>tárgyakban</w:t>
      </w:r>
      <w:r>
        <w:rPr>
          <w:spacing w:val="-23"/>
          <w:w w:val="130"/>
          <w:sz w:val="24"/>
        </w:rPr>
        <w:t> </w:t>
      </w:r>
      <w:r>
        <w:rPr>
          <w:w w:val="130"/>
          <w:sz w:val="24"/>
        </w:rPr>
        <w:t>érvényes</w:t>
      </w:r>
      <w:r>
        <w:rPr>
          <w:spacing w:val="-23"/>
          <w:w w:val="130"/>
          <w:sz w:val="24"/>
        </w:rPr>
        <w:t> </w:t>
      </w:r>
      <w:r>
        <w:rPr>
          <w:w w:val="130"/>
          <w:sz w:val="24"/>
        </w:rPr>
        <w:t>határozat nem hozható,</w:t>
      </w:r>
      <w:r>
        <w:rPr>
          <w:spacing w:val="-7"/>
          <w:w w:val="130"/>
          <w:sz w:val="24"/>
        </w:rPr>
        <w:t> </w:t>
      </w:r>
      <w:r>
        <w:rPr>
          <w:w w:val="130"/>
          <w:sz w:val="24"/>
        </w:rPr>
        <w:t>valamint</w:t>
      </w:r>
    </w:p>
    <w:p>
      <w:pPr>
        <w:pStyle w:val="ListParagraph"/>
        <w:numPr>
          <w:ilvl w:val="0"/>
          <w:numId w:val="568"/>
        </w:numPr>
        <w:tabs>
          <w:tab w:pos="737" w:val="left" w:leader="none"/>
        </w:tabs>
        <w:spacing w:line="225" w:lineRule="auto" w:before="2" w:after="0"/>
        <w:ind w:left="113" w:right="135" w:firstLine="204"/>
        <w:jc w:val="both"/>
        <w:rPr>
          <w:sz w:val="24"/>
        </w:rPr>
      </w:pPr>
      <w:r>
        <w:rPr>
          <w:w w:val="130"/>
          <w:sz w:val="24"/>
        </w:rPr>
        <w:t>javaslatot tesz a közgyűlésnek az igazgatósági tagok díjazásának</w:t>
      </w:r>
      <w:r>
        <w:rPr>
          <w:spacing w:val="78"/>
          <w:w w:val="130"/>
          <w:sz w:val="24"/>
        </w:rPr>
        <w:t> </w:t>
      </w:r>
      <w:r>
        <w:rPr>
          <w:w w:val="130"/>
          <w:sz w:val="24"/>
        </w:rPr>
        <w:t>megállapítására.</w:t>
      </w:r>
    </w:p>
    <w:p>
      <w:pPr>
        <w:pStyle w:val="ListParagraph"/>
        <w:numPr>
          <w:ilvl w:val="0"/>
          <w:numId w:val="555"/>
        </w:numPr>
        <w:tabs>
          <w:tab w:pos="1066" w:val="left" w:leader="none"/>
        </w:tabs>
        <w:spacing w:line="225" w:lineRule="auto" w:before="0" w:after="0"/>
        <w:ind w:left="113" w:right="128" w:firstLine="204"/>
        <w:jc w:val="both"/>
        <w:rPr>
          <w:sz w:val="24"/>
        </w:rPr>
      </w:pPr>
      <w:r>
        <w:rPr>
          <w:rFonts w:ascii="Arial" w:hAnsi="Arial"/>
          <w:b/>
          <w:w w:val="120"/>
          <w:sz w:val="24"/>
        </w:rPr>
        <w:t>§ </w:t>
      </w:r>
      <w:r>
        <w:rPr>
          <w:w w:val="120"/>
          <w:sz w:val="24"/>
        </w:rPr>
        <w:t>(1) A felügyelő bizottság - ha a tagok érdekei megkívánják - az igazgatóság működését átmeneti időre</w:t>
      </w:r>
      <w:r>
        <w:rPr>
          <w:spacing w:val="45"/>
          <w:w w:val="120"/>
          <w:sz w:val="24"/>
        </w:rPr>
        <w:t> </w:t>
      </w:r>
      <w:r>
        <w:rPr>
          <w:w w:val="120"/>
          <w:sz w:val="24"/>
        </w:rPr>
        <w:t>felfüggesztheti.</w:t>
      </w:r>
    </w:p>
    <w:p>
      <w:pPr>
        <w:pStyle w:val="BodyText"/>
        <w:spacing w:line="225" w:lineRule="auto" w:before="1"/>
        <w:ind w:right="130"/>
        <w:jc w:val="both"/>
      </w:pPr>
      <w:r>
        <w:rPr>
          <w:w w:val="125"/>
        </w:rPr>
        <w:t>(2) Az igazgatóság felfüggesztésével egyidejűleg a felügyelő bizottság  köteles</w:t>
      </w:r>
    </w:p>
    <w:p>
      <w:pPr>
        <w:pStyle w:val="ListParagraph"/>
        <w:numPr>
          <w:ilvl w:val="0"/>
          <w:numId w:val="569"/>
        </w:numPr>
        <w:tabs>
          <w:tab w:pos="631" w:val="left" w:leader="none"/>
        </w:tabs>
        <w:spacing w:line="264" w:lineRule="exact" w:before="0" w:after="0"/>
        <w:ind w:left="630" w:right="0" w:hanging="313"/>
        <w:jc w:val="left"/>
        <w:rPr>
          <w:sz w:val="24"/>
        </w:rPr>
      </w:pPr>
      <w:r>
        <w:rPr>
          <w:w w:val="125"/>
          <w:sz w:val="24"/>
        </w:rPr>
        <w:t>harminc napon belül rendkívüli közgyűlés összehívását kezdeményezni,</w:t>
      </w:r>
      <w:r>
        <w:rPr>
          <w:spacing w:val="19"/>
          <w:w w:val="125"/>
          <w:sz w:val="24"/>
        </w:rPr>
        <w:t> </w:t>
      </w:r>
      <w:r>
        <w:rPr>
          <w:w w:val="125"/>
          <w:sz w:val="24"/>
        </w:rPr>
        <w:t>és</w:t>
      </w:r>
    </w:p>
    <w:p>
      <w:pPr>
        <w:spacing w:after="0" w:line="264" w:lineRule="exact"/>
        <w:jc w:val="left"/>
        <w:rPr>
          <w:sz w:val="24"/>
        </w:rPr>
        <w:sectPr>
          <w:pgSz w:w="11900" w:h="16820"/>
          <w:pgMar w:header="1104" w:footer="0" w:top="1840" w:bottom="280" w:left="1020" w:right="1000"/>
        </w:sectPr>
      </w:pPr>
    </w:p>
    <w:p>
      <w:pPr>
        <w:pStyle w:val="ListParagraph"/>
        <w:numPr>
          <w:ilvl w:val="0"/>
          <w:numId w:val="569"/>
        </w:numPr>
        <w:tabs>
          <w:tab w:pos="653" w:val="left" w:leader="none"/>
        </w:tabs>
        <w:spacing w:line="267" w:lineRule="exact" w:before="159" w:after="0"/>
        <w:ind w:left="652" w:right="0" w:hanging="335"/>
        <w:jc w:val="left"/>
        <w:rPr>
          <w:sz w:val="24"/>
        </w:rPr>
      </w:pPr>
      <w:r>
        <w:rPr>
          <w:w w:val="125"/>
          <w:sz w:val="24"/>
        </w:rPr>
        <w:t>a közgyűlés összehívásáig gondoskodni az</w:t>
      </w:r>
      <w:r>
        <w:rPr>
          <w:spacing w:val="-10"/>
          <w:w w:val="125"/>
          <w:sz w:val="24"/>
        </w:rPr>
        <w:t> </w:t>
      </w:r>
      <w:r>
        <w:rPr>
          <w:w w:val="125"/>
          <w:sz w:val="24"/>
        </w:rPr>
        <w:t>ügyvezetésről.</w:t>
      </w:r>
    </w:p>
    <w:p>
      <w:pPr>
        <w:pStyle w:val="ListParagraph"/>
        <w:numPr>
          <w:ilvl w:val="0"/>
          <w:numId w:val="555"/>
        </w:numPr>
        <w:tabs>
          <w:tab w:pos="985" w:val="left" w:leader="none"/>
        </w:tabs>
        <w:spacing w:line="261" w:lineRule="exact" w:before="0" w:after="0"/>
        <w:ind w:left="984" w:right="0" w:hanging="667"/>
        <w:jc w:val="left"/>
        <w:rPr>
          <w:sz w:val="24"/>
        </w:rPr>
      </w:pPr>
      <w:r>
        <w:rPr>
          <w:rFonts w:ascii="Arial" w:hAnsi="Arial"/>
          <w:b/>
          <w:w w:val="120"/>
          <w:sz w:val="24"/>
        </w:rPr>
        <w:t>§ </w:t>
      </w:r>
      <w:r>
        <w:rPr>
          <w:w w:val="120"/>
          <w:sz w:val="24"/>
        </w:rPr>
        <w:t>(1) A felügyelő bizottság testületként jár</w:t>
      </w:r>
      <w:r>
        <w:rPr>
          <w:spacing w:val="50"/>
          <w:w w:val="120"/>
          <w:sz w:val="24"/>
        </w:rPr>
        <w:t> </w:t>
      </w:r>
      <w:r>
        <w:rPr>
          <w:w w:val="120"/>
          <w:sz w:val="24"/>
        </w:rPr>
        <w:t>el.</w:t>
      </w:r>
    </w:p>
    <w:p>
      <w:pPr>
        <w:pStyle w:val="ListParagraph"/>
        <w:numPr>
          <w:ilvl w:val="0"/>
          <w:numId w:val="570"/>
        </w:numPr>
        <w:tabs>
          <w:tab w:pos="772" w:val="left" w:leader="none"/>
        </w:tabs>
        <w:spacing w:line="225" w:lineRule="auto" w:before="6" w:after="0"/>
        <w:ind w:left="113" w:right="130" w:firstLine="204"/>
        <w:jc w:val="left"/>
        <w:rPr>
          <w:sz w:val="24"/>
        </w:rPr>
      </w:pPr>
      <w:r>
        <w:rPr>
          <w:w w:val="130"/>
          <w:sz w:val="24"/>
        </w:rPr>
        <w:t>A felügyelő bizottság határozatképes, ha tagjainak legalább kétharmada jelen</w:t>
      </w:r>
      <w:r>
        <w:rPr>
          <w:spacing w:val="-3"/>
          <w:w w:val="130"/>
          <w:sz w:val="24"/>
        </w:rPr>
        <w:t> </w:t>
      </w:r>
      <w:r>
        <w:rPr>
          <w:w w:val="130"/>
          <w:sz w:val="24"/>
        </w:rPr>
        <w:t>van.</w:t>
      </w:r>
    </w:p>
    <w:p>
      <w:pPr>
        <w:pStyle w:val="ListParagraph"/>
        <w:numPr>
          <w:ilvl w:val="0"/>
          <w:numId w:val="570"/>
        </w:numPr>
        <w:tabs>
          <w:tab w:pos="813" w:val="left" w:leader="none"/>
        </w:tabs>
        <w:spacing w:line="225" w:lineRule="auto" w:before="1" w:after="0"/>
        <w:ind w:left="113" w:right="127" w:firstLine="204"/>
        <w:jc w:val="left"/>
        <w:rPr>
          <w:sz w:val="24"/>
        </w:rPr>
      </w:pPr>
      <w:r>
        <w:rPr>
          <w:w w:val="130"/>
          <w:sz w:val="24"/>
        </w:rPr>
        <w:t>A felügyelő bizottság egyebekben az ügyrendjét maga állapítja meg, amelyet a közgyűlés hagy</w:t>
      </w:r>
      <w:r>
        <w:rPr>
          <w:spacing w:val="-20"/>
          <w:w w:val="130"/>
          <w:sz w:val="24"/>
        </w:rPr>
        <w:t> </w:t>
      </w:r>
      <w:r>
        <w:rPr>
          <w:w w:val="130"/>
          <w:sz w:val="24"/>
        </w:rPr>
        <w:t>jóvá.</w:t>
      </w:r>
    </w:p>
    <w:p>
      <w:pPr>
        <w:pStyle w:val="ListParagraph"/>
        <w:numPr>
          <w:ilvl w:val="0"/>
          <w:numId w:val="570"/>
        </w:numPr>
        <w:tabs>
          <w:tab w:pos="784" w:val="left" w:leader="none"/>
        </w:tabs>
        <w:spacing w:line="225" w:lineRule="auto" w:before="1" w:after="0"/>
        <w:ind w:left="113" w:right="131" w:firstLine="204"/>
        <w:jc w:val="both"/>
        <w:rPr>
          <w:sz w:val="24"/>
        </w:rPr>
      </w:pPr>
      <w:r>
        <w:rPr>
          <w:w w:val="130"/>
          <w:sz w:val="24"/>
        </w:rPr>
        <w:t>A felügyelő bizottsági tagok korlátlanul és egyetemlegesen felelnek az önkéntes alapnak az ellenőrzési kötelezettségük megszegésével okozott károkért.</w:t>
      </w:r>
    </w:p>
    <w:p>
      <w:pPr>
        <w:pStyle w:val="BodyText"/>
        <w:spacing w:before="3"/>
        <w:ind w:left="0" w:firstLine="0"/>
        <w:rPr>
          <w:sz w:val="11"/>
        </w:rPr>
      </w:pPr>
    </w:p>
    <w:p>
      <w:pPr>
        <w:pStyle w:val="BodyText"/>
        <w:spacing w:before="99"/>
        <w:ind w:left="3763" w:firstLine="0"/>
      </w:pPr>
      <w:r>
        <w:rPr>
          <w:w w:val="120"/>
        </w:rPr>
        <w:t>109. Könyvvizsgáló</w:t>
      </w:r>
    </w:p>
    <w:p>
      <w:pPr>
        <w:pStyle w:val="ListParagraph"/>
        <w:numPr>
          <w:ilvl w:val="0"/>
          <w:numId w:val="555"/>
        </w:numPr>
        <w:tabs>
          <w:tab w:pos="985" w:val="left" w:leader="none"/>
        </w:tabs>
        <w:spacing w:line="269" w:lineRule="exact" w:before="223" w:after="0"/>
        <w:ind w:left="984" w:right="0" w:hanging="667"/>
        <w:jc w:val="left"/>
        <w:rPr>
          <w:sz w:val="24"/>
        </w:rPr>
      </w:pPr>
      <w:r>
        <w:rPr>
          <w:rFonts w:ascii="Arial" w:hAnsi="Arial"/>
          <w:b/>
          <w:w w:val="120"/>
          <w:sz w:val="24"/>
        </w:rPr>
        <w:t>§ </w:t>
      </w:r>
      <w:r>
        <w:rPr>
          <w:w w:val="120"/>
          <w:sz w:val="24"/>
        </w:rPr>
        <w:t>(1) Az önkéntes alap könyvvizsgálót bíz</w:t>
      </w:r>
      <w:r>
        <w:rPr>
          <w:spacing w:val="36"/>
          <w:w w:val="120"/>
          <w:sz w:val="24"/>
        </w:rPr>
        <w:t> </w:t>
      </w:r>
      <w:r>
        <w:rPr>
          <w:w w:val="120"/>
          <w:sz w:val="24"/>
        </w:rPr>
        <w:t>meg.</w:t>
      </w:r>
    </w:p>
    <w:p>
      <w:pPr>
        <w:pStyle w:val="ListParagraph"/>
        <w:numPr>
          <w:ilvl w:val="0"/>
          <w:numId w:val="571"/>
        </w:numPr>
        <w:tabs>
          <w:tab w:pos="999" w:val="left" w:leader="none"/>
        </w:tabs>
        <w:spacing w:line="225" w:lineRule="auto" w:before="5" w:after="0"/>
        <w:ind w:left="113" w:right="131" w:firstLine="204"/>
        <w:jc w:val="both"/>
        <w:rPr>
          <w:sz w:val="24"/>
        </w:rPr>
      </w:pPr>
      <w:r>
        <w:rPr>
          <w:w w:val="125"/>
          <w:sz w:val="24"/>
        </w:rPr>
        <w:t>Az önkéntes alap könyvvizsgálóját a pénzügyi intézmények könyvvizsgálatára jogosultak közül választja a</w:t>
      </w:r>
      <w:r>
        <w:rPr>
          <w:spacing w:val="-4"/>
          <w:w w:val="125"/>
          <w:sz w:val="24"/>
        </w:rPr>
        <w:t> </w:t>
      </w:r>
      <w:r>
        <w:rPr>
          <w:w w:val="125"/>
          <w:sz w:val="24"/>
        </w:rPr>
        <w:t>közgyűlés.</w:t>
      </w:r>
    </w:p>
    <w:p>
      <w:pPr>
        <w:pStyle w:val="ListParagraph"/>
        <w:numPr>
          <w:ilvl w:val="0"/>
          <w:numId w:val="571"/>
        </w:numPr>
        <w:tabs>
          <w:tab w:pos="779" w:val="left" w:leader="none"/>
        </w:tabs>
        <w:spacing w:line="225" w:lineRule="auto" w:before="1" w:after="0"/>
        <w:ind w:left="113" w:right="128" w:firstLine="204"/>
        <w:jc w:val="both"/>
        <w:rPr>
          <w:sz w:val="24"/>
        </w:rPr>
      </w:pPr>
      <w:r>
        <w:rPr>
          <w:w w:val="125"/>
          <w:sz w:val="24"/>
        </w:rPr>
        <w:t>Az önkéntes alap természetes személy könyvvizsgálójának megbízatása legfeljebb öt évig tarthat, és a megbízatás lejártát követő harmadik év után  lehet újabb megbízási szerződést kötni ugyanazon könyvvizsgálóval. A könyvvizsgáló társaság által alkalmazott (munkavállaló, vezető tisztségviselő, munkavégzésre kötelezett tag) könyvvizsgáló legfeljebb öt évig láthat el könyvvizsgálói feladatokat az önkéntes alapnál, és a  megbízatás  lejártát  követő harmadik év után láthatja el újra - ugyanannál az önkéntes alapnál - a feladatát.</w:t>
      </w:r>
    </w:p>
    <w:p>
      <w:pPr>
        <w:pStyle w:val="ListParagraph"/>
        <w:numPr>
          <w:ilvl w:val="0"/>
          <w:numId w:val="571"/>
        </w:numPr>
        <w:tabs>
          <w:tab w:pos="765" w:val="left" w:leader="none"/>
        </w:tabs>
        <w:spacing w:line="225" w:lineRule="auto" w:before="5" w:after="0"/>
        <w:ind w:left="113" w:right="129" w:firstLine="204"/>
        <w:jc w:val="both"/>
        <w:rPr>
          <w:sz w:val="24"/>
        </w:rPr>
      </w:pPr>
      <w:r>
        <w:rPr>
          <w:w w:val="125"/>
          <w:sz w:val="24"/>
        </w:rPr>
        <w:t>A könyvvizsgáló feladata az önkéntes alap könyvviteli nyilvántartásának és éves beszámolójának felülvizsgálata, továbbá véleménynyilvánítás az önkéntes alap gazdálkodásával, a vagyonkezeléssel és felhasználással kapcsolatos közgyűlési előterjesztések hitelességéről. A könyvvizsgáló véleménye és jelentéstételi kötelezettsége nélkül e kérdésekben nem hozható határozat.</w:t>
      </w:r>
    </w:p>
    <w:p>
      <w:pPr>
        <w:pStyle w:val="BodyText"/>
        <w:spacing w:before="5"/>
        <w:ind w:left="0" w:firstLine="0"/>
        <w:rPr>
          <w:sz w:val="11"/>
        </w:rPr>
      </w:pPr>
    </w:p>
    <w:p>
      <w:pPr>
        <w:pStyle w:val="BodyText"/>
        <w:spacing w:before="99"/>
        <w:ind w:left="1576" w:firstLine="0"/>
      </w:pPr>
      <w:r>
        <w:rPr>
          <w:w w:val="125"/>
        </w:rPr>
        <w:t>110. Az önkéntes alap döntésével szembeni jogorvoslat</w:t>
      </w:r>
    </w:p>
    <w:p>
      <w:pPr>
        <w:pStyle w:val="ListParagraph"/>
        <w:numPr>
          <w:ilvl w:val="0"/>
          <w:numId w:val="555"/>
        </w:numPr>
        <w:tabs>
          <w:tab w:pos="1043" w:val="left" w:leader="none"/>
        </w:tabs>
        <w:spacing w:line="225" w:lineRule="auto" w:before="236" w:after="0"/>
        <w:ind w:left="113" w:right="130" w:firstLine="204"/>
        <w:jc w:val="both"/>
        <w:rPr>
          <w:sz w:val="24"/>
        </w:rPr>
      </w:pPr>
      <w:r>
        <w:rPr>
          <w:rFonts w:ascii="Arial" w:hAnsi="Arial"/>
          <w:b/>
          <w:w w:val="125"/>
          <w:sz w:val="24"/>
        </w:rPr>
        <w:t>§ </w:t>
      </w:r>
      <w:r>
        <w:rPr>
          <w:w w:val="125"/>
          <w:sz w:val="24"/>
        </w:rPr>
        <w:t>(1) Az önkéntes alap valamely szervének törvénysértő határozatát bármely tag - a tudomására jutástól számított harminc napon, de legkésőbb a határozat keltétől számított kilencven napon belül - a bíróság előtt megtámadhatja.</w:t>
      </w:r>
    </w:p>
    <w:p>
      <w:pPr>
        <w:pStyle w:val="BodyText"/>
        <w:spacing w:line="225" w:lineRule="auto" w:before="2"/>
        <w:ind w:right="130"/>
        <w:jc w:val="both"/>
      </w:pPr>
      <w:r>
        <w:rPr>
          <w:w w:val="130"/>
        </w:rPr>
        <w:t>(2) A határozat megtámadása a határozat végrehajtásának nem akadálya, a bíróság azonban indokolt esetben a végrehajtást felfüggesztheti.</w:t>
      </w:r>
    </w:p>
    <w:p>
      <w:pPr>
        <w:pStyle w:val="ListParagraph"/>
        <w:numPr>
          <w:ilvl w:val="0"/>
          <w:numId w:val="555"/>
        </w:numPr>
        <w:tabs>
          <w:tab w:pos="992" w:val="left" w:leader="none"/>
        </w:tabs>
        <w:spacing w:line="225" w:lineRule="auto" w:before="0" w:after="0"/>
        <w:ind w:left="113" w:right="129" w:firstLine="204"/>
        <w:jc w:val="both"/>
        <w:rPr>
          <w:sz w:val="24"/>
        </w:rPr>
      </w:pPr>
      <w:r>
        <w:rPr>
          <w:rFonts w:ascii="Arial" w:hAnsi="Arial"/>
          <w:b/>
          <w:w w:val="120"/>
          <w:sz w:val="24"/>
        </w:rPr>
        <w:t>§ </w:t>
      </w:r>
      <w:r>
        <w:rPr>
          <w:w w:val="120"/>
          <w:sz w:val="24"/>
        </w:rPr>
        <w:t>(1) Az önkéntes alap törvénysértő határozata esetén a  Felügyelet - ha      a működés törvényessége másként nem biztosítható - bírósághoz fordulhat. A Felügyelet keresete alapján a</w:t>
      </w:r>
      <w:r>
        <w:rPr>
          <w:spacing w:val="-35"/>
          <w:w w:val="120"/>
          <w:sz w:val="24"/>
        </w:rPr>
        <w:t> </w:t>
      </w:r>
      <w:r>
        <w:rPr>
          <w:w w:val="120"/>
          <w:sz w:val="24"/>
        </w:rPr>
        <w:t>bíróság</w:t>
      </w:r>
    </w:p>
    <w:p>
      <w:pPr>
        <w:pStyle w:val="ListParagraph"/>
        <w:numPr>
          <w:ilvl w:val="0"/>
          <w:numId w:val="572"/>
        </w:numPr>
        <w:tabs>
          <w:tab w:pos="677" w:val="left" w:leader="none"/>
        </w:tabs>
        <w:spacing w:line="225" w:lineRule="auto" w:before="2" w:after="0"/>
        <w:ind w:left="113" w:right="128" w:firstLine="204"/>
        <w:jc w:val="both"/>
        <w:rPr>
          <w:sz w:val="24"/>
        </w:rPr>
      </w:pPr>
      <w:r>
        <w:rPr>
          <w:w w:val="130"/>
          <w:sz w:val="24"/>
        </w:rPr>
        <w:t>megsemmisítheti az önkéntes alap törvénysértő határozatát, és szükség szerint új határozat hozatalát rendelheti</w:t>
      </w:r>
      <w:r>
        <w:rPr>
          <w:spacing w:val="-13"/>
          <w:w w:val="130"/>
          <w:sz w:val="24"/>
        </w:rPr>
        <w:t> </w:t>
      </w:r>
      <w:r>
        <w:rPr>
          <w:w w:val="130"/>
          <w:sz w:val="24"/>
        </w:rPr>
        <w:t>el,</w:t>
      </w:r>
    </w:p>
    <w:p>
      <w:pPr>
        <w:pStyle w:val="ListParagraph"/>
        <w:numPr>
          <w:ilvl w:val="0"/>
          <w:numId w:val="572"/>
        </w:numPr>
        <w:tabs>
          <w:tab w:pos="747" w:val="left" w:leader="none"/>
        </w:tabs>
        <w:spacing w:line="225" w:lineRule="auto" w:before="1" w:after="0"/>
        <w:ind w:left="113" w:right="128" w:firstLine="204"/>
        <w:jc w:val="both"/>
        <w:rPr>
          <w:sz w:val="24"/>
        </w:rPr>
      </w:pPr>
      <w:r>
        <w:rPr>
          <w:w w:val="130"/>
          <w:sz w:val="24"/>
        </w:rPr>
        <w:t>a működés törvényességének helyreállítása céljából összehívhatja az önkéntes alap közgyűlését,</w:t>
      </w:r>
      <w:r>
        <w:rPr>
          <w:spacing w:val="-13"/>
          <w:w w:val="130"/>
          <w:sz w:val="24"/>
        </w:rPr>
        <w:t> </w:t>
      </w:r>
      <w:r>
        <w:rPr>
          <w:w w:val="130"/>
          <w:sz w:val="24"/>
        </w:rPr>
        <w:t>vagy</w:t>
      </w:r>
    </w:p>
    <w:p>
      <w:pPr>
        <w:pStyle w:val="ListParagraph"/>
        <w:numPr>
          <w:ilvl w:val="0"/>
          <w:numId w:val="572"/>
        </w:numPr>
        <w:tabs>
          <w:tab w:pos="623" w:val="left" w:leader="none"/>
        </w:tabs>
        <w:spacing w:line="256" w:lineRule="exact" w:before="0" w:after="0"/>
        <w:ind w:left="622" w:right="0" w:hanging="305"/>
        <w:jc w:val="left"/>
        <w:rPr>
          <w:sz w:val="24"/>
        </w:rPr>
      </w:pPr>
      <w:r>
        <w:rPr>
          <w:w w:val="130"/>
          <w:sz w:val="24"/>
        </w:rPr>
        <w:t>felfüggesztheti az önkéntes alap</w:t>
      </w:r>
      <w:r>
        <w:rPr>
          <w:spacing w:val="-19"/>
          <w:w w:val="130"/>
          <w:sz w:val="24"/>
        </w:rPr>
        <w:t> </w:t>
      </w:r>
      <w:r>
        <w:rPr>
          <w:w w:val="130"/>
          <w:sz w:val="24"/>
        </w:rPr>
        <w:t>működését.</w:t>
      </w:r>
    </w:p>
    <w:p>
      <w:pPr>
        <w:pStyle w:val="BodyText"/>
        <w:spacing w:line="225" w:lineRule="auto" w:before="6"/>
        <w:ind w:right="134"/>
        <w:jc w:val="both"/>
      </w:pPr>
      <w:r>
        <w:rPr>
          <w:w w:val="130"/>
        </w:rPr>
        <w:t>(2) Az önkéntes alap tagja, valamint a Felügyelet által indított perek a nyilvántartásba vétel szerinti bíróság hatáskörébe tartoznak.</w:t>
      </w:r>
    </w:p>
    <w:p>
      <w:pPr>
        <w:pStyle w:val="BodyText"/>
        <w:spacing w:before="228"/>
        <w:ind w:left="2158" w:firstLine="0"/>
      </w:pPr>
      <w:r>
        <w:rPr>
          <w:w w:val="130"/>
        </w:rPr>
        <w:t>111. Az önkéntes alap által adható támogatás</w:t>
      </w:r>
    </w:p>
    <w:p>
      <w:pPr>
        <w:spacing w:after="0"/>
        <w:sectPr>
          <w:pgSz w:w="11900" w:h="16820"/>
          <w:pgMar w:header="1104" w:footer="0" w:top="1840" w:bottom="280" w:left="1020" w:right="1000"/>
        </w:sectPr>
      </w:pPr>
    </w:p>
    <w:p>
      <w:pPr>
        <w:pStyle w:val="ListParagraph"/>
        <w:numPr>
          <w:ilvl w:val="0"/>
          <w:numId w:val="555"/>
        </w:numPr>
        <w:tabs>
          <w:tab w:pos="1043" w:val="left" w:leader="none"/>
        </w:tabs>
        <w:spacing w:line="225" w:lineRule="auto" w:before="172" w:after="0"/>
        <w:ind w:left="113" w:right="131" w:firstLine="204"/>
        <w:jc w:val="both"/>
        <w:rPr>
          <w:sz w:val="24"/>
        </w:rPr>
      </w:pPr>
      <w:r>
        <w:rPr>
          <w:rFonts w:ascii="Arial" w:hAnsi="Arial"/>
          <w:b/>
          <w:w w:val="125"/>
          <w:sz w:val="24"/>
        </w:rPr>
        <w:t>§ </w:t>
      </w:r>
      <w:r>
        <w:rPr>
          <w:w w:val="125"/>
          <w:sz w:val="24"/>
        </w:rPr>
        <w:t>(1) Az intézményvédelmi alap a létesítő okiratában meghatározott feladatai ellátása érdekében jogosult - a tagintézettel, illetve annak tulajdonosával</w:t>
      </w:r>
      <w:r>
        <w:rPr>
          <w:spacing w:val="16"/>
          <w:w w:val="125"/>
          <w:sz w:val="24"/>
        </w:rPr>
        <w:t> </w:t>
      </w:r>
      <w:r>
        <w:rPr>
          <w:w w:val="125"/>
          <w:sz w:val="24"/>
        </w:rPr>
        <w:t>kötött</w:t>
      </w:r>
      <w:r>
        <w:rPr>
          <w:spacing w:val="17"/>
          <w:w w:val="125"/>
          <w:sz w:val="24"/>
        </w:rPr>
        <w:t> </w:t>
      </w:r>
      <w:r>
        <w:rPr>
          <w:w w:val="125"/>
          <w:sz w:val="24"/>
        </w:rPr>
        <w:t>támogatási</w:t>
      </w:r>
      <w:r>
        <w:rPr>
          <w:spacing w:val="17"/>
          <w:w w:val="125"/>
          <w:sz w:val="24"/>
        </w:rPr>
        <w:t> </w:t>
      </w:r>
      <w:r>
        <w:rPr>
          <w:w w:val="125"/>
          <w:sz w:val="24"/>
        </w:rPr>
        <w:t>szerződés</w:t>
      </w:r>
      <w:r>
        <w:rPr>
          <w:spacing w:val="18"/>
          <w:w w:val="125"/>
          <w:sz w:val="24"/>
        </w:rPr>
        <w:t> </w:t>
      </w:r>
      <w:r>
        <w:rPr>
          <w:w w:val="125"/>
          <w:sz w:val="24"/>
        </w:rPr>
        <w:t>keretében</w:t>
      </w:r>
      <w:r>
        <w:rPr>
          <w:spacing w:val="17"/>
          <w:w w:val="125"/>
          <w:sz w:val="24"/>
        </w:rPr>
        <w:t> </w:t>
      </w:r>
      <w:r>
        <w:rPr>
          <w:w w:val="125"/>
          <w:sz w:val="24"/>
        </w:rPr>
        <w:t>-</w:t>
      </w:r>
      <w:r>
        <w:rPr>
          <w:spacing w:val="17"/>
          <w:w w:val="125"/>
          <w:sz w:val="24"/>
        </w:rPr>
        <w:t> </w:t>
      </w:r>
      <w:r>
        <w:rPr>
          <w:w w:val="125"/>
          <w:sz w:val="24"/>
        </w:rPr>
        <w:t>a</w:t>
      </w:r>
      <w:r>
        <w:rPr>
          <w:spacing w:val="17"/>
          <w:w w:val="125"/>
          <w:sz w:val="24"/>
        </w:rPr>
        <w:t> </w:t>
      </w:r>
      <w:r>
        <w:rPr>
          <w:w w:val="125"/>
          <w:sz w:val="24"/>
        </w:rPr>
        <w:t>tagintézet</w:t>
      </w:r>
      <w:r>
        <w:rPr>
          <w:spacing w:val="17"/>
          <w:w w:val="125"/>
          <w:sz w:val="24"/>
        </w:rPr>
        <w:t> </w:t>
      </w:r>
      <w:r>
        <w:rPr>
          <w:w w:val="125"/>
          <w:sz w:val="24"/>
        </w:rPr>
        <w:t>részére</w:t>
      </w:r>
    </w:p>
    <w:p>
      <w:pPr>
        <w:pStyle w:val="ListParagraph"/>
        <w:numPr>
          <w:ilvl w:val="0"/>
          <w:numId w:val="573"/>
        </w:numPr>
        <w:tabs>
          <w:tab w:pos="631" w:val="left" w:leader="none"/>
        </w:tabs>
        <w:spacing w:line="256" w:lineRule="exact" w:before="0" w:after="0"/>
        <w:ind w:left="630" w:right="0" w:hanging="313"/>
        <w:jc w:val="left"/>
        <w:rPr>
          <w:sz w:val="24"/>
        </w:rPr>
      </w:pPr>
      <w:r>
        <w:rPr>
          <w:w w:val="125"/>
          <w:sz w:val="24"/>
        </w:rPr>
        <w:t>kezességet</w:t>
      </w:r>
      <w:r>
        <w:rPr>
          <w:spacing w:val="15"/>
          <w:w w:val="125"/>
          <w:sz w:val="24"/>
        </w:rPr>
        <w:t> </w:t>
      </w:r>
      <w:r>
        <w:rPr>
          <w:w w:val="125"/>
          <w:sz w:val="24"/>
        </w:rPr>
        <w:t>vállalni,</w:t>
      </w:r>
    </w:p>
    <w:p>
      <w:pPr>
        <w:pStyle w:val="ListParagraph"/>
        <w:numPr>
          <w:ilvl w:val="0"/>
          <w:numId w:val="573"/>
        </w:numPr>
        <w:tabs>
          <w:tab w:pos="653" w:val="left" w:leader="none"/>
        </w:tabs>
        <w:spacing w:line="260" w:lineRule="exact" w:before="0" w:after="0"/>
        <w:ind w:left="652" w:right="0" w:hanging="335"/>
        <w:jc w:val="left"/>
        <w:rPr>
          <w:sz w:val="24"/>
        </w:rPr>
      </w:pPr>
      <w:r>
        <w:rPr>
          <w:w w:val="130"/>
          <w:sz w:val="24"/>
        </w:rPr>
        <w:t>tőkejuttatást adni,</w:t>
      </w:r>
      <w:r>
        <w:rPr>
          <w:spacing w:val="-19"/>
          <w:w w:val="130"/>
          <w:sz w:val="24"/>
        </w:rPr>
        <w:t> </w:t>
      </w:r>
      <w:r>
        <w:rPr>
          <w:w w:val="130"/>
          <w:sz w:val="24"/>
        </w:rPr>
        <w:t>valamint</w:t>
      </w:r>
    </w:p>
    <w:p>
      <w:pPr>
        <w:pStyle w:val="ListParagraph"/>
        <w:numPr>
          <w:ilvl w:val="0"/>
          <w:numId w:val="573"/>
        </w:numPr>
        <w:tabs>
          <w:tab w:pos="623" w:val="left" w:leader="none"/>
        </w:tabs>
        <w:spacing w:line="260" w:lineRule="exact" w:before="0" w:after="0"/>
        <w:ind w:left="622" w:right="0" w:hanging="305"/>
        <w:jc w:val="left"/>
        <w:rPr>
          <w:sz w:val="24"/>
        </w:rPr>
      </w:pPr>
      <w:r>
        <w:rPr>
          <w:w w:val="125"/>
          <w:sz w:val="24"/>
        </w:rPr>
        <w:t>kölcsönt</w:t>
      </w:r>
      <w:r>
        <w:rPr>
          <w:spacing w:val="-1"/>
          <w:w w:val="125"/>
          <w:sz w:val="24"/>
        </w:rPr>
        <w:t> </w:t>
      </w:r>
      <w:r>
        <w:rPr>
          <w:w w:val="125"/>
          <w:sz w:val="24"/>
        </w:rPr>
        <w:t>nyújtani.</w:t>
      </w:r>
    </w:p>
    <w:p>
      <w:pPr>
        <w:pStyle w:val="ListParagraph"/>
        <w:numPr>
          <w:ilvl w:val="0"/>
          <w:numId w:val="574"/>
        </w:numPr>
        <w:tabs>
          <w:tab w:pos="928" w:val="left" w:leader="none"/>
        </w:tabs>
        <w:spacing w:line="225" w:lineRule="auto" w:before="5" w:after="0"/>
        <w:ind w:left="113" w:right="121" w:firstLine="204"/>
        <w:jc w:val="both"/>
        <w:rPr>
          <w:sz w:val="24"/>
        </w:rPr>
      </w:pPr>
      <w:r>
        <w:rPr>
          <w:w w:val="125"/>
          <w:sz w:val="24"/>
        </w:rPr>
        <w:t>Az önkéntes betétbiztosítási alapot felhasználó hitelintézetek a pénzeszközök visszafizetéséig kamatként legalább a jegybanki alapkamatot kötelesek téríteni. A kilépés az önkéntes betétbiztosítási alappal szembeni visszafizetési kötelezettséget nem</w:t>
      </w:r>
      <w:r>
        <w:rPr>
          <w:spacing w:val="4"/>
          <w:w w:val="125"/>
          <w:sz w:val="24"/>
        </w:rPr>
        <w:t> </w:t>
      </w:r>
      <w:r>
        <w:rPr>
          <w:w w:val="125"/>
          <w:sz w:val="24"/>
        </w:rPr>
        <w:t>érinti.</w:t>
      </w:r>
    </w:p>
    <w:p>
      <w:pPr>
        <w:pStyle w:val="ListParagraph"/>
        <w:numPr>
          <w:ilvl w:val="0"/>
          <w:numId w:val="574"/>
        </w:numPr>
        <w:tabs>
          <w:tab w:pos="955" w:val="left" w:leader="none"/>
          <w:tab w:pos="956" w:val="left" w:leader="none"/>
          <w:tab w:pos="1552" w:val="left" w:leader="none"/>
          <w:tab w:pos="2951" w:val="left" w:leader="none"/>
          <w:tab w:pos="3765" w:val="left" w:leader="none"/>
          <w:tab w:pos="4205" w:val="left" w:leader="none"/>
          <w:tab w:pos="5517" w:val="left" w:leader="none"/>
          <w:tab w:pos="7070" w:val="left" w:leader="none"/>
          <w:tab w:pos="8664" w:val="left" w:leader="none"/>
        </w:tabs>
        <w:spacing w:line="225" w:lineRule="auto" w:before="2" w:after="0"/>
        <w:ind w:left="113" w:right="123" w:firstLine="204"/>
        <w:jc w:val="left"/>
        <w:rPr>
          <w:sz w:val="24"/>
        </w:rPr>
      </w:pPr>
      <w:r>
        <w:rPr>
          <w:w w:val="130"/>
          <w:sz w:val="24"/>
        </w:rPr>
        <w:t>Az</w:t>
        <w:tab/>
        <w:t>önkéntes</w:t>
        <w:tab/>
        <w:t>alap</w:t>
        <w:tab/>
        <w:t>a</w:t>
        <w:tab/>
        <w:t>kifizetés</w:t>
        <w:tab/>
        <w:t>elkerülése</w:t>
        <w:tab/>
        <w:t>érdekében</w:t>
        <w:tab/>
      </w:r>
      <w:r>
        <w:rPr>
          <w:spacing w:val="-3"/>
          <w:w w:val="130"/>
          <w:sz w:val="24"/>
        </w:rPr>
        <w:t>tervezett </w:t>
      </w:r>
      <w:r>
        <w:rPr>
          <w:w w:val="130"/>
          <w:sz w:val="24"/>
        </w:rPr>
        <w:t>intézkedéseiről tájékoztatja a</w:t>
      </w:r>
      <w:r>
        <w:rPr>
          <w:spacing w:val="-14"/>
          <w:w w:val="130"/>
          <w:sz w:val="24"/>
        </w:rPr>
        <w:t> </w:t>
      </w:r>
      <w:r>
        <w:rPr>
          <w:w w:val="130"/>
          <w:sz w:val="24"/>
        </w:rPr>
        <w:t>Felügyeletet.</w:t>
      </w:r>
    </w:p>
    <w:p>
      <w:pPr>
        <w:pStyle w:val="BodyText"/>
        <w:spacing w:before="228"/>
        <w:ind w:left="2348" w:firstLine="0"/>
      </w:pPr>
      <w:r>
        <w:rPr>
          <w:w w:val="125"/>
        </w:rPr>
        <w:t>112. Kötelező intézményvédelmi szervezet</w:t>
      </w:r>
    </w:p>
    <w:p>
      <w:pPr>
        <w:pStyle w:val="ListParagraph"/>
        <w:numPr>
          <w:ilvl w:val="0"/>
          <w:numId w:val="555"/>
        </w:numPr>
        <w:tabs>
          <w:tab w:pos="1074" w:val="left" w:leader="none"/>
        </w:tabs>
        <w:spacing w:line="225" w:lineRule="auto" w:before="236" w:after="0"/>
        <w:ind w:left="113" w:right="139" w:firstLine="204"/>
        <w:jc w:val="left"/>
        <w:rPr>
          <w:sz w:val="24"/>
        </w:rPr>
      </w:pPr>
      <w:r>
        <w:rPr>
          <w:rFonts w:ascii="Arial" w:hAnsi="Arial"/>
          <w:b/>
          <w:w w:val="125"/>
          <w:sz w:val="24"/>
        </w:rPr>
        <w:t>§ </w:t>
      </w:r>
      <w:r>
        <w:rPr>
          <w:w w:val="125"/>
          <w:sz w:val="24"/>
        </w:rPr>
        <w:t>(1) Törvény kimondhatja intézményvédelmi integrációs szervezet létrehozását (kötelező intézményvédelmi</w:t>
      </w:r>
      <w:r>
        <w:rPr>
          <w:spacing w:val="3"/>
          <w:w w:val="125"/>
          <w:sz w:val="24"/>
        </w:rPr>
        <w:t> </w:t>
      </w:r>
      <w:r>
        <w:rPr>
          <w:w w:val="125"/>
          <w:sz w:val="24"/>
        </w:rPr>
        <w:t>szervezet).</w:t>
      </w:r>
    </w:p>
    <w:p>
      <w:pPr>
        <w:pStyle w:val="BodyText"/>
        <w:spacing w:line="225" w:lineRule="auto" w:before="2"/>
      </w:pPr>
      <w:r>
        <w:rPr>
          <w:w w:val="125"/>
        </w:rPr>
        <w:t>(2) A kötelező intézményvédelmi szervezet szervezetének és működésének szabályait törvény határozza meg.</w:t>
      </w:r>
    </w:p>
    <w:p>
      <w:pPr>
        <w:pStyle w:val="Heading2"/>
        <w:spacing w:before="231"/>
        <w:ind w:left="513" w:right="525"/>
        <w:jc w:val="center"/>
        <w:rPr>
          <w:rFonts w:ascii="Times New Roman"/>
          <w:b w:val="0"/>
          <w:sz w:val="18"/>
        </w:rPr>
      </w:pPr>
      <w:r>
        <w:rPr>
          <w:w w:val="110"/>
        </w:rPr>
        <w:t>XI/A. Fejezet</w:t>
      </w:r>
      <w:r>
        <w:rPr>
          <w:rFonts w:ascii="Times New Roman"/>
          <w:b w:val="0"/>
          <w:w w:val="110"/>
          <w:position w:val="3"/>
          <w:sz w:val="18"/>
        </w:rPr>
        <w:t>1</w:t>
      </w:r>
    </w:p>
    <w:p>
      <w:pPr>
        <w:pStyle w:val="BodyText"/>
        <w:ind w:left="0" w:firstLine="0"/>
        <w:rPr>
          <w:i/>
          <w:sz w:val="20"/>
        </w:rPr>
      </w:pPr>
    </w:p>
    <w:p>
      <w:pPr>
        <w:spacing w:before="238"/>
        <w:ind w:left="2370" w:right="0" w:firstLine="0"/>
        <w:jc w:val="left"/>
        <w:rPr>
          <w:i/>
          <w:sz w:val="18"/>
        </w:rPr>
      </w:pPr>
      <w:r>
        <w:rPr>
          <w:rFonts w:ascii="Georgia-BoldItalic" w:hAnsi="Georgia-BoldItalic"/>
          <w:b/>
          <w:i/>
          <w:w w:val="105"/>
          <w:sz w:val="24"/>
        </w:rPr>
        <w:t>Csoporton belüli pénzügyi</w:t>
      </w:r>
      <w:r>
        <w:rPr>
          <w:rFonts w:ascii="Georgia-BoldItalic" w:hAnsi="Georgia-BoldItalic"/>
          <w:b/>
          <w:i/>
          <w:spacing w:val="58"/>
          <w:w w:val="105"/>
          <w:sz w:val="24"/>
        </w:rPr>
        <w:t> </w:t>
      </w:r>
      <w:r>
        <w:rPr>
          <w:rFonts w:ascii="Georgia-BoldItalic" w:hAnsi="Georgia-BoldItalic"/>
          <w:b/>
          <w:i/>
          <w:w w:val="105"/>
          <w:sz w:val="24"/>
        </w:rPr>
        <w:t>támogatás</w:t>
      </w:r>
      <w:r>
        <w:rPr>
          <w:i/>
          <w:w w:val="105"/>
          <w:position w:val="3"/>
          <w:sz w:val="18"/>
        </w:rPr>
        <w:t>2</w:t>
      </w:r>
    </w:p>
    <w:p>
      <w:pPr>
        <w:pStyle w:val="BodyText"/>
        <w:ind w:left="0" w:firstLine="0"/>
        <w:rPr>
          <w:i/>
          <w:sz w:val="20"/>
        </w:rPr>
      </w:pPr>
    </w:p>
    <w:p>
      <w:pPr>
        <w:pStyle w:val="BodyText"/>
        <w:spacing w:before="233"/>
        <w:ind w:left="1422" w:firstLine="0"/>
      </w:pPr>
      <w:r>
        <w:rPr>
          <w:w w:val="125"/>
        </w:rPr>
        <w:t>112/A.</w:t>
      </w:r>
      <w:r>
        <w:rPr>
          <w:i/>
          <w:w w:val="125"/>
          <w:position w:val="3"/>
          <w:sz w:val="18"/>
        </w:rPr>
        <w:t>3  </w:t>
      </w:r>
      <w:r>
        <w:rPr>
          <w:w w:val="125"/>
        </w:rPr>
        <w:t>Csoportszintű pénzügyi támogatási</w:t>
      </w:r>
      <w:r>
        <w:rPr>
          <w:spacing w:val="-14"/>
          <w:w w:val="125"/>
        </w:rPr>
        <w:t> </w:t>
      </w:r>
      <w:r>
        <w:rPr>
          <w:w w:val="125"/>
        </w:rPr>
        <w:t>megállapodás</w:t>
      </w:r>
    </w:p>
    <w:p>
      <w:pPr>
        <w:pStyle w:val="BodyText"/>
        <w:spacing w:line="225" w:lineRule="auto" w:before="236"/>
        <w:ind w:right="125"/>
        <w:jc w:val="both"/>
      </w:pPr>
      <w:r>
        <w:rPr>
          <w:rFonts w:ascii="Arial" w:hAnsi="Arial"/>
          <w:b/>
          <w:w w:val="130"/>
        </w:rPr>
        <w:t>257/A.</w:t>
      </w:r>
      <w:r>
        <w:rPr>
          <w:rFonts w:ascii="Arial" w:hAnsi="Arial"/>
          <w:b/>
          <w:spacing w:val="-31"/>
          <w:w w:val="130"/>
        </w:rPr>
        <w:t> </w:t>
      </w:r>
      <w:r>
        <w:rPr>
          <w:rFonts w:ascii="Arial" w:hAnsi="Arial"/>
          <w:b/>
          <w:w w:val="130"/>
        </w:rPr>
        <w:t>§</w:t>
      </w:r>
      <w:r>
        <w:rPr>
          <w:i/>
          <w:w w:val="130"/>
          <w:position w:val="3"/>
          <w:sz w:val="18"/>
        </w:rPr>
        <w:t>4</w:t>
      </w:r>
      <w:r>
        <w:rPr>
          <w:i/>
          <w:spacing w:val="-2"/>
          <w:w w:val="130"/>
          <w:position w:val="3"/>
          <w:sz w:val="18"/>
        </w:rPr>
        <w:t> </w:t>
      </w:r>
      <w:r>
        <w:rPr>
          <w:w w:val="130"/>
        </w:rPr>
        <w:t>(1)</w:t>
      </w:r>
      <w:r>
        <w:rPr>
          <w:spacing w:val="-26"/>
          <w:w w:val="130"/>
        </w:rPr>
        <w:t> </w:t>
      </w:r>
      <w:r>
        <w:rPr>
          <w:w w:val="130"/>
        </w:rPr>
        <w:t>Az</w:t>
      </w:r>
      <w:r>
        <w:rPr>
          <w:spacing w:val="-22"/>
          <w:w w:val="130"/>
        </w:rPr>
        <w:t> </w:t>
      </w:r>
      <w:r>
        <w:rPr>
          <w:w w:val="130"/>
        </w:rPr>
        <w:t>összevont</w:t>
      </w:r>
      <w:r>
        <w:rPr>
          <w:spacing w:val="-30"/>
          <w:w w:val="130"/>
        </w:rPr>
        <w:t> </w:t>
      </w:r>
      <w:r>
        <w:rPr>
          <w:w w:val="130"/>
        </w:rPr>
        <w:t>alapú</w:t>
      </w:r>
      <w:r>
        <w:rPr>
          <w:spacing w:val="-27"/>
          <w:w w:val="130"/>
        </w:rPr>
        <w:t> </w:t>
      </w:r>
      <w:r>
        <w:rPr>
          <w:w w:val="130"/>
        </w:rPr>
        <w:t>felügyelet</w:t>
      </w:r>
      <w:r>
        <w:rPr>
          <w:spacing w:val="-26"/>
          <w:w w:val="130"/>
        </w:rPr>
        <w:t> </w:t>
      </w:r>
      <w:r>
        <w:rPr>
          <w:w w:val="130"/>
        </w:rPr>
        <w:t>alá</w:t>
      </w:r>
      <w:r>
        <w:rPr>
          <w:spacing w:val="-26"/>
          <w:w w:val="130"/>
        </w:rPr>
        <w:t> </w:t>
      </w:r>
      <w:r>
        <w:rPr>
          <w:w w:val="130"/>
        </w:rPr>
        <w:t>tartozó</w:t>
      </w:r>
      <w:r>
        <w:rPr>
          <w:spacing w:val="-27"/>
          <w:w w:val="130"/>
        </w:rPr>
        <w:t> </w:t>
      </w:r>
      <w:r>
        <w:rPr>
          <w:w w:val="130"/>
        </w:rPr>
        <w:t>hitelintézet,</w:t>
      </w:r>
      <w:r>
        <w:rPr>
          <w:spacing w:val="-26"/>
          <w:w w:val="130"/>
        </w:rPr>
        <w:t> </w:t>
      </w:r>
      <w:r>
        <w:rPr>
          <w:w w:val="130"/>
        </w:rPr>
        <w:t>valamint mindazon vállalkozás, amelyre az összevontalapú felügyelet kiterjed, az e</w:t>
      </w:r>
      <w:r>
        <w:rPr>
          <w:spacing w:val="78"/>
          <w:w w:val="130"/>
        </w:rPr>
        <w:t> </w:t>
      </w:r>
      <w:r>
        <w:rPr>
          <w:w w:val="130"/>
        </w:rPr>
        <w:t>Fejezet meghatározottak szerint csoportszintű pénzügyi támogatási megállapodást köthet arról, hogy a megállapodásban részes fél a Felügyelet által alkalmazható intézkedést, kivételes intézkedést - ideértve a másik EGT-állam illetékes felügyeleti hatóságának intézkedését, kivételes intézkedését is - kiváltó esemény teljesülésekor a csoport intézkedéssel, kivételes intézkedéssel érintett tagjának pénzügyi támogatást</w:t>
      </w:r>
      <w:r>
        <w:rPr>
          <w:spacing w:val="-49"/>
          <w:w w:val="130"/>
        </w:rPr>
        <w:t> </w:t>
      </w:r>
      <w:r>
        <w:rPr>
          <w:w w:val="130"/>
        </w:rPr>
        <w:t>nyújt.</w:t>
      </w:r>
    </w:p>
    <w:p>
      <w:pPr>
        <w:pStyle w:val="ListParagraph"/>
        <w:numPr>
          <w:ilvl w:val="0"/>
          <w:numId w:val="575"/>
        </w:numPr>
        <w:tabs>
          <w:tab w:pos="734" w:val="left" w:leader="none"/>
        </w:tabs>
        <w:spacing w:line="259" w:lineRule="exact" w:before="0" w:after="0"/>
        <w:ind w:left="733" w:right="0" w:hanging="416"/>
        <w:jc w:val="left"/>
        <w:rPr>
          <w:sz w:val="24"/>
        </w:rPr>
      </w:pPr>
      <w:r>
        <w:rPr>
          <w:w w:val="125"/>
          <w:sz w:val="24"/>
        </w:rPr>
        <w:t>Az e Fejezetben foglaltak nem érintik a csoporton</w:t>
      </w:r>
      <w:r>
        <w:rPr>
          <w:spacing w:val="9"/>
          <w:w w:val="125"/>
          <w:sz w:val="24"/>
        </w:rPr>
        <w:t> </w:t>
      </w:r>
      <w:r>
        <w:rPr>
          <w:w w:val="125"/>
          <w:sz w:val="24"/>
        </w:rPr>
        <w:t>belüli</w:t>
      </w:r>
    </w:p>
    <w:p>
      <w:pPr>
        <w:pStyle w:val="ListParagraph"/>
        <w:numPr>
          <w:ilvl w:val="0"/>
          <w:numId w:val="576"/>
        </w:numPr>
        <w:tabs>
          <w:tab w:pos="631" w:val="left" w:leader="none"/>
        </w:tabs>
        <w:spacing w:line="260" w:lineRule="exact" w:before="0" w:after="0"/>
        <w:ind w:left="630" w:right="0" w:hanging="313"/>
        <w:jc w:val="left"/>
        <w:rPr>
          <w:sz w:val="24"/>
        </w:rPr>
      </w:pPr>
      <w:r>
        <w:rPr>
          <w:w w:val="130"/>
          <w:sz w:val="24"/>
        </w:rPr>
        <w:t>finanszírozási rendszereket,</w:t>
      </w:r>
      <w:r>
        <w:rPr>
          <w:spacing w:val="-6"/>
          <w:w w:val="130"/>
          <w:sz w:val="24"/>
        </w:rPr>
        <w:t> </w:t>
      </w:r>
      <w:r>
        <w:rPr>
          <w:w w:val="130"/>
          <w:sz w:val="24"/>
        </w:rPr>
        <w:t>és</w:t>
      </w:r>
    </w:p>
    <w:p>
      <w:pPr>
        <w:pStyle w:val="ListParagraph"/>
        <w:numPr>
          <w:ilvl w:val="0"/>
          <w:numId w:val="576"/>
        </w:numPr>
        <w:tabs>
          <w:tab w:pos="775" w:val="left" w:leader="none"/>
          <w:tab w:pos="776" w:val="left" w:leader="none"/>
          <w:tab w:pos="1564" w:val="left" w:leader="none"/>
          <w:tab w:pos="2595" w:val="left" w:leader="none"/>
          <w:tab w:pos="3902" w:val="left" w:leader="none"/>
          <w:tab w:pos="5984" w:val="left" w:leader="none"/>
          <w:tab w:pos="6492" w:val="left" w:leader="none"/>
          <w:tab w:pos="6846" w:val="left" w:leader="none"/>
          <w:tab w:pos="8324" w:val="left" w:leader="none"/>
          <w:tab w:pos="9058" w:val="left" w:leader="none"/>
        </w:tabs>
        <w:spacing w:line="225" w:lineRule="auto" w:before="6" w:after="0"/>
        <w:ind w:left="113" w:right="132" w:firstLine="204"/>
        <w:jc w:val="left"/>
        <w:rPr>
          <w:sz w:val="24"/>
        </w:rPr>
      </w:pPr>
      <w:r>
        <w:rPr>
          <w:w w:val="130"/>
          <w:sz w:val="24"/>
        </w:rPr>
        <w:t>eseti</w:t>
        <w:tab/>
        <w:t>jellegű</w:t>
        <w:tab/>
        <w:t>pénzügyi</w:t>
        <w:tab/>
        <w:t>támogatásokat,</w:t>
        <w:tab/>
        <w:t>ha</w:t>
        <w:tab/>
        <w:t>a</w:t>
        <w:tab/>
        <w:t>támogatás</w:t>
        <w:tab/>
        <w:t>nem</w:t>
        <w:tab/>
      </w:r>
      <w:r>
        <w:rPr>
          <w:spacing w:val="-3"/>
          <w:w w:val="130"/>
          <w:sz w:val="24"/>
        </w:rPr>
        <w:t>jelent </w:t>
      </w:r>
      <w:r>
        <w:rPr>
          <w:w w:val="130"/>
          <w:sz w:val="24"/>
        </w:rPr>
        <w:t>kockázatot a csoport</w:t>
      </w:r>
      <w:r>
        <w:rPr>
          <w:spacing w:val="-11"/>
          <w:w w:val="130"/>
          <w:sz w:val="24"/>
        </w:rPr>
        <w:t> </w:t>
      </w:r>
      <w:r>
        <w:rPr>
          <w:w w:val="130"/>
          <w:sz w:val="24"/>
        </w:rPr>
        <w:t>egészének.</w:t>
      </w:r>
    </w:p>
    <w:p>
      <w:pPr>
        <w:pStyle w:val="ListParagraph"/>
        <w:numPr>
          <w:ilvl w:val="0"/>
          <w:numId w:val="575"/>
        </w:numPr>
        <w:tabs>
          <w:tab w:pos="759" w:val="left" w:leader="none"/>
        </w:tabs>
        <w:spacing w:line="225" w:lineRule="auto" w:before="1" w:after="0"/>
        <w:ind w:left="113" w:right="127" w:firstLine="204"/>
        <w:jc w:val="both"/>
        <w:rPr>
          <w:sz w:val="24"/>
        </w:rPr>
      </w:pPr>
      <w:r>
        <w:rPr>
          <w:w w:val="125"/>
          <w:sz w:val="24"/>
        </w:rPr>
        <w:t>A csoportszintű pénzügyi támogatási megállapodás a csoporthoz tartozó egy vagy több olyan leányvállalatra terjedhet ki, amelyre az összevont alapú felügyelet kiterjed</w:t>
      </w:r>
      <w:r>
        <w:rPr>
          <w:spacing w:val="1"/>
          <w:w w:val="125"/>
          <w:sz w:val="24"/>
        </w:rPr>
        <w:t> </w:t>
      </w:r>
      <w:r>
        <w:rPr>
          <w:w w:val="125"/>
          <w:sz w:val="24"/>
        </w:rPr>
        <w:t>és</w:t>
      </w:r>
    </w:p>
    <w:p>
      <w:pPr>
        <w:pStyle w:val="ListParagraph"/>
        <w:numPr>
          <w:ilvl w:val="0"/>
          <w:numId w:val="577"/>
        </w:numPr>
        <w:tabs>
          <w:tab w:pos="631" w:val="left" w:leader="none"/>
        </w:tabs>
        <w:spacing w:line="256" w:lineRule="exact" w:before="0" w:after="0"/>
        <w:ind w:left="630" w:right="0" w:hanging="313"/>
        <w:jc w:val="left"/>
        <w:rPr>
          <w:sz w:val="24"/>
        </w:rPr>
      </w:pPr>
      <w:r>
        <w:rPr>
          <w:w w:val="130"/>
          <w:sz w:val="24"/>
        </w:rPr>
        <w:t>az anyavállalat által a leányvállalatnak nyújtott</w:t>
      </w:r>
      <w:r>
        <w:rPr>
          <w:spacing w:val="-52"/>
          <w:w w:val="130"/>
          <w:sz w:val="24"/>
        </w:rPr>
        <w:t> </w:t>
      </w:r>
      <w:r>
        <w:rPr>
          <w:w w:val="130"/>
          <w:sz w:val="24"/>
        </w:rPr>
        <w:t>támogatásról,</w:t>
      </w:r>
    </w:p>
    <w:p>
      <w:pPr>
        <w:pStyle w:val="ListParagraph"/>
        <w:numPr>
          <w:ilvl w:val="0"/>
          <w:numId w:val="577"/>
        </w:numPr>
        <w:tabs>
          <w:tab w:pos="653" w:val="left" w:leader="none"/>
        </w:tabs>
        <w:spacing w:line="260" w:lineRule="exact" w:before="0" w:after="0"/>
        <w:ind w:left="652" w:right="0" w:hanging="335"/>
        <w:jc w:val="left"/>
        <w:rPr>
          <w:sz w:val="24"/>
        </w:rPr>
      </w:pPr>
      <w:r>
        <w:rPr>
          <w:w w:val="130"/>
          <w:sz w:val="24"/>
        </w:rPr>
        <w:t>a</w:t>
      </w:r>
      <w:r>
        <w:rPr>
          <w:spacing w:val="-23"/>
          <w:w w:val="130"/>
          <w:sz w:val="24"/>
        </w:rPr>
        <w:t> </w:t>
      </w:r>
      <w:r>
        <w:rPr>
          <w:w w:val="130"/>
          <w:sz w:val="24"/>
        </w:rPr>
        <w:t>leányvállalat</w:t>
      </w:r>
      <w:r>
        <w:rPr>
          <w:spacing w:val="-19"/>
          <w:w w:val="130"/>
          <w:sz w:val="24"/>
        </w:rPr>
        <w:t> </w:t>
      </w:r>
      <w:r>
        <w:rPr>
          <w:w w:val="130"/>
          <w:sz w:val="24"/>
        </w:rPr>
        <w:t>által</w:t>
      </w:r>
      <w:r>
        <w:rPr>
          <w:spacing w:val="-17"/>
          <w:w w:val="130"/>
          <w:sz w:val="24"/>
        </w:rPr>
        <w:t> </w:t>
      </w:r>
      <w:r>
        <w:rPr>
          <w:w w:val="130"/>
          <w:sz w:val="24"/>
        </w:rPr>
        <w:t>az</w:t>
      </w:r>
      <w:r>
        <w:rPr>
          <w:spacing w:val="-17"/>
          <w:w w:val="130"/>
          <w:sz w:val="24"/>
        </w:rPr>
        <w:t> </w:t>
      </w:r>
      <w:r>
        <w:rPr>
          <w:w w:val="130"/>
          <w:sz w:val="24"/>
        </w:rPr>
        <w:t>anyavállalatnak</w:t>
      </w:r>
      <w:r>
        <w:rPr>
          <w:spacing w:val="-14"/>
          <w:w w:val="130"/>
          <w:sz w:val="24"/>
        </w:rPr>
        <w:t> </w:t>
      </w:r>
      <w:r>
        <w:rPr>
          <w:w w:val="130"/>
          <w:sz w:val="24"/>
        </w:rPr>
        <w:t>nyújtott</w:t>
      </w:r>
      <w:r>
        <w:rPr>
          <w:spacing w:val="-18"/>
          <w:w w:val="130"/>
          <w:sz w:val="24"/>
        </w:rPr>
        <w:t> </w:t>
      </w:r>
      <w:r>
        <w:rPr>
          <w:w w:val="130"/>
          <w:sz w:val="24"/>
        </w:rPr>
        <w:t>támogatásról,</w:t>
      </w:r>
      <w:r>
        <w:rPr>
          <w:spacing w:val="-17"/>
          <w:w w:val="130"/>
          <w:sz w:val="24"/>
        </w:rPr>
        <w:t> </w:t>
      </w:r>
      <w:r>
        <w:rPr>
          <w:w w:val="130"/>
          <w:sz w:val="24"/>
        </w:rPr>
        <w:t>valamint</w:t>
      </w:r>
    </w:p>
    <w:p>
      <w:pPr>
        <w:pStyle w:val="ListParagraph"/>
        <w:numPr>
          <w:ilvl w:val="0"/>
          <w:numId w:val="577"/>
        </w:numPr>
        <w:tabs>
          <w:tab w:pos="623" w:val="left" w:leader="none"/>
        </w:tabs>
        <w:spacing w:line="225" w:lineRule="auto" w:before="6" w:after="0"/>
        <w:ind w:left="113" w:right="2531" w:firstLine="204"/>
        <w:jc w:val="left"/>
        <w:rPr>
          <w:sz w:val="24"/>
        </w:rPr>
      </w:pPr>
      <w:r>
        <w:rPr>
          <w:w w:val="130"/>
          <w:sz w:val="24"/>
        </w:rPr>
        <w:t>a</w:t>
      </w:r>
      <w:r>
        <w:rPr>
          <w:spacing w:val="-31"/>
          <w:w w:val="130"/>
          <w:sz w:val="24"/>
        </w:rPr>
        <w:t> </w:t>
      </w:r>
      <w:r>
        <w:rPr>
          <w:w w:val="130"/>
          <w:sz w:val="24"/>
        </w:rPr>
        <w:t>leányvállalatok</w:t>
      </w:r>
      <w:r>
        <w:rPr>
          <w:spacing w:val="-42"/>
          <w:w w:val="130"/>
          <w:sz w:val="24"/>
        </w:rPr>
        <w:t> </w:t>
      </w:r>
      <w:r>
        <w:rPr>
          <w:w w:val="130"/>
          <w:sz w:val="24"/>
        </w:rPr>
        <w:t>egymás</w:t>
      </w:r>
      <w:r>
        <w:rPr>
          <w:spacing w:val="-36"/>
          <w:w w:val="130"/>
          <w:sz w:val="24"/>
        </w:rPr>
        <w:t> </w:t>
      </w:r>
      <w:r>
        <w:rPr>
          <w:w w:val="130"/>
          <w:sz w:val="24"/>
        </w:rPr>
        <w:t>között</w:t>
      </w:r>
      <w:r>
        <w:rPr>
          <w:spacing w:val="-36"/>
          <w:w w:val="130"/>
          <w:sz w:val="24"/>
        </w:rPr>
        <w:t> </w:t>
      </w:r>
      <w:r>
        <w:rPr>
          <w:w w:val="130"/>
          <w:sz w:val="24"/>
        </w:rPr>
        <w:t>nyújtott</w:t>
      </w:r>
      <w:r>
        <w:rPr>
          <w:spacing w:val="-36"/>
          <w:w w:val="130"/>
          <w:sz w:val="24"/>
        </w:rPr>
        <w:t> </w:t>
      </w:r>
      <w:r>
        <w:rPr>
          <w:w w:val="130"/>
          <w:sz w:val="24"/>
        </w:rPr>
        <w:t>támogatásáról rendelkezhet.</w:t>
      </w:r>
    </w:p>
    <w:p>
      <w:pPr>
        <w:pStyle w:val="BodyText"/>
        <w:ind w:left="0" w:firstLine="0"/>
        <w:rPr>
          <w:sz w:val="20"/>
        </w:rPr>
      </w:pPr>
    </w:p>
    <w:p>
      <w:pPr>
        <w:pStyle w:val="BodyText"/>
        <w:ind w:left="0" w:firstLine="0"/>
        <w:rPr>
          <w:sz w:val="20"/>
        </w:rPr>
      </w:pPr>
    </w:p>
    <w:p>
      <w:pPr>
        <w:pStyle w:val="BodyText"/>
        <w:spacing w:before="3"/>
        <w:ind w:left="0" w:firstLine="0"/>
        <w:rPr>
          <w:sz w:val="17"/>
        </w:rPr>
      </w:pPr>
      <w:r>
        <w:rPr/>
        <w:pict>
          <v:line style="position:absolute;mso-position-horizontal-relative:page;mso-position-vertical-relative:paragraph;z-index:2432;mso-wrap-distance-left:0;mso-wrap-distance-right:0" from="56.693001pt,12.158265pt" to="538.583001pt,12.158265pt" stroked="true" strokeweight=".5pt" strokecolor="#000000">
            <v:stroke dashstyle="solid"/>
            <w10:wrap type="topAndBottom"/>
          </v:line>
        </w:pict>
      </w:r>
    </w:p>
    <w:p>
      <w:pPr>
        <w:pStyle w:val="ListParagraph"/>
        <w:numPr>
          <w:ilvl w:val="0"/>
          <w:numId w:val="578"/>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7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78"/>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78"/>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575"/>
        </w:numPr>
        <w:tabs>
          <w:tab w:pos="855" w:val="left" w:leader="none"/>
        </w:tabs>
        <w:spacing w:line="225" w:lineRule="auto" w:before="173" w:after="0"/>
        <w:ind w:left="113" w:right="129" w:firstLine="204"/>
        <w:jc w:val="both"/>
        <w:rPr>
          <w:sz w:val="24"/>
        </w:rPr>
      </w:pPr>
      <w:r>
        <w:rPr>
          <w:w w:val="130"/>
          <w:sz w:val="24"/>
        </w:rPr>
        <w:t>A csoportszintű pénzügyi támogatási megállapodás alapján történő támogatás lehet hitel, garanciavállalás valamint biztosítékként használható eszközök</w:t>
      </w:r>
      <w:r>
        <w:rPr>
          <w:spacing w:val="-4"/>
          <w:w w:val="130"/>
          <w:sz w:val="24"/>
        </w:rPr>
        <w:t> </w:t>
      </w:r>
      <w:r>
        <w:rPr>
          <w:w w:val="130"/>
          <w:sz w:val="24"/>
        </w:rPr>
        <w:t>átruházása.</w:t>
      </w:r>
    </w:p>
    <w:p>
      <w:pPr>
        <w:pStyle w:val="ListParagraph"/>
        <w:numPr>
          <w:ilvl w:val="0"/>
          <w:numId w:val="575"/>
        </w:numPr>
        <w:tabs>
          <w:tab w:pos="757" w:val="left" w:leader="none"/>
        </w:tabs>
        <w:spacing w:line="225" w:lineRule="auto" w:before="1" w:after="0"/>
        <w:ind w:left="113" w:right="123" w:firstLine="204"/>
        <w:jc w:val="both"/>
        <w:rPr>
          <w:sz w:val="24"/>
        </w:rPr>
      </w:pPr>
      <w:r>
        <w:rPr>
          <w:w w:val="130"/>
          <w:sz w:val="24"/>
        </w:rPr>
        <w:t>Ha a csoportszintű pénzügyi támogatási megállapodás alapján a csoport valamely tagja pénzügyi támogatást nyújthat a csoport másik tagjának, a csoportszintű pénzügyi támogatási megállapodás a másik tag támogatásra vonatkozó viszonossági kötelezettségét is</w:t>
      </w:r>
      <w:r>
        <w:rPr>
          <w:spacing w:val="-29"/>
          <w:w w:val="130"/>
          <w:sz w:val="24"/>
        </w:rPr>
        <w:t> </w:t>
      </w:r>
      <w:r>
        <w:rPr>
          <w:w w:val="130"/>
          <w:sz w:val="24"/>
        </w:rPr>
        <w:t>tartalmazhatja.</w:t>
      </w:r>
    </w:p>
    <w:p>
      <w:pPr>
        <w:pStyle w:val="ListParagraph"/>
        <w:numPr>
          <w:ilvl w:val="0"/>
          <w:numId w:val="575"/>
        </w:numPr>
        <w:tabs>
          <w:tab w:pos="763" w:val="left" w:leader="none"/>
        </w:tabs>
        <w:spacing w:line="225" w:lineRule="auto" w:before="3" w:after="0"/>
        <w:ind w:left="113" w:right="131" w:firstLine="204"/>
        <w:jc w:val="both"/>
        <w:rPr>
          <w:sz w:val="24"/>
        </w:rPr>
      </w:pPr>
      <w:r>
        <w:rPr>
          <w:w w:val="125"/>
          <w:sz w:val="24"/>
        </w:rPr>
        <w:t>A  csoportszintű pénzügyi támogatási megállapodásnak tartalmaznia kell  a nyújtható támogatás miatt fizetendő ellenérték számítási elveit is azzal, hogy az ellenértéket a támogatás nyújtásának időpontjában kell meghatározni.</w:t>
      </w:r>
    </w:p>
    <w:p>
      <w:pPr>
        <w:pStyle w:val="ListParagraph"/>
        <w:numPr>
          <w:ilvl w:val="0"/>
          <w:numId w:val="575"/>
        </w:numPr>
        <w:tabs>
          <w:tab w:pos="835" w:val="left" w:leader="none"/>
        </w:tabs>
        <w:spacing w:line="225" w:lineRule="auto" w:before="1" w:after="0"/>
        <w:ind w:left="113" w:right="129" w:firstLine="204"/>
        <w:jc w:val="both"/>
        <w:rPr>
          <w:sz w:val="24"/>
        </w:rPr>
      </w:pPr>
      <w:r>
        <w:rPr>
          <w:w w:val="125"/>
          <w:sz w:val="24"/>
        </w:rPr>
        <w:t>A csoportszintű pénzügyi támogatásnak meg kell felelnie az alábbi elveknek:</w:t>
      </w:r>
    </w:p>
    <w:p>
      <w:pPr>
        <w:pStyle w:val="ListParagraph"/>
        <w:numPr>
          <w:ilvl w:val="0"/>
          <w:numId w:val="579"/>
        </w:numPr>
        <w:tabs>
          <w:tab w:pos="631" w:val="left" w:leader="none"/>
        </w:tabs>
        <w:spacing w:line="256" w:lineRule="exact" w:before="0" w:after="0"/>
        <w:ind w:left="630" w:right="0" w:hanging="313"/>
        <w:jc w:val="left"/>
        <w:rPr>
          <w:sz w:val="24"/>
        </w:rPr>
      </w:pPr>
      <w:r>
        <w:rPr>
          <w:w w:val="130"/>
          <w:sz w:val="24"/>
        </w:rPr>
        <w:t>a</w:t>
      </w:r>
      <w:r>
        <w:rPr>
          <w:spacing w:val="-14"/>
          <w:w w:val="130"/>
          <w:sz w:val="24"/>
        </w:rPr>
        <w:t> </w:t>
      </w:r>
      <w:r>
        <w:rPr>
          <w:w w:val="130"/>
          <w:sz w:val="24"/>
        </w:rPr>
        <w:t>csoport</w:t>
      </w:r>
      <w:r>
        <w:rPr>
          <w:spacing w:val="-12"/>
          <w:w w:val="130"/>
          <w:sz w:val="24"/>
        </w:rPr>
        <w:t> </w:t>
      </w:r>
      <w:r>
        <w:rPr>
          <w:w w:val="130"/>
          <w:sz w:val="24"/>
        </w:rPr>
        <w:t>minden tagja</w:t>
      </w:r>
      <w:r>
        <w:rPr>
          <w:spacing w:val="-26"/>
          <w:w w:val="130"/>
          <w:sz w:val="24"/>
        </w:rPr>
        <w:t> </w:t>
      </w:r>
      <w:r>
        <w:rPr>
          <w:w w:val="130"/>
          <w:sz w:val="24"/>
        </w:rPr>
        <w:t>szabadon</w:t>
      </w:r>
      <w:r>
        <w:rPr>
          <w:spacing w:val="-12"/>
          <w:w w:val="130"/>
          <w:sz w:val="24"/>
        </w:rPr>
        <w:t> </w:t>
      </w:r>
      <w:r>
        <w:rPr>
          <w:w w:val="130"/>
          <w:sz w:val="24"/>
        </w:rPr>
        <w:t>dönthet</w:t>
      </w:r>
      <w:r>
        <w:rPr>
          <w:spacing w:val="-12"/>
          <w:w w:val="130"/>
          <w:sz w:val="24"/>
        </w:rPr>
        <w:t> </w:t>
      </w:r>
      <w:r>
        <w:rPr>
          <w:w w:val="130"/>
          <w:sz w:val="24"/>
        </w:rPr>
        <w:t>a</w:t>
      </w:r>
      <w:r>
        <w:rPr>
          <w:spacing w:val="-14"/>
          <w:w w:val="130"/>
          <w:sz w:val="24"/>
        </w:rPr>
        <w:t> </w:t>
      </w:r>
      <w:r>
        <w:rPr>
          <w:w w:val="130"/>
          <w:sz w:val="24"/>
        </w:rPr>
        <w:t>megállapodás</w:t>
      </w:r>
      <w:r>
        <w:rPr>
          <w:spacing w:val="-13"/>
          <w:w w:val="130"/>
          <w:sz w:val="24"/>
        </w:rPr>
        <w:t> </w:t>
      </w:r>
      <w:r>
        <w:rPr>
          <w:w w:val="130"/>
          <w:sz w:val="24"/>
        </w:rPr>
        <w:t>megkötéséről,</w:t>
      </w:r>
    </w:p>
    <w:p>
      <w:pPr>
        <w:pStyle w:val="ListParagraph"/>
        <w:numPr>
          <w:ilvl w:val="0"/>
          <w:numId w:val="579"/>
        </w:numPr>
        <w:tabs>
          <w:tab w:pos="651" w:val="left" w:leader="none"/>
        </w:tabs>
        <w:spacing w:line="225" w:lineRule="auto" w:before="6" w:after="0"/>
        <w:ind w:left="113" w:right="128" w:firstLine="204"/>
        <w:jc w:val="both"/>
        <w:rPr>
          <w:sz w:val="24"/>
        </w:rPr>
      </w:pPr>
      <w:r>
        <w:rPr>
          <w:w w:val="130"/>
          <w:sz w:val="24"/>
        </w:rPr>
        <w:t>a</w:t>
      </w:r>
      <w:r>
        <w:rPr>
          <w:spacing w:val="-12"/>
          <w:w w:val="130"/>
          <w:sz w:val="24"/>
        </w:rPr>
        <w:t> </w:t>
      </w:r>
      <w:r>
        <w:rPr>
          <w:w w:val="130"/>
          <w:sz w:val="24"/>
        </w:rPr>
        <w:t>megállapodás</w:t>
      </w:r>
      <w:r>
        <w:rPr>
          <w:spacing w:val="-11"/>
          <w:w w:val="130"/>
          <w:sz w:val="24"/>
        </w:rPr>
        <w:t> </w:t>
      </w:r>
      <w:r>
        <w:rPr>
          <w:w w:val="130"/>
          <w:sz w:val="24"/>
        </w:rPr>
        <w:t>megkötése</w:t>
      </w:r>
      <w:r>
        <w:rPr>
          <w:spacing w:val="-11"/>
          <w:w w:val="130"/>
          <w:sz w:val="24"/>
        </w:rPr>
        <w:t> </w:t>
      </w:r>
      <w:r>
        <w:rPr>
          <w:w w:val="130"/>
          <w:sz w:val="24"/>
        </w:rPr>
        <w:t>és</w:t>
      </w:r>
      <w:r>
        <w:rPr>
          <w:spacing w:val="-11"/>
          <w:w w:val="130"/>
          <w:sz w:val="24"/>
        </w:rPr>
        <w:t> </w:t>
      </w:r>
      <w:r>
        <w:rPr>
          <w:w w:val="130"/>
          <w:sz w:val="24"/>
        </w:rPr>
        <w:t>a</w:t>
      </w:r>
      <w:r>
        <w:rPr>
          <w:spacing w:val="-12"/>
          <w:w w:val="130"/>
          <w:sz w:val="24"/>
        </w:rPr>
        <w:t> </w:t>
      </w:r>
      <w:r>
        <w:rPr>
          <w:w w:val="130"/>
          <w:sz w:val="24"/>
        </w:rPr>
        <w:t>pénzügyi</w:t>
      </w:r>
      <w:r>
        <w:rPr>
          <w:spacing w:val="-11"/>
          <w:w w:val="130"/>
          <w:sz w:val="24"/>
        </w:rPr>
        <w:t> </w:t>
      </w:r>
      <w:r>
        <w:rPr>
          <w:w w:val="130"/>
          <w:sz w:val="24"/>
        </w:rPr>
        <w:t>támogatás</w:t>
      </w:r>
      <w:r>
        <w:rPr>
          <w:spacing w:val="-11"/>
          <w:w w:val="130"/>
          <w:sz w:val="24"/>
        </w:rPr>
        <w:t> </w:t>
      </w:r>
      <w:r>
        <w:rPr>
          <w:w w:val="130"/>
          <w:sz w:val="24"/>
        </w:rPr>
        <w:t>nyújtásáért</w:t>
      </w:r>
      <w:r>
        <w:rPr>
          <w:spacing w:val="-11"/>
          <w:w w:val="130"/>
          <w:sz w:val="24"/>
        </w:rPr>
        <w:t> </w:t>
      </w:r>
      <w:r>
        <w:rPr>
          <w:w w:val="130"/>
          <w:sz w:val="24"/>
        </w:rPr>
        <w:t>fizetendő ellenérték meghatározása során a csoport minden tagja a saját érdekei szerint cselekszik, amelybe beletartozhat minden közvetlen vagy közvetett előny, amelyben a pénzügyi támogatás nyújtásának következtében valamely tag részesül,</w:t>
      </w:r>
    </w:p>
    <w:p>
      <w:pPr>
        <w:pStyle w:val="ListParagraph"/>
        <w:numPr>
          <w:ilvl w:val="0"/>
          <w:numId w:val="579"/>
        </w:numPr>
        <w:tabs>
          <w:tab w:pos="647" w:val="left" w:leader="none"/>
        </w:tabs>
        <w:spacing w:line="225" w:lineRule="auto" w:before="3" w:after="0"/>
        <w:ind w:left="113" w:right="117" w:firstLine="204"/>
        <w:jc w:val="both"/>
        <w:rPr>
          <w:sz w:val="24"/>
        </w:rPr>
      </w:pPr>
      <w:r>
        <w:rPr>
          <w:w w:val="130"/>
          <w:sz w:val="24"/>
        </w:rPr>
        <w:t>a csoport támogatást nyújtó tagjának minden szükséges információt meg kell kapnia a támogatásban részesülőtől még a fizetendő ellenérték meghatározása, valamint a támogatás nyújtásáról szóló döntés meghozatala előtt,</w:t>
      </w:r>
    </w:p>
    <w:p>
      <w:pPr>
        <w:pStyle w:val="ListParagraph"/>
        <w:numPr>
          <w:ilvl w:val="0"/>
          <w:numId w:val="579"/>
        </w:numPr>
        <w:tabs>
          <w:tab w:pos="863" w:val="left" w:leader="none"/>
        </w:tabs>
        <w:spacing w:line="225" w:lineRule="auto" w:before="2" w:after="0"/>
        <w:ind w:left="113" w:right="128" w:firstLine="204"/>
        <w:jc w:val="both"/>
        <w:rPr>
          <w:sz w:val="24"/>
        </w:rPr>
      </w:pPr>
      <w:r>
        <w:rPr>
          <w:w w:val="130"/>
          <w:sz w:val="24"/>
        </w:rPr>
        <w:t>a támogatás nyújtásáért fizetendő ellenérték meghatározásakor figyelembe vehetők azok a piacon hozzá nem férhető információk is, amelyekkel a támogatást nyújtó fél rendelkezik abból eredően, hogy ugyanazon csoport tagja, mint a támogatásban</w:t>
      </w:r>
      <w:r>
        <w:rPr>
          <w:spacing w:val="-58"/>
          <w:w w:val="130"/>
          <w:sz w:val="24"/>
        </w:rPr>
        <w:t> </w:t>
      </w:r>
      <w:r>
        <w:rPr>
          <w:w w:val="130"/>
          <w:sz w:val="24"/>
        </w:rPr>
        <w:t>részesülő, valamint</w:t>
      </w:r>
    </w:p>
    <w:p>
      <w:pPr>
        <w:pStyle w:val="ListParagraph"/>
        <w:numPr>
          <w:ilvl w:val="0"/>
          <w:numId w:val="579"/>
        </w:numPr>
        <w:tabs>
          <w:tab w:pos="745" w:val="left" w:leader="none"/>
        </w:tabs>
        <w:spacing w:line="225" w:lineRule="auto" w:before="2" w:after="0"/>
        <w:ind w:left="113" w:right="131" w:firstLine="204"/>
        <w:jc w:val="both"/>
        <w:rPr>
          <w:sz w:val="24"/>
        </w:rPr>
      </w:pPr>
      <w:r>
        <w:rPr>
          <w:w w:val="130"/>
          <w:sz w:val="24"/>
        </w:rPr>
        <w:t>a támogatás nyújtásáért fizetendő ellenérték számítási elveibe nem tartozik bele az a kötelezettség, hogy figyelembe vegyék a csoporton kívüli eseményeknek a piaci árakra gyakorolt várható ideiglenes</w:t>
      </w:r>
      <w:r>
        <w:rPr>
          <w:spacing w:val="-50"/>
          <w:w w:val="130"/>
          <w:sz w:val="24"/>
        </w:rPr>
        <w:t> </w:t>
      </w:r>
      <w:r>
        <w:rPr>
          <w:w w:val="130"/>
          <w:sz w:val="24"/>
        </w:rPr>
        <w:t>hatását.</w:t>
      </w:r>
    </w:p>
    <w:p>
      <w:pPr>
        <w:pStyle w:val="ListParagraph"/>
        <w:numPr>
          <w:ilvl w:val="0"/>
          <w:numId w:val="575"/>
        </w:numPr>
        <w:tabs>
          <w:tab w:pos="891" w:val="left" w:leader="none"/>
        </w:tabs>
        <w:spacing w:line="225" w:lineRule="auto" w:before="2" w:after="0"/>
        <w:ind w:left="113" w:right="126" w:firstLine="204"/>
        <w:jc w:val="both"/>
        <w:rPr>
          <w:sz w:val="24"/>
        </w:rPr>
      </w:pPr>
      <w:r>
        <w:rPr>
          <w:w w:val="130"/>
          <w:sz w:val="24"/>
        </w:rPr>
        <w:t>A csoportszintű pénzügyi támogatási megállapodás megkötésének feltétele, hogy az szerződés időpontjában a megállapodó felek egyike sincs abban a helyzetben, hogy vele szemben az illetékes felügyeleti hatóság intézkedést, kivételes intézkedést</w:t>
      </w:r>
      <w:r>
        <w:rPr>
          <w:spacing w:val="-18"/>
          <w:w w:val="130"/>
          <w:sz w:val="24"/>
        </w:rPr>
        <w:t> </w:t>
      </w:r>
      <w:r>
        <w:rPr>
          <w:w w:val="130"/>
          <w:sz w:val="24"/>
        </w:rPr>
        <w:t>alkalmazzon.</w:t>
      </w:r>
    </w:p>
    <w:p>
      <w:pPr>
        <w:pStyle w:val="BodyText"/>
        <w:spacing w:line="225" w:lineRule="auto" w:before="1"/>
        <w:ind w:right="108"/>
        <w:jc w:val="both"/>
      </w:pPr>
      <w:r>
        <w:rPr>
          <w:rFonts w:ascii="Arial" w:hAnsi="Arial"/>
          <w:b/>
          <w:w w:val="125"/>
        </w:rPr>
        <w:t>257/B. §</w:t>
      </w:r>
      <w:r>
        <w:rPr>
          <w:i/>
          <w:w w:val="125"/>
          <w:position w:val="3"/>
          <w:sz w:val="18"/>
        </w:rPr>
        <w:t>1 </w:t>
      </w:r>
      <w:r>
        <w:rPr>
          <w:w w:val="125"/>
        </w:rPr>
        <w:t>(1) A csoportszintű pénzügyi támogatásra vonatkozó megállapodás megkötéséhez az EU-szintű hitelintézeti anyavállalat székhelye szerinti EGT-állam illetékes felügyeleti hatósága határozata szükséges azzal, hogy</w:t>
      </w:r>
    </w:p>
    <w:p>
      <w:pPr>
        <w:pStyle w:val="ListParagraph"/>
        <w:numPr>
          <w:ilvl w:val="0"/>
          <w:numId w:val="580"/>
        </w:numPr>
        <w:tabs>
          <w:tab w:pos="668" w:val="left" w:leader="none"/>
        </w:tabs>
        <w:spacing w:line="225" w:lineRule="auto" w:before="2" w:after="0"/>
        <w:ind w:left="113" w:right="127" w:firstLine="204"/>
        <w:jc w:val="both"/>
        <w:rPr>
          <w:sz w:val="24"/>
        </w:rPr>
      </w:pPr>
      <w:r>
        <w:rPr>
          <w:w w:val="130"/>
          <w:sz w:val="24"/>
        </w:rPr>
        <w:t>a kérelmet az EU-szintű hitelintézeti anyavállalat nyújtja be a székhelye szerinti EGT-állam illetékes felügyeleti</w:t>
      </w:r>
      <w:r>
        <w:rPr>
          <w:spacing w:val="-31"/>
          <w:w w:val="130"/>
          <w:sz w:val="24"/>
        </w:rPr>
        <w:t> </w:t>
      </w:r>
      <w:r>
        <w:rPr>
          <w:w w:val="130"/>
          <w:sz w:val="24"/>
        </w:rPr>
        <w:t>hatóságának,</w:t>
      </w:r>
    </w:p>
    <w:p>
      <w:pPr>
        <w:pStyle w:val="ListParagraph"/>
        <w:numPr>
          <w:ilvl w:val="0"/>
          <w:numId w:val="580"/>
        </w:numPr>
        <w:tabs>
          <w:tab w:pos="687" w:val="left" w:leader="none"/>
        </w:tabs>
        <w:spacing w:line="225" w:lineRule="auto" w:before="1" w:after="0"/>
        <w:ind w:left="113" w:right="131" w:firstLine="204"/>
        <w:jc w:val="both"/>
        <w:rPr>
          <w:sz w:val="24"/>
        </w:rPr>
      </w:pPr>
      <w:r>
        <w:rPr>
          <w:w w:val="130"/>
          <w:sz w:val="24"/>
        </w:rPr>
        <w:t>a kérelem tartalmazza a csoportszintű pénzügyi támogatásra vonatkozó megállapodás tervezetét és meghatározza a csoporthoz tartozó azon szervezeteket,</w:t>
      </w:r>
      <w:r>
        <w:rPr>
          <w:spacing w:val="-15"/>
          <w:w w:val="130"/>
          <w:sz w:val="24"/>
        </w:rPr>
        <w:t> </w:t>
      </w:r>
      <w:r>
        <w:rPr>
          <w:w w:val="130"/>
          <w:sz w:val="24"/>
        </w:rPr>
        <w:t>amelyek</w:t>
      </w:r>
      <w:r>
        <w:rPr>
          <w:spacing w:val="-16"/>
          <w:w w:val="130"/>
          <w:sz w:val="24"/>
        </w:rPr>
        <w:t> </w:t>
      </w:r>
      <w:r>
        <w:rPr>
          <w:w w:val="130"/>
          <w:sz w:val="24"/>
        </w:rPr>
        <w:t>a</w:t>
      </w:r>
      <w:r>
        <w:rPr>
          <w:spacing w:val="-16"/>
          <w:w w:val="130"/>
          <w:sz w:val="24"/>
        </w:rPr>
        <w:t> </w:t>
      </w:r>
      <w:r>
        <w:rPr>
          <w:w w:val="130"/>
          <w:sz w:val="24"/>
        </w:rPr>
        <w:t>megállapodásban</w:t>
      </w:r>
      <w:r>
        <w:rPr>
          <w:spacing w:val="-16"/>
          <w:w w:val="130"/>
          <w:sz w:val="24"/>
        </w:rPr>
        <w:t> </w:t>
      </w:r>
      <w:r>
        <w:rPr>
          <w:w w:val="130"/>
          <w:sz w:val="24"/>
        </w:rPr>
        <w:t>félként</w:t>
      </w:r>
      <w:r>
        <w:rPr>
          <w:spacing w:val="-15"/>
          <w:w w:val="130"/>
          <w:sz w:val="24"/>
        </w:rPr>
        <w:t> </w:t>
      </w:r>
      <w:r>
        <w:rPr>
          <w:w w:val="130"/>
          <w:sz w:val="24"/>
        </w:rPr>
        <w:t>szerepelnek,</w:t>
      </w:r>
      <w:r>
        <w:rPr>
          <w:spacing w:val="-15"/>
          <w:w w:val="130"/>
          <w:sz w:val="24"/>
        </w:rPr>
        <w:t> </w:t>
      </w:r>
      <w:r>
        <w:rPr>
          <w:w w:val="130"/>
          <w:sz w:val="24"/>
        </w:rPr>
        <w:t>valamint</w:t>
      </w:r>
    </w:p>
    <w:p>
      <w:pPr>
        <w:pStyle w:val="ListParagraph"/>
        <w:numPr>
          <w:ilvl w:val="0"/>
          <w:numId w:val="580"/>
        </w:numPr>
        <w:tabs>
          <w:tab w:pos="718" w:val="left" w:leader="none"/>
        </w:tabs>
        <w:spacing w:line="225" w:lineRule="auto" w:before="2" w:after="0"/>
        <w:ind w:left="113" w:right="129" w:firstLine="204"/>
        <w:jc w:val="both"/>
        <w:rPr>
          <w:sz w:val="24"/>
        </w:rPr>
      </w:pPr>
      <w:r>
        <w:rPr>
          <w:w w:val="130"/>
          <w:sz w:val="24"/>
        </w:rPr>
        <w:t>a Felügyelet részére benyújtott, határon átnyúló csoport esetében a többoldalú</w:t>
      </w:r>
      <w:r>
        <w:rPr>
          <w:spacing w:val="-33"/>
          <w:w w:val="130"/>
          <w:sz w:val="24"/>
        </w:rPr>
        <w:t> </w:t>
      </w:r>
      <w:r>
        <w:rPr>
          <w:w w:val="130"/>
          <w:sz w:val="24"/>
        </w:rPr>
        <w:t>eljárásra</w:t>
      </w:r>
      <w:r>
        <w:rPr>
          <w:spacing w:val="-32"/>
          <w:w w:val="130"/>
          <w:sz w:val="24"/>
        </w:rPr>
        <w:t> </w:t>
      </w:r>
      <w:r>
        <w:rPr>
          <w:w w:val="130"/>
          <w:sz w:val="24"/>
        </w:rPr>
        <w:t>vonatkozó</w:t>
      </w:r>
      <w:r>
        <w:rPr>
          <w:spacing w:val="-32"/>
          <w:w w:val="130"/>
          <w:sz w:val="24"/>
        </w:rPr>
        <w:t> </w:t>
      </w:r>
      <w:r>
        <w:rPr>
          <w:w w:val="130"/>
          <w:sz w:val="24"/>
        </w:rPr>
        <w:t>173.</w:t>
      </w:r>
      <w:r>
        <w:rPr>
          <w:spacing w:val="-22"/>
          <w:w w:val="130"/>
          <w:sz w:val="24"/>
        </w:rPr>
        <w:t> </w:t>
      </w:r>
      <w:r>
        <w:rPr>
          <w:w w:val="130"/>
          <w:sz w:val="24"/>
        </w:rPr>
        <w:t>§-ban</w:t>
      </w:r>
      <w:r>
        <w:rPr>
          <w:spacing w:val="-42"/>
          <w:w w:val="130"/>
          <w:sz w:val="24"/>
        </w:rPr>
        <w:t> </w:t>
      </w:r>
      <w:r>
        <w:rPr>
          <w:w w:val="130"/>
          <w:sz w:val="24"/>
        </w:rPr>
        <w:t>foglaltakat</w:t>
      </w:r>
      <w:r>
        <w:rPr>
          <w:spacing w:val="-31"/>
          <w:w w:val="130"/>
          <w:sz w:val="24"/>
        </w:rPr>
        <w:t> </w:t>
      </w:r>
      <w:r>
        <w:rPr>
          <w:w w:val="130"/>
          <w:sz w:val="24"/>
        </w:rPr>
        <w:t>az</w:t>
      </w:r>
      <w:r>
        <w:rPr>
          <w:spacing w:val="-25"/>
          <w:w w:val="130"/>
          <w:sz w:val="24"/>
        </w:rPr>
        <w:t> </w:t>
      </w:r>
      <w:r>
        <w:rPr>
          <w:w w:val="130"/>
          <w:sz w:val="24"/>
        </w:rPr>
        <w:t>e</w:t>
      </w:r>
      <w:r>
        <w:rPr>
          <w:spacing w:val="-38"/>
          <w:w w:val="130"/>
          <w:sz w:val="24"/>
        </w:rPr>
        <w:t> </w:t>
      </w:r>
      <w:r>
        <w:rPr>
          <w:w w:val="130"/>
          <w:sz w:val="24"/>
        </w:rPr>
        <w:t>§-ban</w:t>
      </w:r>
      <w:r>
        <w:rPr>
          <w:spacing w:val="-32"/>
          <w:w w:val="130"/>
          <w:sz w:val="24"/>
        </w:rPr>
        <w:t> </w:t>
      </w:r>
      <w:r>
        <w:rPr>
          <w:w w:val="130"/>
          <w:sz w:val="24"/>
        </w:rPr>
        <w:t>meghatározott eltérésekkel kell</w:t>
      </w:r>
      <w:r>
        <w:rPr>
          <w:spacing w:val="-9"/>
          <w:w w:val="130"/>
          <w:sz w:val="24"/>
        </w:rPr>
        <w:t> </w:t>
      </w:r>
      <w:r>
        <w:rPr>
          <w:w w:val="130"/>
          <w:sz w:val="24"/>
        </w:rPr>
        <w:t>alkalmazni.</w:t>
      </w:r>
    </w:p>
    <w:p>
      <w:pPr>
        <w:pStyle w:val="ListParagraph"/>
        <w:numPr>
          <w:ilvl w:val="0"/>
          <w:numId w:val="581"/>
        </w:numPr>
        <w:tabs>
          <w:tab w:pos="916" w:val="left" w:leader="none"/>
        </w:tabs>
        <w:spacing w:line="225" w:lineRule="auto" w:before="2" w:after="0"/>
        <w:ind w:left="113" w:right="130" w:firstLine="204"/>
        <w:jc w:val="both"/>
        <w:rPr>
          <w:sz w:val="24"/>
        </w:rPr>
      </w:pPr>
      <w:r>
        <w:rPr>
          <w:w w:val="130"/>
          <w:sz w:val="24"/>
        </w:rPr>
        <w:t>Ha a Felügyelet látja el az EU-szintű hitelintézeti anyavállalat felügyeletét,</w:t>
      </w:r>
      <w:r>
        <w:rPr>
          <w:spacing w:val="-3"/>
          <w:w w:val="130"/>
          <w:sz w:val="24"/>
        </w:rPr>
        <w:t> </w:t>
      </w:r>
      <w:r>
        <w:rPr>
          <w:w w:val="130"/>
          <w:sz w:val="24"/>
        </w:rPr>
        <w:t>akkor</w:t>
      </w:r>
    </w:p>
    <w:p>
      <w:pPr>
        <w:pStyle w:val="ListParagraph"/>
        <w:numPr>
          <w:ilvl w:val="0"/>
          <w:numId w:val="582"/>
        </w:numPr>
        <w:tabs>
          <w:tab w:pos="678" w:val="left" w:leader="none"/>
        </w:tabs>
        <w:spacing w:line="225" w:lineRule="auto" w:before="1" w:after="0"/>
        <w:ind w:left="113" w:right="130" w:firstLine="204"/>
        <w:jc w:val="both"/>
        <w:rPr>
          <w:sz w:val="24"/>
        </w:rPr>
      </w:pPr>
      <w:r>
        <w:rPr>
          <w:w w:val="130"/>
          <w:sz w:val="24"/>
        </w:rPr>
        <w:t>az (1) bekezdésben meghatározott kérelmet haladéktalanul továbbítja a megállapodás tervezetben félként szereplő minden egyes leányvállalat</w:t>
      </w:r>
      <w:r>
        <w:rPr>
          <w:spacing w:val="78"/>
          <w:w w:val="130"/>
          <w:sz w:val="24"/>
        </w:rPr>
        <w:t> </w:t>
      </w:r>
      <w:r>
        <w:rPr>
          <w:w w:val="130"/>
          <w:sz w:val="24"/>
        </w:rPr>
        <w:t>illetékes felügyeleti</w:t>
      </w:r>
      <w:r>
        <w:rPr>
          <w:spacing w:val="-8"/>
          <w:w w:val="130"/>
          <w:sz w:val="24"/>
        </w:rPr>
        <w:t> </w:t>
      </w:r>
      <w:r>
        <w:rPr>
          <w:w w:val="130"/>
          <w:sz w:val="24"/>
        </w:rPr>
        <w:t>hatóságának,</w:t>
      </w:r>
    </w:p>
    <w:p>
      <w:pPr>
        <w:pStyle w:val="ListParagraph"/>
        <w:numPr>
          <w:ilvl w:val="0"/>
          <w:numId w:val="582"/>
        </w:numPr>
        <w:tabs>
          <w:tab w:pos="653" w:val="left" w:leader="none"/>
        </w:tabs>
        <w:spacing w:line="264" w:lineRule="exact" w:before="0" w:after="0"/>
        <w:ind w:left="652" w:right="0" w:hanging="335"/>
        <w:jc w:val="left"/>
        <w:rPr>
          <w:sz w:val="24"/>
        </w:rPr>
      </w:pPr>
      <w:r>
        <w:rPr>
          <w:w w:val="130"/>
          <w:sz w:val="24"/>
        </w:rPr>
        <w:t>a (3)-(5) bekezdésben meghatározott eljárásnak</w:t>
      </w:r>
      <w:r>
        <w:rPr>
          <w:spacing w:val="-55"/>
          <w:w w:val="130"/>
          <w:sz w:val="24"/>
        </w:rPr>
        <w:t> </w:t>
      </w:r>
      <w:r>
        <w:rPr>
          <w:w w:val="130"/>
          <w:sz w:val="24"/>
        </w:rPr>
        <w:t>megfelelően</w:t>
      </w:r>
    </w:p>
    <w:p>
      <w:pPr>
        <w:pStyle w:val="BodyText"/>
        <w:spacing w:before="5"/>
        <w:ind w:left="0" w:firstLine="0"/>
        <w:rPr>
          <w:sz w:val="27"/>
        </w:rPr>
      </w:pPr>
      <w:r>
        <w:rPr/>
        <w:pict>
          <v:line style="position:absolute;mso-position-horizontal-relative:page;mso-position-vertical-relative:paragraph;z-index:2456;mso-wrap-distance-left:0;mso-wrap-distance-right:0" from="56.693001pt,17.998758pt" to="538.583001pt,17.99875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2018. évi CXXVI. törvény 114. §. Hatályos: 2018. XII.</w:t>
      </w:r>
      <w:r>
        <w:rPr>
          <w:i/>
          <w:spacing w:val="-25"/>
          <w:w w:val="125"/>
          <w:sz w:val="18"/>
        </w:rPr>
        <w:t> </w:t>
      </w:r>
      <w:r>
        <w:rPr>
          <w:i/>
          <w:w w:val="125"/>
          <w:sz w:val="18"/>
        </w:rPr>
        <w:t>29-től.</w:t>
      </w:r>
    </w:p>
    <w:p>
      <w:pPr>
        <w:spacing w:after="0"/>
        <w:jc w:val="left"/>
        <w:rPr>
          <w:sz w:val="18"/>
        </w:rPr>
        <w:sectPr>
          <w:pgSz w:w="11900" w:h="16820"/>
          <w:pgMar w:header="1104" w:footer="0" w:top="1840" w:bottom="280" w:left="1020" w:right="1000"/>
        </w:sectPr>
      </w:pPr>
    </w:p>
    <w:p>
      <w:pPr>
        <w:pStyle w:val="BodyText"/>
        <w:spacing w:line="225" w:lineRule="auto" w:before="173"/>
        <w:ind w:right="129"/>
        <w:jc w:val="both"/>
      </w:pPr>
      <w:r>
        <w:rPr>
          <w:i/>
          <w:w w:val="130"/>
        </w:rPr>
        <w:t>ba) </w:t>
      </w:r>
      <w:r>
        <w:rPr>
          <w:w w:val="130"/>
        </w:rPr>
        <w:t>engedélyezi a csoportszintű pénzügyi támogatásra vonatkozó megállapodás megkötését, ha a megállapodás tervezetében foglaltak megfelelnek a 257/C. §-ban meghatározott feltételeknek,</w:t>
      </w:r>
    </w:p>
    <w:p>
      <w:pPr>
        <w:pStyle w:val="BodyText"/>
        <w:spacing w:line="225" w:lineRule="auto" w:before="1"/>
        <w:ind w:right="128"/>
        <w:jc w:val="both"/>
      </w:pPr>
      <w:r>
        <w:rPr>
          <w:i/>
          <w:w w:val="130"/>
        </w:rPr>
        <w:t>bb)</w:t>
      </w:r>
      <w:r>
        <w:rPr>
          <w:i/>
          <w:spacing w:val="-23"/>
          <w:w w:val="130"/>
        </w:rPr>
        <w:t> </w:t>
      </w:r>
      <w:r>
        <w:rPr>
          <w:w w:val="130"/>
        </w:rPr>
        <w:t>elutasítja</w:t>
      </w:r>
      <w:r>
        <w:rPr>
          <w:spacing w:val="-24"/>
          <w:w w:val="130"/>
        </w:rPr>
        <w:t> </w:t>
      </w:r>
      <w:r>
        <w:rPr>
          <w:w w:val="130"/>
        </w:rPr>
        <w:t>a</w:t>
      </w:r>
      <w:r>
        <w:rPr>
          <w:spacing w:val="-23"/>
          <w:w w:val="130"/>
        </w:rPr>
        <w:t> </w:t>
      </w:r>
      <w:r>
        <w:rPr>
          <w:w w:val="130"/>
        </w:rPr>
        <w:t>csoportszintű</w:t>
      </w:r>
      <w:r>
        <w:rPr>
          <w:spacing w:val="-22"/>
          <w:w w:val="130"/>
        </w:rPr>
        <w:t> </w:t>
      </w:r>
      <w:r>
        <w:rPr>
          <w:w w:val="130"/>
        </w:rPr>
        <w:t>pénzügyi</w:t>
      </w:r>
      <w:r>
        <w:rPr>
          <w:spacing w:val="-23"/>
          <w:w w:val="130"/>
        </w:rPr>
        <w:t> </w:t>
      </w:r>
      <w:r>
        <w:rPr>
          <w:w w:val="130"/>
        </w:rPr>
        <w:t>támogatásra</w:t>
      </w:r>
      <w:r>
        <w:rPr>
          <w:spacing w:val="-24"/>
          <w:w w:val="130"/>
        </w:rPr>
        <w:t> </w:t>
      </w:r>
      <w:r>
        <w:rPr>
          <w:w w:val="130"/>
        </w:rPr>
        <w:t>vonatkozó</w:t>
      </w:r>
      <w:r>
        <w:rPr>
          <w:spacing w:val="-23"/>
          <w:w w:val="130"/>
        </w:rPr>
        <w:t> </w:t>
      </w:r>
      <w:r>
        <w:rPr>
          <w:w w:val="130"/>
        </w:rPr>
        <w:t>megállapodás megkötését, ha a megállapodás tervezetében foglaltak nem felelnek meg a</w:t>
      </w:r>
      <w:r>
        <w:rPr>
          <w:spacing w:val="78"/>
          <w:w w:val="130"/>
        </w:rPr>
        <w:t> </w:t>
      </w:r>
      <w:r>
        <w:rPr>
          <w:w w:val="130"/>
        </w:rPr>
        <w:t>257/C. §-ban meghatározott</w:t>
      </w:r>
      <w:r>
        <w:rPr>
          <w:spacing w:val="-16"/>
          <w:w w:val="130"/>
        </w:rPr>
        <w:t> </w:t>
      </w:r>
      <w:r>
        <w:rPr>
          <w:w w:val="130"/>
        </w:rPr>
        <w:t>feltételeknek.</w:t>
      </w:r>
    </w:p>
    <w:p>
      <w:pPr>
        <w:pStyle w:val="ListParagraph"/>
        <w:numPr>
          <w:ilvl w:val="0"/>
          <w:numId w:val="581"/>
        </w:numPr>
        <w:tabs>
          <w:tab w:pos="806" w:val="left" w:leader="none"/>
        </w:tabs>
        <w:spacing w:line="225" w:lineRule="auto" w:before="2" w:after="0"/>
        <w:ind w:left="113" w:right="118" w:firstLine="204"/>
        <w:jc w:val="both"/>
        <w:rPr>
          <w:sz w:val="24"/>
        </w:rPr>
      </w:pPr>
      <w:r>
        <w:rPr>
          <w:w w:val="125"/>
          <w:sz w:val="24"/>
        </w:rPr>
        <w:t>A Felügyelet minden tőle telhetőt megtesz annak érdekében, hogy a kérelem beérkezését követő négy hónapon belül határozatot hozzon - határon átnyúló csoport esetében többoldalú eljárás keretében határozatot hozzanak - arról, hogy a megállapodás tervezetében foglaltak megfelelnek-e a</w:t>
      </w:r>
      <w:r>
        <w:rPr>
          <w:spacing w:val="45"/>
          <w:w w:val="125"/>
          <w:sz w:val="24"/>
        </w:rPr>
        <w:t> </w:t>
      </w:r>
      <w:r>
        <w:rPr>
          <w:w w:val="125"/>
          <w:sz w:val="24"/>
        </w:rPr>
        <w:t>257/C.</w:t>
      </w:r>
    </w:p>
    <w:p>
      <w:pPr>
        <w:pStyle w:val="BodyText"/>
        <w:spacing w:line="225" w:lineRule="auto" w:before="2"/>
        <w:ind w:right="124" w:firstLine="0"/>
        <w:jc w:val="both"/>
      </w:pPr>
      <w:r>
        <w:rPr>
          <w:w w:val="125"/>
        </w:rPr>
        <w:t>§-ban meghatározott feltételeknek, figyelembe véve a megállapodás végrehajtásának a csoport működése szerinti valamennyi EGT-államban kifejtett lehetséges hatását, ideértve a költségvetési következményeket</w:t>
      </w:r>
      <w:r>
        <w:rPr>
          <w:spacing w:val="10"/>
          <w:w w:val="125"/>
        </w:rPr>
        <w:t> </w:t>
      </w:r>
      <w:r>
        <w:rPr>
          <w:w w:val="125"/>
        </w:rPr>
        <w:t>is.</w:t>
      </w:r>
    </w:p>
    <w:p>
      <w:pPr>
        <w:pStyle w:val="ListParagraph"/>
        <w:numPr>
          <w:ilvl w:val="0"/>
          <w:numId w:val="581"/>
        </w:numPr>
        <w:tabs>
          <w:tab w:pos="916" w:val="left" w:leader="none"/>
        </w:tabs>
        <w:spacing w:line="225" w:lineRule="auto" w:before="2" w:after="0"/>
        <w:ind w:left="113" w:right="126" w:firstLine="204"/>
        <w:jc w:val="both"/>
        <w:rPr>
          <w:sz w:val="24"/>
        </w:rPr>
      </w:pPr>
      <w:r>
        <w:rPr>
          <w:w w:val="125"/>
          <w:sz w:val="24"/>
        </w:rPr>
        <w:t>Ha a Felügyelet látja el az EU-szintű hitelintézeti anyavállalat felügyeletét és az eljárásban részt vevő EGT-államok illetékes felügyeleti hatóságainak egyetértése hiányában négy hónapon belül nem hozható többoldalú eljárás keretében határozat, a kérelemről a Felügyelet dönt. A határozat indokolásában a Felügyelet kitér az eljárásban részt vevő EGT-államok illetékes felügyeleti hatóságainak véleményére és fenntartásaira is.</w:t>
      </w:r>
    </w:p>
    <w:p>
      <w:pPr>
        <w:pStyle w:val="ListParagraph"/>
        <w:numPr>
          <w:ilvl w:val="0"/>
          <w:numId w:val="581"/>
        </w:numPr>
        <w:tabs>
          <w:tab w:pos="774" w:val="left" w:leader="none"/>
        </w:tabs>
        <w:spacing w:line="225" w:lineRule="auto" w:before="4" w:after="0"/>
        <w:ind w:left="113" w:right="126" w:firstLine="204"/>
        <w:jc w:val="both"/>
        <w:rPr>
          <w:sz w:val="24"/>
        </w:rPr>
      </w:pPr>
      <w:r>
        <w:rPr>
          <w:w w:val="130"/>
          <w:sz w:val="24"/>
        </w:rPr>
        <w:t>A Felügyelet elhalasztja a határozat meghozatalát és megvárja az EBH döntését, ha a négy hónapos időszak alatt az ügyet az eljárásban részt vevő valamely EGT-állam illetékes felügyeleti hatósága az európai felügyeleti hatóság (Európai Bankhatóság) létrehozásáról, a 716/2009/EK határozat módosításáról és a 2009/78/EK bizottsági határozat hatályon kívül helyezéséről</w:t>
      </w:r>
      <w:r>
        <w:rPr>
          <w:spacing w:val="-18"/>
          <w:w w:val="130"/>
          <w:sz w:val="24"/>
        </w:rPr>
        <w:t> </w:t>
      </w:r>
      <w:r>
        <w:rPr>
          <w:w w:val="130"/>
          <w:sz w:val="24"/>
        </w:rPr>
        <w:t>szóló,</w:t>
      </w:r>
      <w:r>
        <w:rPr>
          <w:spacing w:val="-17"/>
          <w:w w:val="130"/>
          <w:sz w:val="24"/>
        </w:rPr>
        <w:t> </w:t>
      </w:r>
      <w:r>
        <w:rPr>
          <w:w w:val="130"/>
          <w:sz w:val="24"/>
        </w:rPr>
        <w:t>2010.</w:t>
      </w:r>
      <w:r>
        <w:rPr>
          <w:spacing w:val="-17"/>
          <w:w w:val="130"/>
          <w:sz w:val="24"/>
        </w:rPr>
        <w:t> </w:t>
      </w:r>
      <w:r>
        <w:rPr>
          <w:w w:val="130"/>
          <w:sz w:val="24"/>
        </w:rPr>
        <w:t>november</w:t>
      </w:r>
      <w:r>
        <w:rPr>
          <w:spacing w:val="-17"/>
          <w:w w:val="130"/>
          <w:sz w:val="24"/>
        </w:rPr>
        <w:t> </w:t>
      </w:r>
      <w:r>
        <w:rPr>
          <w:w w:val="130"/>
          <w:sz w:val="24"/>
        </w:rPr>
        <w:t>24-i</w:t>
      </w:r>
      <w:r>
        <w:rPr>
          <w:spacing w:val="-17"/>
          <w:w w:val="130"/>
          <w:sz w:val="24"/>
        </w:rPr>
        <w:t> </w:t>
      </w:r>
      <w:r>
        <w:rPr>
          <w:w w:val="130"/>
          <w:sz w:val="24"/>
        </w:rPr>
        <w:t>1093/2010/EU</w:t>
      </w:r>
      <w:r>
        <w:rPr>
          <w:spacing w:val="-17"/>
          <w:w w:val="130"/>
          <w:sz w:val="24"/>
        </w:rPr>
        <w:t> </w:t>
      </w:r>
      <w:r>
        <w:rPr>
          <w:w w:val="130"/>
          <w:sz w:val="24"/>
        </w:rPr>
        <w:t>európai</w:t>
      </w:r>
      <w:r>
        <w:rPr>
          <w:spacing w:val="-11"/>
          <w:w w:val="130"/>
          <w:sz w:val="24"/>
        </w:rPr>
        <w:t> </w:t>
      </w:r>
      <w:r>
        <w:rPr>
          <w:w w:val="130"/>
          <w:sz w:val="24"/>
        </w:rPr>
        <w:t>parlamenti</w:t>
      </w:r>
      <w:r>
        <w:rPr>
          <w:spacing w:val="-22"/>
          <w:w w:val="130"/>
          <w:sz w:val="24"/>
        </w:rPr>
        <w:t> </w:t>
      </w:r>
      <w:r>
        <w:rPr>
          <w:w w:val="130"/>
          <w:sz w:val="24"/>
        </w:rPr>
        <w:t>és tanácsi</w:t>
      </w:r>
      <w:r>
        <w:rPr>
          <w:spacing w:val="2"/>
          <w:w w:val="130"/>
          <w:sz w:val="24"/>
        </w:rPr>
        <w:t> </w:t>
      </w:r>
      <w:r>
        <w:rPr>
          <w:w w:val="130"/>
          <w:sz w:val="24"/>
        </w:rPr>
        <w:t>rendelet</w:t>
      </w:r>
      <w:r>
        <w:rPr>
          <w:spacing w:val="-17"/>
          <w:w w:val="130"/>
          <w:sz w:val="24"/>
        </w:rPr>
        <w:t> </w:t>
      </w:r>
      <w:r>
        <w:rPr>
          <w:w w:val="130"/>
          <w:sz w:val="24"/>
        </w:rPr>
        <w:t>19.</w:t>
      </w:r>
      <w:r>
        <w:rPr>
          <w:spacing w:val="-7"/>
          <w:w w:val="130"/>
          <w:sz w:val="24"/>
        </w:rPr>
        <w:t> </w:t>
      </w:r>
      <w:r>
        <w:rPr>
          <w:w w:val="130"/>
          <w:sz w:val="24"/>
        </w:rPr>
        <w:t>cikkével</w:t>
      </w:r>
      <w:r>
        <w:rPr>
          <w:spacing w:val="-7"/>
          <w:w w:val="130"/>
          <w:sz w:val="24"/>
        </w:rPr>
        <w:t> </w:t>
      </w:r>
      <w:r>
        <w:rPr>
          <w:w w:val="130"/>
          <w:sz w:val="24"/>
        </w:rPr>
        <w:t>összhangban</w:t>
      </w:r>
      <w:r>
        <w:rPr>
          <w:spacing w:val="3"/>
          <w:w w:val="130"/>
          <w:sz w:val="24"/>
        </w:rPr>
        <w:t> </w:t>
      </w:r>
      <w:r>
        <w:rPr>
          <w:w w:val="130"/>
          <w:sz w:val="24"/>
        </w:rPr>
        <w:t>az</w:t>
      </w:r>
      <w:r>
        <w:rPr>
          <w:spacing w:val="-16"/>
          <w:w w:val="130"/>
          <w:sz w:val="24"/>
        </w:rPr>
        <w:t> </w:t>
      </w:r>
      <w:r>
        <w:rPr>
          <w:w w:val="130"/>
          <w:sz w:val="24"/>
        </w:rPr>
        <w:t>EBH</w:t>
      </w:r>
      <w:r>
        <w:rPr>
          <w:spacing w:val="-8"/>
          <w:w w:val="130"/>
          <w:sz w:val="24"/>
        </w:rPr>
        <w:t> </w:t>
      </w:r>
      <w:r>
        <w:rPr>
          <w:w w:val="130"/>
          <w:sz w:val="24"/>
        </w:rPr>
        <w:t>elé</w:t>
      </w:r>
      <w:r>
        <w:rPr>
          <w:spacing w:val="2"/>
          <w:w w:val="130"/>
          <w:sz w:val="24"/>
        </w:rPr>
        <w:t> </w:t>
      </w:r>
      <w:r>
        <w:rPr>
          <w:w w:val="130"/>
          <w:sz w:val="24"/>
        </w:rPr>
        <w:t>utalja.</w:t>
      </w:r>
      <w:r>
        <w:rPr>
          <w:spacing w:val="-3"/>
          <w:w w:val="130"/>
          <w:sz w:val="24"/>
        </w:rPr>
        <w:t> </w:t>
      </w:r>
      <w:r>
        <w:rPr>
          <w:w w:val="130"/>
          <w:sz w:val="24"/>
        </w:rPr>
        <w:t>A</w:t>
      </w:r>
      <w:r>
        <w:rPr>
          <w:spacing w:val="-20"/>
          <w:w w:val="130"/>
          <w:sz w:val="24"/>
        </w:rPr>
        <w:t> </w:t>
      </w:r>
      <w:r>
        <w:rPr>
          <w:w w:val="130"/>
          <w:sz w:val="24"/>
        </w:rPr>
        <w:t>négy</w:t>
      </w:r>
      <w:r>
        <w:rPr>
          <w:spacing w:val="-7"/>
          <w:w w:val="130"/>
          <w:sz w:val="24"/>
        </w:rPr>
        <w:t> </w:t>
      </w:r>
      <w:r>
        <w:rPr>
          <w:w w:val="130"/>
          <w:sz w:val="24"/>
        </w:rPr>
        <w:t>hónapos időszak leteltét vagy a többoldalú eljárás keretében hozott határozatot követően az ügy már nem utalható az EBH</w:t>
      </w:r>
      <w:r>
        <w:rPr>
          <w:spacing w:val="-45"/>
          <w:w w:val="130"/>
          <w:sz w:val="24"/>
        </w:rPr>
        <w:t> </w:t>
      </w:r>
      <w:r>
        <w:rPr>
          <w:w w:val="130"/>
          <w:sz w:val="24"/>
        </w:rPr>
        <w:t>elé.</w:t>
      </w:r>
    </w:p>
    <w:p>
      <w:pPr>
        <w:pStyle w:val="ListParagraph"/>
        <w:numPr>
          <w:ilvl w:val="0"/>
          <w:numId w:val="581"/>
        </w:numPr>
        <w:tabs>
          <w:tab w:pos="846" w:val="left" w:leader="none"/>
        </w:tabs>
        <w:spacing w:line="225" w:lineRule="auto" w:before="6" w:after="0"/>
        <w:ind w:left="113" w:right="126" w:firstLine="204"/>
        <w:jc w:val="both"/>
        <w:rPr>
          <w:sz w:val="24"/>
        </w:rPr>
      </w:pPr>
      <w:r>
        <w:rPr>
          <w:w w:val="125"/>
          <w:sz w:val="24"/>
        </w:rPr>
        <w:t>Az EU-szintű hitelintézeti anyavállalat székhelye szerinti EGT-állam illetékes felügyeleti hatósága döntését követően a megállapodás tervezetét a részes félként szereplő tagok tulajdonosainak kétharmados szótöbbséggel is jóvá kell hagynia azzal, hogy a megállapodás kizárólag a csoport azon tagjait kötelezi, akiknél a tulajdonosok jóváhagyásukat megadták, illetve azt nem vonták</w:t>
      </w:r>
      <w:r>
        <w:rPr>
          <w:spacing w:val="-1"/>
          <w:w w:val="125"/>
          <w:sz w:val="24"/>
        </w:rPr>
        <w:t> </w:t>
      </w:r>
      <w:r>
        <w:rPr>
          <w:w w:val="125"/>
          <w:sz w:val="24"/>
        </w:rPr>
        <w:t>vissza.</w:t>
      </w:r>
    </w:p>
    <w:p>
      <w:pPr>
        <w:pStyle w:val="ListParagraph"/>
        <w:numPr>
          <w:ilvl w:val="0"/>
          <w:numId w:val="581"/>
        </w:numPr>
        <w:tabs>
          <w:tab w:pos="825" w:val="left" w:leader="none"/>
        </w:tabs>
        <w:spacing w:line="225" w:lineRule="auto" w:before="3" w:after="0"/>
        <w:ind w:left="113" w:right="127" w:firstLine="204"/>
        <w:jc w:val="both"/>
        <w:rPr>
          <w:sz w:val="24"/>
        </w:rPr>
      </w:pPr>
      <w:r>
        <w:rPr>
          <w:w w:val="130"/>
          <w:sz w:val="24"/>
        </w:rPr>
        <w:t>A megállapodásban részes fél irányítási jogkörrel rendelkező vezető testülete</w:t>
      </w:r>
      <w:r>
        <w:rPr>
          <w:spacing w:val="-18"/>
          <w:w w:val="130"/>
          <w:sz w:val="24"/>
        </w:rPr>
        <w:t> </w:t>
      </w:r>
      <w:r>
        <w:rPr>
          <w:w w:val="130"/>
          <w:sz w:val="24"/>
        </w:rPr>
        <w:t>évente</w:t>
      </w:r>
      <w:r>
        <w:rPr>
          <w:spacing w:val="-17"/>
          <w:w w:val="130"/>
          <w:sz w:val="24"/>
        </w:rPr>
        <w:t> </w:t>
      </w:r>
      <w:r>
        <w:rPr>
          <w:w w:val="130"/>
          <w:sz w:val="24"/>
        </w:rPr>
        <w:t>beszámol</w:t>
      </w:r>
      <w:r>
        <w:rPr>
          <w:spacing w:val="-9"/>
          <w:w w:val="130"/>
          <w:sz w:val="24"/>
        </w:rPr>
        <w:t> </w:t>
      </w:r>
      <w:r>
        <w:rPr>
          <w:w w:val="130"/>
          <w:sz w:val="24"/>
        </w:rPr>
        <w:t>a</w:t>
      </w:r>
      <w:r>
        <w:rPr>
          <w:spacing w:val="-18"/>
          <w:w w:val="130"/>
          <w:sz w:val="24"/>
        </w:rPr>
        <w:t> </w:t>
      </w:r>
      <w:r>
        <w:rPr>
          <w:w w:val="130"/>
          <w:sz w:val="24"/>
        </w:rPr>
        <w:t>tulajdonosainak</w:t>
      </w:r>
      <w:r>
        <w:rPr>
          <w:spacing w:val="-25"/>
          <w:w w:val="130"/>
          <w:sz w:val="24"/>
        </w:rPr>
        <w:t> </w:t>
      </w:r>
      <w:r>
        <w:rPr>
          <w:w w:val="130"/>
          <w:sz w:val="24"/>
        </w:rPr>
        <w:t>a</w:t>
      </w:r>
      <w:r>
        <w:rPr>
          <w:spacing w:val="-17"/>
          <w:w w:val="130"/>
          <w:sz w:val="24"/>
        </w:rPr>
        <w:t> </w:t>
      </w:r>
      <w:r>
        <w:rPr>
          <w:w w:val="130"/>
          <w:sz w:val="24"/>
        </w:rPr>
        <w:t>megállapodás</w:t>
      </w:r>
      <w:r>
        <w:rPr>
          <w:spacing w:val="-18"/>
          <w:w w:val="130"/>
          <w:sz w:val="24"/>
        </w:rPr>
        <w:t> </w:t>
      </w:r>
      <w:r>
        <w:rPr>
          <w:w w:val="130"/>
          <w:sz w:val="24"/>
        </w:rPr>
        <w:t>teljesüléséről</w:t>
      </w:r>
      <w:r>
        <w:rPr>
          <w:spacing w:val="-17"/>
          <w:w w:val="130"/>
          <w:sz w:val="24"/>
        </w:rPr>
        <w:t> </w:t>
      </w:r>
      <w:r>
        <w:rPr>
          <w:w w:val="130"/>
          <w:sz w:val="24"/>
        </w:rPr>
        <w:t>és</w:t>
      </w:r>
      <w:r>
        <w:rPr>
          <w:spacing w:val="-17"/>
          <w:w w:val="130"/>
          <w:sz w:val="24"/>
        </w:rPr>
        <w:t> </w:t>
      </w:r>
      <w:r>
        <w:rPr>
          <w:w w:val="130"/>
          <w:sz w:val="24"/>
        </w:rPr>
        <w:t>a megállapodás alapján hozott döntések</w:t>
      </w:r>
      <w:r>
        <w:rPr>
          <w:spacing w:val="-22"/>
          <w:w w:val="130"/>
          <w:sz w:val="24"/>
        </w:rPr>
        <w:t> </w:t>
      </w:r>
      <w:r>
        <w:rPr>
          <w:w w:val="130"/>
          <w:sz w:val="24"/>
        </w:rPr>
        <w:t>végrehajtásáról.</w:t>
      </w:r>
    </w:p>
    <w:p>
      <w:pPr>
        <w:pStyle w:val="BodyText"/>
        <w:spacing w:before="228"/>
        <w:ind w:left="1524" w:firstLine="0"/>
      </w:pPr>
      <w:r>
        <w:rPr>
          <w:w w:val="125"/>
        </w:rPr>
        <w:t>112/B.</w:t>
      </w:r>
      <w:r>
        <w:rPr>
          <w:i/>
          <w:w w:val="125"/>
          <w:position w:val="3"/>
          <w:sz w:val="18"/>
        </w:rPr>
        <w:t>1 </w:t>
      </w:r>
      <w:r>
        <w:rPr>
          <w:w w:val="125"/>
        </w:rPr>
        <w:t>A csoporton belüli pénzügyi támogatás nyújtása</w:t>
      </w:r>
    </w:p>
    <w:p>
      <w:pPr>
        <w:pStyle w:val="BodyText"/>
        <w:spacing w:before="8"/>
        <w:ind w:left="0" w:firstLine="0"/>
        <w:rPr>
          <w:sz w:val="10"/>
        </w:rPr>
      </w:pPr>
    </w:p>
    <w:p>
      <w:pPr>
        <w:pStyle w:val="BodyText"/>
        <w:spacing w:line="262" w:lineRule="exact" w:before="100"/>
        <w:ind w:left="317" w:firstLine="0"/>
      </w:pPr>
      <w:r>
        <w:rPr>
          <w:rFonts w:ascii="Arial" w:hAnsi="Arial"/>
          <w:b/>
          <w:w w:val="125"/>
        </w:rPr>
        <w:t>257/C. </w:t>
      </w:r>
      <w:r>
        <w:rPr>
          <w:rFonts w:ascii="Arial" w:hAnsi="Arial"/>
          <w:b/>
          <w:spacing w:val="6"/>
          <w:w w:val="125"/>
        </w:rPr>
        <w:t>§</w:t>
      </w:r>
      <w:r>
        <w:rPr>
          <w:i/>
          <w:spacing w:val="6"/>
          <w:w w:val="125"/>
          <w:position w:val="3"/>
          <w:sz w:val="18"/>
        </w:rPr>
        <w:t>2</w:t>
      </w:r>
      <w:r>
        <w:rPr>
          <w:i/>
          <w:spacing w:val="68"/>
          <w:w w:val="125"/>
          <w:position w:val="3"/>
          <w:sz w:val="18"/>
        </w:rPr>
        <w:t> </w:t>
      </w:r>
      <w:r>
        <w:rPr>
          <w:w w:val="125"/>
        </w:rPr>
        <w:t>A csoportszintű pénzügyi támogatási megállapodás alapján a</w:t>
      </w:r>
    </w:p>
    <w:p>
      <w:pPr>
        <w:pStyle w:val="BodyText"/>
        <w:spacing w:line="267" w:lineRule="exact"/>
        <w:ind w:firstLine="0"/>
      </w:pPr>
      <w:r>
        <w:rPr>
          <w:w w:val="130"/>
        </w:rPr>
        <w:t>csoport tagja kizárólag az alábbi feltételekkel nyújthat</w:t>
      </w:r>
      <w:r>
        <w:rPr>
          <w:spacing w:val="-56"/>
          <w:w w:val="130"/>
        </w:rPr>
        <w:t> </w:t>
      </w:r>
      <w:r>
        <w:rPr>
          <w:w w:val="130"/>
        </w:rPr>
        <w:t>támogatást:</w:t>
      </w:r>
    </w:p>
    <w:p>
      <w:pPr>
        <w:pStyle w:val="ListParagraph"/>
        <w:numPr>
          <w:ilvl w:val="0"/>
          <w:numId w:val="583"/>
        </w:numPr>
        <w:tabs>
          <w:tab w:pos="689" w:val="left" w:leader="none"/>
        </w:tabs>
        <w:spacing w:line="225" w:lineRule="auto" w:before="5" w:after="0"/>
        <w:ind w:left="113" w:right="133" w:firstLine="204"/>
        <w:jc w:val="left"/>
        <w:rPr>
          <w:sz w:val="24"/>
        </w:rPr>
      </w:pPr>
      <w:r>
        <w:rPr>
          <w:w w:val="130"/>
          <w:sz w:val="24"/>
        </w:rPr>
        <w:t>megalapozottan valószínűsíthető, hogy a támogatás jelentős mértékben orvosolja a támogatást kapó pénzügyi</w:t>
      </w:r>
      <w:r>
        <w:rPr>
          <w:spacing w:val="-27"/>
          <w:w w:val="130"/>
          <w:sz w:val="24"/>
        </w:rPr>
        <w:t> </w:t>
      </w:r>
      <w:r>
        <w:rPr>
          <w:w w:val="130"/>
          <w:sz w:val="24"/>
        </w:rPr>
        <w:t>nehézségét,</w:t>
      </w:r>
    </w:p>
    <w:p>
      <w:pPr>
        <w:pStyle w:val="ListParagraph"/>
        <w:numPr>
          <w:ilvl w:val="0"/>
          <w:numId w:val="583"/>
        </w:numPr>
        <w:tabs>
          <w:tab w:pos="668" w:val="left" w:leader="none"/>
        </w:tabs>
        <w:spacing w:line="225" w:lineRule="auto" w:before="1" w:after="0"/>
        <w:ind w:left="113" w:right="130" w:firstLine="204"/>
        <w:jc w:val="left"/>
        <w:rPr>
          <w:sz w:val="24"/>
        </w:rPr>
      </w:pPr>
      <w:r>
        <w:rPr>
          <w:w w:val="130"/>
          <w:sz w:val="24"/>
        </w:rPr>
        <w:t>a támogatás célja a csoport vagy a csoport tagja pénzügyi stabilitásának megőrzése</w:t>
      </w:r>
      <w:r>
        <w:rPr>
          <w:spacing w:val="-13"/>
          <w:w w:val="130"/>
          <w:sz w:val="24"/>
        </w:rPr>
        <w:t> </w:t>
      </w:r>
      <w:r>
        <w:rPr>
          <w:w w:val="130"/>
          <w:sz w:val="24"/>
        </w:rPr>
        <w:t>vagy</w:t>
      </w:r>
      <w:r>
        <w:rPr>
          <w:spacing w:val="-13"/>
          <w:w w:val="130"/>
          <w:sz w:val="24"/>
        </w:rPr>
        <w:t> </w:t>
      </w:r>
      <w:r>
        <w:rPr>
          <w:w w:val="130"/>
          <w:sz w:val="24"/>
        </w:rPr>
        <w:t>helyreállítása,</w:t>
      </w:r>
      <w:r>
        <w:rPr>
          <w:spacing w:val="-11"/>
          <w:w w:val="130"/>
          <w:sz w:val="24"/>
        </w:rPr>
        <w:t> </w:t>
      </w:r>
      <w:r>
        <w:rPr>
          <w:w w:val="130"/>
          <w:sz w:val="24"/>
        </w:rPr>
        <w:t>melyben</w:t>
      </w:r>
      <w:r>
        <w:rPr>
          <w:spacing w:val="-13"/>
          <w:w w:val="130"/>
          <w:sz w:val="24"/>
        </w:rPr>
        <w:t> </w:t>
      </w:r>
      <w:r>
        <w:rPr>
          <w:w w:val="130"/>
          <w:sz w:val="24"/>
        </w:rPr>
        <w:t>a</w:t>
      </w:r>
      <w:r>
        <w:rPr>
          <w:spacing w:val="-13"/>
          <w:w w:val="130"/>
          <w:sz w:val="24"/>
        </w:rPr>
        <w:t> </w:t>
      </w:r>
      <w:r>
        <w:rPr>
          <w:w w:val="130"/>
          <w:sz w:val="24"/>
        </w:rPr>
        <w:t>támogatást</w:t>
      </w:r>
      <w:r>
        <w:rPr>
          <w:spacing w:val="-12"/>
          <w:w w:val="130"/>
          <w:sz w:val="24"/>
        </w:rPr>
        <w:t> </w:t>
      </w:r>
      <w:r>
        <w:rPr>
          <w:w w:val="130"/>
          <w:sz w:val="24"/>
        </w:rPr>
        <w:t>nyújtó</w:t>
      </w:r>
      <w:r>
        <w:rPr>
          <w:spacing w:val="-12"/>
          <w:w w:val="130"/>
          <w:sz w:val="24"/>
        </w:rPr>
        <w:t> </w:t>
      </w:r>
      <w:r>
        <w:rPr>
          <w:w w:val="130"/>
          <w:sz w:val="24"/>
        </w:rPr>
        <w:t>is</w:t>
      </w:r>
      <w:r>
        <w:rPr>
          <w:spacing w:val="-13"/>
          <w:w w:val="130"/>
          <w:sz w:val="24"/>
        </w:rPr>
        <w:t> </w:t>
      </w:r>
      <w:r>
        <w:rPr>
          <w:w w:val="130"/>
          <w:sz w:val="24"/>
        </w:rPr>
        <w:t>érdekelt,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2480;mso-wrap-distance-left:0;mso-wrap-distance-right:0" from="56.693001pt,14.700051pt" to="538.583001pt,14.700051pt" stroked="true" strokeweight=".5pt" strokecolor="#000000">
            <v:stroke dashstyle="solid"/>
            <w10:wrap type="topAndBottom"/>
          </v:line>
        </w:pict>
      </w:r>
    </w:p>
    <w:p>
      <w:pPr>
        <w:pStyle w:val="ListParagraph"/>
        <w:numPr>
          <w:ilvl w:val="0"/>
          <w:numId w:val="584"/>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84"/>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ListParagraph"/>
        <w:numPr>
          <w:ilvl w:val="0"/>
          <w:numId w:val="583"/>
        </w:numPr>
        <w:tabs>
          <w:tab w:pos="633" w:val="left" w:leader="none"/>
        </w:tabs>
        <w:spacing w:line="225" w:lineRule="auto" w:before="173" w:after="0"/>
        <w:ind w:left="113" w:right="125" w:firstLine="204"/>
        <w:jc w:val="both"/>
        <w:rPr>
          <w:sz w:val="24"/>
        </w:rPr>
      </w:pPr>
      <w:r>
        <w:rPr>
          <w:w w:val="125"/>
          <w:sz w:val="24"/>
        </w:rPr>
        <w:t>a támogatás nyújtásáról szóló döntés meghozatalakor a támogatást nyújtó irányítási jogkörrel rendelkező vezető testületének rendelkezésére álló információk alapján megalapozottan valószínűsíthető, hogy a támogatás ellenértéke megfizetésre</w:t>
      </w:r>
      <w:r>
        <w:rPr>
          <w:spacing w:val="2"/>
          <w:w w:val="125"/>
          <w:sz w:val="24"/>
        </w:rPr>
        <w:t> </w:t>
      </w:r>
      <w:r>
        <w:rPr>
          <w:w w:val="125"/>
          <w:sz w:val="24"/>
        </w:rPr>
        <w:t>kerül,</w:t>
      </w:r>
    </w:p>
    <w:p>
      <w:pPr>
        <w:pStyle w:val="ListParagraph"/>
        <w:numPr>
          <w:ilvl w:val="0"/>
          <w:numId w:val="583"/>
        </w:numPr>
        <w:tabs>
          <w:tab w:pos="704" w:val="left" w:leader="none"/>
        </w:tabs>
        <w:spacing w:line="225" w:lineRule="auto" w:before="2" w:after="0"/>
        <w:ind w:left="113" w:right="128" w:firstLine="204"/>
        <w:jc w:val="both"/>
        <w:rPr>
          <w:sz w:val="24"/>
        </w:rPr>
      </w:pPr>
      <w:r>
        <w:rPr>
          <w:i/>
          <w:w w:val="130"/>
          <w:sz w:val="24"/>
        </w:rPr>
        <w:t>a </w:t>
      </w:r>
      <w:r>
        <w:rPr>
          <w:w w:val="130"/>
          <w:sz w:val="24"/>
        </w:rPr>
        <w:t>támogatás nem veszélyezteti a támogatás nyújtójának likviditását és fizetőképességét, valamint a székhelye szerinti EGT-állam pénzügyi stabilitását,</w:t>
      </w:r>
    </w:p>
    <w:p>
      <w:pPr>
        <w:pStyle w:val="ListParagraph"/>
        <w:numPr>
          <w:ilvl w:val="0"/>
          <w:numId w:val="583"/>
        </w:numPr>
        <w:tabs>
          <w:tab w:pos="685" w:val="left" w:leader="none"/>
        </w:tabs>
        <w:spacing w:line="225" w:lineRule="auto" w:before="2" w:after="0"/>
        <w:ind w:left="113" w:right="135" w:firstLine="204"/>
        <w:jc w:val="both"/>
        <w:rPr>
          <w:sz w:val="24"/>
        </w:rPr>
      </w:pPr>
      <w:r>
        <w:rPr>
          <w:w w:val="130"/>
          <w:sz w:val="24"/>
        </w:rPr>
        <w:t>a támogatás nyújtója a támogatás nyújtásának időpontjában megfelel a prudens működésre vonatkozó jogszabályi követelményeknek, ideértve a nagykockázatra vonatkozó rendelkezéseket is,</w:t>
      </w:r>
      <w:r>
        <w:rPr>
          <w:spacing w:val="-22"/>
          <w:w w:val="130"/>
          <w:sz w:val="24"/>
        </w:rPr>
        <w:t> </w:t>
      </w:r>
      <w:r>
        <w:rPr>
          <w:w w:val="130"/>
          <w:sz w:val="24"/>
        </w:rPr>
        <w:t>és</w:t>
      </w:r>
    </w:p>
    <w:p>
      <w:pPr>
        <w:pStyle w:val="ListParagraph"/>
        <w:numPr>
          <w:ilvl w:val="0"/>
          <w:numId w:val="583"/>
        </w:numPr>
        <w:tabs>
          <w:tab w:pos="808" w:val="left" w:leader="none"/>
        </w:tabs>
        <w:spacing w:line="225" w:lineRule="auto" w:before="1" w:after="0"/>
        <w:ind w:left="113" w:right="134" w:firstLine="204"/>
        <w:jc w:val="both"/>
        <w:rPr>
          <w:sz w:val="24"/>
        </w:rPr>
      </w:pPr>
      <w:r>
        <w:rPr>
          <w:w w:val="130"/>
          <w:sz w:val="24"/>
        </w:rPr>
        <w:t>a támogatás nyújtása nem veszélyezteti a támogatást nyújtó szanálhatóságát.</w:t>
      </w:r>
    </w:p>
    <w:p>
      <w:pPr>
        <w:pStyle w:val="BodyText"/>
        <w:spacing w:line="250" w:lineRule="exact"/>
        <w:ind w:left="317" w:firstLine="0"/>
      </w:pPr>
      <w:r>
        <w:rPr>
          <w:rFonts w:ascii="Arial" w:hAnsi="Arial"/>
          <w:b/>
          <w:w w:val="120"/>
        </w:rPr>
        <w:t>257/D. §</w:t>
      </w:r>
      <w:r>
        <w:rPr>
          <w:i/>
          <w:w w:val="120"/>
          <w:position w:val="3"/>
          <w:sz w:val="18"/>
        </w:rPr>
        <w:t>1 </w:t>
      </w:r>
      <w:r>
        <w:rPr>
          <w:w w:val="120"/>
        </w:rPr>
        <w:t>(1) A csoportszintű pénzügyi támogatási</w:t>
      </w:r>
      <w:r>
        <w:rPr>
          <w:spacing w:val="52"/>
          <w:w w:val="120"/>
        </w:rPr>
        <w:t> </w:t>
      </w:r>
      <w:r>
        <w:rPr>
          <w:w w:val="120"/>
        </w:rPr>
        <w:t>megállapodás alapján</w:t>
      </w:r>
    </w:p>
    <w:p>
      <w:pPr>
        <w:pStyle w:val="BodyText"/>
        <w:tabs>
          <w:tab w:pos="1275" w:val="left" w:leader="none"/>
          <w:tab w:pos="2910" w:val="left" w:leader="none"/>
          <w:tab w:pos="3324" w:val="left" w:leader="none"/>
          <w:tab w:pos="5313" w:val="left" w:leader="none"/>
          <w:tab w:pos="6355" w:val="left" w:leader="none"/>
          <w:tab w:pos="7222" w:val="left" w:leader="none"/>
          <w:tab w:pos="8645" w:val="left" w:leader="none"/>
        </w:tabs>
        <w:spacing w:line="225" w:lineRule="auto" w:before="12"/>
        <w:ind w:right="122" w:firstLine="0"/>
      </w:pPr>
      <w:r>
        <w:rPr>
          <w:w w:val="130"/>
        </w:rPr>
        <w:t>történő</w:t>
        <w:tab/>
        <w:t>támogatást</w:t>
        <w:tab/>
        <w:t>a</w:t>
        <w:tab/>
        <w:t>támogatásban</w:t>
        <w:tab/>
        <w:t>részes</w:t>
        <w:tab/>
        <w:t>felek</w:t>
        <w:tab/>
        <w:t>irányítási</w:t>
        <w:tab/>
      </w:r>
      <w:r>
        <w:rPr>
          <w:spacing w:val="-1"/>
          <w:w w:val="125"/>
        </w:rPr>
        <w:t>jogkörrel </w:t>
      </w:r>
      <w:r>
        <w:rPr>
          <w:w w:val="130"/>
        </w:rPr>
        <w:t>rendelkező vezető testülete hagyja</w:t>
      </w:r>
      <w:r>
        <w:rPr>
          <w:spacing w:val="-18"/>
          <w:w w:val="130"/>
        </w:rPr>
        <w:t> </w:t>
      </w:r>
      <w:r>
        <w:rPr>
          <w:w w:val="130"/>
        </w:rPr>
        <w:t>jóvá.</w:t>
      </w:r>
    </w:p>
    <w:p>
      <w:pPr>
        <w:pStyle w:val="BodyText"/>
        <w:spacing w:line="225" w:lineRule="auto" w:before="1"/>
        <w:ind w:right="266"/>
      </w:pPr>
      <w:r>
        <w:rPr>
          <w:w w:val="125"/>
        </w:rPr>
        <w:t>(2) A jóváhagyásban meg kell határozni a támogatás célját, valamint  rögzíteni kell, hogy a támogatás megfelel a 257/C. §-ban foglalt</w:t>
      </w:r>
      <w:r>
        <w:rPr>
          <w:spacing w:val="21"/>
          <w:w w:val="125"/>
        </w:rPr>
        <w:t> </w:t>
      </w:r>
      <w:r>
        <w:rPr>
          <w:w w:val="125"/>
        </w:rPr>
        <w:t>feltételeknek.</w:t>
      </w:r>
    </w:p>
    <w:p>
      <w:pPr>
        <w:pStyle w:val="BodyText"/>
        <w:spacing w:line="249" w:lineRule="exact"/>
        <w:ind w:left="317" w:firstLine="0"/>
      </w:pPr>
      <w:r>
        <w:rPr>
          <w:rFonts w:ascii="Arial" w:hAnsi="Arial"/>
          <w:b/>
          <w:w w:val="125"/>
        </w:rPr>
        <w:t>257/E. §</w:t>
      </w:r>
      <w:r>
        <w:rPr>
          <w:i/>
          <w:w w:val="125"/>
          <w:position w:val="3"/>
          <w:sz w:val="18"/>
        </w:rPr>
        <w:t>2 </w:t>
      </w:r>
      <w:r>
        <w:rPr>
          <w:w w:val="125"/>
        </w:rPr>
        <w:t>(1) A támogatás nyújtásához az illetékes felügyeleti hatóság</w:t>
      </w:r>
    </w:p>
    <w:p>
      <w:pPr>
        <w:pStyle w:val="BodyText"/>
        <w:spacing w:line="260" w:lineRule="exact"/>
        <w:ind w:firstLine="0"/>
      </w:pPr>
      <w:r>
        <w:rPr>
          <w:w w:val="125"/>
        </w:rPr>
        <w:t>jóváhagyása kell.</w:t>
      </w:r>
    </w:p>
    <w:p>
      <w:pPr>
        <w:pStyle w:val="ListParagraph"/>
        <w:numPr>
          <w:ilvl w:val="0"/>
          <w:numId w:val="585"/>
        </w:numPr>
        <w:tabs>
          <w:tab w:pos="659" w:val="left" w:leader="none"/>
        </w:tabs>
        <w:spacing w:line="260" w:lineRule="exact" w:before="0" w:after="0"/>
        <w:ind w:left="658" w:right="0" w:hanging="341"/>
        <w:jc w:val="left"/>
        <w:rPr>
          <w:sz w:val="24"/>
        </w:rPr>
      </w:pPr>
      <w:r>
        <w:rPr>
          <w:i/>
          <w:w w:val="130"/>
          <w:position w:val="3"/>
          <w:sz w:val="18"/>
        </w:rPr>
        <w:t>3 </w:t>
      </w:r>
      <w:r>
        <w:rPr>
          <w:w w:val="130"/>
          <w:sz w:val="24"/>
        </w:rPr>
        <w:t>Ha a támogatást a csoport magyarországi székhelyű tagja</w:t>
      </w:r>
      <w:r>
        <w:rPr>
          <w:spacing w:val="1"/>
          <w:w w:val="130"/>
          <w:sz w:val="24"/>
        </w:rPr>
        <w:t> </w:t>
      </w:r>
      <w:r>
        <w:rPr>
          <w:w w:val="130"/>
          <w:sz w:val="24"/>
        </w:rPr>
        <w:t>kívánja</w:t>
      </w:r>
    </w:p>
    <w:p>
      <w:pPr>
        <w:pStyle w:val="BodyText"/>
        <w:spacing w:line="225" w:lineRule="auto" w:before="12"/>
        <w:ind w:right="124" w:firstLine="0"/>
        <w:jc w:val="both"/>
      </w:pPr>
      <w:r>
        <w:rPr>
          <w:w w:val="125"/>
        </w:rPr>
        <w:t>nyújtani, az engedélyt a Felügyelet adja meg </w:t>
      </w:r>
      <w:r>
        <w:rPr>
          <w:i/>
          <w:w w:val="125"/>
        </w:rPr>
        <w:t>azzal, </w:t>
      </w:r>
      <w:r>
        <w:rPr>
          <w:w w:val="125"/>
        </w:rPr>
        <w:t>hogy az engedélyt kérő a kérelméről a támogatásban részes másik fél illetékes felügyeleti hatóságát, EU-szintű hitelintézeti anyavállalat felügyeleti  hatóságát, szanálási hatóságát,  a szanálási feladatkörében eljáró MNB-t, valamint az EBH-t is értesíti. A kérelemnek valamint az értesítésnek tartalmaznia kell a 257/D. § (2) bekezdésében</w:t>
      </w:r>
      <w:r>
        <w:rPr>
          <w:spacing w:val="1"/>
          <w:w w:val="125"/>
        </w:rPr>
        <w:t> </w:t>
      </w:r>
      <w:r>
        <w:rPr>
          <w:w w:val="125"/>
        </w:rPr>
        <w:t>foglaltakat.</w:t>
      </w:r>
    </w:p>
    <w:p>
      <w:pPr>
        <w:pStyle w:val="BodyText"/>
        <w:tabs>
          <w:tab w:pos="1134" w:val="left" w:leader="none"/>
          <w:tab w:pos="1705" w:val="left" w:leader="none"/>
          <w:tab w:pos="2193" w:val="left" w:leader="none"/>
          <w:tab w:pos="3611" w:val="left" w:leader="none"/>
          <w:tab w:pos="5275" w:val="left" w:leader="none"/>
          <w:tab w:pos="6972" w:val="left" w:leader="none"/>
          <w:tab w:pos="7745" w:val="left" w:leader="none"/>
          <w:tab w:pos="8107" w:val="left" w:leader="none"/>
        </w:tabs>
        <w:spacing w:line="251" w:lineRule="exact"/>
        <w:ind w:left="317" w:firstLine="0"/>
      </w:pPr>
      <w:r>
        <w:rPr>
          <w:w w:val="125"/>
        </w:rPr>
        <w:t>(2a)</w:t>
      </w:r>
      <w:r>
        <w:rPr>
          <w:i/>
          <w:w w:val="125"/>
          <w:position w:val="3"/>
          <w:sz w:val="18"/>
        </w:rPr>
        <w:t>4</w:t>
        <w:tab/>
      </w:r>
      <w:r>
        <w:rPr>
          <w:w w:val="125"/>
        </w:rPr>
        <w:t>Ha</w:t>
        <w:tab/>
        <w:t>az</w:t>
        <w:tab/>
        <w:t>EU-szintű</w:t>
        <w:tab/>
        <w:t>hitelintézeti</w:t>
        <w:tab/>
        <w:t>anyavállalat</w:t>
        <w:tab/>
        <w:t>vagy</w:t>
        <w:tab/>
        <w:t>a</w:t>
        <w:tab/>
        <w:t>csoportszintű</w:t>
      </w:r>
    </w:p>
    <w:p>
      <w:pPr>
        <w:pStyle w:val="BodyText"/>
        <w:spacing w:line="225" w:lineRule="auto" w:before="12"/>
        <w:ind w:right="129" w:firstLine="0"/>
        <w:jc w:val="both"/>
      </w:pPr>
      <w:r>
        <w:rPr>
          <w:w w:val="125"/>
        </w:rPr>
        <w:t>pénzügyi támogatási megállapodásban részt vevő pénzügyi intézmény felügyeleti hatósága kifogásolja a pénzügyi támogatás megtiltásáról vagy korlátozásáról szóló határozatot, akkor a határozatról szerzett értesülését  követő kettő napon belül az ügyet az EBH elé terjesztheti, kérve az EBH közreműködését.</w:t>
      </w:r>
    </w:p>
    <w:p>
      <w:pPr>
        <w:pStyle w:val="ListParagraph"/>
        <w:numPr>
          <w:ilvl w:val="0"/>
          <w:numId w:val="585"/>
        </w:numPr>
        <w:tabs>
          <w:tab w:pos="734" w:val="left" w:leader="none"/>
        </w:tabs>
        <w:spacing w:line="251" w:lineRule="exact" w:before="0" w:after="0"/>
        <w:ind w:left="733" w:right="0" w:hanging="416"/>
        <w:jc w:val="left"/>
        <w:rPr>
          <w:sz w:val="24"/>
        </w:rPr>
      </w:pPr>
      <w:r>
        <w:rPr>
          <w:w w:val="125"/>
          <w:sz w:val="24"/>
        </w:rPr>
        <w:t>A Felügyelet a kérelemről öt munkanapon belül</w:t>
      </w:r>
      <w:r>
        <w:rPr>
          <w:spacing w:val="8"/>
          <w:w w:val="125"/>
          <w:sz w:val="24"/>
        </w:rPr>
        <w:t> </w:t>
      </w:r>
      <w:r>
        <w:rPr>
          <w:w w:val="125"/>
          <w:sz w:val="24"/>
        </w:rPr>
        <w:t>dönt.</w:t>
      </w:r>
    </w:p>
    <w:p>
      <w:pPr>
        <w:pStyle w:val="ListParagraph"/>
        <w:numPr>
          <w:ilvl w:val="0"/>
          <w:numId w:val="585"/>
        </w:numPr>
        <w:tabs>
          <w:tab w:pos="659" w:val="left" w:leader="none"/>
        </w:tabs>
        <w:spacing w:line="260" w:lineRule="exact" w:before="0" w:after="0"/>
        <w:ind w:left="658" w:right="0" w:hanging="341"/>
        <w:jc w:val="left"/>
        <w:rPr>
          <w:sz w:val="24"/>
        </w:rPr>
      </w:pPr>
      <w:r>
        <w:rPr>
          <w:i/>
          <w:w w:val="125"/>
          <w:position w:val="3"/>
          <w:sz w:val="18"/>
        </w:rPr>
        <w:t>5</w:t>
      </w:r>
      <w:r>
        <w:rPr>
          <w:i/>
          <w:spacing w:val="1"/>
          <w:w w:val="125"/>
          <w:position w:val="3"/>
          <w:sz w:val="18"/>
        </w:rPr>
        <w:t> </w:t>
      </w:r>
      <w:r>
        <w:rPr>
          <w:w w:val="125"/>
          <w:sz w:val="24"/>
        </w:rPr>
        <w:t>A</w:t>
      </w:r>
      <w:r>
        <w:rPr>
          <w:spacing w:val="20"/>
          <w:w w:val="125"/>
          <w:sz w:val="24"/>
        </w:rPr>
        <w:t> </w:t>
      </w:r>
      <w:r>
        <w:rPr>
          <w:w w:val="125"/>
          <w:sz w:val="24"/>
        </w:rPr>
        <w:t>Felügyelet</w:t>
      </w:r>
      <w:r>
        <w:rPr>
          <w:spacing w:val="21"/>
          <w:w w:val="125"/>
          <w:sz w:val="24"/>
        </w:rPr>
        <w:t> </w:t>
      </w:r>
      <w:r>
        <w:rPr>
          <w:w w:val="125"/>
          <w:sz w:val="24"/>
        </w:rPr>
        <w:t>döntéséről</w:t>
      </w:r>
      <w:r>
        <w:rPr>
          <w:spacing w:val="20"/>
          <w:w w:val="125"/>
          <w:sz w:val="24"/>
        </w:rPr>
        <w:t> </w:t>
      </w:r>
      <w:r>
        <w:rPr>
          <w:w w:val="125"/>
          <w:sz w:val="24"/>
        </w:rPr>
        <w:t>értesíti</w:t>
      </w:r>
      <w:r>
        <w:rPr>
          <w:spacing w:val="21"/>
          <w:w w:val="125"/>
          <w:sz w:val="24"/>
        </w:rPr>
        <w:t> </w:t>
      </w:r>
      <w:r>
        <w:rPr>
          <w:w w:val="125"/>
          <w:sz w:val="24"/>
        </w:rPr>
        <w:t>a</w:t>
      </w:r>
      <w:r>
        <w:rPr>
          <w:spacing w:val="20"/>
          <w:w w:val="125"/>
          <w:sz w:val="24"/>
        </w:rPr>
        <w:t> </w:t>
      </w:r>
      <w:r>
        <w:rPr>
          <w:w w:val="125"/>
          <w:sz w:val="24"/>
        </w:rPr>
        <w:t>támogatásban</w:t>
      </w:r>
      <w:r>
        <w:rPr>
          <w:spacing w:val="20"/>
          <w:w w:val="125"/>
          <w:sz w:val="24"/>
        </w:rPr>
        <w:t> </w:t>
      </w:r>
      <w:r>
        <w:rPr>
          <w:w w:val="125"/>
          <w:sz w:val="24"/>
        </w:rPr>
        <w:t>részes</w:t>
      </w:r>
      <w:r>
        <w:rPr>
          <w:spacing w:val="21"/>
          <w:w w:val="125"/>
          <w:sz w:val="24"/>
        </w:rPr>
        <w:t> </w:t>
      </w:r>
      <w:r>
        <w:rPr>
          <w:w w:val="125"/>
          <w:sz w:val="24"/>
        </w:rPr>
        <w:t>fél</w:t>
      </w:r>
      <w:r>
        <w:rPr>
          <w:spacing w:val="20"/>
          <w:w w:val="125"/>
          <w:sz w:val="24"/>
        </w:rPr>
        <w:t> </w:t>
      </w:r>
      <w:r>
        <w:rPr>
          <w:w w:val="125"/>
          <w:sz w:val="24"/>
        </w:rPr>
        <w:t>illetékes</w:t>
      </w:r>
    </w:p>
    <w:p>
      <w:pPr>
        <w:pStyle w:val="BodyText"/>
        <w:tabs>
          <w:tab w:pos="1735" w:val="left" w:leader="none"/>
          <w:tab w:pos="3346" w:val="left" w:leader="none"/>
          <w:tab w:pos="4870" w:val="left" w:leader="none"/>
          <w:tab w:pos="6665" w:val="left" w:leader="none"/>
          <w:tab w:pos="8468" w:val="left" w:leader="none"/>
        </w:tabs>
        <w:spacing w:line="225" w:lineRule="auto" w:before="12"/>
        <w:ind w:right="123" w:firstLine="0"/>
      </w:pPr>
      <w:r>
        <w:rPr>
          <w:w w:val="125"/>
        </w:rPr>
        <w:t>felügyeleti</w:t>
        <w:tab/>
        <w:t>hatóságát,</w:t>
        <w:tab/>
        <w:t>EU-szintű</w:t>
        <w:tab/>
        <w:t>hitelintézeti</w:t>
        <w:tab/>
        <w:t>anyavállalat</w:t>
        <w:tab/>
      </w:r>
      <w:r>
        <w:rPr>
          <w:spacing w:val="-1"/>
          <w:w w:val="125"/>
        </w:rPr>
        <w:t>felügyeleti </w:t>
      </w:r>
      <w:r>
        <w:rPr>
          <w:w w:val="125"/>
        </w:rPr>
        <w:t>hatóságát, valamint az</w:t>
      </w:r>
      <w:r>
        <w:rPr>
          <w:spacing w:val="1"/>
          <w:w w:val="125"/>
        </w:rPr>
        <w:t> </w:t>
      </w:r>
      <w:r>
        <w:rPr>
          <w:w w:val="125"/>
        </w:rPr>
        <w:t>EBH-t.</w:t>
      </w:r>
    </w:p>
    <w:p>
      <w:pPr>
        <w:pStyle w:val="BodyText"/>
        <w:ind w:left="0" w:firstLine="0"/>
        <w:rPr>
          <w:sz w:val="11"/>
        </w:rPr>
      </w:pPr>
    </w:p>
    <w:p>
      <w:pPr>
        <w:pStyle w:val="Heading2"/>
        <w:numPr>
          <w:ilvl w:val="0"/>
          <w:numId w:val="321"/>
        </w:numPr>
        <w:tabs>
          <w:tab w:pos="4746" w:val="left" w:leader="none"/>
        </w:tabs>
        <w:spacing w:line="240" w:lineRule="auto" w:before="105" w:after="0"/>
        <w:ind w:left="4745" w:right="0" w:hanging="582"/>
        <w:jc w:val="left"/>
      </w:pPr>
      <w:r>
        <w:rPr>
          <w:w w:val="110"/>
        </w:rPr>
        <w:t>Fejezet</w:t>
      </w:r>
    </w:p>
    <w:p>
      <w:pPr>
        <w:pStyle w:val="BodyText"/>
        <w:spacing w:before="1"/>
        <w:ind w:left="0" w:firstLine="0"/>
        <w:rPr>
          <w:rFonts w:ascii="Georgia-BoldItalic"/>
          <w:b/>
          <w:i/>
          <w:sz w:val="41"/>
        </w:rPr>
      </w:pPr>
    </w:p>
    <w:p>
      <w:pPr>
        <w:spacing w:before="1"/>
        <w:ind w:left="1266" w:right="0" w:firstLine="0"/>
        <w:jc w:val="left"/>
        <w:rPr>
          <w:rFonts w:ascii="Georgia-BoldItalic" w:hAnsi="Georgia-BoldItalic"/>
          <w:b/>
          <w:i/>
          <w:sz w:val="24"/>
        </w:rPr>
      </w:pPr>
      <w:r>
        <w:rPr>
          <w:rFonts w:ascii="Georgia-BoldItalic" w:hAnsi="Georgia-BoldItalic"/>
          <w:b/>
          <w:i/>
          <w:w w:val="105"/>
          <w:sz w:val="24"/>
        </w:rPr>
        <w:t>A pénzügyi intézmények számvitele és könyvvizsgálata</w:t>
      </w:r>
    </w:p>
    <w:p>
      <w:pPr>
        <w:pStyle w:val="BodyText"/>
        <w:spacing w:before="8"/>
        <w:ind w:left="0" w:firstLine="0"/>
        <w:rPr>
          <w:rFonts w:ascii="Georgia-BoldItalic"/>
          <w:b/>
          <w:i/>
          <w:sz w:val="40"/>
        </w:rPr>
      </w:pPr>
    </w:p>
    <w:p>
      <w:pPr>
        <w:pStyle w:val="BodyText"/>
        <w:ind w:left="3799" w:firstLine="0"/>
      </w:pPr>
      <w:r>
        <w:rPr>
          <w:w w:val="125"/>
        </w:rPr>
        <w:t>113. Könyvvezetés</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22"/>
        </w:rPr>
      </w:pPr>
      <w:r>
        <w:rPr/>
        <w:pict>
          <v:line style="position:absolute;mso-position-horizontal-relative:page;mso-position-vertical-relative:paragraph;z-index:2504;mso-wrap-distance-left:0;mso-wrap-distance-right:0" from="56.693001pt,15.017625pt" to="538.583001pt,15.017625pt" stroked="true" strokeweight=".5pt" strokecolor="#000000">
            <v:stroke dashstyle="solid"/>
            <w10:wrap type="topAndBottom"/>
          </v:line>
        </w:pict>
      </w:r>
    </w:p>
    <w:p>
      <w:pPr>
        <w:pStyle w:val="ListParagraph"/>
        <w:numPr>
          <w:ilvl w:val="0"/>
          <w:numId w:val="586"/>
        </w:numPr>
        <w:tabs>
          <w:tab w:pos="686" w:val="left" w:leader="none"/>
          <w:tab w:pos="687" w:val="left" w:leader="none"/>
        </w:tabs>
        <w:spacing w:line="203" w:lineRule="exact" w:before="44"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86"/>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4"/>
          <w:w w:val="120"/>
          <w:sz w:val="18"/>
        </w:rPr>
        <w:t> </w:t>
      </w:r>
      <w:r>
        <w:rPr>
          <w:i/>
          <w:w w:val="120"/>
          <w:sz w:val="18"/>
        </w:rPr>
        <w:t>2014.</w:t>
      </w:r>
      <w:r>
        <w:rPr>
          <w:i/>
          <w:spacing w:val="15"/>
          <w:w w:val="120"/>
          <w:sz w:val="18"/>
        </w:rPr>
        <w:t> </w:t>
      </w:r>
      <w:r>
        <w:rPr>
          <w:i/>
          <w:w w:val="120"/>
          <w:sz w:val="18"/>
        </w:rPr>
        <w:t>évi</w:t>
      </w:r>
      <w:r>
        <w:rPr>
          <w:i/>
          <w:spacing w:val="15"/>
          <w:w w:val="120"/>
          <w:sz w:val="18"/>
        </w:rPr>
        <w:t> </w:t>
      </w:r>
      <w:r>
        <w:rPr>
          <w:i/>
          <w:w w:val="120"/>
          <w:sz w:val="18"/>
        </w:rPr>
        <w:t>XXXVII.</w:t>
      </w:r>
      <w:r>
        <w:rPr>
          <w:i/>
          <w:spacing w:val="15"/>
          <w:w w:val="120"/>
          <w:sz w:val="18"/>
        </w:rPr>
        <w:t> </w:t>
      </w:r>
      <w:r>
        <w:rPr>
          <w:i/>
          <w:w w:val="120"/>
          <w:sz w:val="18"/>
        </w:rPr>
        <w:t>törvény</w:t>
      </w:r>
      <w:r>
        <w:rPr>
          <w:i/>
          <w:spacing w:val="15"/>
          <w:w w:val="120"/>
          <w:sz w:val="18"/>
        </w:rPr>
        <w:t> </w:t>
      </w:r>
      <w:r>
        <w:rPr>
          <w:i/>
          <w:w w:val="120"/>
          <w:sz w:val="18"/>
        </w:rPr>
        <w:t>161.</w:t>
      </w:r>
      <w:r>
        <w:rPr>
          <w:i/>
          <w:spacing w:val="15"/>
          <w:w w:val="120"/>
          <w:sz w:val="18"/>
        </w:rPr>
        <w:t> </w:t>
      </w:r>
      <w:r>
        <w:rPr>
          <w:i/>
          <w:w w:val="120"/>
          <w:sz w:val="18"/>
        </w:rPr>
        <w:t>§</w:t>
      </w:r>
      <w:r>
        <w:rPr>
          <w:i/>
          <w:spacing w:val="16"/>
          <w:w w:val="120"/>
          <w:sz w:val="18"/>
        </w:rPr>
        <w:t> </w:t>
      </w:r>
      <w:r>
        <w:rPr>
          <w:i/>
          <w:w w:val="120"/>
          <w:sz w:val="18"/>
        </w:rPr>
        <w:t>(22).</w:t>
      </w:r>
      <w:r>
        <w:rPr>
          <w:i/>
          <w:spacing w:val="16"/>
          <w:w w:val="120"/>
          <w:sz w:val="18"/>
        </w:rPr>
        <w:t> </w:t>
      </w:r>
      <w:r>
        <w:rPr>
          <w:i/>
          <w:w w:val="120"/>
          <w:sz w:val="18"/>
        </w:rPr>
        <w:t>Hatályos:</w:t>
      </w:r>
      <w:r>
        <w:rPr>
          <w:i/>
          <w:spacing w:val="17"/>
          <w:w w:val="120"/>
          <w:sz w:val="18"/>
        </w:rPr>
        <w:t> </w:t>
      </w:r>
      <w:r>
        <w:rPr>
          <w:i/>
          <w:w w:val="120"/>
          <w:sz w:val="18"/>
        </w:rPr>
        <w:t>2014.</w:t>
      </w:r>
      <w:r>
        <w:rPr>
          <w:i/>
          <w:spacing w:val="14"/>
          <w:w w:val="120"/>
          <w:sz w:val="18"/>
        </w:rPr>
        <w:t> </w:t>
      </w:r>
      <w:r>
        <w:rPr>
          <w:i/>
          <w:w w:val="120"/>
          <w:sz w:val="18"/>
        </w:rPr>
        <w:t>IX.</w:t>
      </w:r>
      <w:r>
        <w:rPr>
          <w:i/>
          <w:spacing w:val="17"/>
          <w:w w:val="120"/>
          <w:sz w:val="18"/>
        </w:rPr>
        <w:t> </w:t>
      </w:r>
      <w:r>
        <w:rPr>
          <w:i/>
          <w:w w:val="120"/>
          <w:sz w:val="18"/>
        </w:rPr>
        <w:t>16-tól.</w:t>
      </w:r>
    </w:p>
    <w:p>
      <w:pPr>
        <w:pStyle w:val="ListParagraph"/>
        <w:numPr>
          <w:ilvl w:val="0"/>
          <w:numId w:val="586"/>
        </w:numPr>
        <w:tabs>
          <w:tab w:pos="686" w:val="left" w:leader="none"/>
          <w:tab w:pos="687" w:val="left" w:leader="none"/>
        </w:tabs>
        <w:spacing w:line="200"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15.</w:t>
      </w:r>
    </w:p>
    <w:p>
      <w:pPr>
        <w:pStyle w:val="ListParagraph"/>
        <w:numPr>
          <w:ilvl w:val="0"/>
          <w:numId w:val="586"/>
        </w:numPr>
        <w:tabs>
          <w:tab w:pos="686" w:val="left" w:leader="none"/>
          <w:tab w:pos="687" w:val="left" w:leader="none"/>
        </w:tabs>
        <w:spacing w:line="200" w:lineRule="exact" w:before="0" w:after="0"/>
        <w:ind w:left="686" w:right="0" w:hanging="344"/>
        <w:jc w:val="left"/>
        <w:rPr>
          <w:i/>
          <w:sz w:val="18"/>
        </w:rPr>
      </w:pPr>
      <w:r>
        <w:rPr>
          <w:i/>
          <w:w w:val="125"/>
          <w:sz w:val="18"/>
        </w:rPr>
        <w:t>Beiktatta: 2018. évi CXXVI. törvény 115. §. Hatályos: 2018. XII.</w:t>
      </w:r>
      <w:r>
        <w:rPr>
          <w:i/>
          <w:spacing w:val="-17"/>
          <w:w w:val="125"/>
          <w:sz w:val="18"/>
        </w:rPr>
        <w:t> </w:t>
      </w:r>
      <w:r>
        <w:rPr>
          <w:i/>
          <w:w w:val="125"/>
          <w:sz w:val="18"/>
        </w:rPr>
        <w:t>29-től.</w:t>
      </w:r>
    </w:p>
    <w:p>
      <w:pPr>
        <w:pStyle w:val="ListParagraph"/>
        <w:numPr>
          <w:ilvl w:val="0"/>
          <w:numId w:val="586"/>
        </w:numPr>
        <w:tabs>
          <w:tab w:pos="686" w:val="left" w:leader="none"/>
          <w:tab w:pos="687" w:val="left" w:leader="none"/>
        </w:tabs>
        <w:spacing w:line="203" w:lineRule="exact" w:before="0" w:after="0"/>
        <w:ind w:left="686" w:right="0" w:hanging="344"/>
        <w:jc w:val="left"/>
        <w:rPr>
          <w:i/>
          <w:sz w:val="18"/>
        </w:rPr>
      </w:pPr>
      <w:r>
        <w:rPr>
          <w:i/>
          <w:w w:val="125"/>
          <w:sz w:val="18"/>
        </w:rPr>
        <w:t>Módosította: 2018. évi CXXVI. törvény 120. §</w:t>
      </w:r>
      <w:r>
        <w:rPr>
          <w:i/>
          <w:spacing w:val="-5"/>
          <w:w w:val="125"/>
          <w:sz w:val="18"/>
        </w:rPr>
        <w:t> </w:t>
      </w:r>
      <w:r>
        <w:rPr>
          <w:i/>
          <w:w w:val="125"/>
          <w:sz w:val="18"/>
        </w:rPr>
        <w:t>16.</w:t>
      </w:r>
    </w:p>
    <w:p>
      <w:pPr>
        <w:spacing w:after="0" w:line="203" w:lineRule="exact"/>
        <w:jc w:val="left"/>
        <w:rPr>
          <w:sz w:val="18"/>
        </w:rPr>
        <w:sectPr>
          <w:pgSz w:w="11900" w:h="16820"/>
          <w:pgMar w:header="1104" w:footer="0" w:top="1840" w:bottom="280" w:left="1020" w:right="1000"/>
        </w:sectPr>
      </w:pPr>
    </w:p>
    <w:p>
      <w:pPr>
        <w:pStyle w:val="ListParagraph"/>
        <w:numPr>
          <w:ilvl w:val="0"/>
          <w:numId w:val="555"/>
        </w:numPr>
        <w:tabs>
          <w:tab w:pos="1055" w:val="left" w:leader="none"/>
        </w:tabs>
        <w:spacing w:line="225" w:lineRule="auto" w:before="172" w:after="0"/>
        <w:ind w:left="113" w:right="125" w:firstLine="204"/>
        <w:jc w:val="both"/>
        <w:rPr>
          <w:sz w:val="24"/>
        </w:rPr>
      </w:pPr>
      <w:r>
        <w:rPr>
          <w:rFonts w:ascii="Arial" w:hAnsi="Arial"/>
          <w:b/>
          <w:w w:val="125"/>
          <w:sz w:val="24"/>
        </w:rPr>
        <w:t>§ </w:t>
      </w:r>
      <w:r>
        <w:rPr>
          <w:w w:val="125"/>
          <w:sz w:val="24"/>
        </w:rPr>
        <w:t>(1) A pénzügyi intézmény az üzletszerű tevékenységre vonatkozó nyilvántartásait magyar nyelven - a magyar számvitelre  vonatkozó jogszabályok előírásainak betartásával - a felügyeleti és a jegybanki ellenőrzésre is alkalmas módon</w:t>
      </w:r>
      <w:r>
        <w:rPr>
          <w:spacing w:val="1"/>
          <w:w w:val="125"/>
          <w:sz w:val="24"/>
        </w:rPr>
        <w:t> </w:t>
      </w:r>
      <w:r>
        <w:rPr>
          <w:w w:val="125"/>
          <w:sz w:val="24"/>
        </w:rPr>
        <w:t>vezeti.</w:t>
      </w:r>
    </w:p>
    <w:p>
      <w:pPr>
        <w:pStyle w:val="BodyText"/>
        <w:spacing w:line="257" w:lineRule="exact"/>
        <w:ind w:left="317" w:firstLine="0"/>
      </w:pPr>
      <w:r>
        <w:rPr>
          <w:w w:val="125"/>
        </w:rPr>
        <w:t>(2) Az üzleti nyilvántartások vezetésével szemben támasztott követelmények:</w:t>
      </w:r>
    </w:p>
    <w:p>
      <w:pPr>
        <w:pStyle w:val="ListParagraph"/>
        <w:numPr>
          <w:ilvl w:val="0"/>
          <w:numId w:val="587"/>
        </w:numPr>
        <w:tabs>
          <w:tab w:pos="631" w:val="left" w:leader="none"/>
        </w:tabs>
        <w:spacing w:line="260" w:lineRule="exact" w:before="0" w:after="0"/>
        <w:ind w:left="630" w:right="0" w:hanging="313"/>
        <w:jc w:val="left"/>
        <w:rPr>
          <w:sz w:val="24"/>
        </w:rPr>
      </w:pPr>
      <w:r>
        <w:rPr>
          <w:w w:val="130"/>
          <w:sz w:val="24"/>
        </w:rPr>
        <w:t>tegye lehetővé a pénzügyi intézmény belső</w:t>
      </w:r>
      <w:r>
        <w:rPr>
          <w:spacing w:val="-45"/>
          <w:w w:val="130"/>
          <w:sz w:val="24"/>
        </w:rPr>
        <w:t> </w:t>
      </w:r>
      <w:r>
        <w:rPr>
          <w:w w:val="130"/>
          <w:sz w:val="24"/>
        </w:rPr>
        <w:t>ellenőrzését,</w:t>
      </w:r>
    </w:p>
    <w:p>
      <w:pPr>
        <w:pStyle w:val="ListParagraph"/>
        <w:numPr>
          <w:ilvl w:val="0"/>
          <w:numId w:val="587"/>
        </w:numPr>
        <w:tabs>
          <w:tab w:pos="674" w:val="left" w:leader="none"/>
        </w:tabs>
        <w:spacing w:line="225" w:lineRule="auto" w:before="5" w:after="0"/>
        <w:ind w:left="113" w:right="131" w:firstLine="204"/>
        <w:jc w:val="both"/>
        <w:rPr>
          <w:sz w:val="24"/>
        </w:rPr>
      </w:pPr>
      <w:r>
        <w:rPr>
          <w:w w:val="130"/>
          <w:sz w:val="24"/>
        </w:rPr>
        <w:t>biztosítsa a gondos és megbízható irányítást, vezetést, ideértve a vezető állású személyek tevékenységének a megítélését, valamint a tulajdonosok, a könyvvizsgáló és a Felügyelet által történő ellenőrzést, továbbá segítse a pénzügyi intézményt abban, hogy eleget tegyen a jogszabályokban és a szerződésekben előírt kötelezettségek</w:t>
      </w:r>
      <w:r>
        <w:rPr>
          <w:spacing w:val="-15"/>
          <w:w w:val="130"/>
          <w:sz w:val="24"/>
        </w:rPr>
        <w:t> </w:t>
      </w:r>
      <w:r>
        <w:rPr>
          <w:w w:val="130"/>
          <w:sz w:val="24"/>
        </w:rPr>
        <w:t>teljesítésének.</w:t>
      </w:r>
    </w:p>
    <w:p>
      <w:pPr>
        <w:pStyle w:val="ListParagraph"/>
        <w:numPr>
          <w:ilvl w:val="0"/>
          <w:numId w:val="555"/>
        </w:numPr>
        <w:tabs>
          <w:tab w:pos="1069" w:val="left" w:leader="none"/>
        </w:tabs>
        <w:spacing w:line="225" w:lineRule="auto" w:before="2" w:after="0"/>
        <w:ind w:left="113" w:right="130" w:firstLine="204"/>
        <w:jc w:val="both"/>
        <w:rPr>
          <w:sz w:val="24"/>
        </w:rPr>
      </w:pPr>
      <w:r>
        <w:rPr>
          <w:rFonts w:ascii="Arial" w:hAnsi="Arial"/>
          <w:b/>
          <w:w w:val="125"/>
          <w:sz w:val="24"/>
        </w:rPr>
        <w:t>§ </w:t>
      </w:r>
      <w:r>
        <w:rPr>
          <w:w w:val="125"/>
          <w:sz w:val="24"/>
        </w:rPr>
        <w:t>(1) A pénzügyi intézmény köteles az arra jogosult testület által elfogadott - könyvvizsgálói záradékot is tartalmazó - éves beszámolót, valamint az adózott eredmény felhasználására vonatkozó határozatot a Felügyeletnek annak elfogadásától számított tizenöt munkanapon belül, de legkésőbb a tárgyévet követő év május 31-éig, az összevont (konszolidált) éves beszámolót annak elfogadásától számított tizenöt munkanapon belül, de legkésőbb a tárgyévet követő év június 30-áig</w:t>
      </w:r>
      <w:r>
        <w:rPr>
          <w:spacing w:val="1"/>
          <w:w w:val="125"/>
          <w:sz w:val="24"/>
        </w:rPr>
        <w:t> </w:t>
      </w:r>
      <w:r>
        <w:rPr>
          <w:w w:val="125"/>
          <w:sz w:val="24"/>
        </w:rPr>
        <w:t>megküldeni.</w:t>
      </w:r>
    </w:p>
    <w:p>
      <w:pPr>
        <w:pStyle w:val="ListParagraph"/>
        <w:numPr>
          <w:ilvl w:val="0"/>
          <w:numId w:val="588"/>
        </w:numPr>
        <w:tabs>
          <w:tab w:pos="746" w:val="left" w:leader="none"/>
        </w:tabs>
        <w:spacing w:line="225" w:lineRule="auto" w:before="4" w:after="0"/>
        <w:ind w:left="113" w:right="129" w:firstLine="204"/>
        <w:jc w:val="both"/>
        <w:rPr>
          <w:sz w:val="24"/>
        </w:rPr>
      </w:pPr>
      <w:r>
        <w:rPr>
          <w:w w:val="125"/>
          <w:sz w:val="24"/>
        </w:rPr>
        <w:t>A 3. § (2) bekezdés </w:t>
      </w:r>
      <w:r>
        <w:rPr>
          <w:i/>
          <w:w w:val="125"/>
          <w:sz w:val="24"/>
        </w:rPr>
        <w:t>a) </w:t>
      </w:r>
      <w:r>
        <w:rPr>
          <w:w w:val="125"/>
          <w:sz w:val="24"/>
        </w:rPr>
        <w:t>és </w:t>
      </w:r>
      <w:r>
        <w:rPr>
          <w:i/>
          <w:w w:val="125"/>
          <w:sz w:val="24"/>
        </w:rPr>
        <w:t>c) </w:t>
      </w:r>
      <w:r>
        <w:rPr>
          <w:w w:val="125"/>
          <w:sz w:val="24"/>
        </w:rPr>
        <w:t>pontjában meghatározott kiegészítő pénzügyi szolgáltatásokat végző jogi személy könyvvezetésére és könyvvizsgálatára a 258-264. § rendelkezéseit nem kell</w:t>
      </w:r>
      <w:r>
        <w:rPr>
          <w:spacing w:val="2"/>
          <w:w w:val="125"/>
          <w:sz w:val="24"/>
        </w:rPr>
        <w:t> </w:t>
      </w:r>
      <w:r>
        <w:rPr>
          <w:w w:val="125"/>
          <w:sz w:val="24"/>
        </w:rPr>
        <w:t>alkalmazni.</w:t>
      </w:r>
    </w:p>
    <w:p>
      <w:pPr>
        <w:pStyle w:val="ListParagraph"/>
        <w:numPr>
          <w:ilvl w:val="0"/>
          <w:numId w:val="588"/>
        </w:numPr>
        <w:tabs>
          <w:tab w:pos="659" w:val="left" w:leader="none"/>
        </w:tabs>
        <w:spacing w:line="250" w:lineRule="exact" w:before="0" w:after="0"/>
        <w:ind w:left="658" w:right="0" w:hanging="341"/>
        <w:jc w:val="left"/>
        <w:rPr>
          <w:sz w:val="24"/>
        </w:rPr>
      </w:pPr>
      <w:r>
        <w:rPr>
          <w:i/>
          <w:w w:val="125"/>
          <w:position w:val="3"/>
          <w:sz w:val="18"/>
        </w:rPr>
        <w:t>1 </w:t>
      </w:r>
      <w:r>
        <w:rPr>
          <w:w w:val="125"/>
          <w:sz w:val="24"/>
        </w:rPr>
        <w:t>Magyarországon fiókteleppel rendelkező harmadik országbeli</w:t>
      </w:r>
      <w:r>
        <w:rPr>
          <w:spacing w:val="-28"/>
          <w:w w:val="125"/>
          <w:sz w:val="24"/>
        </w:rPr>
        <w:t> </w:t>
      </w:r>
      <w:r>
        <w:rPr>
          <w:w w:val="125"/>
          <w:sz w:val="24"/>
        </w:rPr>
        <w:t>pénzügyi</w:t>
      </w:r>
    </w:p>
    <w:p>
      <w:pPr>
        <w:pStyle w:val="BodyText"/>
        <w:spacing w:line="225" w:lineRule="auto" w:before="12"/>
        <w:ind w:right="130" w:firstLine="0"/>
        <w:jc w:val="both"/>
      </w:pPr>
      <w:r>
        <w:rPr>
          <w:w w:val="130"/>
        </w:rPr>
        <w:t>intézmény a saját joga alapján elkészített és könyvvizsgálóval hitelesített mérlegének és eredménykimutatásának hivatalos magyar nyelvű fordítását a jóváhagyását követő harminc napon belül a fióktelep honlapján közzéteszi.</w:t>
      </w:r>
    </w:p>
    <w:p>
      <w:pPr>
        <w:pStyle w:val="BodyText"/>
        <w:spacing w:before="228"/>
        <w:ind w:left="3716" w:firstLine="0"/>
      </w:pPr>
      <w:r>
        <w:rPr>
          <w:w w:val="125"/>
        </w:rPr>
        <w:t>114. Könyvvizsgálat</w:t>
      </w:r>
    </w:p>
    <w:p>
      <w:pPr>
        <w:pStyle w:val="BodyText"/>
        <w:spacing w:before="8"/>
        <w:ind w:left="0" w:firstLine="0"/>
        <w:rPr>
          <w:sz w:val="10"/>
        </w:rPr>
      </w:pPr>
    </w:p>
    <w:p>
      <w:pPr>
        <w:pStyle w:val="ListParagraph"/>
        <w:numPr>
          <w:ilvl w:val="0"/>
          <w:numId w:val="555"/>
        </w:numPr>
        <w:tabs>
          <w:tab w:pos="1033" w:val="left" w:leader="none"/>
        </w:tabs>
        <w:spacing w:line="262" w:lineRule="exact" w:before="100" w:after="0"/>
        <w:ind w:left="1032" w:right="0" w:hanging="715"/>
        <w:jc w:val="left"/>
        <w:rPr>
          <w:sz w:val="24"/>
        </w:rPr>
      </w:pPr>
      <w:r>
        <w:rPr>
          <w:rFonts w:ascii="Arial" w:hAnsi="Arial"/>
          <w:b/>
          <w:w w:val="120"/>
          <w:sz w:val="24"/>
        </w:rPr>
        <w:t>§ </w:t>
      </w:r>
      <w:r>
        <w:rPr>
          <w:w w:val="120"/>
          <w:sz w:val="24"/>
        </w:rPr>
        <w:t>(1)</w:t>
      </w:r>
      <w:r>
        <w:rPr>
          <w:i/>
          <w:w w:val="120"/>
          <w:position w:val="3"/>
          <w:sz w:val="18"/>
        </w:rPr>
        <w:t>2 </w:t>
      </w:r>
      <w:r>
        <w:rPr>
          <w:w w:val="120"/>
          <w:sz w:val="24"/>
        </w:rPr>
        <w:t>Pénzügyi intézmény esetén könyvvizsgálói feladatok</w:t>
      </w:r>
      <w:r>
        <w:rPr>
          <w:spacing w:val="63"/>
          <w:w w:val="120"/>
          <w:sz w:val="24"/>
        </w:rPr>
        <w:t> </w:t>
      </w:r>
      <w:r>
        <w:rPr>
          <w:w w:val="120"/>
          <w:sz w:val="24"/>
        </w:rPr>
        <w:t>ellátására</w:t>
      </w:r>
    </w:p>
    <w:p>
      <w:pPr>
        <w:pStyle w:val="BodyText"/>
        <w:tabs>
          <w:tab w:pos="891" w:val="left" w:leader="none"/>
          <w:tab w:pos="1816" w:val="left" w:leader="none"/>
          <w:tab w:pos="2883" w:val="left" w:leader="none"/>
          <w:tab w:pos="3385" w:val="left" w:leader="none"/>
          <w:tab w:pos="4703" w:val="left" w:leader="none"/>
          <w:tab w:pos="6701" w:val="left" w:leader="none"/>
          <w:tab w:pos="8325" w:val="left" w:leader="none"/>
        </w:tabs>
        <w:spacing w:line="225" w:lineRule="auto" w:before="12"/>
        <w:ind w:right="134" w:firstLine="0"/>
      </w:pPr>
      <w:r>
        <w:rPr>
          <w:w w:val="125"/>
        </w:rPr>
        <w:t>csak</w:t>
        <w:tab/>
        <w:t>akkor</w:t>
        <w:tab/>
        <w:t>adható</w:t>
        <w:tab/>
        <w:t>az</w:t>
        <w:tab/>
        <w:t>érvényes</w:t>
        <w:tab/>
        <w:t>könyvvizsgálói</w:t>
        <w:tab/>
        <w:t>engedéllyel</w:t>
        <w:tab/>
      </w:r>
      <w:r>
        <w:rPr>
          <w:spacing w:val="-1"/>
          <w:w w:val="125"/>
        </w:rPr>
        <w:t>rendelkező, </w:t>
      </w:r>
      <w:r>
        <w:rPr>
          <w:w w:val="125"/>
        </w:rPr>
        <w:t>bejegyzett könyvvizsgáló (könyvvizsgálói társaság) részére megbízás,</w:t>
      </w:r>
      <w:r>
        <w:rPr>
          <w:spacing w:val="3"/>
          <w:w w:val="125"/>
        </w:rPr>
        <w:t> </w:t>
      </w:r>
      <w:r>
        <w:rPr>
          <w:w w:val="125"/>
        </w:rPr>
        <w:t>ha</w:t>
      </w:r>
    </w:p>
    <w:p>
      <w:pPr>
        <w:pStyle w:val="ListParagraph"/>
        <w:numPr>
          <w:ilvl w:val="0"/>
          <w:numId w:val="589"/>
        </w:numPr>
        <w:tabs>
          <w:tab w:pos="876" w:val="left" w:leader="none"/>
          <w:tab w:pos="878" w:val="left" w:leader="none"/>
          <w:tab w:pos="1342" w:val="left" w:leader="none"/>
          <w:tab w:pos="3354" w:val="left" w:leader="none"/>
          <w:tab w:pos="5542" w:val="left" w:leader="none"/>
          <w:tab w:pos="7009" w:val="left" w:leader="none"/>
          <w:tab w:pos="8417" w:val="left" w:leader="none"/>
        </w:tabs>
        <w:spacing w:line="225" w:lineRule="auto" w:before="1" w:after="0"/>
        <w:ind w:left="113" w:right="129" w:firstLine="204"/>
        <w:jc w:val="left"/>
        <w:rPr>
          <w:sz w:val="24"/>
        </w:rPr>
      </w:pPr>
      <w:r>
        <w:rPr>
          <w:w w:val="130"/>
          <w:sz w:val="24"/>
        </w:rPr>
        <w:t>a</w:t>
        <w:tab/>
      </w:r>
      <w:r>
        <w:rPr>
          <w:w w:val="125"/>
          <w:sz w:val="24"/>
        </w:rPr>
        <w:t>könyvvizsgáló</w:t>
        <w:tab/>
        <w:t>(könyvvizsgálói</w:t>
        <w:tab/>
      </w:r>
      <w:r>
        <w:rPr>
          <w:w w:val="130"/>
          <w:sz w:val="24"/>
        </w:rPr>
        <w:t>társaság)</w:t>
        <w:tab/>
        <w:t>pénzügyi</w:t>
        <w:tab/>
      </w:r>
      <w:r>
        <w:rPr>
          <w:spacing w:val="-1"/>
          <w:w w:val="125"/>
          <w:sz w:val="24"/>
        </w:rPr>
        <w:t>intézményi </w:t>
      </w:r>
      <w:r>
        <w:rPr>
          <w:w w:val="130"/>
          <w:sz w:val="24"/>
        </w:rPr>
        <w:t>minősítéssel</w:t>
      </w:r>
      <w:r>
        <w:rPr>
          <w:spacing w:val="-4"/>
          <w:w w:val="130"/>
          <w:sz w:val="24"/>
        </w:rPr>
        <w:t> </w:t>
      </w:r>
      <w:r>
        <w:rPr>
          <w:w w:val="130"/>
          <w:sz w:val="24"/>
        </w:rPr>
        <w:t>rendelkezik,</w:t>
      </w:r>
    </w:p>
    <w:p>
      <w:pPr>
        <w:pStyle w:val="ListParagraph"/>
        <w:numPr>
          <w:ilvl w:val="0"/>
          <w:numId w:val="589"/>
        </w:numPr>
        <w:tabs>
          <w:tab w:pos="778" w:val="left" w:leader="none"/>
          <w:tab w:pos="779" w:val="left" w:leader="none"/>
          <w:tab w:pos="1134" w:val="left" w:leader="none"/>
          <w:tab w:pos="3052" w:val="left" w:leader="none"/>
          <w:tab w:pos="5407" w:val="left" w:leader="none"/>
          <w:tab w:pos="5763" w:val="left" w:leader="none"/>
          <w:tab w:pos="7807" w:val="left" w:leader="none"/>
          <w:tab w:pos="9180" w:val="left" w:leader="none"/>
        </w:tabs>
        <w:spacing w:line="225" w:lineRule="auto" w:before="2" w:after="0"/>
        <w:ind w:left="113" w:right="130" w:firstLine="204"/>
        <w:jc w:val="left"/>
        <w:rPr>
          <w:sz w:val="24"/>
        </w:rPr>
      </w:pPr>
      <w:r>
        <w:rPr>
          <w:w w:val="130"/>
          <w:sz w:val="24"/>
        </w:rPr>
        <w:t>a</w:t>
        <w:tab/>
      </w:r>
      <w:r>
        <w:rPr>
          <w:w w:val="125"/>
          <w:sz w:val="24"/>
        </w:rPr>
        <w:t>könyvvizsgáló</w:t>
        <w:tab/>
      </w:r>
      <w:r>
        <w:rPr>
          <w:w w:val="130"/>
          <w:sz w:val="24"/>
        </w:rPr>
        <w:t>nem </w:t>
      </w:r>
      <w:r>
        <w:rPr>
          <w:spacing w:val="6"/>
          <w:w w:val="130"/>
          <w:sz w:val="24"/>
        </w:rPr>
        <w:t> </w:t>
      </w:r>
      <w:r>
        <w:rPr>
          <w:w w:val="130"/>
          <w:sz w:val="24"/>
        </w:rPr>
        <w:t>rendelkezik</w:t>
        <w:tab/>
        <w:t>a</w:t>
        <w:tab/>
        <w:t>hitelintézetben</w:t>
        <w:tab/>
        <w:t>közvetlen</w:t>
        <w:tab/>
      </w:r>
      <w:r>
        <w:rPr>
          <w:spacing w:val="-5"/>
          <w:w w:val="125"/>
          <w:sz w:val="24"/>
        </w:rPr>
        <w:t>vagy </w:t>
      </w:r>
      <w:r>
        <w:rPr>
          <w:w w:val="130"/>
          <w:sz w:val="24"/>
        </w:rPr>
        <w:t>közvetett</w:t>
      </w:r>
      <w:r>
        <w:rPr>
          <w:spacing w:val="-4"/>
          <w:w w:val="130"/>
          <w:sz w:val="24"/>
        </w:rPr>
        <w:t> </w:t>
      </w:r>
      <w:r>
        <w:rPr>
          <w:w w:val="130"/>
          <w:sz w:val="24"/>
        </w:rPr>
        <w:t>tulajdonnal,</w:t>
      </w:r>
    </w:p>
    <w:p>
      <w:pPr>
        <w:pStyle w:val="ListParagraph"/>
        <w:numPr>
          <w:ilvl w:val="0"/>
          <w:numId w:val="589"/>
        </w:numPr>
        <w:tabs>
          <w:tab w:pos="888" w:val="left" w:leader="none"/>
          <w:tab w:pos="889" w:val="left" w:leader="none"/>
          <w:tab w:pos="1373" w:val="left" w:leader="none"/>
          <w:tab w:pos="3847" w:val="left" w:leader="none"/>
          <w:tab w:pos="4833" w:val="left" w:leader="none"/>
          <w:tab w:pos="5318" w:val="left" w:leader="none"/>
          <w:tab w:pos="7372" w:val="left" w:leader="none"/>
          <w:tab w:pos="8768" w:val="left" w:leader="none"/>
        </w:tabs>
        <w:spacing w:line="225" w:lineRule="auto" w:before="1" w:after="0"/>
        <w:ind w:left="113" w:right="128" w:firstLine="204"/>
        <w:jc w:val="left"/>
        <w:rPr>
          <w:sz w:val="24"/>
        </w:rPr>
      </w:pPr>
      <w:r>
        <w:rPr>
          <w:w w:val="130"/>
          <w:sz w:val="24"/>
        </w:rPr>
        <w:t>a</w:t>
        <w:tab/>
      </w:r>
      <w:r>
        <w:rPr>
          <w:w w:val="125"/>
          <w:sz w:val="24"/>
        </w:rPr>
        <w:t>könyvvizsgálónak</w:t>
        <w:tab/>
      </w:r>
      <w:r>
        <w:rPr>
          <w:w w:val="130"/>
          <w:sz w:val="24"/>
        </w:rPr>
        <w:t>nincs</w:t>
        <w:tab/>
        <w:t>a</w:t>
        <w:tab/>
        <w:t>hitelintézettel</w:t>
        <w:tab/>
        <w:t>szemben</w:t>
        <w:tab/>
      </w:r>
      <w:r>
        <w:rPr>
          <w:spacing w:val="-1"/>
          <w:w w:val="125"/>
          <w:sz w:val="24"/>
        </w:rPr>
        <w:t>fennálló </w:t>
      </w:r>
      <w:r>
        <w:rPr>
          <w:w w:val="130"/>
          <w:sz w:val="24"/>
        </w:rPr>
        <w:t>kölcsöntartozása,</w:t>
      </w:r>
      <w:r>
        <w:rPr>
          <w:spacing w:val="-5"/>
          <w:w w:val="130"/>
          <w:sz w:val="24"/>
        </w:rPr>
        <w:t> </w:t>
      </w:r>
      <w:r>
        <w:rPr>
          <w:w w:val="130"/>
          <w:sz w:val="24"/>
        </w:rPr>
        <w:t>valamint</w:t>
      </w:r>
    </w:p>
    <w:p>
      <w:pPr>
        <w:pStyle w:val="ListParagraph"/>
        <w:numPr>
          <w:ilvl w:val="0"/>
          <w:numId w:val="589"/>
        </w:numPr>
        <w:tabs>
          <w:tab w:pos="759" w:val="left" w:leader="none"/>
          <w:tab w:pos="2669" w:val="left" w:leader="none"/>
          <w:tab w:pos="6078" w:val="left" w:leader="none"/>
        </w:tabs>
        <w:spacing w:line="225" w:lineRule="auto" w:before="1" w:after="0"/>
        <w:ind w:left="113" w:right="128" w:firstLine="204"/>
        <w:jc w:val="left"/>
        <w:rPr>
          <w:sz w:val="24"/>
        </w:rPr>
      </w:pPr>
      <w:r>
        <w:rPr>
          <w:w w:val="125"/>
          <w:sz w:val="24"/>
        </w:rPr>
        <w:t>a </w:t>
      </w:r>
      <w:r>
        <w:rPr>
          <w:spacing w:val="27"/>
          <w:w w:val="125"/>
          <w:sz w:val="24"/>
        </w:rPr>
        <w:t> </w:t>
      </w:r>
      <w:r>
        <w:rPr>
          <w:w w:val="125"/>
          <w:sz w:val="24"/>
        </w:rPr>
        <w:t>befolyásoló</w:t>
        <w:tab/>
        <w:t>részesedéssel  </w:t>
      </w:r>
      <w:r>
        <w:rPr>
          <w:spacing w:val="6"/>
          <w:w w:val="125"/>
          <w:sz w:val="24"/>
        </w:rPr>
        <w:t> </w:t>
      </w:r>
      <w:r>
        <w:rPr>
          <w:w w:val="125"/>
          <w:sz w:val="24"/>
        </w:rPr>
        <w:t>rendelkező</w:t>
        <w:tab/>
        <w:t>tag a könyvvizsgáló cégben közvetlen vagy közvetett tulajdonnal nem</w:t>
      </w:r>
      <w:r>
        <w:rPr>
          <w:spacing w:val="4"/>
          <w:w w:val="125"/>
          <w:sz w:val="24"/>
        </w:rPr>
        <w:t> </w:t>
      </w:r>
      <w:r>
        <w:rPr>
          <w:w w:val="125"/>
          <w:sz w:val="24"/>
        </w:rPr>
        <w:t>rendelkezik.</w:t>
      </w:r>
    </w:p>
    <w:p>
      <w:pPr>
        <w:pStyle w:val="BodyText"/>
        <w:spacing w:line="225" w:lineRule="auto" w:before="1"/>
      </w:pPr>
      <w:r>
        <w:rPr>
          <w:w w:val="125"/>
        </w:rPr>
        <w:t>(2) Az (1) bekezdés </w:t>
      </w:r>
      <w:r>
        <w:rPr>
          <w:i/>
          <w:w w:val="125"/>
        </w:rPr>
        <w:t>c)-d) </w:t>
      </w:r>
      <w:r>
        <w:rPr>
          <w:w w:val="125"/>
        </w:rPr>
        <w:t>pontjában foglalt korlátozásokat a könyvvizsgáló közeli hozzátartozójára is alkalmazni kell.</w:t>
      </w:r>
    </w:p>
    <w:p>
      <w:pPr>
        <w:spacing w:line="256" w:lineRule="exact" w:before="0"/>
        <w:ind w:left="317" w:right="0" w:firstLine="0"/>
        <w:jc w:val="left"/>
        <w:rPr>
          <w:i/>
          <w:sz w:val="18"/>
        </w:rPr>
      </w:pPr>
      <w:r>
        <w:rPr>
          <w:w w:val="125"/>
          <w:sz w:val="24"/>
        </w:rPr>
        <w:t>(3)</w:t>
      </w:r>
      <w:r>
        <w:rPr>
          <w:i/>
          <w:w w:val="125"/>
          <w:position w:val="3"/>
          <w:sz w:val="18"/>
        </w:rPr>
        <w:t>3</w:t>
      </w:r>
    </w:p>
    <w:p>
      <w:pPr>
        <w:pStyle w:val="ListParagraph"/>
        <w:numPr>
          <w:ilvl w:val="0"/>
          <w:numId w:val="590"/>
        </w:numPr>
        <w:tabs>
          <w:tab w:pos="877" w:val="left" w:leader="none"/>
          <w:tab w:pos="878" w:val="left" w:leader="none"/>
          <w:tab w:pos="1397" w:val="left" w:leader="none"/>
          <w:tab w:pos="1957" w:val="left" w:leader="none"/>
          <w:tab w:pos="3755" w:val="left" w:leader="none"/>
          <w:tab w:pos="5210" w:val="left" w:leader="none"/>
          <w:tab w:pos="6719" w:val="left" w:leader="none"/>
          <w:tab w:pos="7840" w:val="left" w:leader="none"/>
          <w:tab w:pos="9598" w:val="left" w:leader="none"/>
        </w:tabs>
        <w:spacing w:line="225" w:lineRule="auto" w:before="6" w:after="0"/>
        <w:ind w:left="113" w:right="136" w:firstLine="204"/>
        <w:jc w:val="left"/>
        <w:rPr>
          <w:sz w:val="24"/>
        </w:rPr>
      </w:pPr>
      <w:r>
        <w:rPr>
          <w:w w:val="125"/>
          <w:sz w:val="24"/>
        </w:rPr>
        <w:t>Az</w:t>
        <w:tab/>
        <w:t>(1)</w:t>
        <w:tab/>
        <w:t>bekezdésben</w:t>
        <w:tab/>
        <w:t>előírtakon</w:t>
        <w:tab/>
        <w:t>túlmenően</w:t>
        <w:tab/>
        <w:t>további</w:t>
        <w:tab/>
        <w:t>követelmény</w:t>
        <w:tab/>
      </w:r>
      <w:r>
        <w:rPr>
          <w:spacing w:val="-18"/>
          <w:w w:val="125"/>
          <w:sz w:val="24"/>
        </w:rPr>
        <w:t>a </w:t>
      </w:r>
      <w:r>
        <w:rPr>
          <w:w w:val="125"/>
          <w:sz w:val="24"/>
        </w:rPr>
        <w:t>hitelintézeti természetes személy könyvvizsgálóval szemben,</w:t>
      </w:r>
      <w:r>
        <w:rPr>
          <w:spacing w:val="2"/>
          <w:w w:val="125"/>
          <w:sz w:val="24"/>
        </w:rPr>
        <w:t> </w:t>
      </w:r>
      <w:r>
        <w:rPr>
          <w:w w:val="125"/>
          <w:sz w:val="24"/>
        </w:rPr>
        <w:t>hogy</w:t>
      </w:r>
    </w:p>
    <w:p>
      <w:pPr>
        <w:pStyle w:val="ListParagraph"/>
        <w:numPr>
          <w:ilvl w:val="0"/>
          <w:numId w:val="591"/>
        </w:numPr>
        <w:tabs>
          <w:tab w:pos="647" w:val="left" w:leader="none"/>
        </w:tabs>
        <w:spacing w:line="225" w:lineRule="auto" w:before="1" w:after="0"/>
        <w:ind w:left="113" w:right="135" w:firstLine="204"/>
        <w:jc w:val="left"/>
        <w:rPr>
          <w:sz w:val="24"/>
        </w:rPr>
      </w:pPr>
      <w:r>
        <w:rPr>
          <w:w w:val="130"/>
          <w:sz w:val="24"/>
        </w:rPr>
        <w:t>egyidejűleg</w:t>
      </w:r>
      <w:r>
        <w:rPr>
          <w:spacing w:val="-27"/>
          <w:w w:val="130"/>
          <w:sz w:val="24"/>
        </w:rPr>
        <w:t> </w:t>
      </w:r>
      <w:r>
        <w:rPr>
          <w:w w:val="130"/>
          <w:sz w:val="24"/>
        </w:rPr>
        <w:t>legfeljebb</w:t>
      </w:r>
      <w:r>
        <w:rPr>
          <w:spacing w:val="-26"/>
          <w:w w:val="130"/>
          <w:sz w:val="24"/>
        </w:rPr>
        <w:t> </w:t>
      </w:r>
      <w:r>
        <w:rPr>
          <w:w w:val="130"/>
          <w:sz w:val="24"/>
        </w:rPr>
        <w:t>öt</w:t>
      </w:r>
      <w:r>
        <w:rPr>
          <w:spacing w:val="-26"/>
          <w:w w:val="130"/>
          <w:sz w:val="24"/>
        </w:rPr>
        <w:t> </w:t>
      </w:r>
      <w:r>
        <w:rPr>
          <w:w w:val="130"/>
          <w:sz w:val="24"/>
        </w:rPr>
        <w:t>hitelintézetnél</w:t>
      </w:r>
      <w:r>
        <w:rPr>
          <w:spacing w:val="-26"/>
          <w:w w:val="130"/>
          <w:sz w:val="24"/>
        </w:rPr>
        <w:t> </w:t>
      </w:r>
      <w:r>
        <w:rPr>
          <w:w w:val="130"/>
          <w:sz w:val="24"/>
        </w:rPr>
        <w:t>láthat</w:t>
      </w:r>
      <w:r>
        <w:rPr>
          <w:spacing w:val="-26"/>
          <w:w w:val="130"/>
          <w:sz w:val="24"/>
        </w:rPr>
        <w:t> </w:t>
      </w:r>
      <w:r>
        <w:rPr>
          <w:w w:val="130"/>
          <w:sz w:val="24"/>
        </w:rPr>
        <w:t>el</w:t>
      </w:r>
      <w:r>
        <w:rPr>
          <w:spacing w:val="-26"/>
          <w:w w:val="130"/>
          <w:sz w:val="24"/>
        </w:rPr>
        <w:t> </w:t>
      </w:r>
      <w:r>
        <w:rPr>
          <w:w w:val="130"/>
          <w:sz w:val="24"/>
        </w:rPr>
        <w:t>könyvvizsgálói</w:t>
      </w:r>
      <w:r>
        <w:rPr>
          <w:spacing w:val="-27"/>
          <w:w w:val="130"/>
          <w:sz w:val="24"/>
        </w:rPr>
        <w:t> </w:t>
      </w:r>
      <w:r>
        <w:rPr>
          <w:w w:val="130"/>
          <w:sz w:val="24"/>
        </w:rPr>
        <w:t>feladatot, ide nem értve a szövetkezeti</w:t>
      </w:r>
      <w:r>
        <w:rPr>
          <w:spacing w:val="-20"/>
          <w:w w:val="130"/>
          <w:sz w:val="24"/>
        </w:rPr>
        <w:t> </w:t>
      </w:r>
      <w:r>
        <w:rPr>
          <w:w w:val="130"/>
          <w:sz w:val="24"/>
        </w:rPr>
        <w:t>hitelintézeteket,</w:t>
      </w:r>
    </w:p>
    <w:p>
      <w:pPr>
        <w:pStyle w:val="ListParagraph"/>
        <w:numPr>
          <w:ilvl w:val="0"/>
          <w:numId w:val="591"/>
        </w:numPr>
        <w:tabs>
          <w:tab w:pos="865" w:val="left" w:leader="none"/>
          <w:tab w:pos="866" w:val="left" w:leader="none"/>
          <w:tab w:pos="2567" w:val="left" w:leader="none"/>
          <w:tab w:pos="4068" w:val="left" w:leader="none"/>
          <w:tab w:pos="4667" w:val="left" w:leader="none"/>
          <w:tab w:pos="6464" w:val="left" w:leader="none"/>
          <w:tab w:pos="8519" w:val="left" w:leader="none"/>
          <w:tab w:pos="9528" w:val="left" w:leader="none"/>
        </w:tabs>
        <w:spacing w:line="225" w:lineRule="auto" w:before="1" w:after="0"/>
        <w:ind w:left="113" w:right="131" w:firstLine="204"/>
        <w:jc w:val="left"/>
        <w:rPr>
          <w:sz w:val="24"/>
        </w:rPr>
      </w:pPr>
      <w:r>
        <w:rPr>
          <w:w w:val="130"/>
          <w:sz w:val="24"/>
        </w:rPr>
        <w:t>egyidejűleg</w:t>
        <w:tab/>
        <w:t>legfeljebb</w:t>
        <w:tab/>
        <w:t>tíz</w:t>
        <w:tab/>
        <w:t>szövetkezeti</w:t>
        <w:tab/>
        <w:t>hitelintézetnél</w:t>
        <w:tab/>
        <w:t>láthat</w:t>
        <w:tab/>
      </w:r>
      <w:r>
        <w:rPr>
          <w:spacing w:val="-9"/>
          <w:w w:val="130"/>
          <w:sz w:val="24"/>
        </w:rPr>
        <w:t>el </w:t>
      </w:r>
      <w:r>
        <w:rPr>
          <w:w w:val="130"/>
          <w:sz w:val="24"/>
        </w:rPr>
        <w:t>könyvvizsgálói</w:t>
      </w:r>
      <w:r>
        <w:rPr>
          <w:spacing w:val="-1"/>
          <w:w w:val="130"/>
          <w:sz w:val="24"/>
        </w:rPr>
        <w:t> </w:t>
      </w:r>
      <w:r>
        <w:rPr>
          <w:w w:val="130"/>
          <w:sz w:val="24"/>
        </w:rPr>
        <w:t>feladatot,</w:t>
      </w:r>
    </w:p>
    <w:p>
      <w:pPr>
        <w:pStyle w:val="BodyText"/>
        <w:ind w:left="0" w:firstLine="0"/>
        <w:rPr>
          <w:sz w:val="20"/>
        </w:rPr>
      </w:pPr>
    </w:p>
    <w:p>
      <w:pPr>
        <w:pStyle w:val="BodyText"/>
        <w:spacing w:before="8"/>
        <w:ind w:left="0" w:firstLine="0"/>
        <w:rPr>
          <w:sz w:val="21"/>
        </w:rPr>
      </w:pPr>
      <w:r>
        <w:rPr/>
        <w:pict>
          <v:line style="position:absolute;mso-position-horizontal-relative:page;mso-position-vertical-relative:paragraph;z-index:2528;mso-wrap-distance-left:0;mso-wrap-distance-right:0" from="56.693001pt,14.676835pt" to="538.583001pt,14.676835pt" stroked="true" strokeweight=".5pt" strokecolor="#000000">
            <v:stroke dashstyle="solid"/>
            <w10:wrap type="topAndBottom"/>
          </v:line>
        </w:pict>
      </w:r>
    </w:p>
    <w:p>
      <w:pPr>
        <w:pStyle w:val="ListParagraph"/>
        <w:numPr>
          <w:ilvl w:val="0"/>
          <w:numId w:val="592"/>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86. §. Hatályos: 2015. I.</w:t>
      </w:r>
      <w:r>
        <w:rPr>
          <w:i/>
          <w:spacing w:val="-14"/>
          <w:w w:val="125"/>
          <w:sz w:val="18"/>
        </w:rPr>
        <w:t> </w:t>
      </w:r>
      <w:r>
        <w:rPr>
          <w:i/>
          <w:w w:val="125"/>
          <w:sz w:val="18"/>
        </w:rPr>
        <w:t>1-től.</w:t>
      </w:r>
    </w:p>
    <w:p>
      <w:pPr>
        <w:pStyle w:val="ListParagraph"/>
        <w:numPr>
          <w:ilvl w:val="0"/>
          <w:numId w:val="592"/>
        </w:numPr>
        <w:tabs>
          <w:tab w:pos="686" w:val="left" w:leader="none"/>
          <w:tab w:pos="687" w:val="left" w:leader="none"/>
        </w:tabs>
        <w:spacing w:line="200" w:lineRule="exact" w:before="0" w:after="0"/>
        <w:ind w:left="686" w:right="0" w:hanging="344"/>
        <w:jc w:val="left"/>
        <w:rPr>
          <w:i/>
          <w:sz w:val="18"/>
        </w:rPr>
      </w:pPr>
      <w:r>
        <w:rPr>
          <w:i/>
          <w:w w:val="125"/>
          <w:sz w:val="18"/>
        </w:rPr>
        <w:t>Módosította: ugyane törvény 308. § (2)</w:t>
      </w:r>
      <w:r>
        <w:rPr>
          <w:i/>
          <w:spacing w:val="-1"/>
          <w:w w:val="125"/>
          <w:sz w:val="18"/>
        </w:rPr>
        <w:t> </w:t>
      </w:r>
      <w:r>
        <w:rPr>
          <w:i/>
          <w:w w:val="125"/>
          <w:sz w:val="18"/>
        </w:rPr>
        <w:t>d).</w:t>
      </w:r>
    </w:p>
    <w:p>
      <w:pPr>
        <w:pStyle w:val="ListParagraph"/>
        <w:numPr>
          <w:ilvl w:val="0"/>
          <w:numId w:val="592"/>
        </w:numPr>
        <w:tabs>
          <w:tab w:pos="686" w:val="left" w:leader="none"/>
          <w:tab w:pos="687" w:val="left" w:leader="none"/>
        </w:tabs>
        <w:spacing w:line="203" w:lineRule="exact" w:before="0" w:after="0"/>
        <w:ind w:left="686" w:right="0" w:hanging="344"/>
        <w:jc w:val="left"/>
        <w:rPr>
          <w:i/>
          <w:sz w:val="18"/>
        </w:rPr>
      </w:pPr>
      <w:r>
        <w:rPr>
          <w:i/>
          <w:w w:val="125"/>
          <w:sz w:val="18"/>
        </w:rPr>
        <w:t>Hatályon kívül helyezte: 2016. évi XLIV. törvény 67. §. Hatálytalan: 2016. VI.</w:t>
      </w:r>
      <w:r>
        <w:rPr>
          <w:i/>
          <w:spacing w:val="-24"/>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ListParagraph"/>
        <w:numPr>
          <w:ilvl w:val="0"/>
          <w:numId w:val="591"/>
        </w:numPr>
        <w:tabs>
          <w:tab w:pos="626" w:val="left" w:leader="none"/>
        </w:tabs>
        <w:spacing w:line="225" w:lineRule="auto" w:before="173" w:after="0"/>
        <w:ind w:left="113" w:right="123" w:firstLine="204"/>
        <w:jc w:val="both"/>
        <w:rPr>
          <w:sz w:val="24"/>
        </w:rPr>
      </w:pPr>
      <w:r>
        <w:rPr>
          <w:w w:val="125"/>
          <w:sz w:val="24"/>
        </w:rPr>
        <w:t>egy-egy hitelintézettől származó jövedelme (bevétele) nem haladhatja meg éves jövedelmének (bevételének) harminc</w:t>
      </w:r>
      <w:r>
        <w:rPr>
          <w:spacing w:val="7"/>
          <w:w w:val="125"/>
          <w:sz w:val="24"/>
        </w:rPr>
        <w:t> </w:t>
      </w:r>
      <w:r>
        <w:rPr>
          <w:w w:val="125"/>
          <w:sz w:val="24"/>
        </w:rPr>
        <w:t>százalékát,</w:t>
      </w:r>
    </w:p>
    <w:p>
      <w:pPr>
        <w:pStyle w:val="ListParagraph"/>
        <w:numPr>
          <w:ilvl w:val="0"/>
          <w:numId w:val="591"/>
        </w:numPr>
        <w:tabs>
          <w:tab w:pos="839" w:val="left" w:leader="none"/>
        </w:tabs>
        <w:spacing w:line="225" w:lineRule="auto" w:before="1" w:after="0"/>
        <w:ind w:left="113" w:right="123" w:firstLine="204"/>
        <w:jc w:val="both"/>
        <w:rPr>
          <w:sz w:val="24"/>
        </w:rPr>
      </w:pPr>
      <w:r>
        <w:rPr>
          <w:w w:val="125"/>
          <w:sz w:val="24"/>
        </w:rPr>
        <w:t>az egy tulajdonosi csoporthoz tartozó pénzügyi intézményektől, befektetési szolgáltatóktól, befektetési alapkezelő társaságoktól,  tőzsdétől,  vagy elszámolóházi tevékenységet végző szervezettől, valamint a tulajdonosi csoporthoz tartozó befektetési alapkezelő társaság által kezelt befektetési alaptól származó jövedelme (bevétele) nem haladhatja meg éves jövedelmének (bevételének) hatvan</w:t>
      </w:r>
      <w:r>
        <w:rPr>
          <w:spacing w:val="3"/>
          <w:w w:val="125"/>
          <w:sz w:val="24"/>
        </w:rPr>
        <w:t> </w:t>
      </w:r>
      <w:r>
        <w:rPr>
          <w:w w:val="125"/>
          <w:sz w:val="24"/>
        </w:rPr>
        <w:t>százalékát.</w:t>
      </w:r>
    </w:p>
    <w:p>
      <w:pPr>
        <w:pStyle w:val="ListParagraph"/>
        <w:numPr>
          <w:ilvl w:val="0"/>
          <w:numId w:val="590"/>
        </w:numPr>
        <w:tabs>
          <w:tab w:pos="765" w:val="left" w:leader="none"/>
        </w:tabs>
        <w:spacing w:line="225" w:lineRule="auto" w:before="3" w:after="0"/>
        <w:ind w:left="113" w:right="131" w:firstLine="204"/>
        <w:jc w:val="both"/>
        <w:rPr>
          <w:sz w:val="24"/>
        </w:rPr>
      </w:pPr>
      <w:r>
        <w:rPr>
          <w:w w:val="125"/>
          <w:sz w:val="24"/>
        </w:rPr>
        <w:t>A hitelintézeti könyvvizsgáló társaságokkal szemben az (1) bekezdésben foglaltakon túlmenően további követelmény,</w:t>
      </w:r>
      <w:r>
        <w:rPr>
          <w:spacing w:val="-1"/>
          <w:w w:val="125"/>
          <w:sz w:val="24"/>
        </w:rPr>
        <w:t> </w:t>
      </w:r>
      <w:r>
        <w:rPr>
          <w:w w:val="125"/>
          <w:sz w:val="24"/>
        </w:rPr>
        <w:t>hogy</w:t>
      </w:r>
    </w:p>
    <w:p>
      <w:pPr>
        <w:pStyle w:val="ListParagraph"/>
        <w:numPr>
          <w:ilvl w:val="0"/>
          <w:numId w:val="593"/>
        </w:numPr>
        <w:tabs>
          <w:tab w:pos="852" w:val="left" w:leader="none"/>
        </w:tabs>
        <w:spacing w:line="225" w:lineRule="auto" w:before="1" w:after="0"/>
        <w:ind w:left="113" w:right="130" w:firstLine="204"/>
        <w:jc w:val="both"/>
        <w:rPr>
          <w:sz w:val="24"/>
        </w:rPr>
      </w:pPr>
      <w:r>
        <w:rPr>
          <w:w w:val="125"/>
          <w:sz w:val="24"/>
        </w:rPr>
        <w:t>a könyvvizsgálói társaságon belül az (1) bekezdésben foglalt követelményeknek megfelelő könyvvizsgáló - egyidejűleg - legfeljebb öt hitelintézetnél láthat el könyvvizsgálói feladatot, ide nem értve a szövetkezeti hitelintézeteket,</w:t>
      </w:r>
    </w:p>
    <w:p>
      <w:pPr>
        <w:pStyle w:val="ListParagraph"/>
        <w:numPr>
          <w:ilvl w:val="0"/>
          <w:numId w:val="593"/>
        </w:numPr>
        <w:tabs>
          <w:tab w:pos="868" w:val="left" w:leader="none"/>
        </w:tabs>
        <w:spacing w:line="225" w:lineRule="auto" w:before="3" w:after="0"/>
        <w:ind w:left="113" w:right="133" w:firstLine="204"/>
        <w:jc w:val="both"/>
        <w:rPr>
          <w:sz w:val="24"/>
        </w:rPr>
      </w:pPr>
      <w:r>
        <w:rPr>
          <w:w w:val="125"/>
          <w:sz w:val="24"/>
        </w:rPr>
        <w:t>a könyvvizsgálói társaságon belül az (1) bekezdésben foglalt követelményeknek megfelelő könyvvizsgáló - egyidejűleg - legfeljebb tíz szövetkezeti hitelintézetnél láthat el könyvvizsgálói</w:t>
      </w:r>
      <w:r>
        <w:rPr>
          <w:spacing w:val="9"/>
          <w:w w:val="125"/>
          <w:sz w:val="24"/>
        </w:rPr>
        <w:t> </w:t>
      </w:r>
      <w:r>
        <w:rPr>
          <w:w w:val="125"/>
          <w:sz w:val="24"/>
        </w:rPr>
        <w:t>feladatot,</w:t>
      </w:r>
    </w:p>
    <w:p>
      <w:pPr>
        <w:pStyle w:val="ListParagraph"/>
        <w:numPr>
          <w:ilvl w:val="0"/>
          <w:numId w:val="593"/>
        </w:numPr>
        <w:tabs>
          <w:tab w:pos="697" w:val="left" w:leader="none"/>
        </w:tabs>
        <w:spacing w:line="225" w:lineRule="auto" w:before="2" w:after="0"/>
        <w:ind w:left="113" w:right="132" w:firstLine="204"/>
        <w:jc w:val="both"/>
        <w:rPr>
          <w:sz w:val="24"/>
        </w:rPr>
      </w:pPr>
      <w:r>
        <w:rPr>
          <w:w w:val="130"/>
          <w:sz w:val="24"/>
        </w:rPr>
        <w:t>könyvvizsgálói társaság egy-egy hitelintézettől származó bevétele nem haladhatja meg éves nettó árbevételének tíz</w:t>
      </w:r>
      <w:r>
        <w:rPr>
          <w:spacing w:val="-29"/>
          <w:w w:val="130"/>
          <w:sz w:val="24"/>
        </w:rPr>
        <w:t> </w:t>
      </w:r>
      <w:r>
        <w:rPr>
          <w:w w:val="130"/>
          <w:sz w:val="24"/>
        </w:rPr>
        <w:t>százalékát,</w:t>
      </w:r>
    </w:p>
    <w:p>
      <w:pPr>
        <w:pStyle w:val="ListParagraph"/>
        <w:numPr>
          <w:ilvl w:val="0"/>
          <w:numId w:val="593"/>
        </w:numPr>
        <w:tabs>
          <w:tab w:pos="769" w:val="left" w:leader="none"/>
        </w:tabs>
        <w:spacing w:line="225" w:lineRule="auto" w:before="1" w:after="0"/>
        <w:ind w:left="113" w:right="125" w:firstLine="204"/>
        <w:jc w:val="both"/>
        <w:rPr>
          <w:sz w:val="24"/>
        </w:rPr>
      </w:pPr>
      <w:r>
        <w:rPr>
          <w:w w:val="125"/>
          <w:sz w:val="24"/>
        </w:rPr>
        <w:t>a könyvvizsgáló társaságnak az egy tulajdonosi csoporthoz tartozó pénzügyi intézményektől, befektetési szolgáltatóktól, befektetési alapkezelő társaságoktól, tőzsdétől, és elszámolóházi tevékenységet végző szervezettől, valamint a tulajdonosi csoporthoz tartozó befektetési alapkezelő társaság által kezelt befektetési alaptól származó bevétele nem haladhatja meg éves nettó árbevételének harminc</w:t>
      </w:r>
      <w:r>
        <w:rPr>
          <w:spacing w:val="3"/>
          <w:w w:val="125"/>
          <w:sz w:val="24"/>
        </w:rPr>
        <w:t> </w:t>
      </w:r>
      <w:r>
        <w:rPr>
          <w:w w:val="125"/>
          <w:sz w:val="24"/>
        </w:rPr>
        <w:t>százalékát.</w:t>
      </w:r>
    </w:p>
    <w:p>
      <w:pPr>
        <w:pStyle w:val="ListParagraph"/>
        <w:numPr>
          <w:ilvl w:val="0"/>
          <w:numId w:val="590"/>
        </w:numPr>
        <w:tabs>
          <w:tab w:pos="793" w:val="left" w:leader="none"/>
        </w:tabs>
        <w:spacing w:line="225" w:lineRule="auto" w:before="3" w:after="0"/>
        <w:ind w:left="113" w:right="135" w:firstLine="204"/>
        <w:jc w:val="both"/>
        <w:rPr>
          <w:sz w:val="24"/>
        </w:rPr>
      </w:pPr>
      <w:r>
        <w:rPr>
          <w:w w:val="125"/>
          <w:sz w:val="24"/>
        </w:rPr>
        <w:t>Pénzügyi intézmény nem adhat könyvvizsgálói megbízást a Felügyelet alkalmazottjának, vagy annak közeli</w:t>
      </w:r>
      <w:r>
        <w:rPr>
          <w:spacing w:val="1"/>
          <w:w w:val="125"/>
          <w:sz w:val="24"/>
        </w:rPr>
        <w:t> </w:t>
      </w:r>
      <w:r>
        <w:rPr>
          <w:w w:val="125"/>
          <w:sz w:val="24"/>
        </w:rPr>
        <w:t>hozzátartozójának.</w:t>
      </w:r>
    </w:p>
    <w:p>
      <w:pPr>
        <w:pStyle w:val="ListParagraph"/>
        <w:numPr>
          <w:ilvl w:val="0"/>
          <w:numId w:val="590"/>
        </w:numPr>
        <w:tabs>
          <w:tab w:pos="659" w:val="left" w:leader="none"/>
        </w:tabs>
        <w:spacing w:line="249" w:lineRule="exact" w:before="0" w:after="0"/>
        <w:ind w:left="658" w:right="0" w:hanging="341"/>
        <w:jc w:val="left"/>
        <w:rPr>
          <w:sz w:val="24"/>
        </w:rPr>
      </w:pPr>
      <w:r>
        <w:rPr>
          <w:i/>
          <w:w w:val="125"/>
          <w:position w:val="3"/>
          <w:sz w:val="18"/>
        </w:rPr>
        <w:t>1 </w:t>
      </w:r>
      <w:r>
        <w:rPr>
          <w:w w:val="125"/>
          <w:sz w:val="24"/>
        </w:rPr>
        <w:t>Befektetési szolgáltatási tevékenységet végző hitelintézet</w:t>
      </w:r>
      <w:r>
        <w:rPr>
          <w:spacing w:val="63"/>
          <w:w w:val="125"/>
          <w:sz w:val="24"/>
        </w:rPr>
        <w:t> </w:t>
      </w:r>
      <w:r>
        <w:rPr>
          <w:w w:val="125"/>
          <w:sz w:val="24"/>
        </w:rPr>
        <w:t>jogszabályi</w:t>
      </w:r>
    </w:p>
    <w:p>
      <w:pPr>
        <w:pStyle w:val="BodyText"/>
        <w:spacing w:line="225" w:lineRule="auto" w:before="12"/>
        <w:ind w:right="135" w:firstLine="0"/>
        <w:jc w:val="both"/>
      </w:pPr>
      <w:r>
        <w:rPr>
          <w:w w:val="125"/>
        </w:rPr>
        <w:t>kötelezettségen alapuló könyvvizsgálatát csak olyan kamarai  tag könyvvizsgáló, könyvvizsgáló cég végezheti, aki (amely) rendelkezik pénzügyi intézményi és befektetési vállalkozási minősítéssel is.</w:t>
      </w:r>
    </w:p>
    <w:p>
      <w:pPr>
        <w:pStyle w:val="ListParagraph"/>
        <w:numPr>
          <w:ilvl w:val="0"/>
          <w:numId w:val="555"/>
        </w:numPr>
        <w:tabs>
          <w:tab w:pos="1164" w:val="left" w:leader="none"/>
        </w:tabs>
        <w:spacing w:line="225" w:lineRule="auto" w:before="1" w:after="0"/>
        <w:ind w:left="113" w:right="134" w:firstLine="204"/>
        <w:jc w:val="both"/>
        <w:rPr>
          <w:sz w:val="24"/>
        </w:rPr>
      </w:pPr>
      <w:r>
        <w:rPr>
          <w:rFonts w:ascii="Arial" w:hAnsi="Arial"/>
          <w:b/>
          <w:w w:val="125"/>
          <w:sz w:val="24"/>
        </w:rPr>
        <w:t>§ </w:t>
      </w:r>
      <w:r>
        <w:rPr>
          <w:w w:val="125"/>
          <w:sz w:val="24"/>
        </w:rPr>
        <w:t>(1) A pénzügyi intézmény által választott könyvvizsgáló a vizsgálatának eredményéről a pénzügyi intézménnyel egyidejűleg a Felügyeletet - írásban - haladéktalanul tájékoztatja,  ha  olyan  tényeket állapított meg, amelynek</w:t>
      </w:r>
      <w:r>
        <w:rPr>
          <w:spacing w:val="1"/>
          <w:w w:val="125"/>
          <w:sz w:val="24"/>
        </w:rPr>
        <w:t> </w:t>
      </w:r>
      <w:r>
        <w:rPr>
          <w:w w:val="125"/>
          <w:sz w:val="24"/>
        </w:rPr>
        <w:t>alapján</w:t>
      </w:r>
    </w:p>
    <w:p>
      <w:pPr>
        <w:pStyle w:val="ListParagraph"/>
        <w:numPr>
          <w:ilvl w:val="0"/>
          <w:numId w:val="594"/>
        </w:numPr>
        <w:tabs>
          <w:tab w:pos="838" w:val="left" w:leader="none"/>
        </w:tabs>
        <w:spacing w:line="225" w:lineRule="auto" w:before="2" w:after="0"/>
        <w:ind w:left="113" w:right="139" w:firstLine="204"/>
        <w:jc w:val="both"/>
        <w:rPr>
          <w:sz w:val="24"/>
        </w:rPr>
      </w:pPr>
      <w:r>
        <w:rPr>
          <w:w w:val="130"/>
          <w:sz w:val="24"/>
        </w:rPr>
        <w:t>a könyvvizsgálói záradék korlátozása vagy megtagadása válhat szükségessé,</w:t>
      </w:r>
    </w:p>
    <w:p>
      <w:pPr>
        <w:pStyle w:val="ListParagraph"/>
        <w:numPr>
          <w:ilvl w:val="0"/>
          <w:numId w:val="594"/>
        </w:numPr>
        <w:tabs>
          <w:tab w:pos="859" w:val="left" w:leader="none"/>
        </w:tabs>
        <w:spacing w:line="225" w:lineRule="auto" w:before="1" w:after="0"/>
        <w:ind w:left="113" w:right="131" w:firstLine="204"/>
        <w:jc w:val="both"/>
        <w:rPr>
          <w:sz w:val="24"/>
        </w:rPr>
      </w:pPr>
      <w:r>
        <w:rPr>
          <w:w w:val="125"/>
          <w:sz w:val="24"/>
        </w:rPr>
        <w:t>bűncselekmény elkövetésére vagy a pénzügyi intézmény belső szabályzatának súlyos megsértésére vagy az előzőekben említettek súlyos veszélyére utaló körülményeket</w:t>
      </w:r>
      <w:r>
        <w:rPr>
          <w:spacing w:val="2"/>
          <w:w w:val="125"/>
          <w:sz w:val="24"/>
        </w:rPr>
        <w:t> </w:t>
      </w:r>
      <w:r>
        <w:rPr>
          <w:w w:val="125"/>
          <w:sz w:val="24"/>
        </w:rPr>
        <w:t>észlel,</w:t>
      </w:r>
    </w:p>
    <w:p>
      <w:pPr>
        <w:pStyle w:val="ListParagraph"/>
        <w:numPr>
          <w:ilvl w:val="0"/>
          <w:numId w:val="594"/>
        </w:numPr>
        <w:tabs>
          <w:tab w:pos="673" w:val="left" w:leader="none"/>
        </w:tabs>
        <w:spacing w:line="225" w:lineRule="auto" w:before="2" w:after="0"/>
        <w:ind w:left="113" w:right="113" w:firstLine="204"/>
        <w:jc w:val="both"/>
        <w:rPr>
          <w:sz w:val="24"/>
        </w:rPr>
      </w:pPr>
      <w:r>
        <w:rPr>
          <w:w w:val="130"/>
          <w:sz w:val="24"/>
        </w:rPr>
        <w:t>e törvény vagy más jogszabályok, illetve a Felügyelet rendelkezéseiben foglalt</w:t>
      </w:r>
      <w:r>
        <w:rPr>
          <w:spacing w:val="-10"/>
          <w:w w:val="130"/>
          <w:sz w:val="24"/>
        </w:rPr>
        <w:t> </w:t>
      </w:r>
      <w:r>
        <w:rPr>
          <w:w w:val="130"/>
          <w:sz w:val="24"/>
        </w:rPr>
        <w:t>előírások</w:t>
      </w:r>
      <w:r>
        <w:rPr>
          <w:spacing w:val="-10"/>
          <w:w w:val="130"/>
          <w:sz w:val="24"/>
        </w:rPr>
        <w:t> </w:t>
      </w:r>
      <w:r>
        <w:rPr>
          <w:w w:val="130"/>
          <w:sz w:val="24"/>
        </w:rPr>
        <w:t>súlyos</w:t>
      </w:r>
      <w:r>
        <w:rPr>
          <w:spacing w:val="-9"/>
          <w:w w:val="130"/>
          <w:sz w:val="24"/>
        </w:rPr>
        <w:t> </w:t>
      </w:r>
      <w:r>
        <w:rPr>
          <w:w w:val="130"/>
          <w:sz w:val="24"/>
        </w:rPr>
        <w:t>megsértésére</w:t>
      </w:r>
      <w:r>
        <w:rPr>
          <w:spacing w:val="-10"/>
          <w:w w:val="130"/>
          <w:sz w:val="24"/>
        </w:rPr>
        <w:t> </w:t>
      </w:r>
      <w:r>
        <w:rPr>
          <w:w w:val="130"/>
          <w:sz w:val="24"/>
        </w:rPr>
        <w:t>utaló</w:t>
      </w:r>
      <w:r>
        <w:rPr>
          <w:spacing w:val="-9"/>
          <w:w w:val="130"/>
          <w:sz w:val="24"/>
        </w:rPr>
        <w:t> </w:t>
      </w:r>
      <w:r>
        <w:rPr>
          <w:w w:val="130"/>
          <w:sz w:val="24"/>
        </w:rPr>
        <w:t>körülményeket</w:t>
      </w:r>
      <w:r>
        <w:rPr>
          <w:spacing w:val="-10"/>
          <w:w w:val="130"/>
          <w:sz w:val="24"/>
        </w:rPr>
        <w:t> </w:t>
      </w:r>
      <w:r>
        <w:rPr>
          <w:w w:val="130"/>
          <w:sz w:val="24"/>
        </w:rPr>
        <w:t>észlel,</w:t>
      </w:r>
    </w:p>
    <w:p>
      <w:pPr>
        <w:pStyle w:val="ListParagraph"/>
        <w:numPr>
          <w:ilvl w:val="0"/>
          <w:numId w:val="594"/>
        </w:numPr>
        <w:tabs>
          <w:tab w:pos="686" w:val="left" w:leader="none"/>
        </w:tabs>
        <w:spacing w:line="225" w:lineRule="auto" w:before="1" w:after="0"/>
        <w:ind w:left="113" w:right="136" w:firstLine="204"/>
        <w:jc w:val="both"/>
        <w:rPr>
          <w:sz w:val="24"/>
        </w:rPr>
      </w:pPr>
      <w:r>
        <w:rPr>
          <w:w w:val="130"/>
          <w:sz w:val="24"/>
        </w:rPr>
        <w:t>a pénzügyi intézmény kötelezettségeinek teljesítését, a rábízott vagyoni értékek megőrzését nem látja biztosítottnak,</w:t>
      </w:r>
      <w:r>
        <w:rPr>
          <w:spacing w:val="-25"/>
          <w:w w:val="130"/>
          <w:sz w:val="24"/>
        </w:rPr>
        <w:t> </w:t>
      </w:r>
      <w:r>
        <w:rPr>
          <w:w w:val="130"/>
          <w:sz w:val="24"/>
        </w:rPr>
        <w:t>vagy</w:t>
      </w:r>
    </w:p>
    <w:p>
      <w:pPr>
        <w:pStyle w:val="ListParagraph"/>
        <w:numPr>
          <w:ilvl w:val="0"/>
          <w:numId w:val="594"/>
        </w:numPr>
        <w:tabs>
          <w:tab w:pos="877" w:val="left" w:leader="none"/>
        </w:tabs>
        <w:spacing w:line="225" w:lineRule="auto" w:before="1" w:after="0"/>
        <w:ind w:left="113" w:right="129" w:firstLine="204"/>
        <w:jc w:val="both"/>
        <w:rPr>
          <w:sz w:val="24"/>
        </w:rPr>
      </w:pPr>
      <w:r>
        <w:rPr>
          <w:w w:val="130"/>
          <w:sz w:val="24"/>
        </w:rPr>
        <w:t>a pénzügyi intézmény belső ellenőrzési rendszereinek súlyos hiányosságait vagy elégtelenségét állapítja meg,</w:t>
      </w:r>
      <w:r>
        <w:rPr>
          <w:spacing w:val="-33"/>
          <w:w w:val="130"/>
          <w:sz w:val="24"/>
        </w:rPr>
        <w:t> </w:t>
      </w:r>
      <w:r>
        <w:rPr>
          <w:w w:val="130"/>
          <w:sz w:val="24"/>
        </w:rPr>
        <w:t>vagy</w:t>
      </w:r>
    </w:p>
    <w:p>
      <w:pPr>
        <w:pStyle w:val="ListParagraph"/>
        <w:numPr>
          <w:ilvl w:val="0"/>
          <w:numId w:val="594"/>
        </w:numPr>
        <w:tabs>
          <w:tab w:pos="659" w:val="left" w:leader="none"/>
        </w:tabs>
        <w:spacing w:line="225" w:lineRule="auto" w:before="1" w:after="0"/>
        <w:ind w:left="113" w:right="112" w:firstLine="204"/>
        <w:jc w:val="both"/>
        <w:rPr>
          <w:sz w:val="24"/>
        </w:rPr>
      </w:pPr>
      <w:r>
        <w:rPr>
          <w:w w:val="130"/>
          <w:sz w:val="24"/>
        </w:rPr>
        <w:t>jelentős véleménykülönbség alakult ki közte és a pénzügyi intézmény vezetése között a pénzügyi intézmény fizetőképességét, jövedelmét, adatszolgáltatását vagy könyvvezetését érintő, a pénzügyi intézmény működését lényegesen érintő</w:t>
      </w:r>
      <w:r>
        <w:rPr>
          <w:spacing w:val="-13"/>
          <w:w w:val="130"/>
          <w:sz w:val="24"/>
        </w:rPr>
        <w:t> </w:t>
      </w:r>
      <w:r>
        <w:rPr>
          <w:w w:val="130"/>
          <w:sz w:val="24"/>
        </w:rPr>
        <w:t>kérdésekben.</w:t>
      </w:r>
    </w:p>
    <w:p>
      <w:pPr>
        <w:pStyle w:val="BodyText"/>
        <w:spacing w:before="10"/>
        <w:ind w:left="0" w:firstLine="0"/>
        <w:rPr>
          <w:sz w:val="27"/>
        </w:rPr>
      </w:pPr>
      <w:r>
        <w:rPr/>
        <w:pict>
          <v:line style="position:absolute;mso-position-horizontal-relative:page;mso-position-vertical-relative:paragraph;z-index:2552;mso-wrap-distance-left:0;mso-wrap-distance-right:0" from="56.693001pt,18.253172pt" to="538.583001pt,18.25317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LXXXV. törvény 228. §. Hatályos: 2015. VII.</w:t>
      </w:r>
      <w:r>
        <w:rPr>
          <w:i/>
          <w:spacing w:val="-16"/>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595"/>
        </w:numPr>
        <w:tabs>
          <w:tab w:pos="886" w:val="left" w:leader="none"/>
        </w:tabs>
        <w:spacing w:line="225" w:lineRule="auto" w:before="173" w:after="0"/>
        <w:ind w:left="113" w:right="126" w:firstLine="204"/>
        <w:jc w:val="both"/>
        <w:rPr>
          <w:sz w:val="24"/>
        </w:rPr>
      </w:pPr>
      <w:r>
        <w:rPr>
          <w:w w:val="125"/>
          <w:sz w:val="24"/>
        </w:rPr>
        <w:t>A pénzügyi intézmény összevont (konszolidált) éves beszámolóját felülvizsgáló könyvvizsgáló írásban haladéktalanul tájékoztatja a Felügyeletet, ha a pénzügyi intézménnyel ellenőrző befolyás miatt szoros kapcsolatban álló vállalkozásnál olyan tényeket állapít meg, amelyek a pénzügyi intézmény folyamatos működését kedvezőtlenül érintik, vagy az (1) bekezdés </w:t>
      </w:r>
      <w:r>
        <w:rPr>
          <w:i/>
          <w:w w:val="125"/>
          <w:sz w:val="24"/>
        </w:rPr>
        <w:t>a), c) </w:t>
      </w:r>
      <w:r>
        <w:rPr>
          <w:w w:val="125"/>
          <w:sz w:val="24"/>
        </w:rPr>
        <w:t>pontjában foglaltak fennállására</w:t>
      </w:r>
      <w:r>
        <w:rPr>
          <w:spacing w:val="7"/>
          <w:w w:val="125"/>
          <w:sz w:val="24"/>
        </w:rPr>
        <w:t> </w:t>
      </w:r>
      <w:r>
        <w:rPr>
          <w:w w:val="125"/>
          <w:sz w:val="24"/>
        </w:rPr>
        <w:t>utalnak.</w:t>
      </w:r>
    </w:p>
    <w:p>
      <w:pPr>
        <w:pStyle w:val="ListParagraph"/>
        <w:numPr>
          <w:ilvl w:val="0"/>
          <w:numId w:val="595"/>
        </w:numPr>
        <w:tabs>
          <w:tab w:pos="734" w:val="left" w:leader="none"/>
        </w:tabs>
        <w:spacing w:line="258" w:lineRule="exact" w:before="0" w:after="0"/>
        <w:ind w:left="733" w:right="0" w:hanging="416"/>
        <w:jc w:val="left"/>
        <w:rPr>
          <w:sz w:val="24"/>
        </w:rPr>
      </w:pPr>
      <w:r>
        <w:rPr>
          <w:w w:val="125"/>
          <w:sz w:val="24"/>
        </w:rPr>
        <w:t>Az (1) és (2) bekezdésben fel nem sorolt esetekben</w:t>
      </w:r>
      <w:r>
        <w:rPr>
          <w:spacing w:val="13"/>
          <w:w w:val="125"/>
          <w:sz w:val="24"/>
        </w:rPr>
        <w:t> </w:t>
      </w:r>
      <w:r>
        <w:rPr>
          <w:w w:val="125"/>
          <w:sz w:val="24"/>
        </w:rPr>
        <w:t>is</w:t>
      </w:r>
    </w:p>
    <w:p>
      <w:pPr>
        <w:pStyle w:val="ListParagraph"/>
        <w:numPr>
          <w:ilvl w:val="0"/>
          <w:numId w:val="596"/>
        </w:numPr>
        <w:tabs>
          <w:tab w:pos="631" w:val="left" w:leader="none"/>
        </w:tabs>
        <w:spacing w:line="260" w:lineRule="exact" w:before="0" w:after="0"/>
        <w:ind w:left="630" w:right="0" w:hanging="313"/>
        <w:jc w:val="left"/>
        <w:rPr>
          <w:sz w:val="24"/>
        </w:rPr>
      </w:pPr>
      <w:r>
        <w:rPr>
          <w:w w:val="125"/>
          <w:sz w:val="24"/>
        </w:rPr>
        <w:t>a könyvvizsgáló</w:t>
      </w:r>
      <w:r>
        <w:rPr>
          <w:spacing w:val="-2"/>
          <w:w w:val="125"/>
          <w:sz w:val="24"/>
        </w:rPr>
        <w:t> </w:t>
      </w:r>
      <w:r>
        <w:rPr>
          <w:w w:val="125"/>
          <w:sz w:val="24"/>
        </w:rPr>
        <w:t>jogosult</w:t>
      </w:r>
    </w:p>
    <w:p>
      <w:pPr>
        <w:pStyle w:val="BodyText"/>
        <w:spacing w:line="260" w:lineRule="exact"/>
        <w:ind w:left="317" w:firstLine="0"/>
      </w:pPr>
      <w:r>
        <w:rPr>
          <w:i/>
          <w:w w:val="130"/>
        </w:rPr>
        <w:t>aa) </w:t>
      </w:r>
      <w:r>
        <w:rPr>
          <w:w w:val="130"/>
        </w:rPr>
        <w:t>a Felügyelettel konzultálni, és</w:t>
      </w:r>
    </w:p>
    <w:p>
      <w:pPr>
        <w:pStyle w:val="BodyText"/>
        <w:spacing w:line="260" w:lineRule="exact"/>
        <w:ind w:left="317" w:firstLine="0"/>
      </w:pPr>
      <w:r>
        <w:rPr>
          <w:i/>
          <w:w w:val="130"/>
        </w:rPr>
        <w:t>ab) </w:t>
      </w:r>
      <w:r>
        <w:rPr>
          <w:w w:val="130"/>
        </w:rPr>
        <w:t>a Felügyeletet a vizsgálat eredményéről tájékoztatni,</w:t>
      </w:r>
    </w:p>
    <w:p>
      <w:pPr>
        <w:pStyle w:val="ListParagraph"/>
        <w:numPr>
          <w:ilvl w:val="0"/>
          <w:numId w:val="596"/>
        </w:numPr>
        <w:tabs>
          <w:tab w:pos="828" w:val="left" w:leader="none"/>
        </w:tabs>
        <w:spacing w:line="225" w:lineRule="auto" w:before="5" w:after="0"/>
        <w:ind w:left="113" w:right="120" w:firstLine="204"/>
        <w:jc w:val="both"/>
        <w:rPr>
          <w:sz w:val="24"/>
        </w:rPr>
      </w:pPr>
      <w:r>
        <w:rPr>
          <w:w w:val="130"/>
          <w:sz w:val="24"/>
        </w:rPr>
        <w:t>a Felügyelet jogosult a könyvvizsgálótól ennek megállapításairól közvetlenül tájékoztatást kérni és</w:t>
      </w:r>
      <w:r>
        <w:rPr>
          <w:spacing w:val="-19"/>
          <w:w w:val="130"/>
          <w:sz w:val="24"/>
        </w:rPr>
        <w:t> </w:t>
      </w:r>
      <w:r>
        <w:rPr>
          <w:w w:val="130"/>
          <w:sz w:val="24"/>
        </w:rPr>
        <w:t>kapni.</w:t>
      </w:r>
    </w:p>
    <w:p>
      <w:pPr>
        <w:pStyle w:val="ListParagraph"/>
        <w:numPr>
          <w:ilvl w:val="0"/>
          <w:numId w:val="555"/>
        </w:numPr>
        <w:tabs>
          <w:tab w:pos="1068" w:val="left" w:leader="none"/>
        </w:tabs>
        <w:spacing w:line="225" w:lineRule="auto" w:before="0" w:after="0"/>
        <w:ind w:left="113" w:right="121" w:firstLine="204"/>
        <w:jc w:val="both"/>
        <w:rPr>
          <w:sz w:val="24"/>
        </w:rPr>
      </w:pPr>
      <w:r>
        <w:rPr>
          <w:rFonts w:ascii="Arial" w:hAnsi="Arial"/>
          <w:b/>
          <w:w w:val="125"/>
          <w:sz w:val="24"/>
        </w:rPr>
        <w:t>§ </w:t>
      </w:r>
      <w:r>
        <w:rPr>
          <w:w w:val="125"/>
          <w:sz w:val="24"/>
        </w:rPr>
        <w:t>A Felügyelet a 184. § (3) bekezdés </w:t>
      </w:r>
      <w:r>
        <w:rPr>
          <w:i/>
          <w:w w:val="125"/>
          <w:sz w:val="24"/>
        </w:rPr>
        <w:t>k) </w:t>
      </w:r>
      <w:r>
        <w:rPr>
          <w:w w:val="125"/>
          <w:sz w:val="24"/>
        </w:rPr>
        <w:t>pontjában meghatározott esetben jogosult arra, hogy a hitelintézetet más könyvvizsgáló választására kötelezze és a könyvvizsgáló pénzügyi intézményi minősítésének visszavonását kezdeményezze.</w:t>
      </w:r>
    </w:p>
    <w:p>
      <w:pPr>
        <w:pStyle w:val="ListParagraph"/>
        <w:numPr>
          <w:ilvl w:val="0"/>
          <w:numId w:val="555"/>
        </w:numPr>
        <w:tabs>
          <w:tab w:pos="1002" w:val="left" w:leader="none"/>
        </w:tabs>
        <w:spacing w:line="225" w:lineRule="auto" w:before="1" w:after="0"/>
        <w:ind w:left="113" w:right="131" w:firstLine="204"/>
        <w:jc w:val="both"/>
        <w:rPr>
          <w:sz w:val="24"/>
        </w:rPr>
      </w:pPr>
      <w:r>
        <w:rPr>
          <w:rFonts w:ascii="Arial" w:hAnsi="Arial"/>
          <w:b/>
          <w:w w:val="125"/>
          <w:sz w:val="24"/>
        </w:rPr>
        <w:t>§ </w:t>
      </w:r>
      <w:r>
        <w:rPr>
          <w:w w:val="125"/>
          <w:sz w:val="24"/>
        </w:rPr>
        <w:t>(1) A könyvvizsgálónak a hitelintézet éves beszámolójának vizsgálata mellett az alábbiakat is meg kell</w:t>
      </w:r>
      <w:r>
        <w:rPr>
          <w:spacing w:val="2"/>
          <w:w w:val="125"/>
          <w:sz w:val="24"/>
        </w:rPr>
        <w:t> </w:t>
      </w:r>
      <w:r>
        <w:rPr>
          <w:w w:val="125"/>
          <w:sz w:val="24"/>
        </w:rPr>
        <w:t>vizsgálnia:</w:t>
      </w:r>
    </w:p>
    <w:p>
      <w:pPr>
        <w:pStyle w:val="ListParagraph"/>
        <w:numPr>
          <w:ilvl w:val="0"/>
          <w:numId w:val="597"/>
        </w:numPr>
        <w:tabs>
          <w:tab w:pos="631" w:val="left" w:leader="none"/>
        </w:tabs>
        <w:spacing w:line="256" w:lineRule="exact" w:before="0" w:after="0"/>
        <w:ind w:left="630" w:right="0" w:hanging="313"/>
        <w:jc w:val="left"/>
        <w:rPr>
          <w:sz w:val="24"/>
        </w:rPr>
      </w:pPr>
      <w:r>
        <w:rPr>
          <w:w w:val="130"/>
          <w:sz w:val="24"/>
        </w:rPr>
        <w:t>az értékelés szakmai</w:t>
      </w:r>
      <w:r>
        <w:rPr>
          <w:spacing w:val="-11"/>
          <w:w w:val="130"/>
          <w:sz w:val="24"/>
        </w:rPr>
        <w:t> </w:t>
      </w:r>
      <w:r>
        <w:rPr>
          <w:w w:val="130"/>
          <w:sz w:val="24"/>
        </w:rPr>
        <w:t>helyességét,</w:t>
      </w:r>
    </w:p>
    <w:p>
      <w:pPr>
        <w:pStyle w:val="ListParagraph"/>
        <w:numPr>
          <w:ilvl w:val="0"/>
          <w:numId w:val="597"/>
        </w:numPr>
        <w:tabs>
          <w:tab w:pos="653" w:val="left" w:leader="none"/>
        </w:tabs>
        <w:spacing w:line="260" w:lineRule="exact" w:before="0" w:after="0"/>
        <w:ind w:left="652" w:right="0" w:hanging="335"/>
        <w:jc w:val="left"/>
        <w:rPr>
          <w:sz w:val="24"/>
        </w:rPr>
      </w:pPr>
      <w:r>
        <w:rPr>
          <w:w w:val="130"/>
          <w:sz w:val="24"/>
        </w:rPr>
        <w:t>az</w:t>
      </w:r>
      <w:r>
        <w:rPr>
          <w:spacing w:val="-17"/>
          <w:w w:val="130"/>
          <w:sz w:val="24"/>
        </w:rPr>
        <w:t> </w:t>
      </w:r>
      <w:r>
        <w:rPr>
          <w:w w:val="130"/>
          <w:sz w:val="24"/>
        </w:rPr>
        <w:t>előírt</w:t>
      </w:r>
      <w:r>
        <w:rPr>
          <w:spacing w:val="-8"/>
          <w:w w:val="130"/>
          <w:sz w:val="24"/>
        </w:rPr>
        <w:t> </w:t>
      </w:r>
      <w:r>
        <w:rPr>
          <w:w w:val="130"/>
          <w:sz w:val="24"/>
        </w:rPr>
        <w:t>és</w:t>
      </w:r>
      <w:r>
        <w:rPr>
          <w:spacing w:val="-8"/>
          <w:w w:val="130"/>
          <w:sz w:val="24"/>
        </w:rPr>
        <w:t> </w:t>
      </w:r>
      <w:r>
        <w:rPr>
          <w:w w:val="130"/>
          <w:sz w:val="24"/>
        </w:rPr>
        <w:t>szükséges</w:t>
      </w:r>
      <w:r>
        <w:rPr>
          <w:spacing w:val="-6"/>
          <w:w w:val="130"/>
          <w:sz w:val="24"/>
        </w:rPr>
        <w:t> </w:t>
      </w:r>
      <w:r>
        <w:rPr>
          <w:w w:val="130"/>
          <w:sz w:val="24"/>
        </w:rPr>
        <w:t>értékhelyesbítések</w:t>
      </w:r>
      <w:r>
        <w:rPr>
          <w:spacing w:val="-8"/>
          <w:w w:val="130"/>
          <w:sz w:val="24"/>
        </w:rPr>
        <w:t> </w:t>
      </w:r>
      <w:r>
        <w:rPr>
          <w:w w:val="130"/>
          <w:sz w:val="24"/>
        </w:rPr>
        <w:t>és</w:t>
      </w:r>
      <w:r>
        <w:rPr>
          <w:spacing w:val="-8"/>
          <w:w w:val="130"/>
          <w:sz w:val="24"/>
        </w:rPr>
        <w:t> </w:t>
      </w:r>
      <w:r>
        <w:rPr>
          <w:w w:val="130"/>
          <w:sz w:val="24"/>
        </w:rPr>
        <w:t>leírások</w:t>
      </w:r>
      <w:r>
        <w:rPr>
          <w:spacing w:val="-7"/>
          <w:w w:val="130"/>
          <w:sz w:val="24"/>
        </w:rPr>
        <w:t> </w:t>
      </w:r>
      <w:r>
        <w:rPr>
          <w:w w:val="130"/>
          <w:sz w:val="24"/>
        </w:rPr>
        <w:t>elvégzését,</w:t>
      </w:r>
    </w:p>
    <w:p>
      <w:pPr>
        <w:pStyle w:val="ListParagraph"/>
        <w:numPr>
          <w:ilvl w:val="0"/>
          <w:numId w:val="597"/>
        </w:numPr>
        <w:tabs>
          <w:tab w:pos="623" w:val="left" w:leader="none"/>
        </w:tabs>
        <w:spacing w:line="260" w:lineRule="exact" w:before="0" w:after="0"/>
        <w:ind w:left="622" w:right="0" w:hanging="305"/>
        <w:jc w:val="left"/>
        <w:rPr>
          <w:sz w:val="24"/>
        </w:rPr>
      </w:pPr>
      <w:r>
        <w:rPr>
          <w:w w:val="130"/>
          <w:sz w:val="24"/>
        </w:rPr>
        <w:t>az előírt és szükséges tartalékok képzésének</w:t>
      </w:r>
      <w:r>
        <w:rPr>
          <w:spacing w:val="-28"/>
          <w:w w:val="130"/>
          <w:sz w:val="24"/>
        </w:rPr>
        <w:t> </w:t>
      </w:r>
      <w:r>
        <w:rPr>
          <w:w w:val="130"/>
          <w:sz w:val="24"/>
        </w:rPr>
        <w:t>megtörténtét,</w:t>
      </w:r>
    </w:p>
    <w:p>
      <w:pPr>
        <w:pStyle w:val="ListParagraph"/>
        <w:numPr>
          <w:ilvl w:val="0"/>
          <w:numId w:val="597"/>
        </w:numPr>
        <w:tabs>
          <w:tab w:pos="748" w:val="left" w:leader="none"/>
        </w:tabs>
        <w:spacing w:line="225" w:lineRule="auto" w:before="6" w:after="0"/>
        <w:ind w:left="113" w:right="124" w:firstLine="204"/>
        <w:jc w:val="both"/>
        <w:rPr>
          <w:sz w:val="24"/>
        </w:rPr>
      </w:pPr>
      <w:r>
        <w:rPr>
          <w:w w:val="130"/>
          <w:sz w:val="24"/>
        </w:rPr>
        <w:t>a szavatoló tőkére, a tőkemegfelelésre, folyamatos fizetőképességre, valamint az egyes pénzügyi, kiegészítő pénzügyi szolgáltatásokra vonatkozó szabályok</w:t>
      </w:r>
      <w:r>
        <w:rPr>
          <w:spacing w:val="2"/>
          <w:w w:val="130"/>
          <w:sz w:val="24"/>
        </w:rPr>
        <w:t> </w:t>
      </w:r>
      <w:r>
        <w:rPr>
          <w:w w:val="130"/>
          <w:sz w:val="24"/>
        </w:rPr>
        <w:t>betartását,</w:t>
      </w:r>
    </w:p>
    <w:p>
      <w:pPr>
        <w:pStyle w:val="ListParagraph"/>
        <w:numPr>
          <w:ilvl w:val="0"/>
          <w:numId w:val="597"/>
        </w:numPr>
        <w:tabs>
          <w:tab w:pos="694" w:val="left" w:leader="none"/>
        </w:tabs>
        <w:spacing w:line="225" w:lineRule="auto" w:before="2" w:after="0"/>
        <w:ind w:left="113" w:right="128" w:firstLine="204"/>
        <w:jc w:val="both"/>
        <w:rPr>
          <w:sz w:val="24"/>
        </w:rPr>
      </w:pPr>
      <w:r>
        <w:rPr>
          <w:w w:val="130"/>
          <w:sz w:val="24"/>
        </w:rPr>
        <w:t>az eredményes, megbízható és független tulajdonlásra, vagy a prudens működésre vonatkozó jogszabályok, valamint az MNB tv., a tevékenységére vonatkozó egyéb jogszabályok, az MNB hatósági határozata betartását, valamint</w:t>
      </w:r>
    </w:p>
    <w:p>
      <w:pPr>
        <w:pStyle w:val="ListParagraph"/>
        <w:numPr>
          <w:ilvl w:val="0"/>
          <w:numId w:val="597"/>
        </w:numPr>
        <w:tabs>
          <w:tab w:pos="577" w:val="left" w:leader="none"/>
        </w:tabs>
        <w:spacing w:line="257" w:lineRule="exact" w:before="0" w:after="0"/>
        <w:ind w:left="576" w:right="0" w:hanging="259"/>
        <w:jc w:val="left"/>
        <w:rPr>
          <w:sz w:val="24"/>
        </w:rPr>
      </w:pPr>
      <w:r>
        <w:rPr>
          <w:w w:val="130"/>
          <w:sz w:val="24"/>
        </w:rPr>
        <w:t>a megfelelő ellenőrzési rendszerek</w:t>
      </w:r>
      <w:r>
        <w:rPr>
          <w:spacing w:val="-22"/>
          <w:w w:val="130"/>
          <w:sz w:val="24"/>
        </w:rPr>
        <w:t> </w:t>
      </w:r>
      <w:r>
        <w:rPr>
          <w:w w:val="130"/>
          <w:sz w:val="24"/>
        </w:rPr>
        <w:t>működését.</w:t>
      </w:r>
    </w:p>
    <w:p>
      <w:pPr>
        <w:pStyle w:val="ListParagraph"/>
        <w:numPr>
          <w:ilvl w:val="0"/>
          <w:numId w:val="598"/>
        </w:numPr>
        <w:tabs>
          <w:tab w:pos="764" w:val="left" w:leader="none"/>
        </w:tabs>
        <w:spacing w:line="225" w:lineRule="auto" w:before="5" w:after="0"/>
        <w:ind w:left="113" w:right="128" w:firstLine="204"/>
        <w:jc w:val="both"/>
        <w:rPr>
          <w:sz w:val="24"/>
        </w:rPr>
      </w:pPr>
      <w:r>
        <w:rPr>
          <w:w w:val="130"/>
          <w:sz w:val="24"/>
        </w:rPr>
        <w:t>A</w:t>
      </w:r>
      <w:r>
        <w:rPr>
          <w:spacing w:val="-18"/>
          <w:w w:val="130"/>
          <w:sz w:val="24"/>
        </w:rPr>
        <w:t> </w:t>
      </w:r>
      <w:r>
        <w:rPr>
          <w:w w:val="130"/>
          <w:sz w:val="24"/>
        </w:rPr>
        <w:t>könyvvizsgáló</w:t>
      </w:r>
      <w:r>
        <w:rPr>
          <w:spacing w:val="-8"/>
          <w:w w:val="130"/>
          <w:sz w:val="24"/>
        </w:rPr>
        <w:t> </w:t>
      </w:r>
      <w:r>
        <w:rPr>
          <w:w w:val="130"/>
          <w:sz w:val="24"/>
        </w:rPr>
        <w:t>külön</w:t>
      </w:r>
      <w:r>
        <w:rPr>
          <w:spacing w:val="-27"/>
          <w:w w:val="130"/>
          <w:sz w:val="24"/>
        </w:rPr>
        <w:t> </w:t>
      </w:r>
      <w:r>
        <w:rPr>
          <w:w w:val="130"/>
          <w:sz w:val="24"/>
        </w:rPr>
        <w:t>kiegészítő</w:t>
      </w:r>
      <w:r>
        <w:rPr>
          <w:spacing w:val="-17"/>
          <w:w w:val="130"/>
          <w:sz w:val="24"/>
        </w:rPr>
        <w:t> </w:t>
      </w:r>
      <w:r>
        <w:rPr>
          <w:w w:val="130"/>
          <w:sz w:val="24"/>
        </w:rPr>
        <w:t>jelentésben</w:t>
      </w:r>
      <w:r>
        <w:rPr>
          <w:spacing w:val="-14"/>
          <w:w w:val="130"/>
          <w:sz w:val="24"/>
        </w:rPr>
        <w:t> </w:t>
      </w:r>
      <w:r>
        <w:rPr>
          <w:w w:val="130"/>
          <w:sz w:val="24"/>
        </w:rPr>
        <w:t>rögzíti</w:t>
      </w:r>
      <w:r>
        <w:rPr>
          <w:spacing w:val="-21"/>
          <w:w w:val="130"/>
          <w:sz w:val="24"/>
        </w:rPr>
        <w:t> </w:t>
      </w:r>
      <w:r>
        <w:rPr>
          <w:w w:val="130"/>
          <w:sz w:val="24"/>
        </w:rPr>
        <w:t>az</w:t>
      </w:r>
      <w:r>
        <w:rPr>
          <w:spacing w:val="-17"/>
          <w:w w:val="130"/>
          <w:sz w:val="24"/>
        </w:rPr>
        <w:t> </w:t>
      </w:r>
      <w:r>
        <w:rPr>
          <w:w w:val="130"/>
          <w:sz w:val="24"/>
        </w:rPr>
        <w:t>(1)</w:t>
      </w:r>
      <w:r>
        <w:rPr>
          <w:spacing w:val="-18"/>
          <w:w w:val="130"/>
          <w:sz w:val="24"/>
        </w:rPr>
        <w:t> </w:t>
      </w:r>
      <w:r>
        <w:rPr>
          <w:w w:val="130"/>
          <w:sz w:val="24"/>
        </w:rPr>
        <w:t>bekezdésben foglaltakra vonatkozó megállapításait, és azt legkésőbb</w:t>
      </w:r>
      <w:r>
        <w:rPr>
          <w:spacing w:val="-57"/>
          <w:w w:val="130"/>
          <w:sz w:val="24"/>
        </w:rPr>
        <w:t> </w:t>
      </w:r>
      <w:r>
        <w:rPr>
          <w:w w:val="130"/>
          <w:sz w:val="24"/>
        </w:rPr>
        <w:t>a tárgyévet követő év május 31-éig megküldi az igazgatóságnak, az ügyvezetőnek, a felügyelő bizottság elnökének és a</w:t>
      </w:r>
      <w:r>
        <w:rPr>
          <w:spacing w:val="-18"/>
          <w:w w:val="130"/>
          <w:sz w:val="24"/>
        </w:rPr>
        <w:t> </w:t>
      </w:r>
      <w:r>
        <w:rPr>
          <w:w w:val="130"/>
          <w:sz w:val="24"/>
        </w:rPr>
        <w:t>Felügyeletnek.</w:t>
      </w:r>
    </w:p>
    <w:p>
      <w:pPr>
        <w:pStyle w:val="ListParagraph"/>
        <w:numPr>
          <w:ilvl w:val="0"/>
          <w:numId w:val="598"/>
        </w:numPr>
        <w:tabs>
          <w:tab w:pos="826" w:val="left" w:leader="none"/>
        </w:tabs>
        <w:spacing w:line="225" w:lineRule="auto" w:before="2" w:after="0"/>
        <w:ind w:left="113" w:right="132" w:firstLine="204"/>
        <w:jc w:val="both"/>
        <w:rPr>
          <w:sz w:val="24"/>
        </w:rPr>
      </w:pPr>
      <w:r>
        <w:rPr>
          <w:w w:val="125"/>
          <w:sz w:val="24"/>
        </w:rPr>
        <w:t>A hitelintézet könyvvizsgálata keretében a könyvvizsgáló ellenőrzi a nyilvánosságra hozott információk és adatok tartalmát  és  értékbeli helyességét.</w:t>
      </w:r>
    </w:p>
    <w:p>
      <w:pPr>
        <w:pStyle w:val="ListParagraph"/>
        <w:numPr>
          <w:ilvl w:val="0"/>
          <w:numId w:val="555"/>
        </w:numPr>
        <w:tabs>
          <w:tab w:pos="1093" w:val="left" w:leader="none"/>
        </w:tabs>
        <w:spacing w:line="225" w:lineRule="auto" w:before="1" w:after="0"/>
        <w:ind w:left="113" w:right="136" w:firstLine="204"/>
        <w:jc w:val="both"/>
        <w:rPr>
          <w:sz w:val="24"/>
        </w:rPr>
      </w:pPr>
      <w:r>
        <w:rPr>
          <w:rFonts w:ascii="Arial" w:hAnsi="Arial"/>
          <w:b/>
          <w:w w:val="120"/>
          <w:sz w:val="24"/>
        </w:rPr>
        <w:t>§ </w:t>
      </w:r>
      <w:r>
        <w:rPr>
          <w:w w:val="120"/>
          <w:sz w:val="24"/>
        </w:rPr>
        <w:t>(1) A pénzügyi intézmény köteles a könyvvizsgálóval - az éves beszámoló könyvvizsgálatára -  kötött  szerződést  és  valamennyi,  a könyvvizsgáló által az éves beszámolóval kapcsolatban készített jelentést a Felügyelet számára</w:t>
      </w:r>
      <w:r>
        <w:rPr>
          <w:spacing w:val="12"/>
          <w:w w:val="120"/>
          <w:sz w:val="24"/>
        </w:rPr>
        <w:t> </w:t>
      </w:r>
      <w:r>
        <w:rPr>
          <w:w w:val="120"/>
          <w:sz w:val="24"/>
        </w:rPr>
        <w:t>megküldeni.</w:t>
      </w:r>
    </w:p>
    <w:p>
      <w:pPr>
        <w:pStyle w:val="ListParagraph"/>
        <w:numPr>
          <w:ilvl w:val="0"/>
          <w:numId w:val="599"/>
        </w:numPr>
        <w:tabs>
          <w:tab w:pos="810" w:val="left" w:leader="none"/>
        </w:tabs>
        <w:spacing w:line="225" w:lineRule="auto" w:before="2" w:after="0"/>
        <w:ind w:left="113" w:right="129" w:firstLine="204"/>
        <w:jc w:val="both"/>
        <w:rPr>
          <w:sz w:val="24"/>
        </w:rPr>
      </w:pPr>
      <w:r>
        <w:rPr>
          <w:w w:val="125"/>
          <w:sz w:val="24"/>
        </w:rPr>
        <w:t>A Felügyelet jogosult a könyvvizsgáló jelentésének alapján - az éves beszámoló jóváhagyása előtt - a pénzügyi intézménynél kezdeményezni, hogy a helytelen adatokat tartalmazó beszámolót vizsgáltassa felül, helyesbítse, gondoskodjon a helyesbített adatok könyvvizsgálóval történő</w:t>
      </w:r>
      <w:r>
        <w:rPr>
          <w:spacing w:val="32"/>
          <w:w w:val="125"/>
          <w:sz w:val="24"/>
        </w:rPr>
        <w:t> </w:t>
      </w:r>
      <w:r>
        <w:rPr>
          <w:w w:val="125"/>
          <w:sz w:val="24"/>
        </w:rPr>
        <w:t>hitelesítéséről.</w:t>
      </w:r>
    </w:p>
    <w:p>
      <w:pPr>
        <w:pStyle w:val="ListParagraph"/>
        <w:numPr>
          <w:ilvl w:val="0"/>
          <w:numId w:val="599"/>
        </w:numPr>
        <w:tabs>
          <w:tab w:pos="866" w:val="left" w:leader="none"/>
        </w:tabs>
        <w:spacing w:line="225" w:lineRule="auto" w:before="3" w:after="0"/>
        <w:ind w:left="113" w:right="128" w:firstLine="204"/>
        <w:jc w:val="both"/>
        <w:rPr>
          <w:sz w:val="24"/>
        </w:rPr>
      </w:pPr>
      <w:r>
        <w:rPr>
          <w:w w:val="125"/>
          <w:sz w:val="24"/>
        </w:rPr>
        <w:t>Ha az éves beszámoló jóváhagyását követően jutott a Felügyelet tudomására, hogy az éves beszámoló lényeges hibát tartalmaz, a Felügyelet kötelezheti a pénzügyi intézményt az adatok módosítására és könyvvizsgálóval való felülvizsgálatára. A módosított és a könyvvizsgáló által felülvizsgált adatot a pénzügyi intézmény köteles a Felügyeletnek</w:t>
      </w:r>
      <w:r>
        <w:rPr>
          <w:spacing w:val="13"/>
          <w:w w:val="125"/>
          <w:sz w:val="24"/>
        </w:rPr>
        <w:t> </w:t>
      </w:r>
      <w:r>
        <w:rPr>
          <w:w w:val="125"/>
          <w:sz w:val="24"/>
        </w:rPr>
        <w:t>bemutatni.</w:t>
      </w:r>
    </w:p>
    <w:p>
      <w:pPr>
        <w:pStyle w:val="Heading2"/>
        <w:numPr>
          <w:ilvl w:val="0"/>
          <w:numId w:val="321"/>
        </w:numPr>
        <w:tabs>
          <w:tab w:pos="4796" w:val="left" w:leader="none"/>
        </w:tabs>
        <w:spacing w:line="240" w:lineRule="auto" w:before="233" w:after="0"/>
        <w:ind w:left="4795" w:right="0" w:hanging="688"/>
        <w:jc w:val="left"/>
      </w:pPr>
      <w:r>
        <w:rPr>
          <w:w w:val="110"/>
        </w:rPr>
        <w:t>Fejezet</w:t>
      </w:r>
    </w:p>
    <w:p>
      <w:pPr>
        <w:spacing w:after="0" w:line="240" w:lineRule="auto"/>
        <w:jc w:val="left"/>
        <w:sectPr>
          <w:pgSz w:w="11900" w:h="16820"/>
          <w:pgMar w:header="1104" w:footer="0" w:top="1840" w:bottom="280" w:left="1020" w:right="1000"/>
        </w:sectPr>
      </w:pPr>
    </w:p>
    <w:p>
      <w:pPr>
        <w:pStyle w:val="BodyText"/>
        <w:spacing w:before="2"/>
        <w:ind w:left="0" w:firstLine="0"/>
        <w:rPr>
          <w:rFonts w:ascii="Georgia-BoldItalic"/>
          <w:b/>
          <w:i/>
          <w:sz w:val="26"/>
        </w:rPr>
      </w:pPr>
    </w:p>
    <w:p>
      <w:pPr>
        <w:spacing w:before="106"/>
        <w:ind w:left="513" w:right="524" w:firstLine="0"/>
        <w:jc w:val="center"/>
        <w:rPr>
          <w:rFonts w:ascii="Georgia-BoldItalic" w:hAnsi="Georgia-BoldItalic"/>
          <w:b/>
          <w:i/>
          <w:sz w:val="24"/>
        </w:rPr>
      </w:pPr>
      <w:r>
        <w:rPr>
          <w:rFonts w:ascii="Georgia-BoldItalic" w:hAnsi="Georgia-BoldItalic"/>
          <w:b/>
          <w:i/>
          <w:w w:val="105"/>
          <w:sz w:val="24"/>
        </w:rPr>
        <w:t>Ügyfelek védelme</w:t>
      </w:r>
    </w:p>
    <w:p>
      <w:pPr>
        <w:pStyle w:val="BodyText"/>
        <w:ind w:left="0" w:firstLine="0"/>
        <w:rPr>
          <w:rFonts w:ascii="Georgia-BoldItalic"/>
          <w:b/>
          <w:i/>
          <w:sz w:val="20"/>
        </w:rPr>
      </w:pPr>
    </w:p>
    <w:p>
      <w:pPr>
        <w:spacing w:after="0"/>
        <w:rPr>
          <w:rFonts w:ascii="Georgia-BoldItalic"/>
          <w:sz w:val="20"/>
        </w:rPr>
        <w:sectPr>
          <w:pgSz w:w="11900" w:h="16820"/>
          <w:pgMar w:header="1104" w:footer="0" w:top="1840" w:bottom="280" w:left="1020" w:right="1000"/>
        </w:sectPr>
      </w:pPr>
    </w:p>
    <w:p>
      <w:pPr>
        <w:pStyle w:val="BodyText"/>
        <w:ind w:left="0" w:firstLine="0"/>
        <w:rPr>
          <w:rFonts w:ascii="Georgia-BoldItalic"/>
          <w:b/>
          <w:i/>
          <w:sz w:val="28"/>
        </w:rPr>
      </w:pPr>
    </w:p>
    <w:p>
      <w:pPr>
        <w:pStyle w:val="BodyText"/>
        <w:spacing w:before="7"/>
        <w:ind w:left="0" w:firstLine="0"/>
        <w:rPr>
          <w:rFonts w:ascii="Georgia-BoldItalic"/>
          <w:b/>
          <w:i/>
          <w:sz w:val="36"/>
        </w:rPr>
      </w:pPr>
    </w:p>
    <w:p>
      <w:pPr>
        <w:tabs>
          <w:tab w:pos="1193" w:val="left" w:leader="none"/>
        </w:tabs>
        <w:spacing w:line="262" w:lineRule="exact" w:before="1"/>
        <w:ind w:left="317" w:right="0" w:firstLine="0"/>
        <w:jc w:val="left"/>
        <w:rPr>
          <w:i/>
          <w:sz w:val="18"/>
        </w:rPr>
      </w:pPr>
      <w:r>
        <w:rPr>
          <w:rFonts w:ascii="Arial" w:hAnsi="Arial"/>
          <w:b/>
          <w:w w:val="120"/>
          <w:sz w:val="24"/>
        </w:rPr>
        <w:t>265.</w:t>
        <w:tab/>
      </w:r>
      <w:r>
        <w:rPr>
          <w:rFonts w:ascii="Arial" w:hAnsi="Arial"/>
          <w:b/>
          <w:spacing w:val="-15"/>
          <w:w w:val="115"/>
          <w:sz w:val="24"/>
        </w:rPr>
        <w:t>§</w:t>
      </w:r>
      <w:r>
        <w:rPr>
          <w:i/>
          <w:spacing w:val="-15"/>
          <w:w w:val="115"/>
          <w:position w:val="3"/>
          <w:sz w:val="18"/>
        </w:rPr>
        <w:t>1</w:t>
      </w:r>
    </w:p>
    <w:p>
      <w:pPr>
        <w:pStyle w:val="BodyText"/>
        <w:spacing w:before="236"/>
        <w:ind w:left="1675" w:firstLine="0"/>
      </w:pPr>
      <w:r>
        <w:rPr/>
        <w:br w:type="column"/>
      </w:r>
      <w:r>
        <w:rPr>
          <w:w w:val="125"/>
        </w:rPr>
        <w:t>115. Általános rendelkezések</w:t>
      </w:r>
    </w:p>
    <w:p>
      <w:pPr>
        <w:pStyle w:val="BodyText"/>
        <w:tabs>
          <w:tab w:pos="1116" w:val="left" w:leader="none"/>
          <w:tab w:pos="1552" w:val="left" w:leader="none"/>
          <w:tab w:pos="3855" w:val="left" w:leader="none"/>
          <w:tab w:pos="4754" w:val="left" w:leader="none"/>
          <w:tab w:pos="6409" w:val="left" w:leader="none"/>
        </w:tabs>
        <w:spacing w:line="261" w:lineRule="exact" w:before="224"/>
        <w:ind w:left="252" w:firstLine="0"/>
      </w:pPr>
      <w:r>
        <w:rPr>
          <w:w w:val="130"/>
        </w:rPr>
        <w:t>Tilos</w:t>
        <w:tab/>
        <w:t>a</w:t>
        <w:tab/>
        <w:t>kereskedelemről</w:t>
        <w:tab/>
        <w:t>szóló</w:t>
        <w:tab/>
        <w:t>törvényben</w:t>
        <w:tab/>
        <w:t>meghatározott,</w:t>
      </w:r>
    </w:p>
    <w:p>
      <w:pPr>
        <w:spacing w:after="0" w:line="261" w:lineRule="exact"/>
        <w:sectPr>
          <w:type w:val="continuous"/>
          <w:pgSz w:w="11900" w:h="16820"/>
          <w:pgMar w:top="1840" w:bottom="280" w:left="1020" w:right="1000"/>
          <w:cols w:num="2" w:equalWidth="0">
            <w:col w:w="1435" w:space="40"/>
            <w:col w:w="8405"/>
          </w:cols>
        </w:sectPr>
      </w:pPr>
    </w:p>
    <w:p>
      <w:pPr>
        <w:pStyle w:val="BodyText"/>
        <w:spacing w:line="225" w:lineRule="auto" w:before="12"/>
        <w:ind w:right="130" w:firstLine="0"/>
        <w:jc w:val="both"/>
      </w:pPr>
      <w:r>
        <w:rPr>
          <w:w w:val="125"/>
        </w:rPr>
        <w:t>árubemutatóval egybekötött termékértékesítés során pénzügyi szolgáltatás nyújtása, a készpénz-helyettesítő fizetési eszköz használatával összefüggésben nyújtott pénzügyi szolgáltatás kivételével.</w:t>
      </w:r>
    </w:p>
    <w:p>
      <w:pPr>
        <w:pStyle w:val="Heading1"/>
        <w:spacing w:line="255" w:lineRule="exact"/>
        <w:rPr>
          <w:rFonts w:ascii="Times New Roman" w:hAnsi="Times New Roman"/>
          <w:b w:val="0"/>
          <w:i/>
          <w:sz w:val="18"/>
        </w:rPr>
      </w:pPr>
      <w:r>
        <w:rPr>
          <w:w w:val="120"/>
        </w:rPr>
        <w:t>266.</w:t>
      </w:r>
      <w:r>
        <w:rPr>
          <w:spacing w:val="-5"/>
          <w:w w:val="120"/>
        </w:rPr>
        <w:t> </w:t>
      </w:r>
      <w:r>
        <w:rPr>
          <w:w w:val="120"/>
        </w:rPr>
        <w:t>§</w:t>
      </w:r>
      <w:r>
        <w:rPr>
          <w:rFonts w:ascii="Times New Roman" w:hAnsi="Times New Roman"/>
          <w:b w:val="0"/>
          <w:i/>
          <w:w w:val="120"/>
          <w:position w:val="3"/>
          <w:sz w:val="18"/>
        </w:rPr>
        <w:t>2</w:t>
      </w:r>
    </w:p>
    <w:p>
      <w:pPr>
        <w:spacing w:line="268" w:lineRule="exact" w:before="0"/>
        <w:ind w:left="317" w:right="0" w:firstLine="0"/>
        <w:jc w:val="left"/>
        <w:rPr>
          <w:i/>
          <w:sz w:val="18"/>
        </w:rPr>
      </w:pPr>
      <w:r>
        <w:rPr>
          <w:rFonts w:ascii="Arial" w:hAnsi="Arial"/>
          <w:b/>
          <w:w w:val="120"/>
          <w:sz w:val="24"/>
        </w:rPr>
        <w:t>267.</w:t>
      </w:r>
      <w:r>
        <w:rPr>
          <w:rFonts w:ascii="Arial" w:hAnsi="Arial"/>
          <w:b/>
          <w:spacing w:val="-5"/>
          <w:w w:val="120"/>
          <w:sz w:val="24"/>
        </w:rPr>
        <w:t> </w:t>
      </w:r>
      <w:r>
        <w:rPr>
          <w:rFonts w:ascii="Arial" w:hAnsi="Arial"/>
          <w:b/>
          <w:w w:val="120"/>
          <w:sz w:val="24"/>
        </w:rPr>
        <w:t>§</w:t>
      </w:r>
      <w:r>
        <w:rPr>
          <w:i/>
          <w:w w:val="120"/>
          <w:position w:val="3"/>
          <w:sz w:val="18"/>
        </w:rPr>
        <w:t>3</w:t>
      </w:r>
    </w:p>
    <w:p>
      <w:pPr>
        <w:pStyle w:val="BodyText"/>
        <w:spacing w:before="225"/>
        <w:ind w:left="557" w:firstLine="0"/>
      </w:pPr>
      <w:r>
        <w:rPr>
          <w:w w:val="125"/>
        </w:rPr>
        <w:t>116. A kereskedelmi kommunikációra vonatkozó különös rendelkezések</w:t>
      </w:r>
    </w:p>
    <w:p>
      <w:pPr>
        <w:pStyle w:val="ListParagraph"/>
        <w:numPr>
          <w:ilvl w:val="0"/>
          <w:numId w:val="600"/>
        </w:numPr>
        <w:tabs>
          <w:tab w:pos="1069" w:val="left" w:leader="none"/>
        </w:tabs>
        <w:spacing w:line="225" w:lineRule="auto" w:before="236" w:after="0"/>
        <w:ind w:left="113" w:right="117" w:firstLine="204"/>
        <w:jc w:val="both"/>
        <w:rPr>
          <w:sz w:val="24"/>
        </w:rPr>
      </w:pPr>
      <w:r>
        <w:rPr>
          <w:rFonts w:ascii="Arial" w:hAnsi="Arial"/>
          <w:b/>
          <w:w w:val="125"/>
          <w:sz w:val="24"/>
        </w:rPr>
        <w:t>§ </w:t>
      </w:r>
      <w:r>
        <w:rPr>
          <w:w w:val="125"/>
          <w:sz w:val="24"/>
        </w:rPr>
        <w:t>A kereskedelmi kommunikációban - az e törvény végrehajtására kiadott jogszabályban meghatározott esetekben - fel kell tüntetni a betét egységesített betéti kamatláb mutatóját. E mutató számítására és feltüntetése módjára vonatkozó szabályokat az e törvény végrehajtására kiadott jogszabály határozza</w:t>
      </w:r>
      <w:r>
        <w:rPr>
          <w:spacing w:val="14"/>
          <w:w w:val="125"/>
          <w:sz w:val="24"/>
        </w:rPr>
        <w:t> </w:t>
      </w:r>
      <w:r>
        <w:rPr>
          <w:w w:val="125"/>
          <w:sz w:val="24"/>
        </w:rPr>
        <w:t>meg.</w:t>
      </w:r>
    </w:p>
    <w:p>
      <w:pPr>
        <w:pStyle w:val="ListParagraph"/>
        <w:numPr>
          <w:ilvl w:val="0"/>
          <w:numId w:val="600"/>
        </w:numPr>
        <w:tabs>
          <w:tab w:pos="1139" w:val="left" w:leader="none"/>
        </w:tabs>
        <w:spacing w:line="225" w:lineRule="auto" w:before="2" w:after="0"/>
        <w:ind w:left="113" w:right="121" w:firstLine="204"/>
        <w:jc w:val="both"/>
        <w:rPr>
          <w:sz w:val="24"/>
        </w:rPr>
      </w:pPr>
      <w:r>
        <w:rPr>
          <w:rFonts w:ascii="Arial" w:hAnsi="Arial"/>
          <w:b/>
          <w:w w:val="125"/>
          <w:sz w:val="24"/>
        </w:rPr>
        <w:t>§ </w:t>
      </w:r>
      <w:r>
        <w:rPr>
          <w:w w:val="125"/>
          <w:sz w:val="24"/>
        </w:rPr>
        <w:t>A fiatalkorúakat betételhelyezésre, hitelfelvételre vagy egyéb pénzügyi szolgáltatás igénybevételére felhívó reklámot hitelintézet mint reklámozó esetében legalább két országos  napilapban,  szövetkezeti  hitelintézet mint reklámozó esetében pedig legalább egy napilapban és egy országos napilapban közzé kell</w:t>
      </w:r>
      <w:r>
        <w:rPr>
          <w:spacing w:val="3"/>
          <w:w w:val="125"/>
          <w:sz w:val="24"/>
        </w:rPr>
        <w:t> </w:t>
      </w:r>
      <w:r>
        <w:rPr>
          <w:w w:val="125"/>
          <w:sz w:val="24"/>
        </w:rPr>
        <w:t>tenni.</w:t>
      </w:r>
    </w:p>
    <w:p>
      <w:pPr>
        <w:pStyle w:val="ListParagraph"/>
        <w:numPr>
          <w:ilvl w:val="0"/>
          <w:numId w:val="600"/>
        </w:numPr>
        <w:tabs>
          <w:tab w:pos="1053" w:val="left" w:leader="none"/>
        </w:tabs>
        <w:spacing w:line="225" w:lineRule="auto" w:before="2" w:after="0"/>
        <w:ind w:left="113" w:right="135" w:firstLine="204"/>
        <w:jc w:val="both"/>
        <w:rPr>
          <w:sz w:val="24"/>
        </w:rPr>
      </w:pPr>
      <w:r>
        <w:rPr>
          <w:rFonts w:ascii="Arial" w:hAnsi="Arial"/>
          <w:b/>
          <w:w w:val="125"/>
          <w:sz w:val="24"/>
        </w:rPr>
        <w:t>§ </w:t>
      </w:r>
      <w:r>
        <w:rPr>
          <w:w w:val="125"/>
          <w:sz w:val="24"/>
        </w:rPr>
        <w:t>Tilos a sorsolásra vonatkozó reklám. E tilalom nem vonatkozik a nyereménybetét-sorsolásra.</w:t>
      </w:r>
    </w:p>
    <w:p>
      <w:pPr>
        <w:pStyle w:val="BodyText"/>
        <w:tabs>
          <w:tab w:pos="1402" w:val="left" w:leader="none"/>
          <w:tab w:pos="1873" w:val="left" w:leader="none"/>
          <w:tab w:pos="4210" w:val="left" w:leader="none"/>
          <w:tab w:pos="6183" w:val="left" w:leader="none"/>
          <w:tab w:pos="7099" w:val="left" w:leader="none"/>
          <w:tab w:pos="8425" w:val="left" w:leader="none"/>
        </w:tabs>
        <w:spacing w:line="249" w:lineRule="exact"/>
        <w:ind w:left="317" w:firstLine="0"/>
      </w:pPr>
      <w:r>
        <w:rPr>
          <w:rFonts w:ascii="Arial" w:hAnsi="Arial"/>
          <w:b/>
          <w:w w:val="125"/>
        </w:rPr>
        <w:t>270/A.</w:t>
        <w:tab/>
        <w:t>§</w:t>
      </w:r>
      <w:r>
        <w:rPr>
          <w:i/>
          <w:w w:val="125"/>
          <w:position w:val="3"/>
          <w:sz w:val="18"/>
        </w:rPr>
        <w:t>4</w:t>
        <w:tab/>
      </w:r>
      <w:r>
        <w:rPr>
          <w:w w:val="125"/>
        </w:rPr>
        <w:t>Hitel-tanácsadási</w:t>
        <w:tab/>
        <w:t>tevékenységet</w:t>
        <w:tab/>
        <w:t>végző</w:t>
        <w:tab/>
        <w:t>pénzügyi</w:t>
        <w:tab/>
        <w:t>intézmény,</w:t>
      </w:r>
    </w:p>
    <w:p>
      <w:pPr>
        <w:pStyle w:val="BodyText"/>
        <w:tabs>
          <w:tab w:pos="1876" w:val="left" w:leader="none"/>
          <w:tab w:pos="3308" w:val="left" w:leader="none"/>
          <w:tab w:pos="5319" w:val="left" w:leader="none"/>
          <w:tab w:pos="6284" w:val="left" w:leader="none"/>
          <w:tab w:pos="7244" w:val="left" w:leader="none"/>
          <w:tab w:pos="8689" w:val="left" w:leader="none"/>
        </w:tabs>
        <w:spacing w:line="225" w:lineRule="auto" w:before="12"/>
        <w:ind w:right="136" w:firstLine="0"/>
      </w:pPr>
      <w:r>
        <w:rPr>
          <w:w w:val="125"/>
        </w:rPr>
        <w:t>jelzáloghitel</w:t>
        <w:tab/>
        <w:t>közvetítői</w:t>
        <w:tab/>
        <w:t>tevékenységet</w:t>
        <w:tab/>
        <w:t>végző</w:t>
        <w:tab/>
        <w:t>függő</w:t>
        <w:tab/>
        <w:t>közvetítő,</w:t>
        <w:tab/>
      </w:r>
      <w:r>
        <w:rPr>
          <w:spacing w:val="-3"/>
          <w:w w:val="125"/>
        </w:rPr>
        <w:t>valamint </w:t>
      </w:r>
      <w:r>
        <w:rPr>
          <w:w w:val="125"/>
        </w:rPr>
        <w:t>közvetítői alvállalkozó a kereskedelmi kommunikációjában nem használhatja</w:t>
      </w:r>
      <w:r>
        <w:rPr>
          <w:spacing w:val="74"/>
          <w:w w:val="125"/>
        </w:rPr>
        <w:t> </w:t>
      </w:r>
      <w:r>
        <w:rPr>
          <w:w w:val="125"/>
        </w:rPr>
        <w:t>a</w:t>
      </w:r>
    </w:p>
    <w:p>
      <w:pPr>
        <w:pStyle w:val="BodyText"/>
        <w:tabs>
          <w:tab w:pos="2750" w:val="left" w:leader="none"/>
          <w:tab w:pos="3303" w:val="left" w:leader="none"/>
          <w:tab w:pos="5394" w:val="left" w:leader="none"/>
          <w:tab w:pos="5947" w:val="left" w:leader="none"/>
          <w:tab w:pos="7644" w:val="left" w:leader="none"/>
          <w:tab w:pos="9606" w:val="left" w:leader="none"/>
        </w:tabs>
        <w:spacing w:line="256" w:lineRule="exact"/>
        <w:ind w:firstLine="0"/>
      </w:pPr>
      <w:r>
        <w:rPr>
          <w:w w:val="130"/>
        </w:rPr>
        <w:t>„hiteltanácsadás”,</w:t>
        <w:tab/>
        <w:t>a</w:t>
        <w:tab/>
        <w:t>„tanácsadás”,</w:t>
        <w:tab/>
        <w:t>a</w:t>
        <w:tab/>
        <w:t>„független</w:t>
        <w:tab/>
        <w:t>tanácsadás”,</w:t>
        <w:tab/>
        <w:t>a</w:t>
      </w:r>
    </w:p>
    <w:p>
      <w:pPr>
        <w:pStyle w:val="BodyText"/>
        <w:spacing w:line="225" w:lineRule="auto" w:before="5"/>
        <w:ind w:firstLine="0"/>
      </w:pPr>
      <w:r>
        <w:rPr>
          <w:w w:val="130"/>
        </w:rPr>
        <w:t>„hiteltanácsadó”, a „tanácsadó”, a „független tanácsadó” és más hasonló kifejezéseket.</w:t>
      </w:r>
    </w:p>
    <w:p>
      <w:pPr>
        <w:pStyle w:val="BodyText"/>
        <w:spacing w:before="3"/>
        <w:ind w:left="0" w:firstLine="0"/>
        <w:rPr>
          <w:sz w:val="11"/>
        </w:rPr>
      </w:pPr>
    </w:p>
    <w:p>
      <w:pPr>
        <w:spacing w:after="0"/>
        <w:rPr>
          <w:sz w:val="11"/>
        </w:rPr>
        <w:sectPr>
          <w:type w:val="continuous"/>
          <w:pgSz w:w="11900" w:h="16820"/>
          <w:pgMar w:top="1840" w:bottom="280" w:left="1020" w:right="1000"/>
        </w:sectPr>
      </w:pPr>
    </w:p>
    <w:p>
      <w:pPr>
        <w:pStyle w:val="BodyText"/>
        <w:ind w:left="0" w:firstLine="0"/>
        <w:rPr>
          <w:sz w:val="28"/>
        </w:rPr>
      </w:pPr>
    </w:p>
    <w:p>
      <w:pPr>
        <w:pStyle w:val="BodyText"/>
        <w:spacing w:before="11"/>
        <w:ind w:left="0" w:firstLine="0"/>
        <w:rPr>
          <w:sz w:val="23"/>
        </w:rPr>
      </w:pPr>
    </w:p>
    <w:p>
      <w:pPr>
        <w:tabs>
          <w:tab w:pos="1166" w:val="left" w:leader="none"/>
          <w:tab w:pos="1557" w:val="left" w:leader="none"/>
        </w:tabs>
        <w:spacing w:line="262" w:lineRule="exact" w:before="0"/>
        <w:ind w:left="317" w:right="0" w:firstLine="0"/>
        <w:jc w:val="left"/>
        <w:rPr>
          <w:i/>
          <w:sz w:val="18"/>
        </w:rPr>
      </w:pPr>
      <w:r>
        <w:rPr>
          <w:rFonts w:ascii="Arial" w:hAnsi="Arial"/>
          <w:b/>
          <w:w w:val="115"/>
          <w:sz w:val="24"/>
        </w:rPr>
        <w:t>271.</w:t>
        <w:tab/>
        <w:t>§</w:t>
        <w:tab/>
      </w:r>
      <w:r>
        <w:rPr>
          <w:spacing w:val="-7"/>
          <w:w w:val="115"/>
          <w:sz w:val="24"/>
        </w:rPr>
        <w:t>(1)</w:t>
      </w:r>
      <w:r>
        <w:rPr>
          <w:i/>
          <w:spacing w:val="-7"/>
          <w:w w:val="115"/>
          <w:position w:val="3"/>
          <w:sz w:val="18"/>
        </w:rPr>
        <w:t>5</w:t>
      </w:r>
    </w:p>
    <w:p>
      <w:pPr>
        <w:pStyle w:val="BodyText"/>
        <w:spacing w:before="99"/>
        <w:ind w:left="1022" w:firstLine="0"/>
      </w:pPr>
      <w:r>
        <w:rPr/>
        <w:br w:type="column"/>
      </w:r>
      <w:r>
        <w:rPr>
          <w:w w:val="125"/>
        </w:rPr>
        <w:t>117. Az ügyfelek tájékoztatása</w:t>
      </w:r>
    </w:p>
    <w:p>
      <w:pPr>
        <w:pStyle w:val="BodyText"/>
        <w:tabs>
          <w:tab w:pos="662" w:val="left" w:leader="none"/>
          <w:tab w:pos="2003" w:val="left" w:leader="none"/>
          <w:tab w:pos="3514" w:val="left" w:leader="none"/>
          <w:tab w:pos="4041" w:val="left" w:leader="none"/>
          <w:tab w:pos="6258" w:val="left" w:leader="none"/>
          <w:tab w:pos="7258" w:val="left" w:leader="none"/>
        </w:tabs>
        <w:spacing w:line="261" w:lineRule="exact" w:before="224"/>
        <w:ind w:left="217" w:firstLine="0"/>
      </w:pPr>
      <w:r>
        <w:rPr>
          <w:w w:val="125"/>
        </w:rPr>
        <w:t>A</w:t>
        <w:tab/>
        <w:t>pénzügyi</w:t>
        <w:tab/>
        <w:t>intézmény</w:t>
        <w:tab/>
        <w:t>az</w:t>
        <w:tab/>
        <w:t>ügyfélfogadásra</w:t>
        <w:tab/>
        <w:t>nyitva</w:t>
        <w:tab/>
        <w:t>álló</w:t>
      </w:r>
    </w:p>
    <w:p>
      <w:pPr>
        <w:spacing w:after="0" w:line="261" w:lineRule="exact"/>
        <w:sectPr>
          <w:type w:val="continuous"/>
          <w:pgSz w:w="11900" w:h="16820"/>
          <w:pgMar w:top="1840" w:bottom="280" w:left="1020" w:right="1000"/>
          <w:cols w:num="2" w:equalWidth="0">
            <w:col w:w="2013" w:space="40"/>
            <w:col w:w="7827"/>
          </w:cols>
        </w:sectPr>
      </w:pPr>
    </w:p>
    <w:p>
      <w:pPr>
        <w:pStyle w:val="BodyText"/>
        <w:spacing w:line="225" w:lineRule="auto" w:before="12"/>
        <w:ind w:right="130" w:firstLine="0"/>
        <w:jc w:val="both"/>
      </w:pPr>
      <w:r>
        <w:rPr>
          <w:w w:val="130"/>
        </w:rPr>
        <w:t>helyiségeiben közzéteszi, valamint elektronikus kereskedelmi szolgáltatások nyújtása esetén folyamatosan és könnyen hozzáférhető módon, elektronikus úton is elérhetővé teszi</w:t>
      </w:r>
    </w:p>
    <w:p>
      <w:pPr>
        <w:pStyle w:val="ListParagraph"/>
        <w:numPr>
          <w:ilvl w:val="0"/>
          <w:numId w:val="601"/>
        </w:numPr>
        <w:tabs>
          <w:tab w:pos="631" w:val="left" w:leader="none"/>
        </w:tabs>
        <w:spacing w:line="256" w:lineRule="exact" w:before="0" w:after="0"/>
        <w:ind w:left="630" w:right="0" w:hanging="313"/>
        <w:jc w:val="left"/>
        <w:rPr>
          <w:sz w:val="24"/>
        </w:rPr>
      </w:pPr>
      <w:r>
        <w:rPr>
          <w:w w:val="130"/>
          <w:sz w:val="24"/>
        </w:rPr>
        <w:t>általános szerződési feltételeit is tartalmazó</w:t>
      </w:r>
      <w:r>
        <w:rPr>
          <w:spacing w:val="-40"/>
          <w:w w:val="130"/>
          <w:sz w:val="24"/>
        </w:rPr>
        <w:t> </w:t>
      </w:r>
      <w:r>
        <w:rPr>
          <w:w w:val="130"/>
          <w:sz w:val="24"/>
        </w:rPr>
        <w:t>üzletszabályzatait,</w:t>
      </w:r>
    </w:p>
    <w:p>
      <w:pPr>
        <w:pStyle w:val="ListParagraph"/>
        <w:numPr>
          <w:ilvl w:val="0"/>
          <w:numId w:val="601"/>
        </w:numPr>
        <w:tabs>
          <w:tab w:pos="845" w:val="left" w:leader="none"/>
          <w:tab w:pos="847" w:val="left" w:leader="none"/>
          <w:tab w:pos="1396" w:val="left" w:leader="none"/>
          <w:tab w:pos="2715" w:val="left" w:leader="none"/>
          <w:tab w:pos="4017" w:val="left" w:leader="none"/>
          <w:tab w:pos="5226" w:val="left" w:leader="none"/>
          <w:tab w:pos="6604" w:val="left" w:leader="none"/>
          <w:tab w:pos="7149" w:val="left" w:leader="none"/>
          <w:tab w:pos="8652" w:val="left" w:leader="none"/>
        </w:tabs>
        <w:spacing w:line="225" w:lineRule="auto" w:before="5" w:after="0"/>
        <w:ind w:left="113" w:right="128" w:firstLine="204"/>
        <w:jc w:val="left"/>
        <w:rPr>
          <w:sz w:val="24"/>
        </w:rPr>
      </w:pPr>
      <w:r>
        <w:rPr>
          <w:w w:val="125"/>
          <w:sz w:val="24"/>
        </w:rPr>
        <w:t>az</w:t>
        <w:tab/>
        <w:t>ügyfelek</w:t>
        <w:tab/>
        <w:t>számára</w:t>
        <w:tab/>
        <w:t>ajánlott</w:t>
        <w:tab/>
        <w:t>pénzügyi</w:t>
        <w:tab/>
        <w:t>és</w:t>
        <w:tab/>
        <w:t>kiegészítő</w:t>
        <w:tab/>
      </w:r>
      <w:r>
        <w:rPr>
          <w:spacing w:val="-1"/>
          <w:w w:val="125"/>
          <w:sz w:val="24"/>
        </w:rPr>
        <w:t>pénzügyi </w:t>
      </w:r>
      <w:r>
        <w:rPr>
          <w:w w:val="125"/>
          <w:sz w:val="24"/>
        </w:rPr>
        <w:t>szolgáltatásokkal (ügyletekkel) kapcsolatos szerződési</w:t>
      </w:r>
      <w:r>
        <w:rPr>
          <w:spacing w:val="16"/>
          <w:w w:val="125"/>
          <w:sz w:val="24"/>
        </w:rPr>
        <w:t> </w:t>
      </w:r>
      <w:r>
        <w:rPr>
          <w:w w:val="125"/>
          <w:sz w:val="24"/>
        </w:rPr>
        <w:t>feltételeket,</w:t>
      </w:r>
    </w:p>
    <w:p>
      <w:pPr>
        <w:pStyle w:val="ListParagraph"/>
        <w:numPr>
          <w:ilvl w:val="0"/>
          <w:numId w:val="601"/>
        </w:numPr>
        <w:tabs>
          <w:tab w:pos="626" w:val="left" w:leader="none"/>
        </w:tabs>
        <w:spacing w:line="225" w:lineRule="auto" w:before="1" w:after="0"/>
        <w:ind w:left="113" w:right="134" w:firstLine="204"/>
        <w:jc w:val="left"/>
        <w:rPr>
          <w:sz w:val="24"/>
        </w:rPr>
      </w:pPr>
      <w:r>
        <w:rPr>
          <w:w w:val="130"/>
          <w:sz w:val="24"/>
        </w:rPr>
        <w:t>a</w:t>
      </w:r>
      <w:r>
        <w:rPr>
          <w:spacing w:val="-17"/>
          <w:w w:val="130"/>
          <w:sz w:val="24"/>
        </w:rPr>
        <w:t> </w:t>
      </w:r>
      <w:r>
        <w:rPr>
          <w:w w:val="130"/>
          <w:sz w:val="24"/>
        </w:rPr>
        <w:t>kamatokat,</w:t>
      </w:r>
      <w:r>
        <w:rPr>
          <w:spacing w:val="-17"/>
          <w:w w:val="130"/>
          <w:sz w:val="24"/>
        </w:rPr>
        <w:t> </w:t>
      </w:r>
      <w:r>
        <w:rPr>
          <w:w w:val="130"/>
          <w:sz w:val="24"/>
        </w:rPr>
        <w:t>szolgáltatási</w:t>
      </w:r>
      <w:r>
        <w:rPr>
          <w:spacing w:val="-17"/>
          <w:w w:val="130"/>
          <w:sz w:val="24"/>
        </w:rPr>
        <w:t> </w:t>
      </w:r>
      <w:r>
        <w:rPr>
          <w:w w:val="130"/>
          <w:sz w:val="24"/>
        </w:rPr>
        <w:t>díjakat,</w:t>
      </w:r>
      <w:r>
        <w:rPr>
          <w:spacing w:val="-17"/>
          <w:w w:val="130"/>
          <w:sz w:val="24"/>
        </w:rPr>
        <w:t> </w:t>
      </w:r>
      <w:r>
        <w:rPr>
          <w:w w:val="130"/>
          <w:sz w:val="24"/>
        </w:rPr>
        <w:t>az</w:t>
      </w:r>
      <w:r>
        <w:rPr>
          <w:spacing w:val="-16"/>
          <w:w w:val="130"/>
          <w:sz w:val="24"/>
        </w:rPr>
        <w:t> </w:t>
      </w:r>
      <w:r>
        <w:rPr>
          <w:w w:val="130"/>
          <w:sz w:val="24"/>
        </w:rPr>
        <w:t>ügyfelet</w:t>
      </w:r>
      <w:r>
        <w:rPr>
          <w:spacing w:val="-17"/>
          <w:w w:val="130"/>
          <w:sz w:val="24"/>
        </w:rPr>
        <w:t> </w:t>
      </w:r>
      <w:r>
        <w:rPr>
          <w:w w:val="130"/>
          <w:sz w:val="24"/>
        </w:rPr>
        <w:t>terhelő</w:t>
      </w:r>
      <w:r>
        <w:rPr>
          <w:spacing w:val="-5"/>
          <w:w w:val="130"/>
          <w:sz w:val="24"/>
        </w:rPr>
        <w:t> </w:t>
      </w:r>
      <w:r>
        <w:rPr>
          <w:w w:val="130"/>
          <w:sz w:val="24"/>
        </w:rPr>
        <w:t>egyéb</w:t>
      </w:r>
      <w:r>
        <w:rPr>
          <w:spacing w:val="-29"/>
          <w:w w:val="130"/>
          <w:sz w:val="24"/>
        </w:rPr>
        <w:t> </w:t>
      </w:r>
      <w:r>
        <w:rPr>
          <w:w w:val="130"/>
          <w:sz w:val="24"/>
        </w:rPr>
        <w:t>költségeket,</w:t>
      </w:r>
      <w:r>
        <w:rPr>
          <w:spacing w:val="-17"/>
          <w:w w:val="130"/>
          <w:sz w:val="24"/>
        </w:rPr>
        <w:t> </w:t>
      </w:r>
      <w:r>
        <w:rPr>
          <w:w w:val="130"/>
          <w:sz w:val="24"/>
        </w:rPr>
        <w:t>a késedelmi kamatokat, valamint a kamatszámítás</w:t>
      </w:r>
      <w:r>
        <w:rPr>
          <w:spacing w:val="-38"/>
          <w:w w:val="130"/>
          <w:sz w:val="24"/>
        </w:rPr>
        <w:t> </w:t>
      </w:r>
      <w:r>
        <w:rPr>
          <w:w w:val="130"/>
          <w:sz w:val="24"/>
        </w:rPr>
        <w:t>módszerét.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5"/>
        </w:rPr>
      </w:pPr>
      <w:r>
        <w:rPr/>
        <w:pict>
          <v:line style="position:absolute;mso-position-horizontal-relative:page;mso-position-vertical-relative:paragraph;z-index:2576;mso-wrap-distance-left:0;mso-wrap-distance-right:0" from="56.693001pt,16.70104pt" to="538.583001pt,16.70104pt" stroked="true" strokeweight=".5pt" strokecolor="#000000">
            <v:stroke dashstyle="solid"/>
            <w10:wrap type="topAndBottom"/>
          </v:line>
        </w:pict>
      </w:r>
    </w:p>
    <w:p>
      <w:pPr>
        <w:pStyle w:val="ListParagraph"/>
        <w:numPr>
          <w:ilvl w:val="0"/>
          <w:numId w:val="602"/>
        </w:numPr>
        <w:tabs>
          <w:tab w:pos="686" w:val="left" w:leader="none"/>
          <w:tab w:pos="687" w:val="left" w:leader="none"/>
        </w:tabs>
        <w:spacing w:line="203" w:lineRule="exact" w:before="44" w:after="0"/>
        <w:ind w:left="686" w:right="0" w:hanging="344"/>
        <w:jc w:val="left"/>
        <w:rPr>
          <w:i/>
          <w:sz w:val="18"/>
        </w:rPr>
      </w:pPr>
      <w:r>
        <w:rPr>
          <w:i/>
          <w:w w:val="125"/>
          <w:sz w:val="18"/>
        </w:rPr>
        <w:t>Megállapította: 2015. évi CXCV. törvény 6. §. Hatályos: 2015. XII.</w:t>
      </w:r>
      <w:r>
        <w:rPr>
          <w:i/>
          <w:spacing w:val="-23"/>
          <w:w w:val="125"/>
          <w:sz w:val="18"/>
        </w:rPr>
        <w:t> </w:t>
      </w:r>
      <w:r>
        <w:rPr>
          <w:i/>
          <w:w w:val="125"/>
          <w:sz w:val="18"/>
        </w:rPr>
        <w:t>12-től.</w:t>
      </w:r>
    </w:p>
    <w:p>
      <w:pPr>
        <w:pStyle w:val="ListParagraph"/>
        <w:numPr>
          <w:ilvl w:val="0"/>
          <w:numId w:val="6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ugyane</w:t>
      </w:r>
      <w:r>
        <w:rPr>
          <w:i/>
          <w:spacing w:val="8"/>
          <w:w w:val="120"/>
          <w:sz w:val="18"/>
        </w:rPr>
        <w:t> </w:t>
      </w:r>
      <w:r>
        <w:rPr>
          <w:i/>
          <w:w w:val="120"/>
          <w:sz w:val="18"/>
        </w:rPr>
        <w:t>törvény</w:t>
      </w:r>
      <w:r>
        <w:rPr>
          <w:i/>
          <w:spacing w:val="7"/>
          <w:w w:val="120"/>
          <w:sz w:val="18"/>
        </w:rPr>
        <w:t> </w:t>
      </w:r>
      <w:r>
        <w:rPr>
          <w:i/>
          <w:w w:val="120"/>
          <w:sz w:val="18"/>
        </w:rPr>
        <w:t>308.</w:t>
      </w:r>
      <w:r>
        <w:rPr>
          <w:i/>
          <w:spacing w:val="7"/>
          <w:w w:val="120"/>
          <w:sz w:val="18"/>
        </w:rPr>
        <w:t> </w:t>
      </w:r>
      <w:r>
        <w:rPr>
          <w:i/>
          <w:w w:val="120"/>
          <w:sz w:val="18"/>
        </w:rPr>
        <w:t>§</w:t>
      </w:r>
      <w:r>
        <w:rPr>
          <w:i/>
          <w:spacing w:val="8"/>
          <w:w w:val="120"/>
          <w:sz w:val="18"/>
        </w:rPr>
        <w:t> </w:t>
      </w:r>
      <w:r>
        <w:rPr>
          <w:i/>
          <w:w w:val="120"/>
          <w:sz w:val="18"/>
        </w:rPr>
        <w:t>(2)</w:t>
      </w:r>
      <w:r>
        <w:rPr>
          <w:i/>
          <w:spacing w:val="9"/>
          <w:w w:val="120"/>
          <w:sz w:val="18"/>
        </w:rPr>
        <w:t> </w:t>
      </w:r>
      <w:r>
        <w:rPr>
          <w:i/>
          <w:w w:val="120"/>
          <w:sz w:val="18"/>
        </w:rPr>
        <w:t>e).</w:t>
      </w:r>
      <w:r>
        <w:rPr>
          <w:i/>
          <w:spacing w:val="7"/>
          <w:w w:val="120"/>
          <w:sz w:val="18"/>
        </w:rPr>
        <w:t> </w:t>
      </w:r>
      <w:r>
        <w:rPr>
          <w:i/>
          <w:w w:val="120"/>
          <w:sz w:val="18"/>
        </w:rPr>
        <w:t>Hatálytalan:</w:t>
      </w:r>
      <w:r>
        <w:rPr>
          <w:i/>
          <w:spacing w:val="8"/>
          <w:w w:val="120"/>
          <w:sz w:val="18"/>
        </w:rPr>
        <w:t> </w:t>
      </w:r>
      <w:r>
        <w:rPr>
          <w:i/>
          <w:w w:val="120"/>
          <w:sz w:val="18"/>
        </w:rPr>
        <w:t>2014.</w:t>
      </w:r>
      <w:r>
        <w:rPr>
          <w:i/>
          <w:spacing w:val="7"/>
          <w:w w:val="120"/>
          <w:sz w:val="18"/>
        </w:rPr>
        <w:t> </w:t>
      </w:r>
      <w:r>
        <w:rPr>
          <w:i/>
          <w:w w:val="120"/>
          <w:sz w:val="18"/>
        </w:rPr>
        <w:t>III.</w:t>
      </w:r>
      <w:r>
        <w:rPr>
          <w:i/>
          <w:spacing w:val="8"/>
          <w:w w:val="120"/>
          <w:sz w:val="18"/>
        </w:rPr>
        <w:t> </w:t>
      </w:r>
      <w:r>
        <w:rPr>
          <w:i/>
          <w:w w:val="120"/>
          <w:sz w:val="18"/>
        </w:rPr>
        <w:t>15-től.</w:t>
      </w:r>
    </w:p>
    <w:p>
      <w:pPr>
        <w:pStyle w:val="ListParagraph"/>
        <w:numPr>
          <w:ilvl w:val="0"/>
          <w:numId w:val="60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8"/>
          <w:w w:val="120"/>
          <w:sz w:val="18"/>
        </w:rPr>
        <w:t> </w:t>
      </w:r>
      <w:r>
        <w:rPr>
          <w:i/>
          <w:w w:val="120"/>
          <w:sz w:val="18"/>
        </w:rPr>
        <w:t>évi</w:t>
      </w:r>
      <w:r>
        <w:rPr>
          <w:i/>
          <w:spacing w:val="7"/>
          <w:w w:val="120"/>
          <w:sz w:val="18"/>
        </w:rPr>
        <w:t> </w:t>
      </w:r>
      <w:r>
        <w:rPr>
          <w:i/>
          <w:w w:val="120"/>
          <w:sz w:val="18"/>
        </w:rPr>
        <w:t>LXXVIII.</w:t>
      </w:r>
      <w:r>
        <w:rPr>
          <w:i/>
          <w:spacing w:val="8"/>
          <w:w w:val="120"/>
          <w:sz w:val="18"/>
        </w:rPr>
        <w:t> </w:t>
      </w:r>
      <w:r>
        <w:rPr>
          <w:i/>
          <w:w w:val="120"/>
          <w:sz w:val="18"/>
        </w:rPr>
        <w:t>törvény</w:t>
      </w:r>
      <w:r>
        <w:rPr>
          <w:i/>
          <w:spacing w:val="8"/>
          <w:w w:val="120"/>
          <w:sz w:val="18"/>
        </w:rPr>
        <w:t> </w:t>
      </w:r>
      <w:r>
        <w:rPr>
          <w:i/>
          <w:w w:val="120"/>
          <w:sz w:val="18"/>
        </w:rPr>
        <w:t>18.</w:t>
      </w:r>
      <w:r>
        <w:rPr>
          <w:i/>
          <w:spacing w:val="7"/>
          <w:w w:val="120"/>
          <w:sz w:val="18"/>
        </w:rPr>
        <w:t> </w:t>
      </w:r>
      <w:r>
        <w:rPr>
          <w:i/>
          <w:w w:val="120"/>
          <w:sz w:val="18"/>
        </w:rPr>
        <w:t>§</w:t>
      </w:r>
      <w:r>
        <w:rPr>
          <w:i/>
          <w:spacing w:val="8"/>
          <w:w w:val="120"/>
          <w:sz w:val="18"/>
        </w:rPr>
        <w:t> </w:t>
      </w:r>
      <w:r>
        <w:rPr>
          <w:i/>
          <w:w w:val="120"/>
          <w:sz w:val="18"/>
        </w:rPr>
        <w:t>(1).</w:t>
      </w:r>
      <w:r>
        <w:rPr>
          <w:i/>
          <w:spacing w:val="9"/>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II.</w:t>
      </w:r>
      <w:r>
        <w:rPr>
          <w:i/>
          <w:spacing w:val="9"/>
          <w:w w:val="120"/>
          <w:sz w:val="18"/>
        </w:rPr>
        <w:t> </w:t>
      </w:r>
      <w:r>
        <w:rPr>
          <w:i/>
          <w:w w:val="120"/>
          <w:sz w:val="18"/>
        </w:rPr>
        <w:t>1-től.</w:t>
      </w:r>
    </w:p>
    <w:p>
      <w:pPr>
        <w:pStyle w:val="ListParagraph"/>
        <w:numPr>
          <w:ilvl w:val="0"/>
          <w:numId w:val="602"/>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145. §. Hatályos: 2016. III.</w:t>
      </w:r>
      <w:r>
        <w:rPr>
          <w:i/>
          <w:spacing w:val="46"/>
          <w:w w:val="120"/>
          <w:sz w:val="18"/>
        </w:rPr>
        <w:t> </w:t>
      </w:r>
      <w:r>
        <w:rPr>
          <w:i/>
          <w:w w:val="120"/>
          <w:sz w:val="18"/>
        </w:rPr>
        <w:t>21-től.</w:t>
      </w:r>
    </w:p>
    <w:p>
      <w:pPr>
        <w:pStyle w:val="ListParagraph"/>
        <w:numPr>
          <w:ilvl w:val="0"/>
          <w:numId w:val="602"/>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179.</w:t>
      </w:r>
      <w:r>
        <w:rPr>
          <w:i/>
          <w:spacing w:val="-4"/>
          <w:w w:val="125"/>
          <w:sz w:val="18"/>
        </w:rPr>
        <w:t> </w:t>
      </w:r>
      <w:r>
        <w:rPr>
          <w:i/>
          <w:w w:val="125"/>
          <w:sz w:val="18"/>
        </w:rPr>
        <w:t>§.</w:t>
      </w:r>
    </w:p>
    <w:p>
      <w:pPr>
        <w:spacing w:after="0" w:line="203" w:lineRule="exact"/>
        <w:jc w:val="left"/>
        <w:rPr>
          <w:sz w:val="18"/>
        </w:rPr>
        <w:sectPr>
          <w:type w:val="continuous"/>
          <w:pgSz w:w="11900" w:h="16820"/>
          <w:pgMar w:top="1840" w:bottom="280" w:left="1020" w:right="1000"/>
        </w:sectPr>
      </w:pPr>
    </w:p>
    <w:p>
      <w:pPr>
        <w:pStyle w:val="BodyText"/>
        <w:spacing w:line="261" w:lineRule="exact" w:before="159"/>
        <w:ind w:left="317" w:firstLine="0"/>
      </w:pPr>
      <w:r>
        <w:rPr>
          <w:w w:val="125"/>
        </w:rPr>
        <w:t>(1a)</w:t>
      </w:r>
      <w:r>
        <w:rPr>
          <w:i/>
          <w:w w:val="125"/>
          <w:position w:val="3"/>
          <w:sz w:val="18"/>
        </w:rPr>
        <w:t>1 </w:t>
      </w:r>
      <w:r>
        <w:rPr>
          <w:w w:val="125"/>
        </w:rPr>
        <w:t>Ha az általános szerződési feltételt is tartalmazó üzletszabályzat,</w:t>
      </w:r>
    </w:p>
    <w:p>
      <w:pPr>
        <w:pStyle w:val="BodyText"/>
        <w:spacing w:line="225" w:lineRule="auto" w:before="12"/>
        <w:ind w:right="123" w:firstLine="0"/>
        <w:jc w:val="both"/>
      </w:pPr>
      <w:r>
        <w:rPr>
          <w:w w:val="125"/>
        </w:rPr>
        <w:t>valamint bármely egyéb szabályzat módosítása fogyasztóval már megkötött szerződést is érint, a pénzügyi intézmény az internetes honlapján könnyen elérhető módon legalább 5 évig a módosítást megelőzően hatályos üzletszabályzatát, valamint egyéb szabályzatát is hozzáférhetővé teszi. Ha a pénzügyi intézmény nem rendelkezik internetes honlappal,  a  korábban hatályos üzletszabályzathoz, valamint egyéb szabályzathoz történő hozzáférést az ügyfélfogadásra nyitva álló helyiségében</w:t>
      </w:r>
      <w:r>
        <w:rPr>
          <w:spacing w:val="4"/>
          <w:w w:val="125"/>
        </w:rPr>
        <w:t> </w:t>
      </w:r>
      <w:r>
        <w:rPr>
          <w:w w:val="125"/>
        </w:rPr>
        <w:t>biztosítja.</w:t>
      </w:r>
    </w:p>
    <w:p>
      <w:pPr>
        <w:pStyle w:val="ListParagraph"/>
        <w:numPr>
          <w:ilvl w:val="0"/>
          <w:numId w:val="603"/>
        </w:numPr>
        <w:tabs>
          <w:tab w:pos="832" w:val="left" w:leader="none"/>
        </w:tabs>
        <w:spacing w:line="225" w:lineRule="auto" w:before="4" w:after="0"/>
        <w:ind w:left="113" w:right="131" w:firstLine="204"/>
        <w:jc w:val="left"/>
        <w:rPr>
          <w:sz w:val="24"/>
        </w:rPr>
      </w:pPr>
      <w:r>
        <w:rPr>
          <w:w w:val="125"/>
          <w:sz w:val="24"/>
        </w:rPr>
        <w:t>A pénzügyi intézmény az ügyfél kérésére ingyenesen rendelkezésre bocsátja</w:t>
      </w:r>
    </w:p>
    <w:p>
      <w:pPr>
        <w:pStyle w:val="ListParagraph"/>
        <w:numPr>
          <w:ilvl w:val="0"/>
          <w:numId w:val="604"/>
        </w:numPr>
        <w:tabs>
          <w:tab w:pos="631" w:val="left" w:leader="none"/>
        </w:tabs>
        <w:spacing w:line="256" w:lineRule="exact" w:before="0" w:after="0"/>
        <w:ind w:left="630" w:right="0" w:hanging="313"/>
        <w:jc w:val="left"/>
        <w:rPr>
          <w:sz w:val="24"/>
        </w:rPr>
      </w:pPr>
      <w:r>
        <w:rPr>
          <w:w w:val="130"/>
          <w:sz w:val="24"/>
        </w:rPr>
        <w:t>üzletszabályzatait,</w:t>
      </w:r>
      <w:r>
        <w:rPr>
          <w:spacing w:val="2"/>
          <w:w w:val="130"/>
          <w:sz w:val="24"/>
        </w:rPr>
        <w:t> </w:t>
      </w:r>
      <w:r>
        <w:rPr>
          <w:w w:val="130"/>
          <w:sz w:val="24"/>
        </w:rPr>
        <w:t>és</w:t>
      </w:r>
    </w:p>
    <w:p>
      <w:pPr>
        <w:pStyle w:val="ListParagraph"/>
        <w:numPr>
          <w:ilvl w:val="0"/>
          <w:numId w:val="604"/>
        </w:numPr>
        <w:tabs>
          <w:tab w:pos="653" w:val="left" w:leader="none"/>
        </w:tabs>
        <w:spacing w:line="260" w:lineRule="exact" w:before="0" w:after="0"/>
        <w:ind w:left="652" w:right="0" w:hanging="335"/>
        <w:jc w:val="left"/>
        <w:rPr>
          <w:sz w:val="24"/>
        </w:rPr>
      </w:pPr>
      <w:r>
        <w:rPr>
          <w:w w:val="130"/>
          <w:sz w:val="24"/>
        </w:rPr>
        <w:t>a jogszabály által nyilvánosságra hozni rendelt</w:t>
      </w:r>
      <w:r>
        <w:rPr>
          <w:spacing w:val="-51"/>
          <w:w w:val="130"/>
          <w:sz w:val="24"/>
        </w:rPr>
        <w:t> </w:t>
      </w:r>
      <w:r>
        <w:rPr>
          <w:w w:val="130"/>
          <w:sz w:val="24"/>
        </w:rPr>
        <w:t>adatokat.</w:t>
      </w:r>
    </w:p>
    <w:p>
      <w:pPr>
        <w:pStyle w:val="ListParagraph"/>
        <w:numPr>
          <w:ilvl w:val="0"/>
          <w:numId w:val="603"/>
        </w:numPr>
        <w:tabs>
          <w:tab w:pos="786" w:val="left" w:leader="none"/>
        </w:tabs>
        <w:spacing w:line="225" w:lineRule="auto" w:before="6" w:after="0"/>
        <w:ind w:left="113" w:right="129" w:firstLine="204"/>
        <w:jc w:val="both"/>
        <w:rPr>
          <w:sz w:val="24"/>
        </w:rPr>
      </w:pPr>
      <w:r>
        <w:rPr>
          <w:w w:val="125"/>
          <w:sz w:val="24"/>
        </w:rPr>
        <w:t>A pénzügyi intézmény - ha törvény ettől eltérően nem rendelkezik - a szerződés megkötése előtt az ügyfelet arról tájékoztatja, ha a szerződéssel kapcsolatos jogvita esetén nem a magyar jog alkalmazását, illetve nem magyar bíróság kizárólagos joghatóságát kötik</w:t>
      </w:r>
      <w:r>
        <w:rPr>
          <w:spacing w:val="4"/>
          <w:w w:val="125"/>
          <w:sz w:val="24"/>
        </w:rPr>
        <w:t> </w:t>
      </w:r>
      <w:r>
        <w:rPr>
          <w:w w:val="125"/>
          <w:sz w:val="24"/>
        </w:rPr>
        <w:t>ki.</w:t>
      </w:r>
    </w:p>
    <w:p>
      <w:pPr>
        <w:pStyle w:val="BodyText"/>
        <w:spacing w:line="265" w:lineRule="exact"/>
        <w:ind w:left="317" w:firstLine="0"/>
        <w:rPr>
          <w:i/>
          <w:sz w:val="18"/>
        </w:rPr>
      </w:pPr>
      <w:r>
        <w:rPr>
          <w:w w:val="120"/>
        </w:rPr>
        <w:t>(4)-(7)</w:t>
      </w:r>
      <w:r>
        <w:rPr>
          <w:i/>
          <w:w w:val="120"/>
          <w:position w:val="3"/>
          <w:sz w:val="18"/>
        </w:rPr>
        <w:t>2</w:t>
      </w:r>
    </w:p>
    <w:p>
      <w:pPr>
        <w:pStyle w:val="BodyText"/>
        <w:spacing w:before="10"/>
        <w:ind w:left="0" w:firstLine="0"/>
        <w:rPr>
          <w:i/>
          <w:sz w:val="10"/>
        </w:rPr>
      </w:pPr>
    </w:p>
    <w:p>
      <w:pPr>
        <w:spacing w:after="0"/>
        <w:rPr>
          <w:sz w:val="10"/>
        </w:rPr>
        <w:sectPr>
          <w:pgSz w:w="11900" w:h="16820"/>
          <w:pgMar w:header="1104" w:footer="0" w:top="1840" w:bottom="280" w:left="1020" w:right="1000"/>
        </w:sectPr>
      </w:pPr>
    </w:p>
    <w:p>
      <w:pPr>
        <w:pStyle w:val="BodyText"/>
        <w:ind w:left="0" w:firstLine="0"/>
        <w:rPr>
          <w:i/>
          <w:sz w:val="28"/>
        </w:rPr>
      </w:pPr>
    </w:p>
    <w:p>
      <w:pPr>
        <w:pStyle w:val="BodyText"/>
        <w:ind w:left="0" w:firstLine="0"/>
        <w:rPr>
          <w:i/>
        </w:rPr>
      </w:pPr>
    </w:p>
    <w:p>
      <w:pPr>
        <w:tabs>
          <w:tab w:pos="1169" w:val="left" w:leader="none"/>
          <w:tab w:pos="1565" w:val="left" w:leader="none"/>
        </w:tabs>
        <w:spacing w:line="262" w:lineRule="exact" w:before="0"/>
        <w:ind w:left="317" w:right="0" w:firstLine="0"/>
        <w:jc w:val="left"/>
        <w:rPr>
          <w:i/>
          <w:sz w:val="18"/>
        </w:rPr>
      </w:pPr>
      <w:r>
        <w:rPr>
          <w:rFonts w:ascii="Arial" w:hAnsi="Arial"/>
          <w:b/>
          <w:w w:val="115"/>
          <w:sz w:val="24"/>
        </w:rPr>
        <w:t>272.</w:t>
        <w:tab/>
        <w:t>§</w:t>
        <w:tab/>
      </w:r>
      <w:r>
        <w:rPr>
          <w:spacing w:val="-7"/>
          <w:w w:val="115"/>
          <w:sz w:val="24"/>
        </w:rPr>
        <w:t>(1)</w:t>
      </w:r>
      <w:r>
        <w:rPr>
          <w:i/>
          <w:spacing w:val="-7"/>
          <w:w w:val="115"/>
          <w:position w:val="3"/>
          <w:sz w:val="18"/>
        </w:rPr>
        <w:t>3</w:t>
      </w:r>
    </w:p>
    <w:p>
      <w:pPr>
        <w:pStyle w:val="BodyText"/>
        <w:spacing w:before="99"/>
        <w:ind w:left="1006" w:firstLine="0"/>
      </w:pPr>
      <w:r>
        <w:rPr/>
        <w:br w:type="column"/>
      </w:r>
      <w:r>
        <w:rPr>
          <w:w w:val="125"/>
        </w:rPr>
        <w:t>118. A betétesek tájékoztatása</w:t>
      </w:r>
    </w:p>
    <w:p>
      <w:pPr>
        <w:pStyle w:val="BodyText"/>
        <w:tabs>
          <w:tab w:pos="656" w:val="left" w:leader="none"/>
          <w:tab w:pos="2298" w:val="left" w:leader="none"/>
          <w:tab w:pos="2829" w:val="left" w:leader="none"/>
          <w:tab w:pos="4243" w:val="left" w:leader="none"/>
          <w:tab w:pos="4648" w:val="left" w:leader="none"/>
          <w:tab w:pos="5823" w:val="left" w:leader="none"/>
        </w:tabs>
        <w:spacing w:line="261" w:lineRule="exact" w:before="224"/>
        <w:ind w:left="232" w:firstLine="0"/>
      </w:pPr>
      <w:r>
        <w:rPr>
          <w:w w:val="125"/>
        </w:rPr>
        <w:t>A</w:t>
        <w:tab/>
        <w:t>hitelintézet</w:t>
        <w:tab/>
        <w:t>az</w:t>
        <w:tab/>
      </w:r>
      <w:r>
        <w:rPr>
          <w:w w:val="120"/>
        </w:rPr>
        <w:t>OBA-ban,</w:t>
        <w:tab/>
      </w:r>
      <w:r>
        <w:rPr>
          <w:w w:val="125"/>
        </w:rPr>
        <w:t>a</w:t>
        <w:tab/>
        <w:t>külföldi</w:t>
        <w:tab/>
        <w:t>betétbiztosítási</w:t>
      </w:r>
    </w:p>
    <w:p>
      <w:pPr>
        <w:spacing w:after="0" w:line="261" w:lineRule="exact"/>
        <w:sectPr>
          <w:type w:val="continuous"/>
          <w:pgSz w:w="11900" w:h="16820"/>
          <w:pgMar w:top="1840" w:bottom="280" w:left="1020" w:right="1000"/>
          <w:cols w:num="2" w:equalWidth="0">
            <w:col w:w="2020" w:space="40"/>
            <w:col w:w="7820"/>
          </w:cols>
        </w:sectPr>
      </w:pPr>
    </w:p>
    <w:p>
      <w:pPr>
        <w:pStyle w:val="BodyText"/>
        <w:spacing w:line="225" w:lineRule="auto" w:before="12"/>
        <w:ind w:right="125" w:firstLine="0"/>
        <w:jc w:val="both"/>
      </w:pPr>
      <w:r>
        <w:rPr>
          <w:w w:val="125"/>
        </w:rPr>
        <w:t>rendszerekben, valamint az önkéntes betétbiztosítási, intézményvédelmi alapban való részvétel esetén az azzal kapcsolatos, a betétest érintő lényeges kérdésekről, így különösen a biztosított betéttípusokról, a  biztosítás  mértékéről, a kártalanítási kifizetés pénzneméről, valamint - a hitelintézet tevékenységi engedélyének a Felügyelet által a 33. § alapján  való  visszavonása, illetve a hitelintézet felszámolása esetén - a 214. § (1) bekezdése szerinti kártalanítási kifizetés feltételeiről, valamint a biztosítás igénybevételéhez szükséges eljárásról a betétest közérthető formában - a szerződéskötést megelőzően is - tájékoztatja. A hitelintézet tájékoztatja a betétest arról is, hogy a 213. §-ban és a 239. §  (4)  bekezdésében  meghatározott esetekben az OBA által nyújtott biztosítás nem terjed ki a betétre.</w:t>
      </w:r>
    </w:p>
    <w:p>
      <w:pPr>
        <w:pStyle w:val="ListParagraph"/>
        <w:numPr>
          <w:ilvl w:val="0"/>
          <w:numId w:val="605"/>
        </w:numPr>
        <w:tabs>
          <w:tab w:pos="659" w:val="left" w:leader="none"/>
        </w:tabs>
        <w:spacing w:line="225" w:lineRule="auto" w:before="7" w:after="0"/>
        <w:ind w:left="113" w:right="118" w:firstLine="204"/>
        <w:jc w:val="both"/>
        <w:rPr>
          <w:sz w:val="24"/>
        </w:rPr>
      </w:pPr>
      <w:r>
        <w:rPr>
          <w:i/>
          <w:w w:val="130"/>
          <w:position w:val="3"/>
          <w:sz w:val="18"/>
        </w:rPr>
        <w:t>4 </w:t>
      </w:r>
      <w:r>
        <w:rPr>
          <w:w w:val="130"/>
          <w:sz w:val="24"/>
        </w:rPr>
        <w:t>A hitelintézet az (1) bekezdésben meghatározott tájékoztatást az ügyfél számára világos és érthető módon - a felek eltérő megállapodásának hiányában - magyar nyelven vagy magyarországi székhelyű hitelintézet külföldön létrehozott fióktelepe esetén annak az országnak a nyelvén adja</w:t>
      </w:r>
      <w:r>
        <w:rPr>
          <w:spacing w:val="78"/>
          <w:w w:val="130"/>
          <w:sz w:val="24"/>
        </w:rPr>
        <w:t> </w:t>
      </w:r>
      <w:r>
        <w:rPr>
          <w:w w:val="130"/>
          <w:sz w:val="24"/>
        </w:rPr>
        <w:t>meg,</w:t>
      </w:r>
      <w:r>
        <w:rPr>
          <w:spacing w:val="-25"/>
          <w:w w:val="130"/>
          <w:sz w:val="24"/>
        </w:rPr>
        <w:t> </w:t>
      </w:r>
      <w:r>
        <w:rPr>
          <w:w w:val="130"/>
          <w:sz w:val="24"/>
        </w:rPr>
        <w:t>amelyben</w:t>
      </w:r>
      <w:r>
        <w:rPr>
          <w:spacing w:val="-25"/>
          <w:w w:val="130"/>
          <w:sz w:val="24"/>
        </w:rPr>
        <w:t> </w:t>
      </w:r>
      <w:r>
        <w:rPr>
          <w:w w:val="130"/>
          <w:sz w:val="24"/>
        </w:rPr>
        <w:t>a</w:t>
      </w:r>
      <w:r>
        <w:rPr>
          <w:spacing w:val="-23"/>
          <w:w w:val="130"/>
          <w:sz w:val="24"/>
        </w:rPr>
        <w:t> </w:t>
      </w:r>
      <w:r>
        <w:rPr>
          <w:w w:val="130"/>
          <w:sz w:val="24"/>
        </w:rPr>
        <w:t>fióktelepet</w:t>
      </w:r>
      <w:r>
        <w:rPr>
          <w:spacing w:val="-28"/>
          <w:w w:val="130"/>
          <w:sz w:val="24"/>
        </w:rPr>
        <w:t> </w:t>
      </w:r>
      <w:r>
        <w:rPr>
          <w:w w:val="130"/>
          <w:sz w:val="24"/>
        </w:rPr>
        <w:t>létrehozták,</w:t>
      </w:r>
      <w:r>
        <w:rPr>
          <w:spacing w:val="-26"/>
          <w:w w:val="130"/>
          <w:sz w:val="24"/>
        </w:rPr>
        <w:t> </w:t>
      </w:r>
      <w:r>
        <w:rPr>
          <w:w w:val="130"/>
          <w:sz w:val="24"/>
        </w:rPr>
        <w:t>magyarországi</w:t>
      </w:r>
      <w:r>
        <w:rPr>
          <w:spacing w:val="-24"/>
          <w:w w:val="130"/>
          <w:sz w:val="24"/>
        </w:rPr>
        <w:t> </w:t>
      </w:r>
      <w:r>
        <w:rPr>
          <w:w w:val="130"/>
          <w:sz w:val="24"/>
        </w:rPr>
        <w:t>székhelyű</w:t>
      </w:r>
      <w:r>
        <w:rPr>
          <w:spacing w:val="-25"/>
          <w:w w:val="130"/>
          <w:sz w:val="24"/>
        </w:rPr>
        <w:t> </w:t>
      </w:r>
      <w:r>
        <w:rPr>
          <w:w w:val="130"/>
          <w:sz w:val="24"/>
        </w:rPr>
        <w:t>hitelintézet határon átnyúló szolgáltatása esetén pedig azon a nyelven, amelyről a betétes és a hitelintézet a betét elhelyezésekor vagy a szerződés megkötésekor megállapodott.</w:t>
      </w:r>
    </w:p>
    <w:p>
      <w:pPr>
        <w:pStyle w:val="ListParagraph"/>
        <w:numPr>
          <w:ilvl w:val="0"/>
          <w:numId w:val="605"/>
        </w:numPr>
        <w:tabs>
          <w:tab w:pos="659" w:val="left" w:leader="none"/>
          <w:tab w:pos="1037" w:val="left" w:leader="none"/>
          <w:tab w:pos="1475" w:val="left" w:leader="none"/>
          <w:tab w:pos="2371" w:val="left" w:leader="none"/>
          <w:tab w:pos="4035" w:val="left" w:leader="none"/>
          <w:tab w:pos="4866" w:val="left" w:leader="none"/>
          <w:tab w:pos="5274" w:val="left" w:leader="none"/>
          <w:tab w:pos="6170" w:val="left" w:leader="none"/>
          <w:tab w:pos="7930" w:val="left" w:leader="none"/>
          <w:tab w:pos="9226" w:val="left" w:leader="none"/>
        </w:tabs>
        <w:spacing w:line="253" w:lineRule="exact" w:before="0" w:after="0"/>
        <w:ind w:left="658" w:right="0" w:hanging="341"/>
        <w:jc w:val="left"/>
        <w:rPr>
          <w:sz w:val="24"/>
        </w:rPr>
      </w:pPr>
      <w:r>
        <w:rPr>
          <w:i/>
          <w:w w:val="125"/>
          <w:position w:val="3"/>
          <w:sz w:val="18"/>
        </w:rPr>
        <w:t>5</w:t>
        <w:tab/>
      </w:r>
      <w:r>
        <w:rPr>
          <w:w w:val="125"/>
          <w:sz w:val="24"/>
        </w:rPr>
        <w:t>A</w:t>
        <w:tab/>
        <w:t>betét</w:t>
        <w:tab/>
        <w:t>elhelyezése</w:t>
        <w:tab/>
        <w:t>vagy</w:t>
        <w:tab/>
        <w:t>a</w:t>
        <w:tab/>
        <w:t>betét</w:t>
        <w:tab/>
        <w:t>elhelyezését</w:t>
        <w:tab/>
        <w:t>lehetővé</w:t>
        <w:tab/>
        <w:t>tevő</w:t>
      </w:r>
    </w:p>
    <w:p>
      <w:pPr>
        <w:pStyle w:val="BodyText"/>
        <w:spacing w:line="225" w:lineRule="auto" w:before="12"/>
        <w:ind w:right="121" w:firstLine="0"/>
        <w:jc w:val="both"/>
      </w:pPr>
      <w:r>
        <w:rPr>
          <w:w w:val="125"/>
        </w:rPr>
        <w:t>keretszerződés megkötése előtt a betétbiztosításra vonatkozó tájékoztatás tudomásulvételét az ügyfél a 6. melléklet szerinti tájékoztató aláírásával igazolja. A szerződés vagy keretszerződés elektronikus úton  történő  megkötése esetén az ügyfél a tájékoztatás tudomásulvételét elektronikus  úton  is</w:t>
      </w:r>
      <w:r>
        <w:rPr>
          <w:spacing w:val="-1"/>
          <w:w w:val="125"/>
        </w:rPr>
        <w:t> </w:t>
      </w:r>
      <w:r>
        <w:rPr>
          <w:w w:val="125"/>
        </w:rPr>
        <w:t>visszaigazolhatja.</w:t>
      </w:r>
    </w:p>
    <w:p>
      <w:pPr>
        <w:pStyle w:val="BodyText"/>
        <w:spacing w:before="7"/>
        <w:ind w:left="0" w:firstLine="0"/>
        <w:rPr>
          <w:sz w:val="29"/>
        </w:rPr>
      </w:pPr>
      <w:r>
        <w:rPr/>
        <w:pict>
          <v:line style="position:absolute;mso-position-horizontal-relative:page;mso-position-vertical-relative:paragraph;z-index:2600;mso-wrap-distance-left:0;mso-wrap-distance-right:0" from="56.693001pt,19.261179pt" to="538.583001pt,19.261179pt" stroked="true" strokeweight=".5pt" strokecolor="#000000">
            <v:stroke dashstyle="solid"/>
            <w10:wrap type="topAndBottom"/>
          </v:line>
        </w:pict>
      </w:r>
    </w:p>
    <w:p>
      <w:pPr>
        <w:pStyle w:val="ListParagraph"/>
        <w:numPr>
          <w:ilvl w:val="0"/>
          <w:numId w:val="606"/>
        </w:numPr>
        <w:tabs>
          <w:tab w:pos="686" w:val="left" w:leader="none"/>
          <w:tab w:pos="687" w:val="left" w:leader="none"/>
        </w:tabs>
        <w:spacing w:line="203" w:lineRule="exact" w:before="44" w:after="0"/>
        <w:ind w:left="686" w:right="0" w:hanging="344"/>
        <w:jc w:val="left"/>
        <w:rPr>
          <w:i/>
          <w:sz w:val="18"/>
        </w:rPr>
      </w:pPr>
      <w:r>
        <w:rPr>
          <w:i/>
          <w:w w:val="125"/>
          <w:sz w:val="18"/>
        </w:rPr>
        <w:t>Beiktatta: 2016. évi LIII. törvény 130. §. Hatályos: 2017. I.</w:t>
      </w:r>
      <w:r>
        <w:rPr>
          <w:i/>
          <w:spacing w:val="-8"/>
          <w:w w:val="125"/>
          <w:sz w:val="18"/>
        </w:rPr>
        <w:t> </w:t>
      </w:r>
      <w:r>
        <w:rPr>
          <w:i/>
          <w:w w:val="125"/>
          <w:sz w:val="18"/>
        </w:rPr>
        <w:t>1-től.</w:t>
      </w:r>
    </w:p>
    <w:p>
      <w:pPr>
        <w:pStyle w:val="ListParagraph"/>
        <w:numPr>
          <w:ilvl w:val="0"/>
          <w:numId w:val="606"/>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8"/>
          <w:w w:val="120"/>
          <w:sz w:val="18"/>
        </w:rPr>
        <w:t> </w:t>
      </w:r>
      <w:r>
        <w:rPr>
          <w:i/>
          <w:w w:val="120"/>
          <w:sz w:val="18"/>
        </w:rPr>
        <w:t>évi</w:t>
      </w:r>
      <w:r>
        <w:rPr>
          <w:i/>
          <w:spacing w:val="7"/>
          <w:w w:val="120"/>
          <w:sz w:val="18"/>
        </w:rPr>
        <w:t> </w:t>
      </w:r>
      <w:r>
        <w:rPr>
          <w:i/>
          <w:w w:val="120"/>
          <w:sz w:val="18"/>
        </w:rPr>
        <w:t>LXXVIII.</w:t>
      </w:r>
      <w:r>
        <w:rPr>
          <w:i/>
          <w:spacing w:val="8"/>
          <w:w w:val="120"/>
          <w:sz w:val="18"/>
        </w:rPr>
        <w:t> </w:t>
      </w:r>
      <w:r>
        <w:rPr>
          <w:i/>
          <w:w w:val="120"/>
          <w:sz w:val="18"/>
        </w:rPr>
        <w:t>törvény</w:t>
      </w:r>
      <w:r>
        <w:rPr>
          <w:i/>
          <w:spacing w:val="8"/>
          <w:w w:val="120"/>
          <w:sz w:val="18"/>
        </w:rPr>
        <w:t> </w:t>
      </w:r>
      <w:r>
        <w:rPr>
          <w:i/>
          <w:w w:val="120"/>
          <w:sz w:val="18"/>
        </w:rPr>
        <w:t>18.</w:t>
      </w:r>
      <w:r>
        <w:rPr>
          <w:i/>
          <w:spacing w:val="7"/>
          <w:w w:val="120"/>
          <w:sz w:val="18"/>
        </w:rPr>
        <w:t> </w:t>
      </w:r>
      <w:r>
        <w:rPr>
          <w:i/>
          <w:w w:val="120"/>
          <w:sz w:val="18"/>
        </w:rPr>
        <w:t>§</w:t>
      </w:r>
      <w:r>
        <w:rPr>
          <w:i/>
          <w:spacing w:val="8"/>
          <w:w w:val="120"/>
          <w:sz w:val="18"/>
        </w:rPr>
        <w:t> </w:t>
      </w:r>
      <w:r>
        <w:rPr>
          <w:i/>
          <w:w w:val="120"/>
          <w:sz w:val="18"/>
        </w:rPr>
        <w:t>(1).</w:t>
      </w:r>
      <w:r>
        <w:rPr>
          <w:i/>
          <w:spacing w:val="9"/>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II.</w:t>
      </w:r>
      <w:r>
        <w:rPr>
          <w:i/>
          <w:spacing w:val="9"/>
          <w:w w:val="120"/>
          <w:sz w:val="18"/>
        </w:rPr>
        <w:t> </w:t>
      </w:r>
      <w:r>
        <w:rPr>
          <w:i/>
          <w:w w:val="120"/>
          <w:sz w:val="18"/>
        </w:rPr>
        <w:t>1-től.</w:t>
      </w:r>
    </w:p>
    <w:p>
      <w:pPr>
        <w:pStyle w:val="ListParagraph"/>
        <w:numPr>
          <w:ilvl w:val="0"/>
          <w:numId w:val="6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2018.</w:t>
      </w:r>
      <w:r>
        <w:rPr>
          <w:i/>
          <w:spacing w:val="-12"/>
          <w:w w:val="125"/>
          <w:sz w:val="18"/>
        </w:rPr>
        <w:t> </w:t>
      </w:r>
      <w:r>
        <w:rPr>
          <w:i/>
          <w:w w:val="125"/>
          <w:sz w:val="18"/>
        </w:rPr>
        <w:t>évi</w:t>
      </w:r>
      <w:r>
        <w:rPr>
          <w:i/>
          <w:spacing w:val="-12"/>
          <w:w w:val="125"/>
          <w:sz w:val="18"/>
        </w:rPr>
        <w:t> </w:t>
      </w:r>
      <w:r>
        <w:rPr>
          <w:i/>
          <w:w w:val="125"/>
          <w:sz w:val="18"/>
        </w:rPr>
        <w:t>CXXVI.</w:t>
      </w:r>
      <w:r>
        <w:rPr>
          <w:i/>
          <w:spacing w:val="-12"/>
          <w:w w:val="125"/>
          <w:sz w:val="18"/>
        </w:rPr>
        <w:t> </w:t>
      </w:r>
      <w:r>
        <w:rPr>
          <w:i/>
          <w:w w:val="125"/>
          <w:sz w:val="18"/>
        </w:rPr>
        <w:t>törvény</w:t>
      </w:r>
      <w:r>
        <w:rPr>
          <w:i/>
          <w:spacing w:val="-12"/>
          <w:w w:val="125"/>
          <w:sz w:val="18"/>
        </w:rPr>
        <w:t> </w:t>
      </w:r>
      <w:r>
        <w:rPr>
          <w:i/>
          <w:w w:val="125"/>
          <w:sz w:val="18"/>
        </w:rPr>
        <w:t>116.</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2019.</w:t>
      </w:r>
      <w:r>
        <w:rPr>
          <w:i/>
          <w:spacing w:val="-13"/>
          <w:w w:val="125"/>
          <w:sz w:val="18"/>
        </w:rPr>
        <w:t> </w:t>
      </w:r>
      <w:r>
        <w:rPr>
          <w:i/>
          <w:w w:val="125"/>
          <w:sz w:val="18"/>
        </w:rPr>
        <w:t>III.</w:t>
      </w:r>
      <w:r>
        <w:rPr>
          <w:i/>
          <w:spacing w:val="-11"/>
          <w:w w:val="125"/>
          <w:sz w:val="18"/>
        </w:rPr>
        <w:t> </w:t>
      </w:r>
      <w:r>
        <w:rPr>
          <w:i/>
          <w:w w:val="125"/>
          <w:sz w:val="18"/>
        </w:rPr>
        <w:t>31-től.</w:t>
      </w:r>
    </w:p>
    <w:p>
      <w:pPr>
        <w:pStyle w:val="ListParagraph"/>
        <w:numPr>
          <w:ilvl w:val="0"/>
          <w:numId w:val="60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2015.</w:t>
      </w:r>
      <w:r>
        <w:rPr>
          <w:i/>
          <w:spacing w:val="-13"/>
          <w:w w:val="125"/>
          <w:sz w:val="18"/>
        </w:rPr>
        <w:t> </w:t>
      </w:r>
      <w:r>
        <w:rPr>
          <w:i/>
          <w:w w:val="125"/>
          <w:sz w:val="18"/>
        </w:rPr>
        <w:t>évi</w:t>
      </w:r>
      <w:r>
        <w:rPr>
          <w:i/>
          <w:spacing w:val="-13"/>
          <w:w w:val="125"/>
          <w:sz w:val="18"/>
        </w:rPr>
        <w:t> </w:t>
      </w:r>
      <w:r>
        <w:rPr>
          <w:i/>
          <w:w w:val="125"/>
          <w:sz w:val="18"/>
        </w:rPr>
        <w:t>LXXXV.</w:t>
      </w:r>
      <w:r>
        <w:rPr>
          <w:i/>
          <w:spacing w:val="-12"/>
          <w:w w:val="125"/>
          <w:sz w:val="18"/>
        </w:rPr>
        <w:t> </w:t>
      </w:r>
      <w:r>
        <w:rPr>
          <w:i/>
          <w:w w:val="125"/>
          <w:sz w:val="18"/>
        </w:rPr>
        <w:t>törvény</w:t>
      </w:r>
      <w:r>
        <w:rPr>
          <w:i/>
          <w:spacing w:val="-13"/>
          <w:w w:val="125"/>
          <w:sz w:val="18"/>
        </w:rPr>
        <w:t> </w:t>
      </w:r>
      <w:r>
        <w:rPr>
          <w:i/>
          <w:w w:val="125"/>
          <w:sz w:val="18"/>
        </w:rPr>
        <w:t>229.</w:t>
      </w:r>
      <w:r>
        <w:rPr>
          <w:i/>
          <w:spacing w:val="-13"/>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2015.</w:t>
      </w:r>
      <w:r>
        <w:rPr>
          <w:i/>
          <w:spacing w:val="-13"/>
          <w:w w:val="125"/>
          <w:sz w:val="18"/>
        </w:rPr>
        <w:t> </w:t>
      </w:r>
      <w:r>
        <w:rPr>
          <w:i/>
          <w:w w:val="125"/>
          <w:sz w:val="18"/>
        </w:rPr>
        <w:t>VII.</w:t>
      </w:r>
      <w:r>
        <w:rPr>
          <w:i/>
          <w:spacing w:val="-13"/>
          <w:w w:val="125"/>
          <w:sz w:val="18"/>
        </w:rPr>
        <w:t> </w:t>
      </w:r>
      <w:r>
        <w:rPr>
          <w:i/>
          <w:w w:val="125"/>
          <w:sz w:val="18"/>
        </w:rPr>
        <w:t>4-től.</w:t>
      </w:r>
    </w:p>
    <w:p>
      <w:pPr>
        <w:pStyle w:val="ListParagraph"/>
        <w:numPr>
          <w:ilvl w:val="0"/>
          <w:numId w:val="606"/>
        </w:numPr>
        <w:tabs>
          <w:tab w:pos="686" w:val="left" w:leader="none"/>
          <w:tab w:pos="687" w:val="left" w:leader="none"/>
        </w:tabs>
        <w:spacing w:line="203" w:lineRule="exact" w:before="0" w:after="0"/>
        <w:ind w:left="686" w:right="0" w:hanging="344"/>
        <w:jc w:val="left"/>
        <w:rPr>
          <w:i/>
          <w:sz w:val="18"/>
        </w:rPr>
      </w:pPr>
      <w:r>
        <w:rPr>
          <w:i/>
          <w:w w:val="120"/>
          <w:sz w:val="18"/>
        </w:rPr>
        <w:t>Beiktatta: 2014. évi CIV. törvény 87. § (2). Hatályos: 2015. VII.</w:t>
      </w:r>
      <w:r>
        <w:rPr>
          <w:i/>
          <w:spacing w:val="49"/>
          <w:w w:val="120"/>
          <w:sz w:val="18"/>
        </w:rPr>
        <w:t> </w:t>
      </w:r>
      <w:r>
        <w:rPr>
          <w:i/>
          <w:w w:val="120"/>
          <w:sz w:val="18"/>
        </w:rPr>
        <w:t>3-tól.</w:t>
      </w:r>
    </w:p>
    <w:p>
      <w:pPr>
        <w:spacing w:after="0" w:line="203" w:lineRule="exact"/>
        <w:jc w:val="left"/>
        <w:rPr>
          <w:sz w:val="18"/>
        </w:rPr>
        <w:sectPr>
          <w:type w:val="continuous"/>
          <w:pgSz w:w="11900" w:h="16820"/>
          <w:pgMar w:top="1840" w:bottom="280" w:left="1020" w:right="1000"/>
        </w:sectPr>
      </w:pPr>
    </w:p>
    <w:p>
      <w:pPr>
        <w:pStyle w:val="ListParagraph"/>
        <w:numPr>
          <w:ilvl w:val="0"/>
          <w:numId w:val="607"/>
        </w:numPr>
        <w:tabs>
          <w:tab w:pos="1109" w:val="left" w:leader="none"/>
          <w:tab w:pos="1110" w:val="left" w:leader="none"/>
          <w:tab w:pos="1445" w:val="left" w:leader="none"/>
          <w:tab w:pos="2110" w:val="left" w:leader="none"/>
          <w:tab w:pos="2946" w:val="left" w:leader="none"/>
          <w:tab w:pos="4605" w:val="left" w:leader="none"/>
          <w:tab w:pos="5973" w:val="left" w:leader="none"/>
          <w:tab w:pos="6444" w:val="left" w:leader="none"/>
          <w:tab w:pos="7738" w:val="left" w:leader="none"/>
          <w:tab w:pos="8834" w:val="left" w:leader="none"/>
        </w:tabs>
        <w:spacing w:line="262" w:lineRule="exact" w:before="158" w:after="0"/>
        <w:ind w:left="1109" w:right="0" w:hanging="792"/>
        <w:jc w:val="left"/>
        <w:rPr>
          <w:sz w:val="24"/>
        </w:rPr>
      </w:pPr>
      <w:r>
        <w:rPr>
          <w:rFonts w:ascii="Arial" w:hAnsi="Arial"/>
          <w:b/>
          <w:w w:val="125"/>
          <w:sz w:val="24"/>
        </w:rPr>
        <w:t>§</w:t>
        <w:tab/>
      </w:r>
      <w:r>
        <w:rPr>
          <w:w w:val="125"/>
          <w:sz w:val="24"/>
        </w:rPr>
        <w:t>(1)</w:t>
      </w:r>
      <w:r>
        <w:rPr>
          <w:i/>
          <w:w w:val="125"/>
          <w:position w:val="3"/>
          <w:sz w:val="18"/>
        </w:rPr>
        <w:t>1</w:t>
        <w:tab/>
      </w:r>
      <w:r>
        <w:rPr>
          <w:w w:val="125"/>
          <w:sz w:val="24"/>
        </w:rPr>
        <w:t>Az </w:t>
      </w:r>
      <w:r>
        <w:rPr>
          <w:spacing w:val="17"/>
          <w:w w:val="125"/>
          <w:sz w:val="24"/>
        </w:rPr>
        <w:t> </w:t>
      </w:r>
      <w:r>
        <w:rPr>
          <w:w w:val="125"/>
          <w:sz w:val="24"/>
        </w:rPr>
        <w:t>a</w:t>
        <w:tab/>
        <w:t>hitelintézet,</w:t>
        <w:tab/>
        <w:t>amelynek</w:t>
        <w:tab/>
        <w:t>az</w:t>
        <w:tab/>
        <w:t>OBA-ban</w:t>
        <w:tab/>
        <w:t>vagy </w:t>
      </w:r>
      <w:r>
        <w:rPr>
          <w:spacing w:val="30"/>
          <w:w w:val="125"/>
          <w:sz w:val="24"/>
        </w:rPr>
        <w:t> </w:t>
      </w:r>
      <w:r>
        <w:rPr>
          <w:w w:val="125"/>
          <w:sz w:val="24"/>
        </w:rPr>
        <w:t>a</w:t>
        <w:tab/>
        <w:t>külföldi</w:t>
      </w:r>
    </w:p>
    <w:p>
      <w:pPr>
        <w:pStyle w:val="BodyText"/>
        <w:spacing w:line="225" w:lineRule="auto" w:before="12"/>
        <w:ind w:right="123" w:firstLine="0"/>
        <w:jc w:val="both"/>
      </w:pPr>
      <w:r>
        <w:rPr>
          <w:w w:val="130"/>
        </w:rPr>
        <w:t>betétbiztosító intézményben fennálló tagsága megszűnt, erről a betéteseit</w:t>
      </w:r>
      <w:r>
        <w:rPr>
          <w:spacing w:val="-45"/>
          <w:w w:val="130"/>
        </w:rPr>
        <w:t> </w:t>
      </w:r>
      <w:r>
        <w:rPr>
          <w:w w:val="130"/>
        </w:rPr>
        <w:t>egy hónapon</w:t>
      </w:r>
      <w:r>
        <w:rPr>
          <w:spacing w:val="-14"/>
          <w:w w:val="130"/>
        </w:rPr>
        <w:t> </w:t>
      </w:r>
      <w:r>
        <w:rPr>
          <w:w w:val="130"/>
        </w:rPr>
        <w:t>belül</w:t>
      </w:r>
      <w:r>
        <w:rPr>
          <w:spacing w:val="-13"/>
          <w:w w:val="130"/>
        </w:rPr>
        <w:t> </w:t>
      </w:r>
      <w:r>
        <w:rPr>
          <w:w w:val="130"/>
        </w:rPr>
        <w:t>írásban</w:t>
      </w:r>
      <w:r>
        <w:rPr>
          <w:spacing w:val="-13"/>
          <w:w w:val="130"/>
        </w:rPr>
        <w:t> </w:t>
      </w:r>
      <w:r>
        <w:rPr>
          <w:w w:val="130"/>
        </w:rPr>
        <w:t>tájékoztatja,</w:t>
      </w:r>
      <w:r>
        <w:rPr>
          <w:spacing w:val="-13"/>
          <w:w w:val="130"/>
        </w:rPr>
        <w:t> </w:t>
      </w:r>
      <w:r>
        <w:rPr>
          <w:w w:val="130"/>
        </w:rPr>
        <w:t>és</w:t>
      </w:r>
      <w:r>
        <w:rPr>
          <w:spacing w:val="-13"/>
          <w:w w:val="130"/>
        </w:rPr>
        <w:t> </w:t>
      </w:r>
      <w:r>
        <w:rPr>
          <w:w w:val="130"/>
        </w:rPr>
        <w:t>a</w:t>
      </w:r>
      <w:r>
        <w:rPr>
          <w:spacing w:val="-13"/>
          <w:w w:val="130"/>
        </w:rPr>
        <w:t> </w:t>
      </w:r>
      <w:r>
        <w:rPr>
          <w:w w:val="130"/>
        </w:rPr>
        <w:t>betétbiztosítási</w:t>
      </w:r>
      <w:r>
        <w:rPr>
          <w:spacing w:val="-13"/>
          <w:w w:val="130"/>
        </w:rPr>
        <w:t> </w:t>
      </w:r>
      <w:r>
        <w:rPr>
          <w:w w:val="130"/>
        </w:rPr>
        <w:t>tájékoztatója</w:t>
      </w:r>
      <w:r>
        <w:rPr>
          <w:spacing w:val="-13"/>
          <w:w w:val="130"/>
        </w:rPr>
        <w:t> </w:t>
      </w:r>
      <w:r>
        <w:rPr>
          <w:w w:val="130"/>
        </w:rPr>
        <w:t>szövegét ennek megfelelően módosítja. A tájékoztatás tartalmazza a betéttulajdonos jogait, és e jogok érvényesítésének</w:t>
      </w:r>
      <w:r>
        <w:rPr>
          <w:spacing w:val="-25"/>
          <w:w w:val="130"/>
        </w:rPr>
        <w:t> </w:t>
      </w:r>
      <w:r>
        <w:rPr>
          <w:w w:val="130"/>
        </w:rPr>
        <w:t>módját.</w:t>
      </w:r>
    </w:p>
    <w:p>
      <w:pPr>
        <w:pStyle w:val="BodyText"/>
        <w:spacing w:line="225" w:lineRule="auto" w:before="3"/>
        <w:ind w:right="133"/>
      </w:pPr>
      <w:r>
        <w:rPr>
          <w:w w:val="125"/>
        </w:rPr>
        <w:t>(2) A hitelintézet az (1) bekezdésben meghatározott tájékoztatást - a felek eltérő megállapodásának hiányában - magyar nyelven adja meg.</w:t>
      </w:r>
    </w:p>
    <w:p>
      <w:pPr>
        <w:pStyle w:val="ListParagraph"/>
        <w:numPr>
          <w:ilvl w:val="0"/>
          <w:numId w:val="607"/>
        </w:numPr>
        <w:tabs>
          <w:tab w:pos="1003" w:val="left" w:leader="none"/>
        </w:tabs>
        <w:spacing w:line="249" w:lineRule="exact" w:before="0" w:after="0"/>
        <w:ind w:left="1002" w:right="0" w:hanging="685"/>
        <w:jc w:val="left"/>
        <w:rPr>
          <w:sz w:val="24"/>
        </w:rPr>
      </w:pPr>
      <w:r>
        <w:rPr>
          <w:rFonts w:ascii="Arial" w:hAnsi="Arial"/>
          <w:b/>
          <w:w w:val="125"/>
          <w:sz w:val="24"/>
        </w:rPr>
        <w:t>§</w:t>
      </w:r>
      <w:r>
        <w:rPr>
          <w:i/>
          <w:w w:val="125"/>
          <w:position w:val="3"/>
          <w:sz w:val="18"/>
        </w:rPr>
        <w:t>2</w:t>
      </w:r>
      <w:r>
        <w:rPr>
          <w:i/>
          <w:spacing w:val="55"/>
          <w:w w:val="125"/>
          <w:position w:val="3"/>
          <w:sz w:val="18"/>
        </w:rPr>
        <w:t> </w:t>
      </w:r>
      <w:r>
        <w:rPr>
          <w:w w:val="125"/>
          <w:sz w:val="24"/>
        </w:rPr>
        <w:t>A</w:t>
      </w:r>
      <w:r>
        <w:rPr>
          <w:spacing w:val="28"/>
          <w:w w:val="125"/>
          <w:sz w:val="24"/>
        </w:rPr>
        <w:t> </w:t>
      </w:r>
      <w:r>
        <w:rPr>
          <w:w w:val="125"/>
          <w:sz w:val="24"/>
        </w:rPr>
        <w:t>betétre</w:t>
      </w:r>
      <w:r>
        <w:rPr>
          <w:spacing w:val="29"/>
          <w:w w:val="125"/>
          <w:sz w:val="24"/>
        </w:rPr>
        <w:t> </w:t>
      </w:r>
      <w:r>
        <w:rPr>
          <w:w w:val="125"/>
          <w:sz w:val="24"/>
        </w:rPr>
        <w:t>vonatkozó</w:t>
      </w:r>
      <w:r>
        <w:rPr>
          <w:spacing w:val="33"/>
          <w:w w:val="125"/>
          <w:sz w:val="24"/>
        </w:rPr>
        <w:t> </w:t>
      </w:r>
      <w:r>
        <w:rPr>
          <w:w w:val="125"/>
          <w:sz w:val="24"/>
        </w:rPr>
        <w:t>reklámban</w:t>
      </w:r>
      <w:r>
        <w:rPr>
          <w:spacing w:val="23"/>
          <w:w w:val="125"/>
          <w:sz w:val="24"/>
        </w:rPr>
        <w:t> </w:t>
      </w:r>
      <w:r>
        <w:rPr>
          <w:w w:val="125"/>
          <w:sz w:val="24"/>
        </w:rPr>
        <w:t>a</w:t>
      </w:r>
      <w:r>
        <w:rPr>
          <w:spacing w:val="28"/>
          <w:w w:val="125"/>
          <w:sz w:val="24"/>
        </w:rPr>
        <w:t> </w:t>
      </w:r>
      <w:r>
        <w:rPr>
          <w:w w:val="125"/>
          <w:sz w:val="24"/>
        </w:rPr>
        <w:t>betétbiztosítással</w:t>
      </w:r>
      <w:r>
        <w:rPr>
          <w:spacing w:val="29"/>
          <w:w w:val="125"/>
          <w:sz w:val="24"/>
        </w:rPr>
        <w:t> </w:t>
      </w:r>
      <w:r>
        <w:rPr>
          <w:w w:val="125"/>
          <w:sz w:val="24"/>
        </w:rPr>
        <w:t>kapcsolatban</w:t>
      </w:r>
      <w:r>
        <w:rPr>
          <w:spacing w:val="28"/>
          <w:w w:val="125"/>
          <w:sz w:val="24"/>
        </w:rPr>
        <w:t> </w:t>
      </w:r>
      <w:r>
        <w:rPr>
          <w:w w:val="125"/>
          <w:sz w:val="24"/>
        </w:rPr>
        <w:t>az</w:t>
      </w:r>
    </w:p>
    <w:p>
      <w:pPr>
        <w:pStyle w:val="BodyText"/>
        <w:spacing w:line="225" w:lineRule="auto" w:before="12"/>
        <w:ind w:right="124" w:firstLine="0"/>
        <w:jc w:val="both"/>
      </w:pPr>
      <w:r>
        <w:rPr>
          <w:w w:val="125"/>
        </w:rPr>
        <w:t>OBA által előírt betétbiztosítási emblémát az OBA által előírt módon fel kell tüntetni. A betétbiztosítással kapcsolatban kizárólag az OBA által előírt betétbiztosítási embléma szerepeltethető.</w:t>
      </w:r>
    </w:p>
    <w:p>
      <w:pPr>
        <w:pStyle w:val="BodyText"/>
        <w:spacing w:before="228"/>
        <w:ind w:left="3254" w:firstLine="0"/>
      </w:pPr>
      <w:r>
        <w:rPr>
          <w:w w:val="125"/>
        </w:rPr>
        <w:t>119. Időszakos tájékoztatás</w:t>
      </w:r>
    </w:p>
    <w:p>
      <w:pPr>
        <w:pStyle w:val="ListParagraph"/>
        <w:numPr>
          <w:ilvl w:val="0"/>
          <w:numId w:val="607"/>
        </w:numPr>
        <w:tabs>
          <w:tab w:pos="1059" w:val="left" w:leader="none"/>
        </w:tabs>
        <w:spacing w:line="225" w:lineRule="auto" w:before="237" w:after="0"/>
        <w:ind w:left="113" w:right="131" w:firstLine="204"/>
        <w:jc w:val="both"/>
        <w:rPr>
          <w:sz w:val="24"/>
        </w:rPr>
      </w:pPr>
      <w:r>
        <w:rPr>
          <w:rFonts w:ascii="Arial" w:hAnsi="Arial"/>
          <w:b/>
          <w:w w:val="125"/>
          <w:sz w:val="24"/>
        </w:rPr>
        <w:t>§ </w:t>
      </w:r>
      <w:r>
        <w:rPr>
          <w:w w:val="125"/>
          <w:sz w:val="24"/>
        </w:rPr>
        <w:t>(1) Folyamatos szerződések - ideértve a betétösszegek ismétlődő lekötésére szóló szerződést is - esetében a pénzügyi intézmény köteles  az ügyfél</w:t>
      </w:r>
      <w:r>
        <w:rPr>
          <w:spacing w:val="7"/>
          <w:w w:val="125"/>
          <w:sz w:val="24"/>
        </w:rPr>
        <w:t> </w:t>
      </w:r>
      <w:r>
        <w:rPr>
          <w:w w:val="125"/>
          <w:sz w:val="24"/>
        </w:rPr>
        <w:t>részére</w:t>
      </w:r>
    </w:p>
    <w:p>
      <w:pPr>
        <w:pStyle w:val="ListParagraph"/>
        <w:numPr>
          <w:ilvl w:val="0"/>
          <w:numId w:val="608"/>
        </w:numPr>
        <w:tabs>
          <w:tab w:pos="631" w:val="left" w:leader="none"/>
        </w:tabs>
        <w:spacing w:line="256" w:lineRule="exact" w:before="0" w:after="0"/>
        <w:ind w:left="630" w:right="0" w:hanging="313"/>
        <w:jc w:val="left"/>
        <w:rPr>
          <w:sz w:val="24"/>
        </w:rPr>
      </w:pPr>
      <w:r>
        <w:rPr>
          <w:w w:val="125"/>
          <w:sz w:val="24"/>
        </w:rPr>
        <w:t>legalább évente egy alkalommal,</w:t>
      </w:r>
      <w:r>
        <w:rPr>
          <w:spacing w:val="1"/>
          <w:w w:val="125"/>
          <w:sz w:val="24"/>
        </w:rPr>
        <w:t> </w:t>
      </w:r>
      <w:r>
        <w:rPr>
          <w:w w:val="125"/>
          <w:sz w:val="24"/>
        </w:rPr>
        <w:t>valamint</w:t>
      </w:r>
    </w:p>
    <w:p>
      <w:pPr>
        <w:pStyle w:val="ListParagraph"/>
        <w:numPr>
          <w:ilvl w:val="0"/>
          <w:numId w:val="608"/>
        </w:numPr>
        <w:tabs>
          <w:tab w:pos="567" w:val="left" w:leader="none"/>
        </w:tabs>
        <w:spacing w:line="260" w:lineRule="exact" w:before="0" w:after="0"/>
        <w:ind w:left="566" w:right="0" w:hanging="249"/>
        <w:jc w:val="left"/>
        <w:rPr>
          <w:sz w:val="24"/>
        </w:rPr>
      </w:pPr>
      <w:r>
        <w:rPr>
          <w:i/>
          <w:w w:val="130"/>
          <w:position w:val="3"/>
          <w:sz w:val="18"/>
        </w:rPr>
        <w:t>3 </w:t>
      </w:r>
      <w:r>
        <w:rPr>
          <w:w w:val="130"/>
          <w:sz w:val="24"/>
        </w:rPr>
        <w:t>a szerződés megszűnését követő harminc napon</w:t>
      </w:r>
      <w:r>
        <w:rPr>
          <w:spacing w:val="-23"/>
          <w:w w:val="130"/>
          <w:sz w:val="24"/>
        </w:rPr>
        <w:t> </w:t>
      </w:r>
      <w:r>
        <w:rPr>
          <w:w w:val="130"/>
          <w:sz w:val="24"/>
        </w:rPr>
        <w:t>belül</w:t>
      </w:r>
    </w:p>
    <w:p>
      <w:pPr>
        <w:pStyle w:val="BodyText"/>
        <w:spacing w:line="260" w:lineRule="exact"/>
        <w:ind w:firstLine="0"/>
      </w:pPr>
      <w:r>
        <w:rPr>
          <w:w w:val="130"/>
        </w:rPr>
        <w:t>egyértelmű, közérthető és teljes körű írásbeli kimutatást (kivonatot) küldeni.</w:t>
      </w:r>
    </w:p>
    <w:p>
      <w:pPr>
        <w:pStyle w:val="ListParagraph"/>
        <w:numPr>
          <w:ilvl w:val="0"/>
          <w:numId w:val="609"/>
        </w:numPr>
        <w:tabs>
          <w:tab w:pos="778" w:val="left" w:leader="none"/>
        </w:tabs>
        <w:spacing w:line="225" w:lineRule="auto" w:before="5" w:after="0"/>
        <w:ind w:left="113" w:right="128" w:firstLine="204"/>
        <w:jc w:val="both"/>
        <w:rPr>
          <w:sz w:val="24"/>
        </w:rPr>
      </w:pPr>
      <w:r>
        <w:rPr>
          <w:w w:val="130"/>
          <w:sz w:val="24"/>
        </w:rPr>
        <w:t>A számláról megküldött kimutatást - az üzletszabályzat vagy szerződés eltérő rendelkezése hiányában - elfogadottnak kell tekinteni, ha az ügyfél a kézbesítéstől</w:t>
      </w:r>
      <w:r>
        <w:rPr>
          <w:spacing w:val="-20"/>
          <w:w w:val="130"/>
          <w:sz w:val="24"/>
        </w:rPr>
        <w:t> </w:t>
      </w:r>
      <w:r>
        <w:rPr>
          <w:w w:val="130"/>
          <w:sz w:val="24"/>
        </w:rPr>
        <w:t>számított</w:t>
      </w:r>
      <w:r>
        <w:rPr>
          <w:spacing w:val="-19"/>
          <w:w w:val="130"/>
          <w:sz w:val="24"/>
        </w:rPr>
        <w:t> </w:t>
      </w:r>
      <w:r>
        <w:rPr>
          <w:w w:val="130"/>
          <w:sz w:val="24"/>
        </w:rPr>
        <w:t>hatvan</w:t>
      </w:r>
      <w:r>
        <w:rPr>
          <w:spacing w:val="-19"/>
          <w:w w:val="130"/>
          <w:sz w:val="24"/>
        </w:rPr>
        <w:t> </w:t>
      </w:r>
      <w:r>
        <w:rPr>
          <w:w w:val="130"/>
          <w:sz w:val="24"/>
        </w:rPr>
        <w:t>napon</w:t>
      </w:r>
      <w:r>
        <w:rPr>
          <w:spacing w:val="-19"/>
          <w:w w:val="130"/>
          <w:sz w:val="24"/>
        </w:rPr>
        <w:t> </w:t>
      </w:r>
      <w:r>
        <w:rPr>
          <w:w w:val="130"/>
          <w:sz w:val="24"/>
        </w:rPr>
        <w:t>belül</w:t>
      </w:r>
      <w:r>
        <w:rPr>
          <w:spacing w:val="-13"/>
          <w:w w:val="130"/>
          <w:sz w:val="24"/>
        </w:rPr>
        <w:t> </w:t>
      </w:r>
      <w:r>
        <w:rPr>
          <w:w w:val="130"/>
          <w:sz w:val="24"/>
        </w:rPr>
        <w:t>írásban</w:t>
      </w:r>
      <w:r>
        <w:rPr>
          <w:spacing w:val="-26"/>
          <w:w w:val="130"/>
          <w:sz w:val="24"/>
        </w:rPr>
        <w:t> </w:t>
      </w:r>
      <w:r>
        <w:rPr>
          <w:w w:val="130"/>
          <w:sz w:val="24"/>
        </w:rPr>
        <w:t>nem</w:t>
      </w:r>
      <w:r>
        <w:rPr>
          <w:spacing w:val="-19"/>
          <w:w w:val="130"/>
          <w:sz w:val="24"/>
        </w:rPr>
        <w:t> </w:t>
      </w:r>
      <w:r>
        <w:rPr>
          <w:w w:val="130"/>
          <w:sz w:val="24"/>
        </w:rPr>
        <w:t>emelt</w:t>
      </w:r>
      <w:r>
        <w:rPr>
          <w:spacing w:val="-20"/>
          <w:w w:val="130"/>
          <w:sz w:val="24"/>
        </w:rPr>
        <w:t> </w:t>
      </w:r>
      <w:r>
        <w:rPr>
          <w:w w:val="130"/>
          <w:sz w:val="24"/>
        </w:rPr>
        <w:t>kifogást;</w:t>
      </w:r>
      <w:r>
        <w:rPr>
          <w:spacing w:val="-9"/>
          <w:w w:val="130"/>
          <w:sz w:val="24"/>
        </w:rPr>
        <w:t> </w:t>
      </w:r>
      <w:r>
        <w:rPr>
          <w:w w:val="130"/>
          <w:sz w:val="24"/>
        </w:rPr>
        <w:t>ez</w:t>
      </w:r>
      <w:r>
        <w:rPr>
          <w:spacing w:val="-31"/>
          <w:w w:val="130"/>
          <w:sz w:val="24"/>
        </w:rPr>
        <w:t> </w:t>
      </w:r>
      <w:r>
        <w:rPr>
          <w:w w:val="130"/>
          <w:sz w:val="24"/>
        </w:rPr>
        <w:t>nem érinti a követelés</w:t>
      </w:r>
      <w:r>
        <w:rPr>
          <w:spacing w:val="-12"/>
          <w:w w:val="130"/>
          <w:sz w:val="24"/>
        </w:rPr>
        <w:t> </w:t>
      </w:r>
      <w:r>
        <w:rPr>
          <w:w w:val="130"/>
          <w:sz w:val="24"/>
        </w:rPr>
        <w:t>érvényesíthetőségét.</w:t>
      </w:r>
    </w:p>
    <w:p>
      <w:pPr>
        <w:pStyle w:val="ListParagraph"/>
        <w:numPr>
          <w:ilvl w:val="0"/>
          <w:numId w:val="609"/>
        </w:numPr>
        <w:tabs>
          <w:tab w:pos="783" w:val="left" w:leader="none"/>
        </w:tabs>
        <w:spacing w:line="225" w:lineRule="auto" w:before="2" w:after="0"/>
        <w:ind w:left="113" w:right="135" w:firstLine="204"/>
        <w:jc w:val="both"/>
        <w:rPr>
          <w:sz w:val="24"/>
        </w:rPr>
      </w:pPr>
      <w:r>
        <w:rPr>
          <w:w w:val="125"/>
          <w:sz w:val="24"/>
        </w:rPr>
        <w:t>Az ügyfél - saját költségére - a kérést megelőző öt évben végrehajtott egyedi ügyletekről kimutatást kérhet. Az ilyen kimutatást a  pénzügyi intézmény legkésőbb kilencven napon belül köteles az ügyfélnek írásban megküldeni.</w:t>
      </w:r>
    </w:p>
    <w:p>
      <w:pPr>
        <w:pStyle w:val="ListParagraph"/>
        <w:numPr>
          <w:ilvl w:val="0"/>
          <w:numId w:val="609"/>
        </w:numPr>
        <w:tabs>
          <w:tab w:pos="743" w:val="left" w:leader="none"/>
        </w:tabs>
        <w:spacing w:line="225" w:lineRule="auto" w:before="3" w:after="0"/>
        <w:ind w:left="113" w:right="130" w:firstLine="204"/>
        <w:jc w:val="both"/>
        <w:rPr>
          <w:sz w:val="24"/>
        </w:rPr>
      </w:pPr>
      <w:r>
        <w:rPr>
          <w:w w:val="125"/>
          <w:sz w:val="24"/>
        </w:rPr>
        <w:t>A hitelintézet az (1) bekezdésben meghatározott kivonatot, valamint a (3) bekezdésben meghatározott kimutatást - a felek eltérő megállapodásának hiányában - magyar nyelven köteles kiállítani és</w:t>
      </w:r>
      <w:r>
        <w:rPr>
          <w:spacing w:val="6"/>
          <w:w w:val="125"/>
          <w:sz w:val="24"/>
        </w:rPr>
        <w:t> </w:t>
      </w:r>
      <w:r>
        <w:rPr>
          <w:w w:val="125"/>
          <w:sz w:val="24"/>
        </w:rPr>
        <w:t>megküldeni.</w:t>
      </w:r>
    </w:p>
    <w:p>
      <w:pPr>
        <w:pStyle w:val="ListParagraph"/>
        <w:numPr>
          <w:ilvl w:val="0"/>
          <w:numId w:val="609"/>
        </w:numPr>
        <w:tabs>
          <w:tab w:pos="783" w:val="left" w:leader="none"/>
        </w:tabs>
        <w:spacing w:line="225" w:lineRule="auto" w:before="1" w:after="0"/>
        <w:ind w:left="113" w:right="124" w:firstLine="204"/>
        <w:jc w:val="both"/>
        <w:rPr>
          <w:sz w:val="24"/>
        </w:rPr>
      </w:pPr>
      <w:r>
        <w:rPr>
          <w:w w:val="125"/>
          <w:sz w:val="24"/>
        </w:rPr>
        <w:t>A hitelintézet évente az OBA által meghatározott formában kimutatást készít a betétesnek a hitelintézetnél elhelyezett biztosított betétei összevont egyenlegéről és az annak alapján a betétes javára fennálló betétbiztosítási összegről.</w:t>
      </w:r>
    </w:p>
    <w:p>
      <w:pPr>
        <w:pStyle w:val="ListParagraph"/>
        <w:numPr>
          <w:ilvl w:val="0"/>
          <w:numId w:val="609"/>
        </w:numPr>
        <w:tabs>
          <w:tab w:pos="659" w:val="left" w:leader="none"/>
        </w:tabs>
        <w:spacing w:line="251" w:lineRule="exact" w:before="0" w:after="0"/>
        <w:ind w:left="658" w:right="0" w:hanging="341"/>
        <w:jc w:val="left"/>
        <w:rPr>
          <w:sz w:val="24"/>
        </w:rPr>
      </w:pPr>
      <w:r>
        <w:rPr>
          <w:i/>
          <w:w w:val="125"/>
          <w:position w:val="3"/>
          <w:sz w:val="18"/>
        </w:rPr>
        <w:t>4 </w:t>
      </w:r>
      <w:r>
        <w:rPr>
          <w:w w:val="125"/>
          <w:sz w:val="24"/>
        </w:rPr>
        <w:t>Az OBA tagintézet által a betétes részére küldött kivonaton fel</w:t>
      </w:r>
      <w:r>
        <w:rPr>
          <w:spacing w:val="41"/>
          <w:w w:val="125"/>
          <w:sz w:val="24"/>
        </w:rPr>
        <w:t> </w:t>
      </w:r>
      <w:r>
        <w:rPr>
          <w:w w:val="125"/>
          <w:sz w:val="24"/>
        </w:rPr>
        <w:t>kell</w:t>
      </w:r>
    </w:p>
    <w:p>
      <w:pPr>
        <w:pStyle w:val="BodyText"/>
        <w:spacing w:line="225" w:lineRule="auto" w:before="12"/>
        <w:ind w:right="131" w:firstLine="0"/>
        <w:jc w:val="both"/>
      </w:pPr>
      <w:r>
        <w:rPr>
          <w:w w:val="125"/>
        </w:rPr>
        <w:t>tüntetni, hogy vonatkozik-e rá a betétbiztosítás és utalni kell a 6. melléklet szerinti tájékoztatóra. A 6. melléklet szerinti tájékoztatót az OBA tagintézete legalább évente egyszer megküldi a betétes részére.</w:t>
      </w:r>
    </w:p>
    <w:p>
      <w:pPr>
        <w:pStyle w:val="ListParagraph"/>
        <w:numPr>
          <w:ilvl w:val="0"/>
          <w:numId w:val="609"/>
        </w:numPr>
        <w:tabs>
          <w:tab w:pos="659" w:val="left" w:leader="none"/>
        </w:tabs>
        <w:spacing w:line="250" w:lineRule="exact" w:before="0" w:after="0"/>
        <w:ind w:left="658" w:right="0" w:hanging="341"/>
        <w:jc w:val="left"/>
        <w:rPr>
          <w:sz w:val="24"/>
        </w:rPr>
      </w:pPr>
      <w:r>
        <w:rPr>
          <w:i/>
          <w:w w:val="125"/>
          <w:position w:val="3"/>
          <w:sz w:val="18"/>
        </w:rPr>
        <w:t>5 </w:t>
      </w:r>
      <w:r>
        <w:rPr>
          <w:w w:val="125"/>
          <w:sz w:val="24"/>
        </w:rPr>
        <w:t>A betétessel történő megállapodás alapján az (5) és (6)</w:t>
      </w:r>
      <w:r>
        <w:rPr>
          <w:spacing w:val="-25"/>
          <w:w w:val="125"/>
          <w:sz w:val="24"/>
        </w:rPr>
        <w:t> </w:t>
      </w:r>
      <w:r>
        <w:rPr>
          <w:w w:val="125"/>
          <w:sz w:val="24"/>
        </w:rPr>
        <w:t>bekezdésben</w:t>
      </w:r>
    </w:p>
    <w:p>
      <w:pPr>
        <w:pStyle w:val="BodyText"/>
        <w:spacing w:line="225" w:lineRule="auto" w:before="12"/>
        <w:ind w:right="133" w:firstLine="0"/>
        <w:jc w:val="both"/>
      </w:pPr>
      <w:r>
        <w:rPr>
          <w:w w:val="130"/>
        </w:rPr>
        <w:t>meghatározott tájékoztatást postai úton vagy a bank internetes felületén vagy más, a szerződésben meghatározott közvetlen módon kell elérhetővé tenni.</w:t>
      </w:r>
      <w:r>
        <w:rPr>
          <w:spacing w:val="-47"/>
          <w:w w:val="130"/>
        </w:rPr>
        <w:t> </w:t>
      </w:r>
      <w:r>
        <w:rPr>
          <w:w w:val="130"/>
        </w:rPr>
        <w:t>A betétes kérésére a tájékoztatást írásban kell átadni vagy</w:t>
      </w:r>
      <w:r>
        <w:rPr>
          <w:spacing w:val="-50"/>
          <w:w w:val="130"/>
        </w:rPr>
        <w:t> </w:t>
      </w:r>
      <w:r>
        <w:rPr>
          <w:w w:val="130"/>
        </w:rPr>
        <w:t>megküldeni.</w:t>
      </w:r>
    </w:p>
    <w:p>
      <w:pPr>
        <w:pStyle w:val="BodyText"/>
        <w:spacing w:before="228"/>
        <w:ind w:left="3673" w:firstLine="0"/>
      </w:pPr>
      <w:r>
        <w:rPr>
          <w:w w:val="125"/>
        </w:rPr>
        <w:t>120. Üzletszabályzat</w:t>
      </w:r>
    </w:p>
    <w:p>
      <w:pPr>
        <w:pStyle w:val="BodyText"/>
        <w:ind w:left="0" w:firstLine="0"/>
        <w:rPr>
          <w:sz w:val="20"/>
        </w:rPr>
      </w:pPr>
    </w:p>
    <w:p>
      <w:pPr>
        <w:pStyle w:val="BodyText"/>
        <w:ind w:left="0" w:firstLine="0"/>
        <w:rPr>
          <w:sz w:val="20"/>
        </w:rPr>
      </w:pPr>
    </w:p>
    <w:p>
      <w:pPr>
        <w:pStyle w:val="BodyText"/>
        <w:spacing w:before="9"/>
        <w:ind w:left="0" w:firstLine="0"/>
        <w:rPr>
          <w:sz w:val="18"/>
        </w:rPr>
      </w:pPr>
      <w:r>
        <w:rPr/>
        <w:pict>
          <v:line style="position:absolute;mso-position-horizontal-relative:page;mso-position-vertical-relative:paragraph;z-index:2624;mso-wrap-distance-left:0;mso-wrap-distance-right:0" from="56.693001pt,13.006102pt" to="538.583001pt,13.006102pt" stroked="true" strokeweight=".5pt" strokecolor="#000000">
            <v:stroke dashstyle="solid"/>
            <w10:wrap type="topAndBottom"/>
          </v:line>
        </w:pict>
      </w:r>
    </w:p>
    <w:p>
      <w:pPr>
        <w:pStyle w:val="ListParagraph"/>
        <w:numPr>
          <w:ilvl w:val="0"/>
          <w:numId w:val="610"/>
        </w:numPr>
        <w:tabs>
          <w:tab w:pos="686" w:val="left" w:leader="none"/>
          <w:tab w:pos="687" w:val="left" w:leader="none"/>
        </w:tabs>
        <w:spacing w:line="203" w:lineRule="exact" w:before="44" w:after="0"/>
        <w:ind w:left="686" w:right="0" w:hanging="344"/>
        <w:jc w:val="left"/>
        <w:rPr>
          <w:i/>
          <w:sz w:val="18"/>
        </w:rPr>
      </w:pPr>
      <w:r>
        <w:rPr>
          <w:i/>
          <w:w w:val="125"/>
          <w:sz w:val="18"/>
        </w:rPr>
        <w:t>Megállapította: 2014. évi CIV. törvény 88. §. Hatályos: 2015. VII.</w:t>
      </w:r>
      <w:r>
        <w:rPr>
          <w:i/>
          <w:spacing w:val="-17"/>
          <w:w w:val="125"/>
          <w:sz w:val="18"/>
        </w:rPr>
        <w:t> </w:t>
      </w:r>
      <w:r>
        <w:rPr>
          <w:i/>
          <w:w w:val="125"/>
          <w:sz w:val="18"/>
        </w:rPr>
        <w:t>3-tól.</w:t>
      </w:r>
    </w:p>
    <w:p>
      <w:pPr>
        <w:pStyle w:val="ListParagraph"/>
        <w:numPr>
          <w:ilvl w:val="0"/>
          <w:numId w:val="610"/>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117. §. Hatályos: 2019. III.</w:t>
      </w:r>
      <w:r>
        <w:rPr>
          <w:i/>
          <w:spacing w:val="-22"/>
          <w:w w:val="125"/>
          <w:sz w:val="18"/>
        </w:rPr>
        <w:t> </w:t>
      </w:r>
      <w:r>
        <w:rPr>
          <w:i/>
          <w:w w:val="125"/>
          <w:sz w:val="18"/>
        </w:rPr>
        <w:t>31-től.</w:t>
      </w:r>
    </w:p>
    <w:p>
      <w:pPr>
        <w:pStyle w:val="ListParagraph"/>
        <w:numPr>
          <w:ilvl w:val="0"/>
          <w:numId w:val="610"/>
        </w:numPr>
        <w:tabs>
          <w:tab w:pos="686" w:val="left" w:leader="none"/>
          <w:tab w:pos="687" w:val="left" w:leader="none"/>
        </w:tabs>
        <w:spacing w:line="232" w:lineRule="auto" w:before="2" w:after="0"/>
        <w:ind w:left="686" w:right="229" w:hanging="344"/>
        <w:jc w:val="left"/>
        <w:rPr>
          <w:i/>
          <w:sz w:val="18"/>
        </w:rPr>
      </w:pPr>
      <w:r>
        <w:rPr>
          <w:i/>
          <w:w w:val="125"/>
          <w:sz w:val="18"/>
        </w:rPr>
        <w:t>Megállapította: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LXXXV.</w:t>
      </w:r>
      <w:r>
        <w:rPr>
          <w:i/>
          <w:spacing w:val="-8"/>
          <w:w w:val="125"/>
          <w:sz w:val="18"/>
        </w:rPr>
        <w:t> </w:t>
      </w:r>
      <w:r>
        <w:rPr>
          <w:i/>
          <w:w w:val="125"/>
          <w:sz w:val="18"/>
        </w:rPr>
        <w:t>törvény</w:t>
      </w:r>
      <w:r>
        <w:rPr>
          <w:i/>
          <w:spacing w:val="-10"/>
          <w:w w:val="125"/>
          <w:sz w:val="18"/>
        </w:rPr>
        <w:t> </w:t>
      </w:r>
      <w:r>
        <w:rPr>
          <w:i/>
          <w:w w:val="125"/>
          <w:sz w:val="18"/>
        </w:rPr>
        <w:t>230.</w:t>
      </w:r>
      <w:r>
        <w:rPr>
          <w:i/>
          <w:spacing w:val="-10"/>
          <w:w w:val="125"/>
          <w:sz w:val="18"/>
        </w:rPr>
        <w:t> </w:t>
      </w:r>
      <w:r>
        <w:rPr>
          <w:i/>
          <w:w w:val="125"/>
          <w:sz w:val="18"/>
        </w:rPr>
        <w:t>§.</w:t>
      </w:r>
      <w:r>
        <w:rPr>
          <w:i/>
          <w:spacing w:val="-9"/>
          <w:w w:val="125"/>
          <w:sz w:val="18"/>
        </w:rPr>
        <w:t> </w:t>
      </w:r>
      <w:r>
        <w:rPr>
          <w:i/>
          <w:w w:val="125"/>
          <w:sz w:val="18"/>
        </w:rPr>
        <w:t>Hatályos:</w:t>
      </w:r>
      <w:r>
        <w:rPr>
          <w:i/>
          <w:spacing w:val="-8"/>
          <w:w w:val="125"/>
          <w:sz w:val="18"/>
        </w:rPr>
        <w:t> </w:t>
      </w:r>
      <w:r>
        <w:rPr>
          <w:i/>
          <w:w w:val="125"/>
          <w:sz w:val="18"/>
        </w:rPr>
        <w:t>2015.</w:t>
      </w:r>
      <w:r>
        <w:rPr>
          <w:i/>
          <w:spacing w:val="-10"/>
          <w:w w:val="125"/>
          <w:sz w:val="18"/>
        </w:rPr>
        <w:t> </w:t>
      </w:r>
      <w:r>
        <w:rPr>
          <w:i/>
          <w:w w:val="125"/>
          <w:sz w:val="18"/>
        </w:rPr>
        <w:t>VII.</w:t>
      </w:r>
      <w:r>
        <w:rPr>
          <w:i/>
          <w:spacing w:val="-9"/>
          <w:w w:val="125"/>
          <w:sz w:val="18"/>
        </w:rPr>
        <w:t> </w:t>
      </w:r>
      <w:r>
        <w:rPr>
          <w:i/>
          <w:w w:val="125"/>
          <w:sz w:val="18"/>
        </w:rPr>
        <w:t>7-től.</w:t>
      </w:r>
      <w:r>
        <w:rPr>
          <w:i/>
          <w:spacing w:val="-10"/>
          <w:w w:val="125"/>
          <w:sz w:val="18"/>
        </w:rPr>
        <w:t> </w:t>
      </w:r>
      <w:r>
        <w:rPr>
          <w:i/>
          <w:w w:val="125"/>
          <w:sz w:val="18"/>
        </w:rPr>
        <w:t>Módosította:</w:t>
      </w:r>
      <w:r>
        <w:rPr>
          <w:i/>
          <w:spacing w:val="-9"/>
          <w:w w:val="125"/>
          <w:sz w:val="18"/>
        </w:rPr>
        <w:t> </w:t>
      </w:r>
      <w:r>
        <w:rPr>
          <w:i/>
          <w:w w:val="125"/>
          <w:sz w:val="18"/>
        </w:rPr>
        <w:t>2015.</w:t>
      </w:r>
      <w:r>
        <w:rPr>
          <w:i/>
          <w:spacing w:val="-10"/>
          <w:w w:val="125"/>
          <w:sz w:val="18"/>
        </w:rPr>
        <w:t> </w:t>
      </w:r>
      <w:r>
        <w:rPr>
          <w:i/>
          <w:w w:val="125"/>
          <w:sz w:val="18"/>
        </w:rPr>
        <w:t>évi CCXV. törvény 152. §</w:t>
      </w:r>
      <w:r>
        <w:rPr>
          <w:i/>
          <w:spacing w:val="-1"/>
          <w:w w:val="125"/>
          <w:sz w:val="18"/>
        </w:rPr>
        <w:t> </w:t>
      </w:r>
      <w:r>
        <w:rPr>
          <w:i/>
          <w:w w:val="125"/>
          <w:sz w:val="18"/>
        </w:rPr>
        <w:t>g).</w:t>
      </w:r>
    </w:p>
    <w:p>
      <w:pPr>
        <w:pStyle w:val="ListParagraph"/>
        <w:numPr>
          <w:ilvl w:val="0"/>
          <w:numId w:val="610"/>
        </w:numPr>
        <w:tabs>
          <w:tab w:pos="686" w:val="left" w:leader="none"/>
          <w:tab w:pos="687" w:val="left" w:leader="none"/>
        </w:tabs>
        <w:spacing w:line="197" w:lineRule="exact" w:before="0" w:after="0"/>
        <w:ind w:left="686" w:right="0" w:hanging="344"/>
        <w:jc w:val="left"/>
        <w:rPr>
          <w:i/>
          <w:sz w:val="18"/>
        </w:rPr>
      </w:pPr>
      <w:r>
        <w:rPr>
          <w:i/>
          <w:w w:val="125"/>
          <w:sz w:val="18"/>
        </w:rPr>
        <w:t>Beiktatta: 2014. évi CIV. törvény 90. §. Hatályos: 2015. VII.</w:t>
      </w:r>
      <w:r>
        <w:rPr>
          <w:i/>
          <w:spacing w:val="-11"/>
          <w:w w:val="125"/>
          <w:sz w:val="18"/>
        </w:rPr>
        <w:t> </w:t>
      </w:r>
      <w:r>
        <w:rPr>
          <w:i/>
          <w:w w:val="125"/>
          <w:sz w:val="18"/>
        </w:rPr>
        <w:t>3-tól.</w:t>
      </w:r>
    </w:p>
    <w:p>
      <w:pPr>
        <w:pStyle w:val="ListParagraph"/>
        <w:numPr>
          <w:ilvl w:val="0"/>
          <w:numId w:val="610"/>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7"/>
          <w:w w:val="120"/>
          <w:sz w:val="18"/>
        </w:rPr>
        <w:t> </w:t>
      </w:r>
      <w:r>
        <w:rPr>
          <w:i/>
          <w:w w:val="120"/>
          <w:sz w:val="18"/>
        </w:rPr>
        <w:t>2014.</w:t>
      </w:r>
      <w:r>
        <w:rPr>
          <w:i/>
          <w:spacing w:val="8"/>
          <w:w w:val="120"/>
          <w:sz w:val="18"/>
        </w:rPr>
        <w:t> </w:t>
      </w:r>
      <w:r>
        <w:rPr>
          <w:i/>
          <w:w w:val="120"/>
          <w:sz w:val="18"/>
        </w:rPr>
        <w:t>évi</w:t>
      </w:r>
      <w:r>
        <w:rPr>
          <w:i/>
          <w:spacing w:val="8"/>
          <w:w w:val="120"/>
          <w:sz w:val="18"/>
        </w:rPr>
        <w:t> </w:t>
      </w:r>
      <w:r>
        <w:rPr>
          <w:i/>
          <w:w w:val="120"/>
          <w:sz w:val="18"/>
        </w:rPr>
        <w:t>CIV.</w:t>
      </w:r>
      <w:r>
        <w:rPr>
          <w:i/>
          <w:spacing w:val="9"/>
          <w:w w:val="120"/>
          <w:sz w:val="18"/>
        </w:rPr>
        <w:t> </w:t>
      </w:r>
      <w:r>
        <w:rPr>
          <w:i/>
          <w:w w:val="120"/>
          <w:sz w:val="18"/>
        </w:rPr>
        <w:t>törvény</w:t>
      </w:r>
      <w:r>
        <w:rPr>
          <w:i/>
          <w:spacing w:val="8"/>
          <w:w w:val="120"/>
          <w:sz w:val="18"/>
        </w:rPr>
        <w:t> </w:t>
      </w:r>
      <w:r>
        <w:rPr>
          <w:i/>
          <w:w w:val="120"/>
          <w:sz w:val="18"/>
        </w:rPr>
        <w:t>90.</w:t>
      </w:r>
      <w:r>
        <w:rPr>
          <w:i/>
          <w:spacing w:val="8"/>
          <w:w w:val="120"/>
          <w:sz w:val="18"/>
        </w:rPr>
        <w:t> </w:t>
      </w:r>
      <w:r>
        <w:rPr>
          <w:i/>
          <w:w w:val="120"/>
          <w:sz w:val="18"/>
        </w:rPr>
        <w:t>§.</w:t>
      </w:r>
      <w:r>
        <w:rPr>
          <w:i/>
          <w:spacing w:val="9"/>
          <w:w w:val="120"/>
          <w:sz w:val="18"/>
        </w:rPr>
        <w:t> </w:t>
      </w:r>
      <w:r>
        <w:rPr>
          <w:i/>
          <w:w w:val="120"/>
          <w:sz w:val="18"/>
        </w:rPr>
        <w:t>Módosította:</w:t>
      </w:r>
      <w:r>
        <w:rPr>
          <w:i/>
          <w:spacing w:val="8"/>
          <w:w w:val="120"/>
          <w:sz w:val="18"/>
        </w:rPr>
        <w:t> </w:t>
      </w:r>
      <w:r>
        <w:rPr>
          <w:i/>
          <w:w w:val="120"/>
          <w:sz w:val="18"/>
        </w:rPr>
        <w:t>2018.</w:t>
      </w:r>
      <w:r>
        <w:rPr>
          <w:i/>
          <w:spacing w:val="8"/>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7"/>
          <w:w w:val="120"/>
          <w:sz w:val="18"/>
        </w:rPr>
        <w:t> </w:t>
      </w:r>
      <w:r>
        <w:rPr>
          <w:i/>
          <w:w w:val="120"/>
          <w:sz w:val="18"/>
        </w:rPr>
        <w:t>120.</w:t>
      </w:r>
      <w:r>
        <w:rPr>
          <w:i/>
          <w:spacing w:val="8"/>
          <w:w w:val="120"/>
          <w:sz w:val="18"/>
        </w:rPr>
        <w:t> </w:t>
      </w:r>
      <w:r>
        <w:rPr>
          <w:i/>
          <w:w w:val="120"/>
          <w:sz w:val="18"/>
        </w:rPr>
        <w:t>§</w:t>
      </w:r>
      <w:r>
        <w:rPr>
          <w:i/>
          <w:spacing w:val="9"/>
          <w:w w:val="120"/>
          <w:sz w:val="18"/>
        </w:rPr>
        <w:t> </w:t>
      </w:r>
      <w:r>
        <w:rPr>
          <w:i/>
          <w:w w:val="120"/>
          <w:sz w:val="18"/>
        </w:rPr>
        <w:t>17.</w:t>
      </w:r>
    </w:p>
    <w:p>
      <w:pPr>
        <w:spacing w:after="0" w:line="203" w:lineRule="exact"/>
        <w:jc w:val="left"/>
        <w:rPr>
          <w:sz w:val="18"/>
        </w:rPr>
        <w:sectPr>
          <w:pgSz w:w="11900" w:h="16820"/>
          <w:pgMar w:header="1104" w:footer="0" w:top="1840" w:bottom="280" w:left="1020" w:right="1000"/>
        </w:sectPr>
      </w:pPr>
    </w:p>
    <w:p>
      <w:pPr>
        <w:pStyle w:val="ListParagraph"/>
        <w:numPr>
          <w:ilvl w:val="0"/>
          <w:numId w:val="607"/>
        </w:numPr>
        <w:tabs>
          <w:tab w:pos="1124" w:val="left" w:leader="none"/>
        </w:tabs>
        <w:spacing w:line="225" w:lineRule="auto" w:before="172" w:after="0"/>
        <w:ind w:left="113" w:right="130" w:firstLine="204"/>
        <w:jc w:val="both"/>
        <w:rPr>
          <w:sz w:val="24"/>
        </w:rPr>
      </w:pPr>
      <w:r>
        <w:rPr>
          <w:rFonts w:ascii="Arial" w:hAnsi="Arial"/>
          <w:b/>
          <w:w w:val="125"/>
          <w:sz w:val="24"/>
        </w:rPr>
        <w:t>§ </w:t>
      </w:r>
      <w:r>
        <w:rPr>
          <w:w w:val="125"/>
          <w:sz w:val="24"/>
        </w:rPr>
        <w:t>(1) A pénzügyi intézmény a részére engedélyezett és általa rendszeresen végzett tevékenységre vonatkozó általános szerződési feltételeit üzletszabályzatba</w:t>
      </w:r>
      <w:r>
        <w:rPr>
          <w:spacing w:val="1"/>
          <w:w w:val="125"/>
          <w:sz w:val="24"/>
        </w:rPr>
        <w:t> </w:t>
      </w:r>
      <w:r>
        <w:rPr>
          <w:w w:val="125"/>
          <w:sz w:val="24"/>
        </w:rPr>
        <w:t>foglalja.</w:t>
      </w:r>
    </w:p>
    <w:p>
      <w:pPr>
        <w:pStyle w:val="ListParagraph"/>
        <w:numPr>
          <w:ilvl w:val="0"/>
          <w:numId w:val="611"/>
        </w:numPr>
        <w:tabs>
          <w:tab w:pos="877" w:val="left" w:leader="none"/>
        </w:tabs>
        <w:spacing w:line="225" w:lineRule="auto" w:before="1" w:after="0"/>
        <w:ind w:left="113" w:right="131" w:firstLine="204"/>
        <w:jc w:val="both"/>
        <w:rPr>
          <w:sz w:val="24"/>
        </w:rPr>
      </w:pPr>
      <w:r>
        <w:rPr>
          <w:w w:val="130"/>
          <w:sz w:val="24"/>
        </w:rPr>
        <w:t>Ha a pénzügyi intézmény tevékenységével összefüggő magatartási kódexnek vetette alá magát, ezt a tényt egyértelműen feltünteti üzletszabályzatában.</w:t>
      </w:r>
    </w:p>
    <w:p>
      <w:pPr>
        <w:pStyle w:val="ListParagraph"/>
        <w:numPr>
          <w:ilvl w:val="0"/>
          <w:numId w:val="611"/>
        </w:numPr>
        <w:tabs>
          <w:tab w:pos="659" w:val="left" w:leader="none"/>
          <w:tab w:pos="1002" w:val="left" w:leader="none"/>
          <w:tab w:pos="1405" w:val="left" w:leader="none"/>
          <w:tab w:pos="2731" w:val="left" w:leader="none"/>
          <w:tab w:pos="4214" w:val="left" w:leader="none"/>
          <w:tab w:pos="4586" w:val="left" w:leader="none"/>
          <w:tab w:pos="6288" w:val="left" w:leader="none"/>
          <w:tab w:pos="7491" w:val="left" w:leader="none"/>
          <w:tab w:pos="8767" w:val="left" w:leader="none"/>
        </w:tabs>
        <w:spacing w:line="250" w:lineRule="exact" w:before="0" w:after="0"/>
        <w:ind w:left="658" w:right="0" w:hanging="341"/>
        <w:jc w:val="left"/>
        <w:rPr>
          <w:sz w:val="24"/>
        </w:rPr>
      </w:pPr>
      <w:r>
        <w:rPr>
          <w:i/>
          <w:w w:val="125"/>
          <w:position w:val="3"/>
          <w:sz w:val="18"/>
        </w:rPr>
        <w:t>1</w:t>
        <w:tab/>
      </w:r>
      <w:r>
        <w:rPr>
          <w:w w:val="125"/>
          <w:sz w:val="24"/>
        </w:rPr>
        <w:t>A</w:t>
        <w:tab/>
        <w:t>pénzügyi</w:t>
        <w:tab/>
        <w:t>intézmény</w:t>
        <w:tab/>
        <w:t>a</w:t>
        <w:tab/>
        <w:t>természetes</w:t>
        <w:tab/>
        <w:t>személy</w:t>
        <w:tab/>
        <w:t>ügyféllel</w:t>
        <w:tab/>
        <w:t>kötendő</w:t>
      </w:r>
    </w:p>
    <w:p>
      <w:pPr>
        <w:pStyle w:val="BodyText"/>
        <w:spacing w:line="225" w:lineRule="auto" w:before="12"/>
        <w:ind w:right="124" w:firstLine="0"/>
        <w:jc w:val="both"/>
      </w:pPr>
      <w:r>
        <w:rPr>
          <w:w w:val="130"/>
        </w:rPr>
        <w:t>szerződéshez, a szerződéses jogviszonyhoz kapcsolódó adatkezelési tájékoztatásának oly módon is eleget tehet, hogy a pénzügyi intézmény a személyes adatkezelés szabályait üzletszabályzatában határozza meg és a részletes tájékoztatás tekintetében kiutal üzletszabályzatára.</w:t>
      </w:r>
    </w:p>
    <w:p>
      <w:pPr>
        <w:pStyle w:val="ListParagraph"/>
        <w:numPr>
          <w:ilvl w:val="0"/>
          <w:numId w:val="607"/>
        </w:numPr>
        <w:tabs>
          <w:tab w:pos="1154" w:val="left" w:leader="none"/>
          <w:tab w:pos="1155" w:val="left" w:leader="none"/>
          <w:tab w:pos="1534" w:val="left" w:leader="none"/>
          <w:tab w:pos="1953" w:val="left" w:leader="none"/>
          <w:tab w:pos="3588" w:val="left" w:leader="none"/>
          <w:tab w:pos="5010" w:val="left" w:leader="none"/>
          <w:tab w:pos="6374" w:val="left" w:leader="none"/>
          <w:tab w:pos="7448" w:val="left" w:leader="none"/>
        </w:tabs>
        <w:spacing w:line="225" w:lineRule="auto" w:before="1" w:after="0"/>
        <w:ind w:left="113" w:right="122" w:firstLine="204"/>
        <w:jc w:val="left"/>
        <w:rPr>
          <w:sz w:val="24"/>
        </w:rPr>
      </w:pPr>
      <w:r>
        <w:rPr>
          <w:rFonts w:ascii="Arial" w:hAnsi="Arial"/>
          <w:b/>
          <w:w w:val="120"/>
          <w:sz w:val="24"/>
        </w:rPr>
        <w:t>§</w:t>
        <w:tab/>
      </w:r>
      <w:r>
        <w:rPr>
          <w:w w:val="120"/>
          <w:sz w:val="24"/>
        </w:rPr>
        <w:t>A</w:t>
        <w:tab/>
        <w:t>betétügylet</w:t>
        <w:tab/>
        <w:t>feltételeit</w:t>
        <w:tab/>
        <w:t>magában</w:t>
        <w:tab/>
        <w:t>foglaló</w:t>
        <w:tab/>
      </w:r>
      <w:r>
        <w:rPr>
          <w:spacing w:val="-1"/>
          <w:w w:val="120"/>
          <w:sz w:val="24"/>
        </w:rPr>
        <w:t>üzletszabályzatnak </w:t>
      </w:r>
      <w:r>
        <w:rPr>
          <w:w w:val="120"/>
          <w:sz w:val="24"/>
        </w:rPr>
        <w:t>tartalmaznia kell</w:t>
      </w:r>
      <w:r>
        <w:rPr>
          <w:spacing w:val="9"/>
          <w:w w:val="120"/>
          <w:sz w:val="24"/>
        </w:rPr>
        <w:t> </w:t>
      </w:r>
      <w:r>
        <w:rPr>
          <w:w w:val="120"/>
          <w:sz w:val="24"/>
        </w:rPr>
        <w:t>különösen</w:t>
      </w:r>
    </w:p>
    <w:p>
      <w:pPr>
        <w:pStyle w:val="ListParagraph"/>
        <w:numPr>
          <w:ilvl w:val="0"/>
          <w:numId w:val="612"/>
        </w:numPr>
        <w:tabs>
          <w:tab w:pos="631" w:val="left" w:leader="none"/>
        </w:tabs>
        <w:spacing w:line="256" w:lineRule="exact" w:before="0" w:after="0"/>
        <w:ind w:left="630" w:right="0" w:hanging="313"/>
        <w:jc w:val="left"/>
        <w:rPr>
          <w:sz w:val="24"/>
        </w:rPr>
      </w:pPr>
      <w:r>
        <w:rPr>
          <w:w w:val="130"/>
          <w:sz w:val="24"/>
        </w:rPr>
        <w:t>a</w:t>
      </w:r>
      <w:r>
        <w:rPr>
          <w:spacing w:val="-10"/>
          <w:w w:val="130"/>
          <w:sz w:val="24"/>
        </w:rPr>
        <w:t> </w:t>
      </w:r>
      <w:r>
        <w:rPr>
          <w:w w:val="130"/>
          <w:sz w:val="24"/>
        </w:rPr>
        <w:t>hitelintézet</w:t>
      </w:r>
      <w:r>
        <w:rPr>
          <w:spacing w:val="-9"/>
          <w:w w:val="130"/>
          <w:sz w:val="24"/>
        </w:rPr>
        <w:t> </w:t>
      </w:r>
      <w:r>
        <w:rPr>
          <w:w w:val="130"/>
          <w:sz w:val="24"/>
        </w:rPr>
        <w:t>teljes</w:t>
      </w:r>
      <w:r>
        <w:rPr>
          <w:spacing w:val="-9"/>
          <w:w w:val="130"/>
          <w:sz w:val="24"/>
        </w:rPr>
        <w:t> </w:t>
      </w:r>
      <w:r>
        <w:rPr>
          <w:w w:val="130"/>
          <w:sz w:val="24"/>
        </w:rPr>
        <w:t>nevét,</w:t>
      </w:r>
      <w:r>
        <w:rPr>
          <w:spacing w:val="-9"/>
          <w:w w:val="130"/>
          <w:sz w:val="24"/>
        </w:rPr>
        <w:t> </w:t>
      </w:r>
      <w:r>
        <w:rPr>
          <w:w w:val="130"/>
          <w:sz w:val="24"/>
        </w:rPr>
        <w:t>a</w:t>
      </w:r>
      <w:r>
        <w:rPr>
          <w:spacing w:val="-10"/>
          <w:w w:val="130"/>
          <w:sz w:val="24"/>
        </w:rPr>
        <w:t> </w:t>
      </w:r>
      <w:r>
        <w:rPr>
          <w:w w:val="130"/>
          <w:sz w:val="24"/>
        </w:rPr>
        <w:t>tevékenységi</w:t>
      </w:r>
      <w:r>
        <w:rPr>
          <w:spacing w:val="-9"/>
          <w:w w:val="130"/>
          <w:sz w:val="24"/>
        </w:rPr>
        <w:t> </w:t>
      </w:r>
      <w:r>
        <w:rPr>
          <w:w w:val="130"/>
          <w:sz w:val="24"/>
        </w:rPr>
        <w:t>engedély</w:t>
      </w:r>
      <w:r>
        <w:rPr>
          <w:spacing w:val="-10"/>
          <w:w w:val="130"/>
          <w:sz w:val="24"/>
        </w:rPr>
        <w:t> </w:t>
      </w:r>
      <w:r>
        <w:rPr>
          <w:w w:val="130"/>
          <w:sz w:val="24"/>
        </w:rPr>
        <w:t>számát</w:t>
      </w:r>
      <w:r>
        <w:rPr>
          <w:spacing w:val="-9"/>
          <w:w w:val="130"/>
          <w:sz w:val="24"/>
        </w:rPr>
        <w:t> </w:t>
      </w:r>
      <w:r>
        <w:rPr>
          <w:w w:val="130"/>
          <w:sz w:val="24"/>
        </w:rPr>
        <w:t>és</w:t>
      </w:r>
      <w:r>
        <w:rPr>
          <w:spacing w:val="-9"/>
          <w:w w:val="130"/>
          <w:sz w:val="24"/>
        </w:rPr>
        <w:t> </w:t>
      </w:r>
      <w:r>
        <w:rPr>
          <w:w w:val="130"/>
          <w:sz w:val="24"/>
        </w:rPr>
        <w:t>dátumát,</w:t>
      </w:r>
    </w:p>
    <w:p>
      <w:pPr>
        <w:pStyle w:val="ListParagraph"/>
        <w:numPr>
          <w:ilvl w:val="0"/>
          <w:numId w:val="612"/>
        </w:numPr>
        <w:tabs>
          <w:tab w:pos="824" w:val="left" w:leader="none"/>
          <w:tab w:pos="825" w:val="left" w:leader="none"/>
          <w:tab w:pos="1226" w:val="left" w:leader="none"/>
          <w:tab w:pos="3294" w:val="left" w:leader="none"/>
          <w:tab w:pos="4119" w:val="left" w:leader="none"/>
          <w:tab w:pos="4647" w:val="left" w:leader="none"/>
          <w:tab w:pos="7432" w:val="left" w:leader="none"/>
          <w:tab w:pos="8588" w:val="left" w:leader="none"/>
          <w:tab w:pos="8990" w:val="left" w:leader="none"/>
        </w:tabs>
        <w:spacing w:line="225" w:lineRule="auto" w:before="6" w:after="0"/>
        <w:ind w:left="113" w:right="132" w:firstLine="204"/>
        <w:jc w:val="left"/>
        <w:rPr>
          <w:sz w:val="24"/>
        </w:rPr>
      </w:pPr>
      <w:r>
        <w:rPr>
          <w:w w:val="130"/>
          <w:sz w:val="24"/>
        </w:rPr>
        <w:t>a</w:t>
        <w:tab/>
        <w:t>kamatszámítás</w:t>
        <w:tab/>
        <w:t>vagy</w:t>
        <w:tab/>
        <w:t>az</w:t>
        <w:tab/>
        <w:t>átlagkamat-számítás</w:t>
        <w:tab/>
        <w:t>módját,</w:t>
        <w:tab/>
        <w:t>a</w:t>
        <w:tab/>
      </w:r>
      <w:r>
        <w:rPr>
          <w:spacing w:val="-4"/>
          <w:w w:val="130"/>
          <w:sz w:val="24"/>
        </w:rPr>
        <w:t>kamat </w:t>
      </w:r>
      <w:r>
        <w:rPr>
          <w:w w:val="130"/>
          <w:sz w:val="24"/>
        </w:rPr>
        <w:t>megváltoztatásának</w:t>
      </w:r>
      <w:r>
        <w:rPr>
          <w:spacing w:val="-4"/>
          <w:w w:val="130"/>
          <w:sz w:val="24"/>
        </w:rPr>
        <w:t> </w:t>
      </w:r>
      <w:r>
        <w:rPr>
          <w:w w:val="130"/>
          <w:sz w:val="24"/>
        </w:rPr>
        <w:t>lehetőségét,</w:t>
      </w:r>
    </w:p>
    <w:p>
      <w:pPr>
        <w:pStyle w:val="ListParagraph"/>
        <w:numPr>
          <w:ilvl w:val="0"/>
          <w:numId w:val="612"/>
        </w:numPr>
        <w:tabs>
          <w:tab w:pos="623" w:val="left" w:leader="none"/>
        </w:tabs>
        <w:spacing w:line="256" w:lineRule="exact" w:before="0" w:after="0"/>
        <w:ind w:left="622" w:right="0" w:hanging="305"/>
        <w:jc w:val="left"/>
        <w:rPr>
          <w:sz w:val="24"/>
        </w:rPr>
      </w:pPr>
      <w:r>
        <w:rPr>
          <w:w w:val="130"/>
          <w:sz w:val="24"/>
        </w:rPr>
        <w:t>azt</w:t>
      </w:r>
      <w:r>
        <w:rPr>
          <w:spacing w:val="-8"/>
          <w:w w:val="130"/>
          <w:sz w:val="24"/>
        </w:rPr>
        <w:t> </w:t>
      </w:r>
      <w:r>
        <w:rPr>
          <w:w w:val="130"/>
          <w:sz w:val="24"/>
        </w:rPr>
        <w:t>a</w:t>
      </w:r>
      <w:r>
        <w:rPr>
          <w:spacing w:val="-8"/>
          <w:w w:val="130"/>
          <w:sz w:val="24"/>
        </w:rPr>
        <w:t> </w:t>
      </w:r>
      <w:r>
        <w:rPr>
          <w:w w:val="130"/>
          <w:sz w:val="24"/>
        </w:rPr>
        <w:t>legkisebb</w:t>
      </w:r>
      <w:r>
        <w:rPr>
          <w:spacing w:val="-7"/>
          <w:w w:val="130"/>
          <w:sz w:val="24"/>
        </w:rPr>
        <w:t> </w:t>
      </w:r>
      <w:r>
        <w:rPr>
          <w:w w:val="130"/>
          <w:sz w:val="24"/>
        </w:rPr>
        <w:t>összeget,</w:t>
      </w:r>
      <w:r>
        <w:rPr>
          <w:spacing w:val="-7"/>
          <w:w w:val="130"/>
          <w:sz w:val="24"/>
        </w:rPr>
        <w:t> </w:t>
      </w:r>
      <w:r>
        <w:rPr>
          <w:w w:val="130"/>
          <w:sz w:val="24"/>
        </w:rPr>
        <w:t>amelyet</w:t>
      </w:r>
      <w:r>
        <w:rPr>
          <w:spacing w:val="-7"/>
          <w:w w:val="130"/>
          <w:sz w:val="24"/>
        </w:rPr>
        <w:t> </w:t>
      </w:r>
      <w:r>
        <w:rPr>
          <w:w w:val="130"/>
          <w:sz w:val="24"/>
        </w:rPr>
        <w:t>a</w:t>
      </w:r>
      <w:r>
        <w:rPr>
          <w:spacing w:val="-8"/>
          <w:w w:val="130"/>
          <w:sz w:val="24"/>
        </w:rPr>
        <w:t> </w:t>
      </w:r>
      <w:r>
        <w:rPr>
          <w:w w:val="130"/>
          <w:sz w:val="24"/>
        </w:rPr>
        <w:t>hitelintézet</w:t>
      </w:r>
      <w:r>
        <w:rPr>
          <w:spacing w:val="-4"/>
          <w:w w:val="130"/>
          <w:sz w:val="24"/>
        </w:rPr>
        <w:t> </w:t>
      </w:r>
      <w:r>
        <w:rPr>
          <w:w w:val="130"/>
          <w:sz w:val="24"/>
        </w:rPr>
        <w:t>betétként</w:t>
      </w:r>
      <w:r>
        <w:rPr>
          <w:spacing w:val="-10"/>
          <w:w w:val="130"/>
          <w:sz w:val="24"/>
        </w:rPr>
        <w:t> </w:t>
      </w:r>
      <w:r>
        <w:rPr>
          <w:w w:val="130"/>
          <w:sz w:val="24"/>
        </w:rPr>
        <w:t>elfogad,</w:t>
      </w:r>
    </w:p>
    <w:p>
      <w:pPr>
        <w:pStyle w:val="ListParagraph"/>
        <w:numPr>
          <w:ilvl w:val="0"/>
          <w:numId w:val="612"/>
        </w:numPr>
        <w:tabs>
          <w:tab w:pos="676" w:val="left" w:leader="none"/>
        </w:tabs>
        <w:spacing w:line="225" w:lineRule="auto" w:before="5" w:after="0"/>
        <w:ind w:left="113" w:right="133" w:firstLine="204"/>
        <w:jc w:val="left"/>
        <w:rPr>
          <w:sz w:val="24"/>
        </w:rPr>
      </w:pPr>
      <w:r>
        <w:rPr>
          <w:i/>
          <w:w w:val="130"/>
          <w:sz w:val="24"/>
        </w:rPr>
        <w:t>azt </w:t>
      </w:r>
      <w:r>
        <w:rPr>
          <w:w w:val="130"/>
          <w:sz w:val="24"/>
        </w:rPr>
        <w:t>a legrövidebb időtartamot, amíg a betétet nem, illetve csak a kamat vagy annak egy része elvesztése árán lehet</w:t>
      </w:r>
      <w:r>
        <w:rPr>
          <w:spacing w:val="-39"/>
          <w:w w:val="130"/>
          <w:sz w:val="24"/>
        </w:rPr>
        <w:t> </w:t>
      </w:r>
      <w:r>
        <w:rPr>
          <w:w w:val="130"/>
          <w:sz w:val="24"/>
        </w:rPr>
        <w:t>kivenni,</w:t>
      </w:r>
    </w:p>
    <w:p>
      <w:pPr>
        <w:pStyle w:val="ListParagraph"/>
        <w:numPr>
          <w:ilvl w:val="0"/>
          <w:numId w:val="612"/>
        </w:numPr>
        <w:tabs>
          <w:tab w:pos="683" w:val="left" w:leader="none"/>
        </w:tabs>
        <w:spacing w:line="225" w:lineRule="auto" w:before="1" w:after="0"/>
        <w:ind w:left="113" w:right="131" w:firstLine="204"/>
        <w:jc w:val="left"/>
        <w:rPr>
          <w:sz w:val="24"/>
        </w:rPr>
      </w:pPr>
      <w:r>
        <w:rPr>
          <w:w w:val="125"/>
          <w:sz w:val="24"/>
        </w:rPr>
        <w:t>a fizetendő kamatból történő - a hitelintézet által eszközölt - esetleges levonásokat,</w:t>
      </w:r>
    </w:p>
    <w:p>
      <w:pPr>
        <w:pStyle w:val="ListParagraph"/>
        <w:numPr>
          <w:ilvl w:val="0"/>
          <w:numId w:val="612"/>
        </w:numPr>
        <w:tabs>
          <w:tab w:pos="577" w:val="left" w:leader="none"/>
        </w:tabs>
        <w:spacing w:line="256" w:lineRule="exact" w:before="0" w:after="0"/>
        <w:ind w:left="576" w:right="0" w:hanging="259"/>
        <w:jc w:val="left"/>
        <w:rPr>
          <w:sz w:val="24"/>
        </w:rPr>
      </w:pPr>
      <w:r>
        <w:rPr>
          <w:w w:val="130"/>
          <w:sz w:val="24"/>
        </w:rPr>
        <w:t>a betétszámla megszüntetésének módját, esetleges</w:t>
      </w:r>
      <w:r>
        <w:rPr>
          <w:spacing w:val="-26"/>
          <w:w w:val="130"/>
          <w:sz w:val="24"/>
        </w:rPr>
        <w:t> </w:t>
      </w:r>
      <w:r>
        <w:rPr>
          <w:w w:val="130"/>
          <w:sz w:val="24"/>
        </w:rPr>
        <w:t>költségét,</w:t>
      </w:r>
    </w:p>
    <w:p>
      <w:pPr>
        <w:pStyle w:val="ListParagraph"/>
        <w:numPr>
          <w:ilvl w:val="0"/>
          <w:numId w:val="612"/>
        </w:numPr>
        <w:tabs>
          <w:tab w:pos="653" w:val="left" w:leader="none"/>
        </w:tabs>
        <w:spacing w:line="260" w:lineRule="exact" w:before="0" w:after="0"/>
        <w:ind w:left="652" w:right="0" w:hanging="335"/>
        <w:jc w:val="left"/>
        <w:rPr>
          <w:sz w:val="24"/>
        </w:rPr>
      </w:pPr>
      <w:r>
        <w:rPr>
          <w:w w:val="130"/>
          <w:sz w:val="24"/>
        </w:rPr>
        <w:t>a betét biztosítottságára vonatkozó</w:t>
      </w:r>
      <w:r>
        <w:rPr>
          <w:spacing w:val="-31"/>
          <w:w w:val="130"/>
          <w:sz w:val="24"/>
        </w:rPr>
        <w:t> </w:t>
      </w:r>
      <w:r>
        <w:rPr>
          <w:w w:val="130"/>
          <w:sz w:val="24"/>
        </w:rPr>
        <w:t>információt,</w:t>
      </w:r>
    </w:p>
    <w:p>
      <w:pPr>
        <w:pStyle w:val="ListParagraph"/>
        <w:numPr>
          <w:ilvl w:val="0"/>
          <w:numId w:val="612"/>
        </w:numPr>
        <w:tabs>
          <w:tab w:pos="723" w:val="left" w:leader="none"/>
        </w:tabs>
        <w:spacing w:line="225" w:lineRule="auto" w:before="6" w:after="0"/>
        <w:ind w:left="113" w:right="122" w:firstLine="204"/>
        <w:jc w:val="left"/>
        <w:rPr>
          <w:sz w:val="24"/>
        </w:rPr>
      </w:pPr>
      <w:r>
        <w:rPr>
          <w:w w:val="130"/>
          <w:sz w:val="24"/>
        </w:rPr>
        <w:t>névre szóló betét esetében a hitelintézet által nyilvántartott személyi azonosító adatok</w:t>
      </w:r>
      <w:r>
        <w:rPr>
          <w:spacing w:val="-8"/>
          <w:w w:val="130"/>
          <w:sz w:val="24"/>
        </w:rPr>
        <w:t> </w:t>
      </w:r>
      <w:r>
        <w:rPr>
          <w:w w:val="130"/>
          <w:sz w:val="24"/>
        </w:rPr>
        <w:t>körét.</w:t>
      </w:r>
    </w:p>
    <w:p>
      <w:pPr>
        <w:pStyle w:val="ListParagraph"/>
        <w:numPr>
          <w:ilvl w:val="0"/>
          <w:numId w:val="607"/>
        </w:numPr>
        <w:tabs>
          <w:tab w:pos="1059" w:val="left" w:leader="none"/>
        </w:tabs>
        <w:spacing w:line="225" w:lineRule="auto" w:before="0" w:after="0"/>
        <w:ind w:left="113" w:right="130" w:firstLine="204"/>
        <w:jc w:val="left"/>
        <w:rPr>
          <w:sz w:val="24"/>
        </w:rPr>
      </w:pPr>
      <w:r>
        <w:rPr>
          <w:rFonts w:ascii="Arial" w:hAnsi="Arial"/>
          <w:b/>
          <w:w w:val="125"/>
          <w:sz w:val="24"/>
        </w:rPr>
        <w:t>§ </w:t>
      </w:r>
      <w:r>
        <w:rPr>
          <w:w w:val="125"/>
          <w:sz w:val="24"/>
        </w:rPr>
        <w:t>(1) A hitel- és a kölcsönszerződés általános szerződési feltételeit magában foglaló üzletszabályzatnak tartalmaznia kell</w:t>
      </w:r>
      <w:r>
        <w:rPr>
          <w:spacing w:val="14"/>
          <w:w w:val="125"/>
          <w:sz w:val="24"/>
        </w:rPr>
        <w:t> </w:t>
      </w:r>
      <w:r>
        <w:rPr>
          <w:w w:val="125"/>
          <w:sz w:val="24"/>
        </w:rPr>
        <w:t>legalább</w:t>
      </w:r>
    </w:p>
    <w:p>
      <w:pPr>
        <w:pStyle w:val="ListParagraph"/>
        <w:numPr>
          <w:ilvl w:val="0"/>
          <w:numId w:val="613"/>
        </w:numPr>
        <w:tabs>
          <w:tab w:pos="690" w:val="left" w:leader="none"/>
        </w:tabs>
        <w:spacing w:line="225" w:lineRule="auto" w:before="1" w:after="0"/>
        <w:ind w:left="113" w:right="134" w:firstLine="204"/>
        <w:jc w:val="left"/>
        <w:rPr>
          <w:sz w:val="24"/>
        </w:rPr>
      </w:pPr>
      <w:r>
        <w:rPr>
          <w:w w:val="130"/>
          <w:sz w:val="24"/>
        </w:rPr>
        <w:t>a pénzügyi intézmény teljes nevét, a tevékenységi engedély számát és dátumát,</w:t>
      </w:r>
    </w:p>
    <w:p>
      <w:pPr>
        <w:pStyle w:val="ListParagraph"/>
        <w:numPr>
          <w:ilvl w:val="0"/>
          <w:numId w:val="613"/>
        </w:numPr>
        <w:tabs>
          <w:tab w:pos="653" w:val="left" w:leader="none"/>
        </w:tabs>
        <w:spacing w:line="256" w:lineRule="exact" w:before="0" w:after="0"/>
        <w:ind w:left="652" w:right="0" w:hanging="335"/>
        <w:jc w:val="left"/>
        <w:rPr>
          <w:sz w:val="24"/>
        </w:rPr>
      </w:pPr>
      <w:r>
        <w:rPr>
          <w:i/>
          <w:w w:val="130"/>
          <w:sz w:val="24"/>
        </w:rPr>
        <w:t>azt,</w:t>
      </w:r>
      <w:r>
        <w:rPr>
          <w:i/>
          <w:spacing w:val="-20"/>
          <w:w w:val="130"/>
          <w:sz w:val="24"/>
        </w:rPr>
        <w:t> </w:t>
      </w:r>
      <w:r>
        <w:rPr>
          <w:w w:val="130"/>
          <w:sz w:val="24"/>
        </w:rPr>
        <w:t>hogy</w:t>
      </w:r>
      <w:r>
        <w:rPr>
          <w:spacing w:val="-8"/>
          <w:w w:val="130"/>
          <w:sz w:val="24"/>
        </w:rPr>
        <w:t> </w:t>
      </w:r>
      <w:r>
        <w:rPr>
          <w:w w:val="130"/>
          <w:sz w:val="24"/>
        </w:rPr>
        <w:t>változtatható-e,</w:t>
      </w:r>
      <w:r>
        <w:rPr>
          <w:spacing w:val="-10"/>
          <w:w w:val="130"/>
          <w:sz w:val="24"/>
        </w:rPr>
        <w:t> </w:t>
      </w:r>
      <w:r>
        <w:rPr>
          <w:w w:val="130"/>
          <w:sz w:val="24"/>
        </w:rPr>
        <w:t>és</w:t>
      </w:r>
      <w:r>
        <w:rPr>
          <w:spacing w:val="-9"/>
          <w:w w:val="130"/>
          <w:sz w:val="24"/>
        </w:rPr>
        <w:t> </w:t>
      </w:r>
      <w:r>
        <w:rPr>
          <w:w w:val="130"/>
          <w:sz w:val="24"/>
        </w:rPr>
        <w:t>ha</w:t>
      </w:r>
      <w:r>
        <w:rPr>
          <w:spacing w:val="-8"/>
          <w:w w:val="130"/>
          <w:sz w:val="24"/>
        </w:rPr>
        <w:t> </w:t>
      </w:r>
      <w:r>
        <w:rPr>
          <w:w w:val="130"/>
          <w:sz w:val="24"/>
        </w:rPr>
        <w:t>igen,</w:t>
      </w:r>
      <w:r>
        <w:rPr>
          <w:spacing w:val="-9"/>
          <w:w w:val="130"/>
          <w:sz w:val="24"/>
        </w:rPr>
        <w:t> </w:t>
      </w:r>
      <w:r>
        <w:rPr>
          <w:w w:val="130"/>
          <w:sz w:val="24"/>
        </w:rPr>
        <w:t>milyen</w:t>
      </w:r>
      <w:r>
        <w:rPr>
          <w:spacing w:val="-10"/>
          <w:w w:val="130"/>
          <w:sz w:val="24"/>
        </w:rPr>
        <w:t> </w:t>
      </w:r>
      <w:r>
        <w:rPr>
          <w:w w:val="130"/>
          <w:sz w:val="24"/>
        </w:rPr>
        <w:t>módon</w:t>
      </w:r>
      <w:r>
        <w:rPr>
          <w:spacing w:val="-9"/>
          <w:w w:val="130"/>
          <w:sz w:val="24"/>
        </w:rPr>
        <w:t> </w:t>
      </w:r>
      <w:r>
        <w:rPr>
          <w:w w:val="130"/>
          <w:sz w:val="24"/>
        </w:rPr>
        <w:t>a</w:t>
      </w:r>
      <w:r>
        <w:rPr>
          <w:spacing w:val="-9"/>
          <w:w w:val="130"/>
          <w:sz w:val="24"/>
        </w:rPr>
        <w:t> </w:t>
      </w:r>
      <w:r>
        <w:rPr>
          <w:w w:val="130"/>
          <w:sz w:val="24"/>
        </w:rPr>
        <w:t>kamat,</w:t>
      </w:r>
    </w:p>
    <w:p>
      <w:pPr>
        <w:pStyle w:val="ListParagraph"/>
        <w:numPr>
          <w:ilvl w:val="0"/>
          <w:numId w:val="613"/>
        </w:numPr>
        <w:tabs>
          <w:tab w:pos="623" w:val="left" w:leader="none"/>
        </w:tabs>
        <w:spacing w:line="260" w:lineRule="exact" w:before="0" w:after="0"/>
        <w:ind w:left="622" w:right="0" w:hanging="305"/>
        <w:jc w:val="left"/>
        <w:rPr>
          <w:sz w:val="24"/>
        </w:rPr>
      </w:pPr>
      <w:r>
        <w:rPr>
          <w:w w:val="130"/>
          <w:sz w:val="24"/>
        </w:rPr>
        <w:t>a kamatszámítás</w:t>
      </w:r>
      <w:r>
        <w:rPr>
          <w:spacing w:val="-7"/>
          <w:w w:val="130"/>
          <w:sz w:val="24"/>
        </w:rPr>
        <w:t> </w:t>
      </w:r>
      <w:r>
        <w:rPr>
          <w:w w:val="130"/>
          <w:sz w:val="24"/>
        </w:rPr>
        <w:t>módját,</w:t>
      </w:r>
    </w:p>
    <w:p>
      <w:pPr>
        <w:pStyle w:val="ListParagraph"/>
        <w:numPr>
          <w:ilvl w:val="0"/>
          <w:numId w:val="613"/>
        </w:numPr>
        <w:tabs>
          <w:tab w:pos="653" w:val="left" w:leader="none"/>
        </w:tabs>
        <w:spacing w:line="260" w:lineRule="exact" w:before="0" w:after="0"/>
        <w:ind w:left="652" w:right="0" w:hanging="335"/>
        <w:jc w:val="left"/>
        <w:rPr>
          <w:sz w:val="24"/>
        </w:rPr>
      </w:pPr>
      <w:r>
        <w:rPr>
          <w:i/>
          <w:w w:val="130"/>
          <w:sz w:val="24"/>
        </w:rPr>
        <w:t>az </w:t>
      </w:r>
      <w:r>
        <w:rPr>
          <w:w w:val="130"/>
          <w:sz w:val="24"/>
        </w:rPr>
        <w:t>egyéb díjakat és</w:t>
      </w:r>
      <w:r>
        <w:rPr>
          <w:spacing w:val="-25"/>
          <w:w w:val="130"/>
          <w:sz w:val="24"/>
        </w:rPr>
        <w:t> </w:t>
      </w:r>
      <w:r>
        <w:rPr>
          <w:w w:val="130"/>
          <w:sz w:val="24"/>
        </w:rPr>
        <w:t>költségeket,</w:t>
      </w:r>
    </w:p>
    <w:p>
      <w:pPr>
        <w:pStyle w:val="ListParagraph"/>
        <w:numPr>
          <w:ilvl w:val="0"/>
          <w:numId w:val="613"/>
        </w:numPr>
        <w:tabs>
          <w:tab w:pos="629" w:val="left" w:leader="none"/>
        </w:tabs>
        <w:spacing w:line="260" w:lineRule="exact" w:before="0" w:after="0"/>
        <w:ind w:left="628" w:right="0" w:hanging="311"/>
        <w:jc w:val="left"/>
        <w:rPr>
          <w:sz w:val="24"/>
        </w:rPr>
      </w:pPr>
      <w:r>
        <w:rPr>
          <w:w w:val="130"/>
          <w:sz w:val="24"/>
        </w:rPr>
        <w:t>a szerződést biztosító</w:t>
      </w:r>
      <w:r>
        <w:rPr>
          <w:spacing w:val="-14"/>
          <w:w w:val="130"/>
          <w:sz w:val="24"/>
        </w:rPr>
        <w:t> </w:t>
      </w:r>
      <w:r>
        <w:rPr>
          <w:w w:val="130"/>
          <w:sz w:val="24"/>
        </w:rPr>
        <w:t>mellékkötelezettségeket,</w:t>
      </w:r>
    </w:p>
    <w:p>
      <w:pPr>
        <w:pStyle w:val="ListParagraph"/>
        <w:numPr>
          <w:ilvl w:val="0"/>
          <w:numId w:val="613"/>
        </w:numPr>
        <w:tabs>
          <w:tab w:pos="632" w:val="left" w:leader="none"/>
        </w:tabs>
        <w:spacing w:line="225" w:lineRule="auto" w:before="5" w:after="0"/>
        <w:ind w:left="113" w:right="127" w:firstLine="204"/>
        <w:jc w:val="both"/>
        <w:rPr>
          <w:sz w:val="24"/>
        </w:rPr>
      </w:pPr>
      <w:r>
        <w:rPr>
          <w:w w:val="125"/>
          <w:sz w:val="24"/>
        </w:rPr>
        <w:t>a központi hitelinformációs rendszerről szóló törvényben meghatározott központi hitelinformációs rendszerrel (a továbbiakban: KHR) kapcsolatos adatkezelési szabályokat, a jogorvoslati lehetőségekre való figyelemfelhívással együtt,</w:t>
      </w:r>
    </w:p>
    <w:p>
      <w:pPr>
        <w:pStyle w:val="ListParagraph"/>
        <w:numPr>
          <w:ilvl w:val="0"/>
          <w:numId w:val="613"/>
        </w:numPr>
        <w:tabs>
          <w:tab w:pos="733" w:val="left" w:leader="none"/>
        </w:tabs>
        <w:spacing w:line="225" w:lineRule="auto" w:before="3" w:after="0"/>
        <w:ind w:left="113" w:right="112" w:firstLine="204"/>
        <w:jc w:val="both"/>
        <w:rPr>
          <w:sz w:val="24"/>
        </w:rPr>
      </w:pPr>
      <w:r>
        <w:rPr>
          <w:w w:val="125"/>
          <w:sz w:val="24"/>
        </w:rPr>
        <w:t>deviza alapú jelzáloghitel-szerződés esetén a 267. §-ban foglaltaknak megfelelően kiválasztott és alkalmazott számítási módot, továbbá  azt  az adatot, hogy a forintban meghatározott összeg kiszámítására mely időpontban kerül sor.</w:t>
      </w:r>
    </w:p>
    <w:p>
      <w:pPr>
        <w:pStyle w:val="BodyText"/>
        <w:tabs>
          <w:tab w:pos="1355" w:val="left" w:leader="none"/>
        </w:tabs>
        <w:spacing w:line="225" w:lineRule="auto" w:before="2"/>
        <w:ind w:right="133"/>
      </w:pPr>
      <w:r>
        <w:rPr>
          <w:w w:val="125"/>
        </w:rPr>
        <w:t>(2) </w:t>
      </w:r>
      <w:r>
        <w:rPr>
          <w:spacing w:val="5"/>
          <w:w w:val="125"/>
        </w:rPr>
        <w:t> </w:t>
      </w:r>
      <w:r>
        <w:rPr>
          <w:w w:val="125"/>
        </w:rPr>
        <w:t>Az</w:t>
        <w:tab/>
        <w:t>(1) bekezdés </w:t>
      </w:r>
      <w:r>
        <w:rPr>
          <w:i/>
          <w:w w:val="125"/>
        </w:rPr>
        <w:t>g) </w:t>
      </w:r>
      <w:r>
        <w:rPr>
          <w:w w:val="125"/>
        </w:rPr>
        <w:t>pontját alkalmazni kell deviza alapú pénzügyi lízingszerződés esetén is.</w:t>
      </w:r>
    </w:p>
    <w:p>
      <w:pPr>
        <w:pStyle w:val="BodyText"/>
        <w:spacing w:before="228"/>
        <w:ind w:left="1279" w:firstLine="0"/>
      </w:pPr>
      <w:r>
        <w:rPr>
          <w:w w:val="125"/>
        </w:rPr>
        <w:t>121. Egyes szerződésekre vonatkozó különös rendelkezések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2"/>
        <w:ind w:left="0" w:firstLine="0"/>
        <w:rPr>
          <w:sz w:val="22"/>
        </w:rPr>
      </w:pPr>
      <w:r>
        <w:rPr/>
        <w:pict>
          <v:line style="position:absolute;mso-position-horizontal-relative:page;mso-position-vertical-relative:paragraph;z-index:2648;mso-wrap-distance-left:0;mso-wrap-distance-right:0" from="56.693001pt,14.990344pt" to="538.583001pt,14.99034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2015. évi LXXXV. törvény 231. §. Hatályos: 2015. VII.</w:t>
      </w:r>
      <w:r>
        <w:rPr>
          <w:i/>
          <w:spacing w:val="-16"/>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607"/>
        </w:numPr>
        <w:tabs>
          <w:tab w:pos="997" w:val="left" w:leader="none"/>
        </w:tabs>
        <w:spacing w:line="225" w:lineRule="auto" w:before="172" w:after="0"/>
        <w:ind w:left="113" w:right="122" w:firstLine="204"/>
        <w:jc w:val="both"/>
        <w:rPr>
          <w:sz w:val="24"/>
        </w:rPr>
      </w:pPr>
      <w:r>
        <w:rPr>
          <w:rFonts w:ascii="Arial" w:hAnsi="Arial"/>
          <w:b/>
          <w:w w:val="125"/>
          <w:sz w:val="24"/>
        </w:rPr>
        <w:t>§ </w:t>
      </w:r>
      <w:r>
        <w:rPr>
          <w:w w:val="125"/>
          <w:sz w:val="24"/>
        </w:rPr>
        <w:t>(1)</w:t>
      </w:r>
      <w:r>
        <w:rPr>
          <w:i/>
          <w:w w:val="125"/>
          <w:position w:val="3"/>
          <w:sz w:val="18"/>
        </w:rPr>
        <w:t>1 </w:t>
      </w:r>
      <w:r>
        <w:rPr>
          <w:w w:val="125"/>
          <w:sz w:val="24"/>
        </w:rPr>
        <w:t>A pénzügyi intézmény - az egyszeri fizetési megbízás kivételével, valamint a 285. §-ban meghatározott eltéréssel - pénzügyi és kiegészítő pénzügyi szolgáltatásra irányuló szerződést csak írásban köthet. Az írásban kötött szerződés egy hiteles példányát a pénzügyi intézmény köteles az ügyfél rendelkezésére</w:t>
      </w:r>
      <w:r>
        <w:rPr>
          <w:spacing w:val="2"/>
          <w:w w:val="125"/>
          <w:sz w:val="24"/>
        </w:rPr>
        <w:t> </w:t>
      </w:r>
      <w:r>
        <w:rPr>
          <w:w w:val="125"/>
          <w:sz w:val="24"/>
        </w:rPr>
        <w:t>bocsátani.</w:t>
      </w:r>
    </w:p>
    <w:p>
      <w:pPr>
        <w:pStyle w:val="BodyText"/>
        <w:spacing w:line="251" w:lineRule="exact"/>
        <w:ind w:left="317" w:firstLine="0"/>
        <w:rPr>
          <w:i/>
          <w:sz w:val="18"/>
        </w:rPr>
      </w:pPr>
      <w:r>
        <w:rPr>
          <w:w w:val="125"/>
        </w:rPr>
        <w:t>(1a)</w:t>
      </w:r>
      <w:r>
        <w:rPr>
          <w:i/>
          <w:w w:val="125"/>
          <w:position w:val="3"/>
          <w:sz w:val="18"/>
        </w:rPr>
        <w:t>2</w:t>
      </w:r>
    </w:p>
    <w:p>
      <w:pPr>
        <w:pStyle w:val="ListParagraph"/>
        <w:numPr>
          <w:ilvl w:val="0"/>
          <w:numId w:val="614"/>
        </w:numPr>
        <w:tabs>
          <w:tab w:pos="659" w:val="left" w:leader="none"/>
        </w:tabs>
        <w:spacing w:line="260" w:lineRule="exact" w:before="0" w:after="0"/>
        <w:ind w:left="658" w:right="0" w:hanging="341"/>
        <w:jc w:val="left"/>
        <w:rPr>
          <w:sz w:val="24"/>
        </w:rPr>
      </w:pPr>
      <w:r>
        <w:rPr>
          <w:i/>
          <w:w w:val="130"/>
          <w:position w:val="3"/>
          <w:sz w:val="18"/>
        </w:rPr>
        <w:t>3</w:t>
      </w:r>
      <w:r>
        <w:rPr>
          <w:i/>
          <w:spacing w:val="34"/>
          <w:w w:val="130"/>
          <w:position w:val="3"/>
          <w:sz w:val="18"/>
        </w:rPr>
        <w:t> </w:t>
      </w:r>
      <w:r>
        <w:rPr>
          <w:w w:val="130"/>
          <w:sz w:val="24"/>
        </w:rPr>
        <w:t>Az</w:t>
      </w:r>
      <w:r>
        <w:rPr>
          <w:spacing w:val="16"/>
          <w:w w:val="130"/>
          <w:sz w:val="24"/>
        </w:rPr>
        <w:t> </w:t>
      </w:r>
      <w:r>
        <w:rPr>
          <w:w w:val="130"/>
          <w:sz w:val="24"/>
        </w:rPr>
        <w:t>(1)</w:t>
      </w:r>
      <w:r>
        <w:rPr>
          <w:spacing w:val="15"/>
          <w:w w:val="130"/>
          <w:sz w:val="24"/>
        </w:rPr>
        <w:t> </w:t>
      </w:r>
      <w:r>
        <w:rPr>
          <w:w w:val="130"/>
          <w:sz w:val="24"/>
        </w:rPr>
        <w:t>bekezdésben</w:t>
      </w:r>
      <w:r>
        <w:rPr>
          <w:spacing w:val="15"/>
          <w:w w:val="130"/>
          <w:sz w:val="24"/>
        </w:rPr>
        <w:t> </w:t>
      </w:r>
      <w:r>
        <w:rPr>
          <w:w w:val="130"/>
          <w:sz w:val="24"/>
        </w:rPr>
        <w:t>foglalt</w:t>
      </w:r>
      <w:r>
        <w:rPr>
          <w:spacing w:val="16"/>
          <w:w w:val="130"/>
          <w:sz w:val="24"/>
        </w:rPr>
        <w:t> </w:t>
      </w:r>
      <w:r>
        <w:rPr>
          <w:w w:val="130"/>
          <w:sz w:val="24"/>
        </w:rPr>
        <w:t>előírás</w:t>
      </w:r>
      <w:r>
        <w:rPr>
          <w:spacing w:val="14"/>
          <w:w w:val="130"/>
          <w:sz w:val="24"/>
        </w:rPr>
        <w:t> </w:t>
      </w:r>
      <w:r>
        <w:rPr>
          <w:w w:val="130"/>
          <w:sz w:val="24"/>
        </w:rPr>
        <w:t>megsértése</w:t>
      </w:r>
      <w:r>
        <w:rPr>
          <w:spacing w:val="15"/>
          <w:w w:val="130"/>
          <w:sz w:val="24"/>
        </w:rPr>
        <w:t> </w:t>
      </w:r>
      <w:r>
        <w:rPr>
          <w:w w:val="130"/>
          <w:sz w:val="24"/>
        </w:rPr>
        <w:t>nem</w:t>
      </w:r>
      <w:r>
        <w:rPr>
          <w:spacing w:val="16"/>
          <w:w w:val="130"/>
          <w:sz w:val="24"/>
        </w:rPr>
        <w:t> </w:t>
      </w:r>
      <w:r>
        <w:rPr>
          <w:w w:val="130"/>
          <w:sz w:val="24"/>
        </w:rPr>
        <w:t>vonja</w:t>
      </w:r>
      <w:r>
        <w:rPr>
          <w:spacing w:val="14"/>
          <w:w w:val="130"/>
          <w:sz w:val="24"/>
        </w:rPr>
        <w:t> </w:t>
      </w:r>
      <w:r>
        <w:rPr>
          <w:w w:val="130"/>
          <w:sz w:val="24"/>
        </w:rPr>
        <w:t>maga</w:t>
      </w:r>
      <w:r>
        <w:rPr>
          <w:spacing w:val="15"/>
          <w:w w:val="130"/>
          <w:sz w:val="24"/>
        </w:rPr>
        <w:t> </w:t>
      </w:r>
      <w:r>
        <w:rPr>
          <w:w w:val="130"/>
          <w:sz w:val="24"/>
        </w:rPr>
        <w:t>után</w:t>
      </w:r>
      <w:r>
        <w:rPr>
          <w:spacing w:val="16"/>
          <w:w w:val="130"/>
          <w:sz w:val="24"/>
        </w:rPr>
        <w:t> </w:t>
      </w:r>
      <w:r>
        <w:rPr>
          <w:w w:val="130"/>
          <w:sz w:val="24"/>
        </w:rPr>
        <w:t>a</w:t>
      </w:r>
    </w:p>
    <w:p>
      <w:pPr>
        <w:pStyle w:val="BodyText"/>
        <w:spacing w:line="225" w:lineRule="auto" w:before="12"/>
        <w:ind w:firstLine="0"/>
      </w:pPr>
      <w:r>
        <w:rPr>
          <w:w w:val="125"/>
        </w:rPr>
        <w:t>szerződés érvénytelenségét, jogkövetkezményként a Felügyelet intézkedést alkalmazhat, illetve bírságot szabhat ki.</w:t>
      </w:r>
    </w:p>
    <w:p>
      <w:pPr>
        <w:pStyle w:val="ListParagraph"/>
        <w:numPr>
          <w:ilvl w:val="0"/>
          <w:numId w:val="614"/>
        </w:numPr>
        <w:tabs>
          <w:tab w:pos="769" w:val="left" w:leader="none"/>
        </w:tabs>
        <w:spacing w:line="225" w:lineRule="auto" w:before="1" w:after="0"/>
        <w:ind w:left="113" w:right="128" w:firstLine="204"/>
        <w:jc w:val="both"/>
        <w:rPr>
          <w:sz w:val="24"/>
        </w:rPr>
      </w:pPr>
      <w:r>
        <w:rPr>
          <w:w w:val="130"/>
          <w:sz w:val="24"/>
        </w:rPr>
        <w:t>A pénzügyi és kiegészítő pénzügyi szolgáltatásra irányuló</w:t>
      </w:r>
      <w:r>
        <w:rPr>
          <w:spacing w:val="-37"/>
          <w:w w:val="130"/>
          <w:sz w:val="24"/>
        </w:rPr>
        <w:t> </w:t>
      </w:r>
      <w:r>
        <w:rPr>
          <w:w w:val="130"/>
          <w:sz w:val="24"/>
        </w:rPr>
        <w:t>szerződésben egyértelműen meg kell határozni a kamatot, díjat és minden egyéb költséget vagy feltételt, ideértve a késedelmes teljesítés jogkövetkezményeit és a szerződést biztosító mellékkötelezettségek érvényesítésének módját, következményeit</w:t>
      </w:r>
      <w:r>
        <w:rPr>
          <w:spacing w:val="-3"/>
          <w:w w:val="130"/>
          <w:sz w:val="24"/>
        </w:rPr>
        <w:t> </w:t>
      </w:r>
      <w:r>
        <w:rPr>
          <w:w w:val="130"/>
          <w:sz w:val="24"/>
        </w:rPr>
        <w:t>is.</w:t>
      </w:r>
    </w:p>
    <w:p>
      <w:pPr>
        <w:pStyle w:val="BodyText"/>
        <w:spacing w:line="251" w:lineRule="exact"/>
        <w:ind w:left="317" w:firstLine="0"/>
        <w:rPr>
          <w:i/>
          <w:sz w:val="18"/>
        </w:rPr>
      </w:pPr>
      <w:r>
        <w:rPr>
          <w:w w:val="120"/>
        </w:rPr>
        <w:t>(4)-(12)</w:t>
      </w:r>
      <w:r>
        <w:rPr>
          <w:i/>
          <w:w w:val="120"/>
          <w:position w:val="3"/>
          <w:sz w:val="18"/>
        </w:rPr>
        <w:t>4</w:t>
      </w:r>
    </w:p>
    <w:p>
      <w:pPr>
        <w:pStyle w:val="ListParagraph"/>
        <w:numPr>
          <w:ilvl w:val="0"/>
          <w:numId w:val="615"/>
        </w:numPr>
        <w:tabs>
          <w:tab w:pos="812" w:val="left" w:leader="none"/>
        </w:tabs>
        <w:spacing w:line="260" w:lineRule="exact" w:before="0" w:after="0"/>
        <w:ind w:left="811" w:right="0" w:hanging="494"/>
        <w:jc w:val="left"/>
        <w:rPr>
          <w:sz w:val="24"/>
        </w:rPr>
      </w:pPr>
      <w:r>
        <w:rPr>
          <w:i/>
          <w:w w:val="125"/>
          <w:position w:val="3"/>
          <w:sz w:val="18"/>
        </w:rPr>
        <w:t>5</w:t>
      </w:r>
      <w:r>
        <w:rPr>
          <w:i/>
          <w:spacing w:val="48"/>
          <w:w w:val="125"/>
          <w:position w:val="3"/>
          <w:sz w:val="18"/>
        </w:rPr>
        <w:t> </w:t>
      </w:r>
      <w:r>
        <w:rPr>
          <w:w w:val="125"/>
          <w:sz w:val="24"/>
        </w:rPr>
        <w:t>A</w:t>
      </w:r>
      <w:r>
        <w:rPr>
          <w:spacing w:val="29"/>
          <w:w w:val="125"/>
          <w:sz w:val="24"/>
        </w:rPr>
        <w:t> </w:t>
      </w:r>
      <w:r>
        <w:rPr>
          <w:w w:val="125"/>
          <w:sz w:val="24"/>
        </w:rPr>
        <w:t>fogyasztónak</w:t>
      </w:r>
      <w:r>
        <w:rPr>
          <w:spacing w:val="29"/>
          <w:w w:val="125"/>
          <w:sz w:val="24"/>
        </w:rPr>
        <w:t> </w:t>
      </w:r>
      <w:r>
        <w:rPr>
          <w:w w:val="125"/>
          <w:sz w:val="24"/>
        </w:rPr>
        <w:t>nyújtott</w:t>
      </w:r>
      <w:r>
        <w:rPr>
          <w:spacing w:val="30"/>
          <w:w w:val="125"/>
          <w:sz w:val="24"/>
        </w:rPr>
        <w:t> </w:t>
      </w:r>
      <w:r>
        <w:rPr>
          <w:w w:val="125"/>
          <w:sz w:val="24"/>
        </w:rPr>
        <w:t>hitelről</w:t>
      </w:r>
      <w:r>
        <w:rPr>
          <w:spacing w:val="30"/>
          <w:w w:val="125"/>
          <w:sz w:val="24"/>
        </w:rPr>
        <w:t> </w:t>
      </w:r>
      <w:r>
        <w:rPr>
          <w:w w:val="125"/>
          <w:sz w:val="24"/>
        </w:rPr>
        <w:t>szóló</w:t>
      </w:r>
      <w:r>
        <w:rPr>
          <w:spacing w:val="29"/>
          <w:w w:val="125"/>
          <w:sz w:val="24"/>
        </w:rPr>
        <w:t> </w:t>
      </w:r>
      <w:r>
        <w:rPr>
          <w:w w:val="125"/>
          <w:sz w:val="24"/>
        </w:rPr>
        <w:t>törvény</w:t>
      </w:r>
      <w:r>
        <w:rPr>
          <w:spacing w:val="29"/>
          <w:w w:val="125"/>
          <w:sz w:val="24"/>
        </w:rPr>
        <w:t> </w:t>
      </w:r>
      <w:r>
        <w:rPr>
          <w:w w:val="125"/>
          <w:sz w:val="24"/>
        </w:rPr>
        <w:t>hatálya</w:t>
      </w:r>
      <w:r>
        <w:rPr>
          <w:spacing w:val="30"/>
          <w:w w:val="125"/>
          <w:sz w:val="24"/>
        </w:rPr>
        <w:t> </w:t>
      </w:r>
      <w:r>
        <w:rPr>
          <w:w w:val="125"/>
          <w:sz w:val="24"/>
        </w:rPr>
        <w:t>alá</w:t>
      </w:r>
      <w:r>
        <w:rPr>
          <w:spacing w:val="29"/>
          <w:w w:val="125"/>
          <w:sz w:val="24"/>
        </w:rPr>
        <w:t> </w:t>
      </w:r>
      <w:r>
        <w:rPr>
          <w:w w:val="125"/>
          <w:sz w:val="24"/>
        </w:rPr>
        <w:t>nem</w:t>
      </w:r>
      <w:r>
        <w:rPr>
          <w:spacing w:val="30"/>
          <w:w w:val="125"/>
          <w:sz w:val="24"/>
        </w:rPr>
        <w:t> </w:t>
      </w:r>
      <w:r>
        <w:rPr>
          <w:w w:val="125"/>
          <w:sz w:val="24"/>
        </w:rPr>
        <w:t>tartozó</w:t>
      </w:r>
    </w:p>
    <w:p>
      <w:pPr>
        <w:pStyle w:val="BodyText"/>
        <w:spacing w:line="225" w:lineRule="auto" w:before="12"/>
        <w:ind w:right="117" w:firstLine="0"/>
        <w:jc w:val="both"/>
      </w:pPr>
      <w:r>
        <w:rPr>
          <w:w w:val="125"/>
        </w:rPr>
        <w:t>pénzügyi és kiegészítő pénzügyi szolgáltatásra irányuló szerződések esetén kamatot, díjat vagy egyéb szerződési feltételt csak akkor lehet egyoldalúan, az ügyfél számára kedvezőtlenül módosítani, ha a szerződés ezt a pénzügyi intézmény számára - külön pontban - egyértelműen meghatározott feltételek, illetve körülmények esetére lehetővé teszi. A szerződés kamatot, díjat érintő - az ügyfél számára kedvezőtlen - módosítását a módosítás hatálybalépését tizenöt nappal megelőzően, közzé kell tenni, elektronikus kereskedelmi szolgáltatás nyújtása esetén az ügyfelek számára folyamatosan és könnyen hozzáférhető módon, elektronikus úton is elérhetővé kell</w:t>
      </w:r>
      <w:r>
        <w:rPr>
          <w:spacing w:val="19"/>
          <w:w w:val="125"/>
        </w:rPr>
        <w:t> </w:t>
      </w:r>
      <w:r>
        <w:rPr>
          <w:w w:val="125"/>
        </w:rPr>
        <w:t>tenni.</w:t>
      </w:r>
    </w:p>
    <w:p>
      <w:pPr>
        <w:pStyle w:val="ListParagraph"/>
        <w:numPr>
          <w:ilvl w:val="0"/>
          <w:numId w:val="615"/>
        </w:numPr>
        <w:tabs>
          <w:tab w:pos="1088" w:val="left" w:leader="none"/>
        </w:tabs>
        <w:spacing w:line="225" w:lineRule="auto" w:before="5" w:after="0"/>
        <w:ind w:left="113" w:right="130" w:firstLine="204"/>
        <w:jc w:val="both"/>
        <w:rPr>
          <w:sz w:val="24"/>
        </w:rPr>
      </w:pPr>
      <w:r>
        <w:rPr>
          <w:w w:val="125"/>
          <w:sz w:val="24"/>
        </w:rPr>
        <w:t>Szerződés egyoldalúan nem módosítható új díj vagy költség bevezetésével. Az egyes kamat, díj vagy költségelemek szerződésben meghatározott számítási módja egyoldalúan, az ügyfél számára kedvezőtlenül nem</w:t>
      </w:r>
      <w:r>
        <w:rPr>
          <w:spacing w:val="1"/>
          <w:w w:val="125"/>
          <w:sz w:val="24"/>
        </w:rPr>
        <w:t> </w:t>
      </w:r>
      <w:r>
        <w:rPr>
          <w:w w:val="125"/>
          <w:sz w:val="24"/>
        </w:rPr>
        <w:t>módosítható.</w:t>
      </w:r>
    </w:p>
    <w:p>
      <w:pPr>
        <w:pStyle w:val="ListParagraph"/>
        <w:numPr>
          <w:ilvl w:val="0"/>
          <w:numId w:val="615"/>
        </w:numPr>
        <w:tabs>
          <w:tab w:pos="945" w:val="left" w:leader="none"/>
        </w:tabs>
        <w:spacing w:line="225" w:lineRule="auto" w:before="2" w:after="0"/>
        <w:ind w:left="113" w:right="130" w:firstLine="204"/>
        <w:jc w:val="both"/>
        <w:rPr>
          <w:sz w:val="24"/>
        </w:rPr>
      </w:pPr>
      <w:r>
        <w:rPr>
          <w:w w:val="125"/>
          <w:sz w:val="24"/>
        </w:rPr>
        <w:t>Az ügyfél hirdetményben történő tájékoztatása során biztosítani kell, hogy megállapítható legyen, melyik kamat-, díj- vagy költségelem milyen mértékben változik. Az ügyfél számára elérhetővé kell tenni a módosítás</w:t>
      </w:r>
      <w:r>
        <w:rPr>
          <w:spacing w:val="36"/>
          <w:w w:val="125"/>
          <w:sz w:val="24"/>
        </w:rPr>
        <w:t> </w:t>
      </w:r>
      <w:r>
        <w:rPr>
          <w:w w:val="125"/>
          <w:sz w:val="24"/>
        </w:rPr>
        <w:t>okait.</w:t>
      </w:r>
    </w:p>
    <w:p>
      <w:pPr>
        <w:pStyle w:val="ListParagraph"/>
        <w:numPr>
          <w:ilvl w:val="0"/>
          <w:numId w:val="615"/>
        </w:numPr>
        <w:tabs>
          <w:tab w:pos="887" w:val="left" w:leader="none"/>
        </w:tabs>
        <w:spacing w:line="225" w:lineRule="auto" w:before="2" w:after="0"/>
        <w:ind w:left="113" w:right="132" w:firstLine="204"/>
        <w:jc w:val="both"/>
        <w:rPr>
          <w:sz w:val="24"/>
        </w:rPr>
      </w:pPr>
      <w:r>
        <w:rPr>
          <w:w w:val="125"/>
          <w:sz w:val="24"/>
        </w:rPr>
        <w:t>A pénzügyi intézmény az ügyfél számára nem kedvezőtlenül egyoldalúan módosíthatja az ügyféllel kötött szerződés</w:t>
      </w:r>
      <w:r>
        <w:rPr>
          <w:spacing w:val="8"/>
          <w:w w:val="125"/>
          <w:sz w:val="24"/>
        </w:rPr>
        <w:t> </w:t>
      </w:r>
      <w:r>
        <w:rPr>
          <w:w w:val="125"/>
          <w:sz w:val="24"/>
        </w:rPr>
        <w:t>feltételeit.</w:t>
      </w:r>
    </w:p>
    <w:p>
      <w:pPr>
        <w:pStyle w:val="ListParagraph"/>
        <w:numPr>
          <w:ilvl w:val="0"/>
          <w:numId w:val="607"/>
        </w:numPr>
        <w:tabs>
          <w:tab w:pos="1054" w:val="left" w:leader="none"/>
        </w:tabs>
        <w:spacing w:line="249" w:lineRule="exact" w:before="0" w:after="0"/>
        <w:ind w:left="1053" w:right="0" w:hanging="736"/>
        <w:jc w:val="left"/>
        <w:rPr>
          <w:sz w:val="24"/>
        </w:rPr>
      </w:pPr>
      <w:r>
        <w:rPr>
          <w:rFonts w:ascii="Arial" w:hAnsi="Arial"/>
          <w:b/>
          <w:spacing w:val="6"/>
          <w:w w:val="125"/>
          <w:sz w:val="24"/>
        </w:rPr>
        <w:t>§</w:t>
      </w:r>
      <w:r>
        <w:rPr>
          <w:i/>
          <w:spacing w:val="6"/>
          <w:w w:val="125"/>
          <w:position w:val="3"/>
          <w:sz w:val="18"/>
        </w:rPr>
        <w:t>6</w:t>
      </w:r>
      <w:r>
        <w:rPr>
          <w:i/>
          <w:spacing w:val="68"/>
          <w:w w:val="125"/>
          <w:position w:val="3"/>
          <w:sz w:val="18"/>
        </w:rPr>
        <w:t> </w:t>
      </w:r>
      <w:r>
        <w:rPr>
          <w:w w:val="125"/>
          <w:sz w:val="24"/>
        </w:rPr>
        <w:t>A nem természetes személlyel kötött betétszerződésben - a</w:t>
      </w:r>
      <w:r>
        <w:rPr>
          <w:spacing w:val="39"/>
          <w:w w:val="125"/>
          <w:sz w:val="24"/>
        </w:rPr>
        <w:t> </w:t>
      </w:r>
      <w:r>
        <w:rPr>
          <w:w w:val="125"/>
          <w:sz w:val="24"/>
        </w:rPr>
        <w:t>Ptk.</w:t>
      </w:r>
    </w:p>
    <w:p>
      <w:pPr>
        <w:pStyle w:val="BodyText"/>
        <w:spacing w:line="225" w:lineRule="auto" w:before="12"/>
        <w:ind w:right="119" w:firstLine="0"/>
        <w:jc w:val="both"/>
      </w:pPr>
      <w:r>
        <w:rPr>
          <w:w w:val="130"/>
        </w:rPr>
        <w:t>6:390. § (1) bekezdésének rendelkezéseitől eltérően - a betét összege után 0%-os vagy negatív előjelű kamat is kiköthető. Negatív előjelű kamat alkalmazása esetén a visszafizetendő pénzösszeg a negatív előjelű kamatlábnak megfelelő mértékben csökken.</w:t>
      </w:r>
    </w:p>
    <w:p>
      <w:pPr>
        <w:pStyle w:val="ListParagraph"/>
        <w:numPr>
          <w:ilvl w:val="0"/>
          <w:numId w:val="607"/>
        </w:numPr>
        <w:tabs>
          <w:tab w:pos="997" w:val="left" w:leader="none"/>
        </w:tabs>
        <w:spacing w:line="225" w:lineRule="auto" w:before="1" w:after="0"/>
        <w:ind w:left="113" w:right="124" w:firstLine="204"/>
        <w:jc w:val="both"/>
        <w:rPr>
          <w:sz w:val="24"/>
        </w:rPr>
      </w:pPr>
      <w:r>
        <w:rPr>
          <w:rFonts w:ascii="Arial" w:hAnsi="Arial"/>
          <w:b/>
          <w:w w:val="125"/>
          <w:sz w:val="24"/>
        </w:rPr>
        <w:t>§ </w:t>
      </w:r>
      <w:r>
        <w:rPr>
          <w:w w:val="125"/>
          <w:sz w:val="24"/>
        </w:rPr>
        <w:t>(1)</w:t>
      </w:r>
      <w:r>
        <w:rPr>
          <w:i/>
          <w:w w:val="125"/>
          <w:position w:val="3"/>
          <w:sz w:val="18"/>
        </w:rPr>
        <w:t>7 </w:t>
      </w:r>
      <w:r>
        <w:rPr>
          <w:w w:val="125"/>
          <w:sz w:val="24"/>
        </w:rPr>
        <w:t>A hitelintézet csak akkor köthet betétszerződést (szolgáltathat ki betétokiratot), ha a szerződés tartalmazza a 213. § (1) bekezdésében foglalt rendelkezésekre történő</w:t>
      </w:r>
      <w:r>
        <w:rPr>
          <w:spacing w:val="3"/>
          <w:w w:val="125"/>
          <w:sz w:val="24"/>
        </w:rPr>
        <w:t> </w:t>
      </w:r>
      <w:r>
        <w:rPr>
          <w:w w:val="125"/>
          <w:sz w:val="24"/>
        </w:rPr>
        <w:t>figyelemfelhívást.</w:t>
      </w:r>
    </w:p>
    <w:p>
      <w:pPr>
        <w:pStyle w:val="ListParagraph"/>
        <w:numPr>
          <w:ilvl w:val="0"/>
          <w:numId w:val="616"/>
        </w:numPr>
        <w:tabs>
          <w:tab w:pos="752" w:val="left" w:leader="none"/>
        </w:tabs>
        <w:spacing w:line="225" w:lineRule="auto" w:before="2" w:after="0"/>
        <w:ind w:left="113" w:right="126" w:firstLine="204"/>
        <w:jc w:val="both"/>
        <w:rPr>
          <w:sz w:val="24"/>
        </w:rPr>
      </w:pPr>
      <w:r>
        <w:rPr>
          <w:w w:val="125"/>
          <w:sz w:val="24"/>
        </w:rPr>
        <w:t>Ha az OBA-ban tagsággal rendelkező hitelintézet a 14. § (1) bekezdés </w:t>
      </w:r>
      <w:r>
        <w:rPr>
          <w:i/>
          <w:w w:val="125"/>
          <w:sz w:val="24"/>
        </w:rPr>
        <w:t>h) </w:t>
      </w:r>
      <w:r>
        <w:rPr>
          <w:w w:val="125"/>
          <w:sz w:val="24"/>
        </w:rPr>
        <w:t>pontja alapján függő közvetítő útján végez betétügyletet, a függő  közvetítő közli azt is, hogy melyik hitelintézet megbízásából történik a betét</w:t>
      </w:r>
      <w:r>
        <w:rPr>
          <w:spacing w:val="2"/>
          <w:w w:val="125"/>
          <w:sz w:val="24"/>
        </w:rPr>
        <w:t> </w:t>
      </w:r>
      <w:r>
        <w:rPr>
          <w:w w:val="125"/>
          <w:sz w:val="24"/>
        </w:rPr>
        <w:t>elfogadása.</w:t>
      </w:r>
    </w:p>
    <w:p>
      <w:pPr>
        <w:pStyle w:val="BodyText"/>
        <w:ind w:left="0" w:firstLine="0"/>
        <w:rPr>
          <w:sz w:val="20"/>
        </w:rPr>
      </w:pPr>
    </w:p>
    <w:p>
      <w:pPr>
        <w:pStyle w:val="BodyText"/>
        <w:spacing w:before="6"/>
        <w:ind w:left="0" w:firstLine="0"/>
        <w:rPr>
          <w:sz w:val="16"/>
        </w:rPr>
      </w:pPr>
      <w:r>
        <w:rPr/>
        <w:pict>
          <v:line style="position:absolute;mso-position-horizontal-relative:page;mso-position-vertical-relative:paragraph;z-index:2672;mso-wrap-distance-left:0;mso-wrap-distance-right:0" from="56.693001pt,11.704929pt" to="538.583001pt,11.704929pt" stroked="true" strokeweight=".5pt" strokecolor="#000000">
            <v:stroke dashstyle="solid"/>
            <w10:wrap type="topAndBottom"/>
          </v:line>
        </w:pict>
      </w:r>
    </w:p>
    <w:p>
      <w:pPr>
        <w:pStyle w:val="ListParagraph"/>
        <w:numPr>
          <w:ilvl w:val="0"/>
          <w:numId w:val="617"/>
        </w:numPr>
        <w:tabs>
          <w:tab w:pos="686" w:val="left" w:leader="none"/>
          <w:tab w:pos="687" w:val="left" w:leader="none"/>
        </w:tabs>
        <w:spacing w:line="203" w:lineRule="exact" w:before="44" w:after="0"/>
        <w:ind w:left="686" w:right="0" w:hanging="344"/>
        <w:jc w:val="left"/>
        <w:rPr>
          <w:i/>
          <w:sz w:val="18"/>
        </w:rPr>
      </w:pPr>
      <w:r>
        <w:rPr>
          <w:i/>
          <w:w w:val="125"/>
          <w:sz w:val="18"/>
        </w:rPr>
        <w:t>Megállapította: 2018. évi CXXVI. törvény 118. § (1). Hatályos: 2019. III.</w:t>
      </w:r>
      <w:r>
        <w:rPr>
          <w:i/>
          <w:spacing w:val="-29"/>
          <w:w w:val="125"/>
          <w:sz w:val="18"/>
        </w:rPr>
        <w:t> </w:t>
      </w:r>
      <w:r>
        <w:rPr>
          <w:i/>
          <w:w w:val="125"/>
          <w:sz w:val="18"/>
        </w:rPr>
        <w:t>31-től.</w:t>
      </w:r>
    </w:p>
    <w:p>
      <w:pPr>
        <w:pStyle w:val="ListParagraph"/>
        <w:numPr>
          <w:ilvl w:val="0"/>
          <w:numId w:val="61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2018.</w:t>
      </w:r>
      <w:r>
        <w:rPr>
          <w:i/>
          <w:spacing w:val="8"/>
          <w:w w:val="120"/>
          <w:sz w:val="18"/>
        </w:rPr>
        <w:t> </w:t>
      </w:r>
      <w:r>
        <w:rPr>
          <w:i/>
          <w:w w:val="120"/>
          <w:sz w:val="18"/>
        </w:rPr>
        <w:t>évi</w:t>
      </w:r>
      <w:r>
        <w:rPr>
          <w:i/>
          <w:spacing w:val="8"/>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e).</w:t>
      </w:r>
      <w:r>
        <w:rPr>
          <w:i/>
          <w:spacing w:val="8"/>
          <w:w w:val="120"/>
          <w:sz w:val="18"/>
        </w:rPr>
        <w:t> </w:t>
      </w:r>
      <w:r>
        <w:rPr>
          <w:i/>
          <w:w w:val="120"/>
          <w:sz w:val="18"/>
        </w:rPr>
        <w:t>Hatálytalan:</w:t>
      </w:r>
      <w:r>
        <w:rPr>
          <w:i/>
          <w:spacing w:val="9"/>
          <w:w w:val="120"/>
          <w:sz w:val="18"/>
        </w:rPr>
        <w:t> </w:t>
      </w:r>
      <w:r>
        <w:rPr>
          <w:i/>
          <w:w w:val="120"/>
          <w:sz w:val="18"/>
        </w:rPr>
        <w:t>2019.</w:t>
      </w:r>
      <w:r>
        <w:rPr>
          <w:i/>
          <w:spacing w:val="8"/>
          <w:w w:val="120"/>
          <w:sz w:val="18"/>
        </w:rPr>
        <w:t> </w:t>
      </w:r>
      <w:r>
        <w:rPr>
          <w:i/>
          <w:w w:val="120"/>
          <w:sz w:val="18"/>
        </w:rPr>
        <w:t>III.</w:t>
      </w:r>
      <w:r>
        <w:rPr>
          <w:i/>
          <w:spacing w:val="9"/>
          <w:w w:val="120"/>
          <w:sz w:val="18"/>
        </w:rPr>
        <w:t> </w:t>
      </w:r>
      <w:r>
        <w:rPr>
          <w:i/>
          <w:w w:val="120"/>
          <w:sz w:val="18"/>
        </w:rPr>
        <w:t>31-től.</w:t>
      </w:r>
    </w:p>
    <w:p>
      <w:pPr>
        <w:pStyle w:val="ListParagraph"/>
        <w:numPr>
          <w:ilvl w:val="0"/>
          <w:numId w:val="617"/>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CXXVI. törvény 118. § (2). Hatályos: 2019. III.</w:t>
      </w:r>
      <w:r>
        <w:rPr>
          <w:i/>
          <w:spacing w:val="-29"/>
          <w:w w:val="125"/>
          <w:sz w:val="18"/>
        </w:rPr>
        <w:t> </w:t>
      </w:r>
      <w:r>
        <w:rPr>
          <w:i/>
          <w:w w:val="125"/>
          <w:sz w:val="18"/>
        </w:rPr>
        <w:t>31-től.</w:t>
      </w:r>
    </w:p>
    <w:p>
      <w:pPr>
        <w:pStyle w:val="ListParagraph"/>
        <w:numPr>
          <w:ilvl w:val="0"/>
          <w:numId w:val="617"/>
        </w:numPr>
        <w:tabs>
          <w:tab w:pos="686" w:val="left" w:leader="none"/>
          <w:tab w:pos="687" w:val="left" w:leader="none"/>
        </w:tabs>
        <w:spacing w:line="232" w:lineRule="auto" w:before="2" w:after="0"/>
        <w:ind w:left="342" w:right="1116" w:firstLine="0"/>
        <w:jc w:val="left"/>
        <w:rPr>
          <w:i/>
          <w:sz w:val="18"/>
        </w:rPr>
      </w:pPr>
      <w:r>
        <w:rPr>
          <w:i/>
          <w:w w:val="120"/>
          <w:sz w:val="18"/>
        </w:rPr>
        <w:t>Hatályon kívül helyezte: 2014. évi LXXVIII. törvény 18. § (1). Hatálytalan: 2015. II. 1-től.    5</w:t>
        <w:tab/>
        <w:t>Módosította: 2017. évi LXIX. törvény 178. § f), 179.</w:t>
      </w:r>
      <w:r>
        <w:rPr>
          <w:i/>
          <w:spacing w:val="36"/>
          <w:w w:val="120"/>
          <w:sz w:val="18"/>
        </w:rPr>
        <w:t> </w:t>
      </w:r>
      <w:r>
        <w:rPr>
          <w:i/>
          <w:w w:val="120"/>
          <w:sz w:val="18"/>
        </w:rPr>
        <w:t>§.</w:t>
      </w:r>
    </w:p>
    <w:p>
      <w:pPr>
        <w:pStyle w:val="ListParagraph"/>
        <w:numPr>
          <w:ilvl w:val="0"/>
          <w:numId w:val="618"/>
        </w:numPr>
        <w:tabs>
          <w:tab w:pos="686" w:val="left" w:leader="none"/>
          <w:tab w:pos="687" w:val="left" w:leader="none"/>
        </w:tabs>
        <w:spacing w:line="197" w:lineRule="exact" w:before="0" w:after="0"/>
        <w:ind w:left="686" w:right="0" w:hanging="344"/>
        <w:jc w:val="left"/>
        <w:rPr>
          <w:i/>
          <w:sz w:val="18"/>
        </w:rPr>
      </w:pPr>
      <w:r>
        <w:rPr>
          <w:i/>
          <w:w w:val="125"/>
          <w:sz w:val="18"/>
        </w:rPr>
        <w:t>Megállapította: 2015. évi II. törvény 3. § (1). Hatályos: 2015. II.</w:t>
      </w:r>
      <w:r>
        <w:rPr>
          <w:i/>
          <w:spacing w:val="-15"/>
          <w:w w:val="125"/>
          <w:sz w:val="18"/>
        </w:rPr>
        <w:t> </w:t>
      </w:r>
      <w:r>
        <w:rPr>
          <w:i/>
          <w:w w:val="125"/>
          <w:sz w:val="18"/>
        </w:rPr>
        <w:t>28-tól.</w:t>
      </w:r>
    </w:p>
    <w:p>
      <w:pPr>
        <w:pStyle w:val="ListParagraph"/>
        <w:numPr>
          <w:ilvl w:val="0"/>
          <w:numId w:val="618"/>
        </w:numPr>
        <w:tabs>
          <w:tab w:pos="686" w:val="left" w:leader="none"/>
          <w:tab w:pos="687" w:val="left" w:leader="none"/>
        </w:tabs>
        <w:spacing w:line="203" w:lineRule="exact" w:before="0" w:after="0"/>
        <w:ind w:left="686" w:right="0" w:hanging="344"/>
        <w:jc w:val="left"/>
        <w:rPr>
          <w:i/>
          <w:sz w:val="18"/>
        </w:rPr>
      </w:pPr>
      <w:r>
        <w:rPr>
          <w:i/>
          <w:w w:val="125"/>
          <w:sz w:val="18"/>
        </w:rPr>
        <w:t>Megállapította: 2015. évi LXXXV. törvény 232. §. Hatályos: 2015. VII.</w:t>
      </w:r>
      <w:r>
        <w:rPr>
          <w:i/>
          <w:spacing w:val="-23"/>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ListParagraph"/>
        <w:numPr>
          <w:ilvl w:val="0"/>
          <w:numId w:val="616"/>
        </w:numPr>
        <w:tabs>
          <w:tab w:pos="796" w:val="left" w:leader="none"/>
        </w:tabs>
        <w:spacing w:line="225" w:lineRule="auto" w:before="173" w:after="0"/>
        <w:ind w:left="113" w:right="129" w:firstLine="204"/>
        <w:jc w:val="both"/>
        <w:rPr>
          <w:sz w:val="24"/>
        </w:rPr>
      </w:pPr>
      <w:r>
        <w:rPr>
          <w:w w:val="125"/>
          <w:sz w:val="24"/>
        </w:rPr>
        <w:t>Az értékpapírszerű formában kiállított betétokiraton feltűnően fel kell tüntetni, hogy az alapjául szolgáló szerződés betétszerződés vagy takarékbetét szerződés.</w:t>
      </w:r>
    </w:p>
    <w:p>
      <w:pPr>
        <w:pStyle w:val="ListParagraph"/>
        <w:numPr>
          <w:ilvl w:val="0"/>
          <w:numId w:val="607"/>
        </w:numPr>
        <w:tabs>
          <w:tab w:pos="1030" w:val="left" w:leader="none"/>
        </w:tabs>
        <w:spacing w:line="225" w:lineRule="auto" w:before="0" w:after="0"/>
        <w:ind w:left="113" w:right="126" w:firstLine="204"/>
        <w:jc w:val="both"/>
        <w:rPr>
          <w:sz w:val="24"/>
        </w:rPr>
      </w:pPr>
      <w:r>
        <w:rPr>
          <w:rFonts w:ascii="Arial" w:hAnsi="Arial"/>
          <w:b/>
          <w:w w:val="125"/>
          <w:sz w:val="24"/>
        </w:rPr>
        <w:t>§ </w:t>
      </w:r>
      <w:r>
        <w:rPr>
          <w:w w:val="125"/>
          <w:sz w:val="24"/>
        </w:rPr>
        <w:t>A 212. § (4) bekezdésben meghatározott betétekből a kifizetéseket minden esetben a legrégebben befizetett összegből kell</w:t>
      </w:r>
      <w:r>
        <w:rPr>
          <w:spacing w:val="42"/>
          <w:w w:val="125"/>
          <w:sz w:val="24"/>
        </w:rPr>
        <w:t> </w:t>
      </w:r>
      <w:r>
        <w:rPr>
          <w:w w:val="125"/>
          <w:sz w:val="24"/>
        </w:rPr>
        <w:t>teljesíteni.</w:t>
      </w:r>
    </w:p>
    <w:p>
      <w:pPr>
        <w:pStyle w:val="BodyText"/>
        <w:tabs>
          <w:tab w:pos="1415" w:val="left" w:leader="none"/>
          <w:tab w:pos="1898" w:val="left" w:leader="none"/>
          <w:tab w:pos="2471" w:val="left" w:leader="none"/>
          <w:tab w:pos="3936" w:val="left" w:leader="none"/>
          <w:tab w:pos="5075" w:val="left" w:leader="none"/>
          <w:tab w:pos="6181" w:val="left" w:leader="none"/>
          <w:tab w:pos="7351" w:val="left" w:leader="none"/>
          <w:tab w:pos="8369" w:val="left" w:leader="none"/>
        </w:tabs>
        <w:spacing w:line="250" w:lineRule="exact"/>
        <w:ind w:left="317" w:firstLine="0"/>
      </w:pPr>
      <w:r>
        <w:rPr>
          <w:rFonts w:ascii="Arial" w:hAnsi="Arial"/>
          <w:b/>
          <w:w w:val="125"/>
        </w:rPr>
        <w:t>282/A.</w:t>
        <w:tab/>
        <w:t>§</w:t>
      </w:r>
      <w:r>
        <w:rPr>
          <w:i/>
          <w:w w:val="125"/>
          <w:position w:val="3"/>
          <w:sz w:val="18"/>
        </w:rPr>
        <w:t>1</w:t>
        <w:tab/>
      </w:r>
      <w:r>
        <w:rPr>
          <w:w w:val="125"/>
        </w:rPr>
        <w:t>(1)</w:t>
        <w:tab/>
        <w:t>Fogyasztó</w:t>
        <w:tab/>
        <w:t>részére</w:t>
        <w:tab/>
        <w:t>fizetési</w:t>
        <w:tab/>
        <w:t>számlát</w:t>
        <w:tab/>
        <w:t>vezető</w:t>
        <w:tab/>
        <w:t>hitelintézet</w:t>
      </w:r>
    </w:p>
    <w:p>
      <w:pPr>
        <w:pStyle w:val="BodyText"/>
        <w:spacing w:line="225" w:lineRule="auto" w:before="12"/>
        <w:ind w:right="125" w:firstLine="0"/>
        <w:jc w:val="both"/>
      </w:pPr>
      <w:r>
        <w:rPr>
          <w:w w:val="130"/>
        </w:rPr>
        <w:t>EGT-államban tartózkodásra jogosult fogyasztóval szemben állampolgárság vagy tartózkodási hely alapján nem alkalmazhat megkülönböztetést a fizetési számla-szerződés megkötése és vezetése tekintetében.</w:t>
      </w:r>
    </w:p>
    <w:p>
      <w:pPr>
        <w:pStyle w:val="BodyText"/>
        <w:spacing w:line="225" w:lineRule="auto" w:before="2"/>
        <w:ind w:right="126"/>
        <w:jc w:val="both"/>
      </w:pPr>
      <w:r>
        <w:rPr>
          <w:w w:val="130"/>
        </w:rPr>
        <w:t>(2) Fogyasztó részére fizetési számlát vezető hitelintézet jogszabályban meghatározott feltételek teljesülése esetén köteles a fogyasztó kérésére alapszintű szolgáltatásokat biztosító fizetési számlaként alapszámlát vezetni.</w:t>
      </w:r>
    </w:p>
    <w:p>
      <w:pPr>
        <w:pStyle w:val="BodyText"/>
        <w:tabs>
          <w:tab w:pos="1511" w:val="left" w:leader="none"/>
          <w:tab w:pos="2074" w:val="left" w:leader="none"/>
          <w:tab w:pos="3623" w:val="left" w:leader="none"/>
          <w:tab w:pos="4836" w:val="left" w:leader="none"/>
          <w:tab w:pos="6022" w:val="left" w:leader="none"/>
          <w:tab w:pos="7271" w:val="left" w:leader="none"/>
          <w:tab w:pos="8369" w:val="left" w:leader="none"/>
        </w:tabs>
        <w:spacing w:line="249" w:lineRule="exact"/>
        <w:ind w:left="317" w:firstLine="0"/>
      </w:pPr>
      <w:r>
        <w:rPr>
          <w:rFonts w:ascii="Arial" w:hAnsi="Arial"/>
          <w:b/>
          <w:w w:val="125"/>
        </w:rPr>
        <w:t>282/B.</w:t>
        <w:tab/>
        <w:t>§</w:t>
      </w:r>
      <w:r>
        <w:rPr>
          <w:i/>
          <w:w w:val="125"/>
          <w:position w:val="3"/>
          <w:sz w:val="18"/>
        </w:rPr>
        <w:t>2</w:t>
        <w:tab/>
      </w:r>
      <w:r>
        <w:rPr>
          <w:w w:val="125"/>
        </w:rPr>
        <w:t>Fogyasztó</w:t>
        <w:tab/>
        <w:t>részére</w:t>
        <w:tab/>
        <w:t>fizetési</w:t>
        <w:tab/>
        <w:t>számlát</w:t>
        <w:tab/>
        <w:t>vezető</w:t>
        <w:tab/>
        <w:t>hitelintézet</w:t>
      </w:r>
    </w:p>
    <w:p>
      <w:pPr>
        <w:pStyle w:val="BodyText"/>
        <w:spacing w:line="225" w:lineRule="auto" w:before="12"/>
        <w:ind w:right="122" w:firstLine="0"/>
        <w:jc w:val="both"/>
      </w:pPr>
      <w:r>
        <w:rPr>
          <w:w w:val="130"/>
        </w:rPr>
        <w:t>jogszabályban meghatározott szociális feltételek teljesülése esetén köteles a fogyasztó</w:t>
      </w:r>
      <w:r>
        <w:rPr>
          <w:spacing w:val="-19"/>
          <w:w w:val="130"/>
        </w:rPr>
        <w:t> </w:t>
      </w:r>
      <w:r>
        <w:rPr>
          <w:w w:val="130"/>
        </w:rPr>
        <w:t>részére</w:t>
      </w:r>
      <w:r>
        <w:rPr>
          <w:spacing w:val="-8"/>
          <w:w w:val="130"/>
        </w:rPr>
        <w:t> </w:t>
      </w:r>
      <w:r>
        <w:rPr>
          <w:w w:val="130"/>
        </w:rPr>
        <w:t>a</w:t>
      </w:r>
      <w:r>
        <w:rPr>
          <w:spacing w:val="-28"/>
          <w:w w:val="130"/>
        </w:rPr>
        <w:t> </w:t>
      </w:r>
      <w:r>
        <w:rPr>
          <w:w w:val="130"/>
        </w:rPr>
        <w:t>jogszabályban</w:t>
      </w:r>
      <w:r>
        <w:rPr>
          <w:spacing w:val="-18"/>
          <w:w w:val="130"/>
        </w:rPr>
        <w:t> </w:t>
      </w:r>
      <w:r>
        <w:rPr>
          <w:w w:val="130"/>
        </w:rPr>
        <w:t>meghatározott</w:t>
      </w:r>
      <w:r>
        <w:rPr>
          <w:spacing w:val="-19"/>
          <w:w w:val="130"/>
        </w:rPr>
        <w:t> </w:t>
      </w:r>
      <w:r>
        <w:rPr>
          <w:w w:val="130"/>
        </w:rPr>
        <w:t>díj</w:t>
      </w:r>
      <w:r>
        <w:rPr>
          <w:spacing w:val="-18"/>
          <w:w w:val="130"/>
        </w:rPr>
        <w:t> </w:t>
      </w:r>
      <w:r>
        <w:rPr>
          <w:w w:val="130"/>
        </w:rPr>
        <w:t>és</w:t>
      </w:r>
      <w:r>
        <w:rPr>
          <w:spacing w:val="-19"/>
          <w:w w:val="130"/>
        </w:rPr>
        <w:t> </w:t>
      </w:r>
      <w:r>
        <w:rPr>
          <w:w w:val="130"/>
        </w:rPr>
        <w:t>költség</w:t>
      </w:r>
      <w:r>
        <w:rPr>
          <w:spacing w:val="-16"/>
          <w:w w:val="130"/>
        </w:rPr>
        <w:t> </w:t>
      </w:r>
      <w:r>
        <w:rPr>
          <w:w w:val="130"/>
        </w:rPr>
        <w:t>mellett</w:t>
      </w:r>
      <w:r>
        <w:rPr>
          <w:spacing w:val="-18"/>
          <w:w w:val="130"/>
        </w:rPr>
        <w:t> </w:t>
      </w:r>
      <w:r>
        <w:rPr>
          <w:w w:val="130"/>
        </w:rPr>
        <w:t>fizetési számlaként szociális számlát</w:t>
      </w:r>
      <w:r>
        <w:rPr>
          <w:spacing w:val="-13"/>
          <w:w w:val="130"/>
        </w:rPr>
        <w:t> </w:t>
      </w:r>
      <w:r>
        <w:rPr>
          <w:w w:val="130"/>
        </w:rPr>
        <w:t>vezetni.</w:t>
      </w:r>
    </w:p>
    <w:p>
      <w:pPr>
        <w:pStyle w:val="BodyText"/>
        <w:spacing w:line="225" w:lineRule="auto" w:before="242"/>
        <w:ind w:left="4077" w:hanging="3232"/>
        <w:rPr>
          <w:i/>
          <w:sz w:val="18"/>
        </w:rPr>
      </w:pPr>
      <w:r>
        <w:rPr>
          <w:w w:val="125"/>
        </w:rPr>
        <w:t>122. Pénzügyi szolgáltatásokhoz történő egyenlő esélyű hozzáférés előmozdítása</w:t>
      </w:r>
      <w:r>
        <w:rPr>
          <w:i/>
          <w:w w:val="125"/>
          <w:position w:val="3"/>
          <w:sz w:val="18"/>
        </w:rPr>
        <w:t>3</w:t>
      </w:r>
    </w:p>
    <w:p>
      <w:pPr>
        <w:pStyle w:val="BodyText"/>
        <w:spacing w:before="11"/>
        <w:ind w:left="0" w:firstLine="0"/>
        <w:rPr>
          <w:i/>
          <w:sz w:val="10"/>
        </w:rPr>
      </w:pPr>
    </w:p>
    <w:p>
      <w:pPr>
        <w:pStyle w:val="ListParagraph"/>
        <w:numPr>
          <w:ilvl w:val="0"/>
          <w:numId w:val="607"/>
        </w:numPr>
        <w:tabs>
          <w:tab w:pos="1122" w:val="left" w:leader="none"/>
          <w:tab w:pos="1123" w:val="left" w:leader="none"/>
          <w:tab w:pos="1584" w:val="left" w:leader="none"/>
          <w:tab w:pos="1971" w:val="left" w:leader="none"/>
          <w:tab w:pos="3566" w:val="left" w:leader="none"/>
          <w:tab w:pos="4720" w:val="left" w:leader="none"/>
          <w:tab w:pos="7024" w:val="left" w:leader="none"/>
          <w:tab w:pos="8122" w:val="left" w:leader="none"/>
          <w:tab w:pos="9486" w:val="left" w:leader="none"/>
        </w:tabs>
        <w:spacing w:line="262" w:lineRule="exact" w:before="100" w:after="0"/>
        <w:ind w:left="1122" w:right="0" w:hanging="805"/>
        <w:jc w:val="left"/>
        <w:rPr>
          <w:sz w:val="24"/>
        </w:rPr>
      </w:pPr>
      <w:r>
        <w:rPr>
          <w:rFonts w:ascii="Arial" w:hAnsi="Arial"/>
          <w:b/>
          <w:w w:val="120"/>
          <w:sz w:val="24"/>
        </w:rPr>
        <w:t>§</w:t>
      </w:r>
      <w:r>
        <w:rPr>
          <w:i/>
          <w:w w:val="120"/>
          <w:position w:val="3"/>
          <w:sz w:val="18"/>
        </w:rPr>
        <w:t>4</w:t>
        <w:tab/>
      </w:r>
      <w:r>
        <w:rPr>
          <w:w w:val="120"/>
          <w:sz w:val="24"/>
        </w:rPr>
        <w:t>A</w:t>
        <w:tab/>
        <w:t>hitelintézet</w:t>
        <w:tab/>
        <w:t>mérete,</w:t>
        <w:tab/>
        <w:t>tevékenységének</w:t>
        <w:tab/>
        <w:t>jellege,</w:t>
        <w:tab/>
        <w:t>nagysága</w:t>
        <w:tab/>
        <w:t>és</w:t>
      </w:r>
    </w:p>
    <w:p>
      <w:pPr>
        <w:pStyle w:val="BodyText"/>
        <w:spacing w:line="225" w:lineRule="auto" w:before="12"/>
        <w:ind w:right="125" w:firstLine="0"/>
        <w:jc w:val="both"/>
      </w:pPr>
      <w:r>
        <w:rPr>
          <w:w w:val="130"/>
        </w:rPr>
        <w:t>összetettsége arányában az irányítási jogkörrel rendelkező vezető testület által elfogadott stratégiával rendelkezik az általa nyújtott pénzügyi szolgáltatási szerződések fogyatékos személyek általi egyenlő esélyű hozzáférés lehetőségének elősegítéséhez. Az irányítási jogkörrel rendelkező vezető testület az elfogadott stratégiát legalább kétévente felülvizsgálja.</w:t>
      </w:r>
    </w:p>
    <w:p>
      <w:pPr>
        <w:pStyle w:val="Heading1"/>
        <w:spacing w:line="264" w:lineRule="exact"/>
        <w:rPr>
          <w:rFonts w:ascii="Times New Roman" w:hAnsi="Times New Roman"/>
          <w:b w:val="0"/>
          <w:i/>
          <w:sz w:val="18"/>
        </w:rPr>
      </w:pPr>
      <w:r>
        <w:rPr>
          <w:w w:val="120"/>
        </w:rPr>
        <w:t>284. §</w:t>
      </w:r>
      <w:r>
        <w:rPr>
          <w:rFonts w:ascii="Times New Roman" w:hAnsi="Times New Roman"/>
          <w:b w:val="0"/>
          <w:i/>
          <w:w w:val="120"/>
          <w:position w:val="3"/>
          <w:sz w:val="18"/>
        </w:rPr>
        <w:t>5</w:t>
      </w:r>
    </w:p>
    <w:p>
      <w:pPr>
        <w:pStyle w:val="BodyText"/>
        <w:ind w:left="0" w:firstLine="0"/>
        <w:rPr>
          <w:i/>
          <w:sz w:val="11"/>
        </w:rPr>
      </w:pPr>
    </w:p>
    <w:p>
      <w:pPr>
        <w:spacing w:after="0"/>
        <w:rPr>
          <w:sz w:val="11"/>
        </w:rPr>
        <w:sectPr>
          <w:pgSz w:w="11900" w:h="16820"/>
          <w:pgMar w:header="1104" w:footer="0" w:top="1840" w:bottom="280" w:left="1020" w:right="1000"/>
        </w:sectPr>
      </w:pPr>
    </w:p>
    <w:p>
      <w:pPr>
        <w:pStyle w:val="BodyText"/>
        <w:ind w:left="0" w:firstLine="0"/>
        <w:rPr>
          <w:i/>
          <w:sz w:val="28"/>
        </w:rPr>
      </w:pPr>
    </w:p>
    <w:p>
      <w:pPr>
        <w:pStyle w:val="BodyText"/>
        <w:ind w:left="0" w:firstLine="0"/>
        <w:rPr>
          <w:i/>
        </w:rPr>
      </w:pPr>
    </w:p>
    <w:p>
      <w:pPr>
        <w:spacing w:line="262" w:lineRule="exact" w:before="0"/>
        <w:ind w:left="317" w:right="0" w:firstLine="0"/>
        <w:jc w:val="left"/>
        <w:rPr>
          <w:i/>
          <w:sz w:val="18"/>
        </w:rPr>
      </w:pPr>
      <w:r>
        <w:rPr>
          <w:rFonts w:ascii="Arial" w:hAnsi="Arial"/>
          <w:b/>
          <w:w w:val="120"/>
          <w:sz w:val="24"/>
        </w:rPr>
        <w:t>285. §</w:t>
      </w:r>
      <w:r>
        <w:rPr>
          <w:i/>
          <w:w w:val="120"/>
          <w:position w:val="3"/>
          <w:sz w:val="18"/>
        </w:rPr>
        <w:t>6</w:t>
      </w:r>
    </w:p>
    <w:p>
      <w:pPr>
        <w:pStyle w:val="BodyText"/>
        <w:spacing w:before="99"/>
        <w:ind w:left="487" w:firstLine="0"/>
      </w:pPr>
      <w:r>
        <w:rPr/>
        <w:br w:type="column"/>
      </w:r>
      <w:r>
        <w:rPr>
          <w:w w:val="130"/>
        </w:rPr>
        <w:t>123. Elektronikus pénz kibocsátása és visszaváltása</w:t>
      </w:r>
    </w:p>
    <w:p>
      <w:pPr>
        <w:pStyle w:val="ListParagraph"/>
        <w:numPr>
          <w:ilvl w:val="0"/>
          <w:numId w:val="619"/>
        </w:numPr>
        <w:tabs>
          <w:tab w:pos="502" w:val="left" w:leader="none"/>
        </w:tabs>
        <w:spacing w:line="261" w:lineRule="exact" w:before="224" w:after="0"/>
        <w:ind w:left="502" w:right="0" w:hanging="438"/>
        <w:jc w:val="left"/>
        <w:rPr>
          <w:sz w:val="24"/>
        </w:rPr>
      </w:pPr>
      <w:r>
        <w:rPr>
          <w:w w:val="130"/>
          <w:sz w:val="24"/>
        </w:rPr>
        <w:t>Elektronikus pénzt kibocsátó hitelintézet a tevékenység</w:t>
      </w:r>
      <w:r>
        <w:rPr>
          <w:spacing w:val="-31"/>
          <w:w w:val="130"/>
          <w:sz w:val="24"/>
        </w:rPr>
        <w:t> </w:t>
      </w:r>
      <w:r>
        <w:rPr>
          <w:w w:val="130"/>
          <w:sz w:val="24"/>
        </w:rPr>
        <w:t>végzése</w:t>
      </w:r>
    </w:p>
    <w:p>
      <w:pPr>
        <w:spacing w:after="0" w:line="261" w:lineRule="exact"/>
        <w:jc w:val="left"/>
        <w:rPr>
          <w:sz w:val="24"/>
        </w:rPr>
        <w:sectPr>
          <w:type w:val="continuous"/>
          <w:pgSz w:w="11900" w:h="16820"/>
          <w:pgMar w:top="1840" w:bottom="280" w:left="1020" w:right="1000"/>
          <w:cols w:num="2" w:equalWidth="0">
            <w:col w:w="1247" w:space="40"/>
            <w:col w:w="8593"/>
          </w:cols>
        </w:sectPr>
      </w:pPr>
    </w:p>
    <w:p>
      <w:pPr>
        <w:pStyle w:val="BodyText"/>
        <w:spacing w:line="225" w:lineRule="auto" w:before="12"/>
        <w:ind w:firstLine="0"/>
      </w:pPr>
      <w:r>
        <w:rPr>
          <w:w w:val="125"/>
        </w:rPr>
        <w:t>során alkalmazza az egyes fizetési szolgáltatókról szóló 2013. évi CCXXXV. törvény 66. §-át.</w:t>
      </w:r>
    </w:p>
    <w:p>
      <w:pPr>
        <w:pStyle w:val="ListParagraph"/>
        <w:numPr>
          <w:ilvl w:val="0"/>
          <w:numId w:val="619"/>
        </w:numPr>
        <w:tabs>
          <w:tab w:pos="659" w:val="left" w:leader="none"/>
          <w:tab w:pos="987" w:val="left" w:leader="none"/>
          <w:tab w:pos="1518" w:val="left" w:leader="none"/>
          <w:tab w:pos="3399" w:val="left" w:leader="none"/>
          <w:tab w:pos="4524" w:val="left" w:leader="none"/>
          <w:tab w:pos="6503" w:val="left" w:leader="none"/>
          <w:tab w:pos="7727" w:val="left" w:leader="none"/>
          <w:tab w:pos="9223" w:val="left" w:leader="none"/>
        </w:tabs>
        <w:spacing w:line="249" w:lineRule="exact" w:before="0" w:after="0"/>
        <w:ind w:left="658" w:right="0" w:hanging="341"/>
        <w:jc w:val="left"/>
        <w:rPr>
          <w:sz w:val="24"/>
        </w:rPr>
      </w:pPr>
      <w:r>
        <w:rPr>
          <w:i/>
          <w:w w:val="125"/>
          <w:position w:val="3"/>
          <w:sz w:val="18"/>
        </w:rPr>
        <w:t>7</w:t>
        <w:tab/>
      </w:r>
      <w:r>
        <w:rPr>
          <w:w w:val="125"/>
          <w:sz w:val="24"/>
        </w:rPr>
        <w:t>Az</w:t>
        <w:tab/>
        <w:t>(1) </w:t>
      </w:r>
      <w:r>
        <w:rPr>
          <w:spacing w:val="53"/>
          <w:w w:val="125"/>
          <w:sz w:val="24"/>
        </w:rPr>
        <w:t> </w:t>
      </w:r>
      <w:r>
        <w:rPr>
          <w:w w:val="125"/>
          <w:sz w:val="24"/>
        </w:rPr>
        <w:t>bekezdés</w:t>
        <w:tab/>
        <w:t>szerinti</w:t>
        <w:tab/>
        <w:t>tevékenységre</w:t>
        <w:tab/>
        <w:t>irányuló</w:t>
        <w:tab/>
        <w:t>szerződést</w:t>
        <w:tab/>
        <w:t>nem</w:t>
      </w:r>
    </w:p>
    <w:p>
      <w:pPr>
        <w:pStyle w:val="BodyText"/>
        <w:spacing w:line="225" w:lineRule="auto" w:before="12"/>
        <w:ind w:right="60" w:firstLine="0"/>
      </w:pPr>
      <w:r>
        <w:rPr>
          <w:w w:val="130"/>
        </w:rPr>
        <w:t>szükséges írásban megkötni abban az esetben, ha a kibocsátandó elektronikus pénz összege a Pmt. 15. § (2) bekezdése szerinti összeghatároknak megfelel.</w:t>
      </w:r>
    </w:p>
    <w:p>
      <w:pPr>
        <w:pStyle w:val="BodyText"/>
        <w:spacing w:before="228"/>
        <w:ind w:left="3813" w:firstLine="0"/>
      </w:pPr>
      <w:r>
        <w:rPr>
          <w:w w:val="125"/>
        </w:rPr>
        <w:t>124. Bankszünnap</w:t>
      </w:r>
    </w:p>
    <w:p>
      <w:pPr>
        <w:pStyle w:val="BodyText"/>
        <w:spacing w:line="225" w:lineRule="auto" w:before="236"/>
        <w:ind w:right="128"/>
        <w:jc w:val="both"/>
      </w:pPr>
      <w:r>
        <w:rPr>
          <w:rFonts w:ascii="Arial" w:hAnsi="Arial"/>
          <w:b/>
          <w:w w:val="125"/>
        </w:rPr>
        <w:t>286. § </w:t>
      </w:r>
      <w:r>
        <w:rPr>
          <w:w w:val="125"/>
        </w:rPr>
        <w:t>(1) A hitelintézet évenként legfeljebb két bankszünnapot tarthat. A pénzügyi, kiegészítő pénzügyi szolgáltatás  meghatározott  munkanapon  történő ilyen szüneteltetése</w:t>
      </w:r>
      <w:r>
        <w:rPr>
          <w:spacing w:val="7"/>
          <w:w w:val="125"/>
        </w:rPr>
        <w:t> </w:t>
      </w:r>
      <w:r>
        <w:rPr>
          <w:w w:val="125"/>
        </w:rPr>
        <w:t>kiterjedhet</w:t>
      </w:r>
    </w:p>
    <w:p>
      <w:pPr>
        <w:pStyle w:val="ListParagraph"/>
        <w:numPr>
          <w:ilvl w:val="0"/>
          <w:numId w:val="620"/>
        </w:numPr>
        <w:tabs>
          <w:tab w:pos="631" w:val="left" w:leader="none"/>
        </w:tabs>
        <w:spacing w:line="256" w:lineRule="exact" w:before="0" w:after="0"/>
        <w:ind w:left="630" w:right="0" w:hanging="313"/>
        <w:jc w:val="left"/>
        <w:rPr>
          <w:sz w:val="24"/>
        </w:rPr>
      </w:pPr>
      <w:r>
        <w:rPr>
          <w:w w:val="125"/>
          <w:sz w:val="24"/>
        </w:rPr>
        <w:t>a könyvelésre (könyvelési szünnap),</w:t>
      </w:r>
    </w:p>
    <w:p>
      <w:pPr>
        <w:pStyle w:val="ListParagraph"/>
        <w:numPr>
          <w:ilvl w:val="0"/>
          <w:numId w:val="620"/>
        </w:numPr>
        <w:tabs>
          <w:tab w:pos="653" w:val="left" w:leader="none"/>
        </w:tabs>
        <w:spacing w:line="260" w:lineRule="exact" w:before="0" w:after="0"/>
        <w:ind w:left="652" w:right="0" w:hanging="335"/>
        <w:jc w:val="left"/>
        <w:rPr>
          <w:sz w:val="24"/>
        </w:rPr>
      </w:pPr>
      <w:r>
        <w:rPr>
          <w:w w:val="130"/>
          <w:sz w:val="24"/>
        </w:rPr>
        <w:t>a pénztári szolgálatra (pénztári szünnap),</w:t>
      </w:r>
      <w:r>
        <w:rPr>
          <w:spacing w:val="-33"/>
          <w:w w:val="130"/>
          <w:sz w:val="24"/>
        </w:rPr>
        <w:t> </w:t>
      </w:r>
      <w:r>
        <w:rPr>
          <w:w w:val="130"/>
          <w:sz w:val="24"/>
        </w:rPr>
        <w:t>vagy</w:t>
      </w:r>
    </w:p>
    <w:p>
      <w:pPr>
        <w:pStyle w:val="ListParagraph"/>
        <w:numPr>
          <w:ilvl w:val="0"/>
          <w:numId w:val="620"/>
        </w:numPr>
        <w:tabs>
          <w:tab w:pos="623" w:val="left" w:leader="none"/>
        </w:tabs>
        <w:spacing w:line="268" w:lineRule="exact" w:before="0" w:after="0"/>
        <w:ind w:left="622" w:right="0" w:hanging="305"/>
        <w:jc w:val="left"/>
        <w:rPr>
          <w:sz w:val="24"/>
        </w:rPr>
      </w:pPr>
      <w:r>
        <w:rPr>
          <w:w w:val="130"/>
          <w:sz w:val="24"/>
        </w:rPr>
        <w:t>a</w:t>
      </w:r>
      <w:r>
        <w:rPr>
          <w:spacing w:val="-8"/>
          <w:w w:val="130"/>
          <w:sz w:val="24"/>
        </w:rPr>
        <w:t> </w:t>
      </w:r>
      <w:r>
        <w:rPr>
          <w:w w:val="130"/>
          <w:sz w:val="24"/>
        </w:rPr>
        <w:t>könyvelésre</w:t>
      </w:r>
      <w:r>
        <w:rPr>
          <w:spacing w:val="-24"/>
          <w:w w:val="130"/>
          <w:sz w:val="24"/>
        </w:rPr>
        <w:t> </w:t>
      </w:r>
      <w:r>
        <w:rPr>
          <w:w w:val="130"/>
          <w:sz w:val="24"/>
        </w:rPr>
        <w:t>és</w:t>
      </w:r>
      <w:r>
        <w:rPr>
          <w:spacing w:val="-16"/>
          <w:w w:val="130"/>
          <w:sz w:val="24"/>
        </w:rPr>
        <w:t> </w:t>
      </w:r>
      <w:r>
        <w:rPr>
          <w:w w:val="130"/>
          <w:sz w:val="24"/>
        </w:rPr>
        <w:t>a</w:t>
      </w:r>
      <w:r>
        <w:rPr>
          <w:spacing w:val="-17"/>
          <w:w w:val="130"/>
          <w:sz w:val="24"/>
        </w:rPr>
        <w:t> </w:t>
      </w:r>
      <w:r>
        <w:rPr>
          <w:w w:val="130"/>
          <w:sz w:val="24"/>
        </w:rPr>
        <w:t>pénztári</w:t>
      </w:r>
      <w:r>
        <w:rPr>
          <w:spacing w:val="-15"/>
          <w:w w:val="130"/>
          <w:sz w:val="24"/>
        </w:rPr>
        <w:t> </w:t>
      </w:r>
      <w:r>
        <w:rPr>
          <w:w w:val="130"/>
          <w:sz w:val="24"/>
        </w:rPr>
        <w:t>szolgálatra</w:t>
      </w:r>
      <w:r>
        <w:rPr>
          <w:spacing w:val="-15"/>
          <w:w w:val="130"/>
          <w:sz w:val="24"/>
        </w:rPr>
        <w:t> </w:t>
      </w:r>
      <w:r>
        <w:rPr>
          <w:w w:val="130"/>
          <w:sz w:val="24"/>
        </w:rPr>
        <w:t>(könyvelési</w:t>
      </w:r>
      <w:r>
        <w:rPr>
          <w:spacing w:val="-16"/>
          <w:w w:val="130"/>
          <w:sz w:val="24"/>
        </w:rPr>
        <w:t> </w:t>
      </w:r>
      <w:r>
        <w:rPr>
          <w:w w:val="130"/>
          <w:sz w:val="24"/>
        </w:rPr>
        <w:t>és</w:t>
      </w:r>
      <w:r>
        <w:rPr>
          <w:spacing w:val="-16"/>
          <w:w w:val="130"/>
          <w:sz w:val="24"/>
        </w:rPr>
        <w:t> </w:t>
      </w:r>
      <w:r>
        <w:rPr>
          <w:w w:val="130"/>
          <w:sz w:val="24"/>
        </w:rPr>
        <w:t>pénztári</w:t>
      </w:r>
      <w:r>
        <w:rPr>
          <w:spacing w:val="-13"/>
          <w:w w:val="130"/>
          <w:sz w:val="24"/>
        </w:rPr>
        <w:t> </w:t>
      </w:r>
      <w:r>
        <w:rPr>
          <w:w w:val="130"/>
          <w:sz w:val="24"/>
        </w:rPr>
        <w:t>szünnap).</w:t>
      </w:r>
    </w:p>
    <w:p>
      <w:pPr>
        <w:pStyle w:val="BodyText"/>
        <w:ind w:left="0" w:firstLine="0"/>
        <w:rPr>
          <w:sz w:val="20"/>
        </w:rPr>
      </w:pPr>
    </w:p>
    <w:p>
      <w:pPr>
        <w:pStyle w:val="BodyText"/>
        <w:spacing w:before="6"/>
        <w:ind w:left="0" w:firstLine="0"/>
        <w:rPr>
          <w:sz w:val="26"/>
        </w:rPr>
      </w:pPr>
      <w:r>
        <w:rPr/>
        <w:pict>
          <v:line style="position:absolute;mso-position-horizontal-relative:page;mso-position-vertical-relative:paragraph;z-index:2696;mso-wrap-distance-left:0;mso-wrap-distance-right:0" from="56.693001pt,17.496649pt" to="538.583001pt,17.496649pt" stroked="true" strokeweight=".5pt" strokecolor="#000000">
            <v:stroke dashstyle="solid"/>
            <w10:wrap type="topAndBottom"/>
          </v:line>
        </w:pict>
      </w:r>
    </w:p>
    <w:p>
      <w:pPr>
        <w:pStyle w:val="ListParagraph"/>
        <w:numPr>
          <w:ilvl w:val="0"/>
          <w:numId w:val="621"/>
        </w:numPr>
        <w:tabs>
          <w:tab w:pos="686" w:val="left" w:leader="none"/>
          <w:tab w:pos="687" w:val="left" w:leader="none"/>
        </w:tabs>
        <w:spacing w:line="203" w:lineRule="exact" w:before="44" w:after="0"/>
        <w:ind w:left="686" w:right="0" w:hanging="344"/>
        <w:jc w:val="left"/>
        <w:rPr>
          <w:i/>
          <w:sz w:val="18"/>
        </w:rPr>
      </w:pPr>
      <w:r>
        <w:rPr>
          <w:i/>
          <w:w w:val="125"/>
          <w:sz w:val="18"/>
        </w:rPr>
        <w:t>Beiktatta: 2016. évi LIII. törvény 131. §. Hatályos: 2016. IX.</w:t>
      </w:r>
      <w:r>
        <w:rPr>
          <w:i/>
          <w:spacing w:val="-10"/>
          <w:w w:val="125"/>
          <w:sz w:val="18"/>
        </w:rPr>
        <w:t> </w:t>
      </w:r>
      <w:r>
        <w:rPr>
          <w:i/>
          <w:w w:val="125"/>
          <w:sz w:val="18"/>
        </w:rPr>
        <w:t>18-tól.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Beiktatta: 2017. évi LXIX. törvény 175. §. Hatályos: 2017. VII.</w:t>
      </w:r>
      <w:r>
        <w:rPr>
          <w:i/>
          <w:spacing w:val="-13"/>
          <w:w w:val="125"/>
          <w:sz w:val="18"/>
        </w:rPr>
        <w:t> </w:t>
      </w:r>
      <w:r>
        <w:rPr>
          <w:i/>
          <w:w w:val="125"/>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132.</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2016.</w:t>
      </w:r>
      <w:r>
        <w:rPr>
          <w:i/>
          <w:spacing w:val="-10"/>
          <w:w w:val="125"/>
          <w:sz w:val="18"/>
        </w:rPr>
        <w:t> </w:t>
      </w:r>
      <w:r>
        <w:rPr>
          <w:i/>
          <w:w w:val="125"/>
          <w:sz w:val="18"/>
        </w:rPr>
        <w:t>VII.</w:t>
      </w:r>
      <w:r>
        <w:rPr>
          <w:i/>
          <w:spacing w:val="-10"/>
          <w:w w:val="125"/>
          <w:sz w:val="18"/>
        </w:rPr>
        <w:t> </w:t>
      </w:r>
      <w:r>
        <w:rPr>
          <w:i/>
          <w:w w:val="125"/>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1"/>
          <w:w w:val="125"/>
          <w:sz w:val="18"/>
        </w:rPr>
        <w:t> </w:t>
      </w:r>
      <w:r>
        <w:rPr>
          <w:i/>
          <w:w w:val="125"/>
          <w:sz w:val="18"/>
        </w:rPr>
        <w:t>2016.</w:t>
      </w:r>
      <w:r>
        <w:rPr>
          <w:i/>
          <w:spacing w:val="-10"/>
          <w:w w:val="125"/>
          <w:sz w:val="18"/>
        </w:rPr>
        <w:t> </w:t>
      </w:r>
      <w:r>
        <w:rPr>
          <w:i/>
          <w:w w:val="125"/>
          <w:sz w:val="18"/>
        </w:rPr>
        <w:t>évi</w:t>
      </w:r>
      <w:r>
        <w:rPr>
          <w:i/>
          <w:spacing w:val="-11"/>
          <w:w w:val="125"/>
          <w:sz w:val="18"/>
        </w:rPr>
        <w:t> </w:t>
      </w:r>
      <w:r>
        <w:rPr>
          <w:i/>
          <w:w w:val="125"/>
          <w:sz w:val="18"/>
        </w:rPr>
        <w:t>LIII.</w:t>
      </w:r>
      <w:r>
        <w:rPr>
          <w:i/>
          <w:spacing w:val="-9"/>
          <w:w w:val="125"/>
          <w:sz w:val="18"/>
        </w:rPr>
        <w:t> </w:t>
      </w:r>
      <w:r>
        <w:rPr>
          <w:i/>
          <w:w w:val="125"/>
          <w:sz w:val="18"/>
        </w:rPr>
        <w:t>törvény</w:t>
      </w:r>
      <w:r>
        <w:rPr>
          <w:i/>
          <w:spacing w:val="-11"/>
          <w:w w:val="125"/>
          <w:sz w:val="18"/>
        </w:rPr>
        <w:t> </w:t>
      </w:r>
      <w:r>
        <w:rPr>
          <w:i/>
          <w:w w:val="125"/>
          <w:sz w:val="18"/>
        </w:rPr>
        <w:t>132.</w:t>
      </w:r>
      <w:r>
        <w:rPr>
          <w:i/>
          <w:spacing w:val="-10"/>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2016.</w:t>
      </w:r>
      <w:r>
        <w:rPr>
          <w:i/>
          <w:spacing w:val="-10"/>
          <w:w w:val="125"/>
          <w:sz w:val="18"/>
        </w:rPr>
        <w:t> </w:t>
      </w:r>
      <w:r>
        <w:rPr>
          <w:i/>
          <w:w w:val="125"/>
          <w:sz w:val="18"/>
        </w:rPr>
        <w:t>VII.</w:t>
      </w:r>
      <w:r>
        <w:rPr>
          <w:i/>
          <w:spacing w:val="-10"/>
          <w:w w:val="125"/>
          <w:sz w:val="18"/>
        </w:rPr>
        <w:t> </w:t>
      </w:r>
      <w:r>
        <w:rPr>
          <w:i/>
          <w:w w:val="125"/>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2014.</w:t>
      </w:r>
      <w:r>
        <w:rPr>
          <w:i/>
          <w:spacing w:val="8"/>
          <w:w w:val="120"/>
          <w:sz w:val="18"/>
        </w:rPr>
        <w:t> </w:t>
      </w:r>
      <w:r>
        <w:rPr>
          <w:i/>
          <w:w w:val="120"/>
          <w:sz w:val="18"/>
        </w:rPr>
        <w:t>évi</w:t>
      </w:r>
      <w:r>
        <w:rPr>
          <w:i/>
          <w:spacing w:val="7"/>
          <w:w w:val="120"/>
          <w:sz w:val="18"/>
        </w:rPr>
        <w:t> </w:t>
      </w:r>
      <w:r>
        <w:rPr>
          <w:i/>
          <w:w w:val="120"/>
          <w:sz w:val="18"/>
        </w:rPr>
        <w:t>LXXVIII.</w:t>
      </w:r>
      <w:r>
        <w:rPr>
          <w:i/>
          <w:spacing w:val="8"/>
          <w:w w:val="120"/>
          <w:sz w:val="18"/>
        </w:rPr>
        <w:t> </w:t>
      </w:r>
      <w:r>
        <w:rPr>
          <w:i/>
          <w:w w:val="120"/>
          <w:sz w:val="18"/>
        </w:rPr>
        <w:t>törvény</w:t>
      </w:r>
      <w:r>
        <w:rPr>
          <w:i/>
          <w:spacing w:val="8"/>
          <w:w w:val="120"/>
          <w:sz w:val="18"/>
        </w:rPr>
        <w:t> </w:t>
      </w:r>
      <w:r>
        <w:rPr>
          <w:i/>
          <w:w w:val="120"/>
          <w:sz w:val="18"/>
        </w:rPr>
        <w:t>18.</w:t>
      </w:r>
      <w:r>
        <w:rPr>
          <w:i/>
          <w:spacing w:val="7"/>
          <w:w w:val="120"/>
          <w:sz w:val="18"/>
        </w:rPr>
        <w:t> </w:t>
      </w:r>
      <w:r>
        <w:rPr>
          <w:i/>
          <w:w w:val="120"/>
          <w:sz w:val="18"/>
        </w:rPr>
        <w:t>§</w:t>
      </w:r>
      <w:r>
        <w:rPr>
          <w:i/>
          <w:spacing w:val="8"/>
          <w:w w:val="120"/>
          <w:sz w:val="18"/>
        </w:rPr>
        <w:t> </w:t>
      </w:r>
      <w:r>
        <w:rPr>
          <w:i/>
          <w:w w:val="120"/>
          <w:sz w:val="18"/>
        </w:rPr>
        <w:t>(1).</w:t>
      </w:r>
      <w:r>
        <w:rPr>
          <w:i/>
          <w:spacing w:val="9"/>
          <w:w w:val="120"/>
          <w:sz w:val="18"/>
        </w:rPr>
        <w:t> </w:t>
      </w:r>
      <w:r>
        <w:rPr>
          <w:i/>
          <w:w w:val="120"/>
          <w:sz w:val="18"/>
        </w:rPr>
        <w:t>Hatálytalan:</w:t>
      </w:r>
      <w:r>
        <w:rPr>
          <w:i/>
          <w:spacing w:val="8"/>
          <w:w w:val="120"/>
          <w:sz w:val="18"/>
        </w:rPr>
        <w:t> </w:t>
      </w:r>
      <w:r>
        <w:rPr>
          <w:i/>
          <w:w w:val="120"/>
          <w:sz w:val="18"/>
        </w:rPr>
        <w:t>2015.</w:t>
      </w:r>
      <w:r>
        <w:rPr>
          <w:i/>
          <w:spacing w:val="7"/>
          <w:w w:val="120"/>
          <w:sz w:val="18"/>
        </w:rPr>
        <w:t> </w:t>
      </w:r>
      <w:r>
        <w:rPr>
          <w:i/>
          <w:w w:val="120"/>
          <w:sz w:val="18"/>
        </w:rPr>
        <w:t>II.</w:t>
      </w:r>
      <w:r>
        <w:rPr>
          <w:i/>
          <w:spacing w:val="9"/>
          <w:w w:val="120"/>
          <w:sz w:val="18"/>
        </w:rPr>
        <w:t> </w:t>
      </w:r>
      <w:r>
        <w:rPr>
          <w:i/>
          <w:w w:val="120"/>
          <w:sz w:val="18"/>
        </w:rPr>
        <w:t>1-től.</w:t>
      </w:r>
    </w:p>
    <w:p>
      <w:pPr>
        <w:pStyle w:val="ListParagraph"/>
        <w:numPr>
          <w:ilvl w:val="0"/>
          <w:numId w:val="621"/>
        </w:numPr>
        <w:tabs>
          <w:tab w:pos="686" w:val="left" w:leader="none"/>
          <w:tab w:pos="687" w:val="left" w:leader="none"/>
        </w:tabs>
        <w:spacing w:line="200" w:lineRule="exact" w:before="0" w:after="0"/>
        <w:ind w:left="686" w:right="0" w:hanging="344"/>
        <w:jc w:val="left"/>
        <w:rPr>
          <w:i/>
          <w:sz w:val="18"/>
        </w:rPr>
      </w:pPr>
      <w:r>
        <w:rPr>
          <w:i/>
          <w:w w:val="125"/>
          <w:sz w:val="18"/>
        </w:rPr>
        <w:t>Megállapította: 2015. évi CCXV. törvény 147. §. Hatályos: 2016. I.</w:t>
      </w:r>
      <w:r>
        <w:rPr>
          <w:i/>
          <w:spacing w:val="-19"/>
          <w:w w:val="125"/>
          <w:sz w:val="18"/>
        </w:rPr>
        <w:t> </w:t>
      </w:r>
      <w:r>
        <w:rPr>
          <w:i/>
          <w:w w:val="125"/>
          <w:sz w:val="18"/>
        </w:rPr>
        <w:t>1-től.</w:t>
      </w:r>
    </w:p>
    <w:p>
      <w:pPr>
        <w:pStyle w:val="ListParagraph"/>
        <w:numPr>
          <w:ilvl w:val="0"/>
          <w:numId w:val="621"/>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LIII. törvény 91. § (1). Hatályos: 2017. VI.</w:t>
      </w:r>
      <w:r>
        <w:rPr>
          <w:i/>
          <w:spacing w:val="-20"/>
          <w:w w:val="125"/>
          <w:sz w:val="18"/>
        </w:rPr>
        <w:t> </w:t>
      </w:r>
      <w:r>
        <w:rPr>
          <w:i/>
          <w:w w:val="125"/>
          <w:sz w:val="18"/>
        </w:rPr>
        <w:t>26-tól.</w:t>
      </w:r>
    </w:p>
    <w:p>
      <w:pPr>
        <w:spacing w:after="0" w:line="203" w:lineRule="exact"/>
        <w:jc w:val="left"/>
        <w:rPr>
          <w:sz w:val="18"/>
        </w:rPr>
        <w:sectPr>
          <w:type w:val="continuous"/>
          <w:pgSz w:w="11900" w:h="16820"/>
          <w:pgMar w:top="1840" w:bottom="280" w:left="1020" w:right="1000"/>
        </w:sectPr>
      </w:pPr>
    </w:p>
    <w:p>
      <w:pPr>
        <w:pStyle w:val="ListParagraph"/>
        <w:numPr>
          <w:ilvl w:val="0"/>
          <w:numId w:val="622"/>
        </w:numPr>
        <w:tabs>
          <w:tab w:pos="736" w:val="left" w:leader="none"/>
        </w:tabs>
        <w:spacing w:line="225" w:lineRule="auto" w:before="173" w:after="0"/>
        <w:ind w:left="113" w:right="129" w:firstLine="204"/>
        <w:jc w:val="both"/>
        <w:rPr>
          <w:sz w:val="24"/>
        </w:rPr>
      </w:pPr>
      <w:r>
        <w:rPr>
          <w:w w:val="125"/>
          <w:sz w:val="24"/>
        </w:rPr>
        <w:t>A hitelintézet a bankszünnapot - tizenöt nappal megelőzően - legalább két országos napilapban köteles meghirdetni, valamint a  Felügyeletnek  bejelenteni.</w:t>
      </w:r>
    </w:p>
    <w:p>
      <w:pPr>
        <w:pStyle w:val="ListParagraph"/>
        <w:numPr>
          <w:ilvl w:val="0"/>
          <w:numId w:val="622"/>
        </w:numPr>
        <w:tabs>
          <w:tab w:pos="795" w:val="left" w:leader="none"/>
        </w:tabs>
        <w:spacing w:line="225" w:lineRule="auto" w:before="1" w:after="0"/>
        <w:ind w:left="113" w:right="127" w:firstLine="204"/>
        <w:jc w:val="both"/>
        <w:rPr>
          <w:sz w:val="24"/>
        </w:rPr>
      </w:pPr>
      <w:r>
        <w:rPr>
          <w:w w:val="130"/>
          <w:sz w:val="24"/>
        </w:rPr>
        <w:t>Az (1) bekezdésben meghatározottakon túl a Felügyelet a hitelintézet kérelmére</w:t>
      </w:r>
      <w:r>
        <w:rPr>
          <w:spacing w:val="-19"/>
          <w:w w:val="130"/>
          <w:sz w:val="24"/>
        </w:rPr>
        <w:t> </w:t>
      </w:r>
      <w:r>
        <w:rPr>
          <w:w w:val="130"/>
          <w:sz w:val="24"/>
        </w:rPr>
        <w:t>bankszünnap</w:t>
      </w:r>
      <w:r>
        <w:rPr>
          <w:spacing w:val="-12"/>
          <w:w w:val="130"/>
          <w:sz w:val="24"/>
        </w:rPr>
        <w:t> </w:t>
      </w:r>
      <w:r>
        <w:rPr>
          <w:w w:val="130"/>
          <w:sz w:val="24"/>
        </w:rPr>
        <w:t>tartását</w:t>
      </w:r>
      <w:r>
        <w:rPr>
          <w:spacing w:val="-26"/>
          <w:w w:val="130"/>
          <w:sz w:val="24"/>
        </w:rPr>
        <w:t> </w:t>
      </w:r>
      <w:r>
        <w:rPr>
          <w:w w:val="130"/>
          <w:sz w:val="24"/>
        </w:rPr>
        <w:t>rendeli</w:t>
      </w:r>
      <w:r>
        <w:rPr>
          <w:spacing w:val="-19"/>
          <w:w w:val="130"/>
          <w:sz w:val="24"/>
        </w:rPr>
        <w:t> </w:t>
      </w:r>
      <w:r>
        <w:rPr>
          <w:w w:val="130"/>
          <w:sz w:val="24"/>
        </w:rPr>
        <w:t>el.</w:t>
      </w:r>
      <w:r>
        <w:rPr>
          <w:spacing w:val="-18"/>
          <w:w w:val="130"/>
          <w:sz w:val="24"/>
        </w:rPr>
        <w:t> </w:t>
      </w:r>
      <w:r>
        <w:rPr>
          <w:w w:val="130"/>
          <w:sz w:val="24"/>
        </w:rPr>
        <w:t>Az</w:t>
      </w:r>
      <w:r>
        <w:rPr>
          <w:spacing w:val="-18"/>
          <w:w w:val="130"/>
          <w:sz w:val="24"/>
        </w:rPr>
        <w:t> </w:t>
      </w:r>
      <w:r>
        <w:rPr>
          <w:w w:val="130"/>
          <w:sz w:val="24"/>
        </w:rPr>
        <w:t>elrendelt</w:t>
      </w:r>
      <w:r>
        <w:rPr>
          <w:spacing w:val="-21"/>
          <w:w w:val="130"/>
          <w:sz w:val="24"/>
        </w:rPr>
        <w:t> </w:t>
      </w:r>
      <w:r>
        <w:rPr>
          <w:w w:val="130"/>
          <w:sz w:val="24"/>
        </w:rPr>
        <w:t>bankszünnapok</w:t>
      </w:r>
      <w:r>
        <w:rPr>
          <w:spacing w:val="-19"/>
          <w:w w:val="130"/>
          <w:sz w:val="24"/>
        </w:rPr>
        <w:t> </w:t>
      </w:r>
      <w:r>
        <w:rPr>
          <w:w w:val="130"/>
          <w:sz w:val="24"/>
        </w:rPr>
        <w:t>száma évenként három napnál nem lehet</w:t>
      </w:r>
      <w:r>
        <w:rPr>
          <w:spacing w:val="-18"/>
          <w:w w:val="130"/>
          <w:sz w:val="24"/>
        </w:rPr>
        <w:t> </w:t>
      </w:r>
      <w:r>
        <w:rPr>
          <w:w w:val="130"/>
          <w:sz w:val="24"/>
        </w:rPr>
        <w:t>több.</w:t>
      </w:r>
    </w:p>
    <w:p>
      <w:pPr>
        <w:pStyle w:val="BodyText"/>
        <w:spacing w:line="225" w:lineRule="auto" w:before="242"/>
        <w:ind w:left="2879" w:hanging="2513"/>
      </w:pPr>
      <w:r>
        <w:rPr>
          <w:w w:val="130"/>
        </w:rPr>
        <w:t>125.</w:t>
      </w:r>
      <w:r>
        <w:rPr>
          <w:spacing w:val="-46"/>
          <w:w w:val="130"/>
        </w:rPr>
        <w:t> </w:t>
      </w:r>
      <w:r>
        <w:rPr>
          <w:w w:val="130"/>
        </w:rPr>
        <w:t>Eljárás</w:t>
      </w:r>
      <w:r>
        <w:rPr>
          <w:spacing w:val="-42"/>
          <w:w w:val="130"/>
        </w:rPr>
        <w:t> </w:t>
      </w:r>
      <w:r>
        <w:rPr>
          <w:w w:val="130"/>
        </w:rPr>
        <w:t>a</w:t>
      </w:r>
      <w:r>
        <w:rPr>
          <w:spacing w:val="-43"/>
          <w:w w:val="130"/>
        </w:rPr>
        <w:t> </w:t>
      </w:r>
      <w:r>
        <w:rPr>
          <w:w w:val="130"/>
        </w:rPr>
        <w:t>fogyasztókkal</w:t>
      </w:r>
      <w:r>
        <w:rPr>
          <w:spacing w:val="-42"/>
          <w:w w:val="130"/>
        </w:rPr>
        <w:t> </w:t>
      </w:r>
      <w:r>
        <w:rPr>
          <w:w w:val="130"/>
        </w:rPr>
        <w:t>szembeni</w:t>
      </w:r>
      <w:r>
        <w:rPr>
          <w:spacing w:val="-42"/>
          <w:w w:val="130"/>
        </w:rPr>
        <w:t> </w:t>
      </w:r>
      <w:r>
        <w:rPr>
          <w:w w:val="130"/>
        </w:rPr>
        <w:t>kereskedelmi</w:t>
      </w:r>
      <w:r>
        <w:rPr>
          <w:spacing w:val="-42"/>
          <w:w w:val="130"/>
        </w:rPr>
        <w:t> </w:t>
      </w:r>
      <w:r>
        <w:rPr>
          <w:w w:val="130"/>
        </w:rPr>
        <w:t>gyakorlatra</w:t>
      </w:r>
      <w:r>
        <w:rPr>
          <w:spacing w:val="-42"/>
          <w:w w:val="130"/>
        </w:rPr>
        <w:t> </w:t>
      </w:r>
      <w:r>
        <w:rPr>
          <w:w w:val="130"/>
        </w:rPr>
        <w:t>vonatkozó rendelkezések megsértése</w:t>
      </w:r>
      <w:r>
        <w:rPr>
          <w:spacing w:val="-6"/>
          <w:w w:val="130"/>
        </w:rPr>
        <w:t> </w:t>
      </w:r>
      <w:r>
        <w:rPr>
          <w:w w:val="130"/>
        </w:rPr>
        <w:t>esetén</w:t>
      </w:r>
    </w:p>
    <w:p>
      <w:pPr>
        <w:pStyle w:val="ListParagraph"/>
        <w:numPr>
          <w:ilvl w:val="0"/>
          <w:numId w:val="623"/>
        </w:numPr>
        <w:tabs>
          <w:tab w:pos="1126" w:val="left" w:leader="none"/>
        </w:tabs>
        <w:spacing w:line="225" w:lineRule="auto" w:before="240" w:after="0"/>
        <w:ind w:left="113" w:right="131" w:firstLine="204"/>
        <w:jc w:val="both"/>
        <w:rPr>
          <w:sz w:val="24"/>
        </w:rPr>
      </w:pPr>
      <w:r>
        <w:rPr>
          <w:rFonts w:ascii="Arial" w:hAnsi="Arial"/>
          <w:b/>
          <w:w w:val="120"/>
          <w:sz w:val="24"/>
        </w:rPr>
        <w:t>§ </w:t>
      </w:r>
      <w:r>
        <w:rPr>
          <w:w w:val="120"/>
          <w:sz w:val="24"/>
        </w:rPr>
        <w:t>E törvény, valamint a végrehajtására kiadott jogszabályok a fogyasztókkal szembeni kereskedelmi gyakorlatra, így különösen az ügyfelek tájékoztatásra vonatkozó rendelkezéseinek megsértése esetén a Felügyelet a fogyasztókkal  szembeni  tisztességtelen  kereskedelmi   gyakorlat   tilalmáról szóló 2008. évi XLVII. törvényben meghatározott szabályok szerint jár el, ha a jogsértés fogyasztót</w:t>
      </w:r>
      <w:r>
        <w:rPr>
          <w:spacing w:val="12"/>
          <w:w w:val="120"/>
          <w:sz w:val="24"/>
        </w:rPr>
        <w:t> </w:t>
      </w:r>
      <w:r>
        <w:rPr>
          <w:w w:val="120"/>
          <w:sz w:val="24"/>
        </w:rPr>
        <w:t>érint.</w:t>
      </w:r>
    </w:p>
    <w:p>
      <w:pPr>
        <w:pStyle w:val="BodyText"/>
        <w:spacing w:before="5"/>
        <w:ind w:left="0" w:firstLine="0"/>
        <w:rPr>
          <w:sz w:val="11"/>
        </w:rPr>
      </w:pPr>
    </w:p>
    <w:p>
      <w:pPr>
        <w:pStyle w:val="BodyText"/>
        <w:spacing w:before="99"/>
        <w:ind w:left="3753" w:firstLine="0"/>
      </w:pPr>
      <w:r>
        <w:rPr>
          <w:w w:val="125"/>
        </w:rPr>
        <w:t>126. Panaszkezelés</w:t>
      </w:r>
    </w:p>
    <w:p>
      <w:pPr>
        <w:pStyle w:val="ListParagraph"/>
        <w:numPr>
          <w:ilvl w:val="0"/>
          <w:numId w:val="623"/>
        </w:numPr>
        <w:tabs>
          <w:tab w:pos="993" w:val="left" w:leader="none"/>
        </w:tabs>
        <w:spacing w:line="225" w:lineRule="auto" w:before="236" w:after="0"/>
        <w:ind w:left="113" w:right="130" w:firstLine="204"/>
        <w:jc w:val="both"/>
        <w:rPr>
          <w:sz w:val="24"/>
        </w:rPr>
      </w:pPr>
      <w:r>
        <w:rPr>
          <w:rFonts w:ascii="Arial" w:hAnsi="Arial"/>
          <w:b/>
          <w:w w:val="125"/>
          <w:sz w:val="24"/>
        </w:rPr>
        <w:t>§</w:t>
      </w:r>
      <w:r>
        <w:rPr>
          <w:i/>
          <w:w w:val="125"/>
          <w:position w:val="3"/>
          <w:sz w:val="18"/>
        </w:rPr>
        <w:t>1 </w:t>
      </w:r>
      <w:r>
        <w:rPr>
          <w:w w:val="125"/>
          <w:sz w:val="24"/>
        </w:rPr>
        <w:t>(1) A pénzügyi intézmény és a független közvetítő biztosítja, hogy az ügyfél a pénzügyi intézmény és a független közvetítő magatartására, tevékenységére vagy mulasztására vonatkozó panaszát szóban (személyesen, telefonon) vagy írásban (személyesen vagy más által átadott irat útján, postai úton, telefaxon, elektronikus levélben)</w:t>
      </w:r>
      <w:r>
        <w:rPr>
          <w:spacing w:val="3"/>
          <w:w w:val="125"/>
          <w:sz w:val="24"/>
        </w:rPr>
        <w:t> </w:t>
      </w:r>
      <w:r>
        <w:rPr>
          <w:w w:val="125"/>
          <w:sz w:val="24"/>
        </w:rPr>
        <w:t>közölhesse.</w:t>
      </w:r>
    </w:p>
    <w:p>
      <w:pPr>
        <w:pStyle w:val="ListParagraph"/>
        <w:numPr>
          <w:ilvl w:val="0"/>
          <w:numId w:val="624"/>
        </w:numPr>
        <w:tabs>
          <w:tab w:pos="659" w:val="left" w:leader="none"/>
          <w:tab w:pos="1025" w:val="left" w:leader="none"/>
          <w:tab w:pos="2481" w:val="left" w:leader="none"/>
          <w:tab w:pos="3624" w:val="left" w:leader="none"/>
          <w:tab w:pos="5618" w:val="left" w:leader="none"/>
          <w:tab w:pos="6669" w:val="left" w:leader="none"/>
          <w:tab w:pos="7065" w:val="left" w:leader="none"/>
          <w:tab w:pos="8422" w:val="left" w:leader="none"/>
        </w:tabs>
        <w:spacing w:line="251" w:lineRule="exact" w:before="0" w:after="0"/>
        <w:ind w:left="658" w:right="0" w:hanging="341"/>
        <w:jc w:val="left"/>
        <w:rPr>
          <w:sz w:val="24"/>
        </w:rPr>
      </w:pPr>
      <w:r>
        <w:rPr>
          <w:i/>
          <w:w w:val="130"/>
          <w:position w:val="3"/>
          <w:sz w:val="18"/>
        </w:rPr>
        <w:t>2</w:t>
        <w:tab/>
      </w:r>
      <w:r>
        <w:rPr>
          <w:w w:val="130"/>
          <w:sz w:val="24"/>
        </w:rPr>
        <w:t>Telefonon</w:t>
        <w:tab/>
        <w:t>történő</w:t>
        <w:tab/>
        <w:t>panaszkezelés</w:t>
        <w:tab/>
        <w:t>esetén</w:t>
        <w:tab/>
        <w:t>a</w:t>
        <w:tab/>
        <w:t>pénzügyi</w:t>
        <w:tab/>
        <w:t>intézmény,</w:t>
      </w:r>
    </w:p>
    <w:p>
      <w:pPr>
        <w:pStyle w:val="BodyText"/>
        <w:spacing w:line="225" w:lineRule="auto" w:before="12"/>
        <w:ind w:right="124" w:firstLine="0"/>
        <w:jc w:val="both"/>
      </w:pPr>
      <w:r>
        <w:rPr>
          <w:w w:val="130"/>
        </w:rPr>
        <w:t>független közvetítő és az ügyfél közötti telefonos kommunikációt a pénzügyi intézmény hangfelvétellel rögzíti, és a hangfelvételt öt évig megőrzi. Erről</w:t>
      </w:r>
      <w:r>
        <w:rPr>
          <w:spacing w:val="-53"/>
          <w:w w:val="130"/>
        </w:rPr>
        <w:t> </w:t>
      </w:r>
      <w:r>
        <w:rPr>
          <w:w w:val="130"/>
        </w:rPr>
        <w:t>az ügyfelet a telefonos ügyintézés kezdetekor tájékoztatni kell. Az ügyfél kérésére biztosítani kell a hangfelvétel visszahallgatását, továbbá térítésmentesen - kérésének megfelelően - huszonöt napon belül rendelkezésére kell bocsátani a hangfelvételről készített hitelesített jegyzőkönyvet vagy a hangfelvétel másolatát.</w:t>
      </w:r>
    </w:p>
    <w:p>
      <w:pPr>
        <w:pStyle w:val="ListParagraph"/>
        <w:numPr>
          <w:ilvl w:val="0"/>
          <w:numId w:val="624"/>
        </w:numPr>
        <w:tabs>
          <w:tab w:pos="745" w:val="left" w:leader="none"/>
        </w:tabs>
        <w:spacing w:line="225" w:lineRule="auto" w:before="4" w:after="0"/>
        <w:ind w:left="113" w:right="131" w:firstLine="204"/>
        <w:jc w:val="both"/>
        <w:rPr>
          <w:sz w:val="24"/>
        </w:rPr>
      </w:pPr>
      <w:r>
        <w:rPr>
          <w:w w:val="130"/>
          <w:sz w:val="24"/>
        </w:rPr>
        <w:t>A</w:t>
      </w:r>
      <w:r>
        <w:rPr>
          <w:spacing w:val="-8"/>
          <w:w w:val="130"/>
          <w:sz w:val="24"/>
        </w:rPr>
        <w:t> </w:t>
      </w:r>
      <w:r>
        <w:rPr>
          <w:w w:val="130"/>
          <w:sz w:val="24"/>
        </w:rPr>
        <w:t>pénzügyi</w:t>
      </w:r>
      <w:r>
        <w:rPr>
          <w:spacing w:val="-8"/>
          <w:w w:val="130"/>
          <w:sz w:val="24"/>
        </w:rPr>
        <w:t> </w:t>
      </w:r>
      <w:r>
        <w:rPr>
          <w:w w:val="130"/>
          <w:sz w:val="24"/>
        </w:rPr>
        <w:t>intézmény</w:t>
      </w:r>
      <w:r>
        <w:rPr>
          <w:spacing w:val="-8"/>
          <w:w w:val="130"/>
          <w:sz w:val="24"/>
        </w:rPr>
        <w:t> </w:t>
      </w:r>
      <w:r>
        <w:rPr>
          <w:w w:val="130"/>
          <w:sz w:val="24"/>
        </w:rPr>
        <w:t>és</w:t>
      </w:r>
      <w:r>
        <w:rPr>
          <w:spacing w:val="-4"/>
          <w:w w:val="130"/>
          <w:sz w:val="24"/>
        </w:rPr>
        <w:t> </w:t>
      </w:r>
      <w:r>
        <w:rPr>
          <w:w w:val="130"/>
          <w:sz w:val="24"/>
        </w:rPr>
        <w:t>a</w:t>
      </w:r>
      <w:r>
        <w:rPr>
          <w:spacing w:val="-12"/>
          <w:w w:val="130"/>
          <w:sz w:val="24"/>
        </w:rPr>
        <w:t> </w:t>
      </w:r>
      <w:r>
        <w:rPr>
          <w:w w:val="130"/>
          <w:sz w:val="24"/>
        </w:rPr>
        <w:t>független</w:t>
      </w:r>
      <w:r>
        <w:rPr>
          <w:spacing w:val="-8"/>
          <w:w w:val="130"/>
          <w:sz w:val="24"/>
        </w:rPr>
        <w:t> </w:t>
      </w:r>
      <w:r>
        <w:rPr>
          <w:w w:val="130"/>
          <w:sz w:val="24"/>
        </w:rPr>
        <w:t>közvetítő</w:t>
      </w:r>
      <w:r>
        <w:rPr>
          <w:spacing w:val="-8"/>
          <w:w w:val="130"/>
          <w:sz w:val="24"/>
        </w:rPr>
        <w:t> </w:t>
      </w:r>
      <w:r>
        <w:rPr>
          <w:w w:val="130"/>
          <w:sz w:val="24"/>
        </w:rPr>
        <w:t>a</w:t>
      </w:r>
      <w:r>
        <w:rPr>
          <w:spacing w:val="4"/>
          <w:w w:val="130"/>
          <w:sz w:val="24"/>
        </w:rPr>
        <w:t> </w:t>
      </w:r>
      <w:r>
        <w:rPr>
          <w:w w:val="130"/>
          <w:sz w:val="24"/>
        </w:rPr>
        <w:t>panaszt</w:t>
      </w:r>
      <w:r>
        <w:rPr>
          <w:spacing w:val="-20"/>
          <w:w w:val="130"/>
          <w:sz w:val="24"/>
        </w:rPr>
        <w:t> </w:t>
      </w:r>
      <w:r>
        <w:rPr>
          <w:w w:val="130"/>
          <w:sz w:val="24"/>
        </w:rPr>
        <w:t>és</w:t>
      </w:r>
      <w:r>
        <w:rPr>
          <w:spacing w:val="-8"/>
          <w:w w:val="130"/>
          <w:sz w:val="24"/>
        </w:rPr>
        <w:t> </w:t>
      </w:r>
      <w:r>
        <w:rPr>
          <w:w w:val="130"/>
          <w:sz w:val="24"/>
        </w:rPr>
        <w:t>az</w:t>
      </w:r>
      <w:r>
        <w:rPr>
          <w:spacing w:val="-8"/>
          <w:w w:val="130"/>
          <w:sz w:val="24"/>
        </w:rPr>
        <w:t> </w:t>
      </w:r>
      <w:r>
        <w:rPr>
          <w:w w:val="130"/>
          <w:sz w:val="24"/>
        </w:rPr>
        <w:t>arra</w:t>
      </w:r>
      <w:r>
        <w:rPr>
          <w:spacing w:val="-8"/>
          <w:w w:val="130"/>
          <w:sz w:val="24"/>
        </w:rPr>
        <w:t> </w:t>
      </w:r>
      <w:r>
        <w:rPr>
          <w:w w:val="130"/>
          <w:sz w:val="24"/>
        </w:rPr>
        <w:t>adott választ</w:t>
      </w:r>
      <w:r>
        <w:rPr>
          <w:spacing w:val="-7"/>
          <w:w w:val="130"/>
          <w:sz w:val="24"/>
        </w:rPr>
        <w:t> </w:t>
      </w:r>
      <w:r>
        <w:rPr>
          <w:w w:val="130"/>
          <w:sz w:val="24"/>
        </w:rPr>
        <w:t>öt</w:t>
      </w:r>
      <w:r>
        <w:rPr>
          <w:spacing w:val="-6"/>
          <w:w w:val="130"/>
          <w:sz w:val="24"/>
        </w:rPr>
        <w:t> </w:t>
      </w:r>
      <w:r>
        <w:rPr>
          <w:w w:val="130"/>
          <w:sz w:val="24"/>
        </w:rPr>
        <w:t>évig</w:t>
      </w:r>
      <w:r>
        <w:rPr>
          <w:spacing w:val="-7"/>
          <w:w w:val="130"/>
          <w:sz w:val="24"/>
        </w:rPr>
        <w:t> </w:t>
      </w:r>
      <w:r>
        <w:rPr>
          <w:w w:val="130"/>
          <w:sz w:val="24"/>
        </w:rPr>
        <w:t>őrzi</w:t>
      </w:r>
      <w:r>
        <w:rPr>
          <w:spacing w:val="-5"/>
          <w:w w:val="130"/>
          <w:sz w:val="24"/>
        </w:rPr>
        <w:t> </w:t>
      </w:r>
      <w:r>
        <w:rPr>
          <w:w w:val="130"/>
          <w:sz w:val="24"/>
        </w:rPr>
        <w:t>meg,</w:t>
      </w:r>
      <w:r>
        <w:rPr>
          <w:spacing w:val="-7"/>
          <w:w w:val="130"/>
          <w:sz w:val="24"/>
        </w:rPr>
        <w:t> </w:t>
      </w:r>
      <w:r>
        <w:rPr>
          <w:w w:val="130"/>
          <w:sz w:val="24"/>
        </w:rPr>
        <w:t>és</w:t>
      </w:r>
      <w:r>
        <w:rPr>
          <w:spacing w:val="-7"/>
          <w:w w:val="130"/>
          <w:sz w:val="24"/>
        </w:rPr>
        <w:t> </w:t>
      </w:r>
      <w:r>
        <w:rPr>
          <w:w w:val="130"/>
          <w:sz w:val="24"/>
        </w:rPr>
        <w:t>azt</w:t>
      </w:r>
      <w:r>
        <w:rPr>
          <w:spacing w:val="-6"/>
          <w:w w:val="130"/>
          <w:sz w:val="24"/>
        </w:rPr>
        <w:t> </w:t>
      </w:r>
      <w:r>
        <w:rPr>
          <w:w w:val="130"/>
          <w:sz w:val="24"/>
        </w:rPr>
        <w:t>a</w:t>
      </w:r>
      <w:r>
        <w:rPr>
          <w:spacing w:val="-7"/>
          <w:w w:val="130"/>
          <w:sz w:val="24"/>
        </w:rPr>
        <w:t> </w:t>
      </w:r>
      <w:r>
        <w:rPr>
          <w:w w:val="130"/>
          <w:sz w:val="24"/>
        </w:rPr>
        <w:t>Felügyelet</w:t>
      </w:r>
      <w:r>
        <w:rPr>
          <w:spacing w:val="-7"/>
          <w:w w:val="130"/>
          <w:sz w:val="24"/>
        </w:rPr>
        <w:t> </w:t>
      </w:r>
      <w:r>
        <w:rPr>
          <w:w w:val="130"/>
          <w:sz w:val="24"/>
        </w:rPr>
        <w:t>kérésére</w:t>
      </w:r>
      <w:r>
        <w:rPr>
          <w:spacing w:val="-7"/>
          <w:w w:val="130"/>
          <w:sz w:val="24"/>
        </w:rPr>
        <w:t> </w:t>
      </w:r>
      <w:r>
        <w:rPr>
          <w:w w:val="130"/>
          <w:sz w:val="24"/>
        </w:rPr>
        <w:t>bemutatja.</w:t>
      </w:r>
    </w:p>
    <w:p>
      <w:pPr>
        <w:pStyle w:val="ListParagraph"/>
        <w:numPr>
          <w:ilvl w:val="0"/>
          <w:numId w:val="624"/>
        </w:numPr>
        <w:tabs>
          <w:tab w:pos="744" w:val="left" w:leader="none"/>
        </w:tabs>
        <w:spacing w:line="225" w:lineRule="auto" w:before="1" w:after="0"/>
        <w:ind w:left="113" w:right="136" w:firstLine="204"/>
        <w:jc w:val="both"/>
        <w:rPr>
          <w:sz w:val="24"/>
        </w:rPr>
      </w:pPr>
      <w:r>
        <w:rPr>
          <w:w w:val="125"/>
          <w:sz w:val="24"/>
        </w:rPr>
        <w:t>A pénzügyi intézmény és a független közvetítő a panasz kivizsgálásáért a fogyasztóval szemben külön díjat nem számíthat</w:t>
      </w:r>
      <w:r>
        <w:rPr>
          <w:spacing w:val="4"/>
          <w:w w:val="125"/>
          <w:sz w:val="24"/>
        </w:rPr>
        <w:t> </w:t>
      </w:r>
      <w:r>
        <w:rPr>
          <w:w w:val="125"/>
          <w:sz w:val="24"/>
        </w:rPr>
        <w:t>fel.</w:t>
      </w:r>
    </w:p>
    <w:p>
      <w:pPr>
        <w:pStyle w:val="ListParagraph"/>
        <w:numPr>
          <w:ilvl w:val="0"/>
          <w:numId w:val="624"/>
        </w:numPr>
        <w:tabs>
          <w:tab w:pos="889" w:val="left" w:leader="none"/>
        </w:tabs>
        <w:spacing w:line="225" w:lineRule="auto" w:before="1" w:after="0"/>
        <w:ind w:left="113" w:right="129" w:firstLine="204"/>
        <w:jc w:val="both"/>
        <w:rPr>
          <w:sz w:val="24"/>
        </w:rPr>
      </w:pPr>
      <w:r>
        <w:rPr>
          <w:w w:val="125"/>
          <w:sz w:val="24"/>
        </w:rPr>
        <w:t>A pénzügyi intézmény és a független közvetítő fogyasztóvédelmi ügyekben fogyasztóvédelmi ügyekért felelős kapcsolattartót kijelöli, és a Felügyeletnek 15 napon belül a felelős személyét, illetve annak változását írásban bejelenti.</w:t>
      </w:r>
    </w:p>
    <w:p>
      <w:pPr>
        <w:pStyle w:val="BodyText"/>
        <w:spacing w:before="229"/>
        <w:ind w:left="1384" w:firstLine="0"/>
      </w:pPr>
      <w:r>
        <w:rPr>
          <w:w w:val="120"/>
        </w:rPr>
        <w:t>126/A.</w:t>
      </w:r>
      <w:r>
        <w:rPr>
          <w:i/>
          <w:w w:val="120"/>
          <w:position w:val="3"/>
          <w:sz w:val="18"/>
        </w:rPr>
        <w:t>3 </w:t>
      </w:r>
      <w:r>
        <w:rPr>
          <w:w w:val="120"/>
        </w:rPr>
        <w:t>A FATCA-törvény alapján fennálló kötelezettségek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3"/>
        <w:ind w:left="0" w:firstLine="0"/>
        <w:rPr>
          <w:sz w:val="22"/>
        </w:rPr>
      </w:pPr>
      <w:r>
        <w:rPr/>
        <w:pict>
          <v:line style="position:absolute;mso-position-horizontal-relative:page;mso-position-vertical-relative:paragraph;z-index:2720;mso-wrap-distance-left:0;mso-wrap-distance-right:0" from="56.693001pt,15.01118pt" to="538.583001pt,15.01118pt" stroked="true" strokeweight=".5pt" strokecolor="#000000">
            <v:stroke dashstyle="solid"/>
            <w10:wrap type="topAndBottom"/>
          </v:line>
        </w:pict>
      </w:r>
    </w:p>
    <w:p>
      <w:pPr>
        <w:pStyle w:val="ListParagraph"/>
        <w:numPr>
          <w:ilvl w:val="0"/>
          <w:numId w:val="625"/>
        </w:numPr>
        <w:tabs>
          <w:tab w:pos="686" w:val="left" w:leader="none"/>
          <w:tab w:pos="687" w:val="left" w:leader="none"/>
        </w:tabs>
        <w:spacing w:line="203" w:lineRule="exact" w:before="44" w:after="0"/>
        <w:ind w:left="686" w:right="0" w:hanging="344"/>
        <w:jc w:val="left"/>
        <w:rPr>
          <w:i/>
          <w:sz w:val="18"/>
        </w:rPr>
      </w:pPr>
      <w:r>
        <w:rPr>
          <w:i/>
          <w:w w:val="125"/>
          <w:sz w:val="18"/>
        </w:rPr>
        <w:t>Megállapította: 2016. évi LXVII. törvény 222. §. Hatályos: 2017. I.</w:t>
      </w:r>
      <w:r>
        <w:rPr>
          <w:i/>
          <w:spacing w:val="-17"/>
          <w:w w:val="125"/>
          <w:sz w:val="18"/>
        </w:rPr>
        <w:t> </w:t>
      </w:r>
      <w:r>
        <w:rPr>
          <w:i/>
          <w:w w:val="125"/>
          <w:sz w:val="18"/>
        </w:rPr>
        <w:t>1-től.</w:t>
      </w:r>
    </w:p>
    <w:p>
      <w:pPr>
        <w:pStyle w:val="ListParagraph"/>
        <w:numPr>
          <w:ilvl w:val="0"/>
          <w:numId w:val="625"/>
        </w:numPr>
        <w:tabs>
          <w:tab w:pos="686" w:val="left" w:leader="none"/>
          <w:tab w:pos="687" w:val="left" w:leader="none"/>
        </w:tabs>
        <w:spacing w:line="200"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g).</w:t>
      </w:r>
    </w:p>
    <w:p>
      <w:pPr>
        <w:pStyle w:val="ListParagraph"/>
        <w:numPr>
          <w:ilvl w:val="0"/>
          <w:numId w:val="625"/>
        </w:numPr>
        <w:tabs>
          <w:tab w:pos="686" w:val="left" w:leader="none"/>
          <w:tab w:pos="687" w:val="left" w:leader="none"/>
        </w:tabs>
        <w:spacing w:line="203" w:lineRule="exact" w:before="0" w:after="0"/>
        <w:ind w:left="686" w:right="0" w:hanging="344"/>
        <w:jc w:val="left"/>
        <w:rPr>
          <w:i/>
          <w:sz w:val="18"/>
        </w:rPr>
      </w:pPr>
      <w:r>
        <w:rPr>
          <w:i/>
          <w:w w:val="125"/>
          <w:sz w:val="18"/>
        </w:rPr>
        <w:t>Beiktatta: 2014. évi XIX. törvény 22. §. Hatályos: 2014. VII.</w:t>
      </w:r>
      <w:r>
        <w:rPr>
          <w:i/>
          <w:spacing w:val="-12"/>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BodyText"/>
        <w:spacing w:line="262" w:lineRule="exact" w:before="158"/>
        <w:ind w:left="317" w:firstLine="0"/>
      </w:pPr>
      <w:r>
        <w:rPr>
          <w:rFonts w:ascii="Arial" w:hAnsi="Arial"/>
          <w:b/>
          <w:w w:val="120"/>
        </w:rPr>
        <w:t>288/A. §</w:t>
      </w:r>
      <w:r>
        <w:rPr>
          <w:i/>
          <w:w w:val="120"/>
          <w:position w:val="3"/>
          <w:sz w:val="18"/>
        </w:rPr>
        <w:t>1 </w:t>
      </w:r>
      <w:r>
        <w:rPr>
          <w:w w:val="120"/>
        </w:rPr>
        <w:t>A FATCA-törvény szerinti, e törvény hatálya alá tartozó Jelentő</w:t>
      </w:r>
    </w:p>
    <w:p>
      <w:pPr>
        <w:pStyle w:val="BodyText"/>
        <w:spacing w:line="225" w:lineRule="auto" w:before="12"/>
        <w:ind w:right="132" w:firstLine="0"/>
        <w:jc w:val="both"/>
      </w:pPr>
      <w:r>
        <w:rPr>
          <w:w w:val="125"/>
        </w:rPr>
        <w:t>Magyar Pénzügyi Intézmény (a továbbiakban ezen alcím tekintetében: intézmény) az általa kezelt, FATCA-törvény szerinti Pénzügyi Számla (a továbbiakban: pénzügyi számla) vonatkozásában elvégzi a FATCA-törvény szerinti Számlatulajdonos és Jogalany (a továbbiakban együtt: számlatulajdonos) FATCA-törvényben foglalt Megállapodás I. számú Melléklete szerinti illetőségének megállapítására irányuló vizsgálatot (a továbbiakban: illetőségvizsgálat).</w:t>
      </w:r>
    </w:p>
    <w:p>
      <w:pPr>
        <w:pStyle w:val="BodyText"/>
        <w:tabs>
          <w:tab w:pos="1409" w:val="left" w:leader="none"/>
          <w:tab w:pos="1870" w:val="left" w:leader="none"/>
          <w:tab w:pos="2436" w:val="left" w:leader="none"/>
          <w:tab w:pos="4396" w:val="left" w:leader="none"/>
          <w:tab w:pos="4751" w:val="left" w:leader="none"/>
          <w:tab w:pos="7163" w:val="left" w:leader="none"/>
          <w:tab w:pos="7644" w:val="left" w:leader="none"/>
        </w:tabs>
        <w:spacing w:line="252" w:lineRule="exact"/>
        <w:ind w:left="317" w:firstLine="0"/>
      </w:pPr>
      <w:r>
        <w:rPr>
          <w:rFonts w:ascii="Arial" w:hAnsi="Arial"/>
          <w:b/>
          <w:w w:val="125"/>
        </w:rPr>
        <w:t>288/B.</w:t>
        <w:tab/>
        <w:t>§</w:t>
      </w:r>
      <w:r>
        <w:rPr>
          <w:i/>
          <w:w w:val="125"/>
          <w:position w:val="3"/>
          <w:sz w:val="18"/>
        </w:rPr>
        <w:t>2</w:t>
        <w:tab/>
      </w:r>
      <w:r>
        <w:rPr>
          <w:w w:val="125"/>
        </w:rPr>
        <w:t>(1)</w:t>
        <w:tab/>
        <w:t>Az </w:t>
      </w:r>
      <w:r>
        <w:rPr>
          <w:spacing w:val="15"/>
          <w:w w:val="125"/>
        </w:rPr>
        <w:t> </w:t>
      </w:r>
      <w:r>
        <w:rPr>
          <w:w w:val="125"/>
        </w:rPr>
        <w:t>intézmény</w:t>
        <w:tab/>
        <w:t>a</w:t>
        <w:tab/>
        <w:t>számlatulajdonost</w:t>
        <w:tab/>
        <w:t>az</w:t>
        <w:tab/>
        <w:t>illetőségvizsgálat</w:t>
      </w:r>
    </w:p>
    <w:p>
      <w:pPr>
        <w:pStyle w:val="BodyText"/>
        <w:spacing w:line="267" w:lineRule="exact"/>
        <w:ind w:firstLine="0"/>
      </w:pPr>
      <w:r>
        <w:rPr>
          <w:w w:val="130"/>
        </w:rPr>
        <w:t>elvégzésével egyidejűleg írásban tájékoztatja</w:t>
      </w:r>
    </w:p>
    <w:p>
      <w:pPr>
        <w:pStyle w:val="ListParagraph"/>
        <w:numPr>
          <w:ilvl w:val="0"/>
          <w:numId w:val="626"/>
        </w:numPr>
        <w:tabs>
          <w:tab w:pos="631" w:val="left" w:leader="none"/>
        </w:tabs>
        <w:spacing w:line="260" w:lineRule="exact" w:before="0" w:after="0"/>
        <w:ind w:left="630" w:right="0" w:hanging="313"/>
        <w:jc w:val="left"/>
        <w:rPr>
          <w:sz w:val="24"/>
        </w:rPr>
      </w:pPr>
      <w:r>
        <w:rPr>
          <w:w w:val="125"/>
          <w:sz w:val="24"/>
        </w:rPr>
        <w:t>az illetőségvizsgálat elvégzéséről,</w:t>
      </w:r>
    </w:p>
    <w:p>
      <w:pPr>
        <w:pStyle w:val="ListParagraph"/>
        <w:numPr>
          <w:ilvl w:val="0"/>
          <w:numId w:val="626"/>
        </w:numPr>
        <w:tabs>
          <w:tab w:pos="861" w:val="left" w:leader="none"/>
          <w:tab w:pos="863" w:val="left" w:leader="none"/>
          <w:tab w:pos="1428" w:val="left" w:leader="none"/>
          <w:tab w:pos="2351" w:val="left" w:leader="none"/>
          <w:tab w:pos="3937" w:val="left" w:leader="none"/>
          <w:tab w:pos="4578" w:val="left" w:leader="none"/>
          <w:tab w:pos="5763" w:val="left" w:leader="none"/>
          <w:tab w:pos="6329" w:val="left" w:leader="none"/>
          <w:tab w:pos="8025" w:val="left" w:leader="none"/>
          <w:tab w:pos="8771" w:val="left" w:leader="none"/>
        </w:tabs>
        <w:spacing w:line="225" w:lineRule="auto" w:before="5" w:after="0"/>
        <w:ind w:left="113" w:right="125" w:firstLine="204"/>
        <w:jc w:val="left"/>
        <w:rPr>
          <w:sz w:val="24"/>
        </w:rPr>
      </w:pPr>
      <w:r>
        <w:rPr>
          <w:w w:val="125"/>
          <w:sz w:val="24"/>
        </w:rPr>
        <w:t>az</w:t>
        <w:tab/>
        <w:t>Aktv.</w:t>
        <w:tab/>
        <w:t>43/B-43/C.</w:t>
        <w:tab/>
        <w:t>§-a</w:t>
        <w:tab/>
        <w:t>alapján</w:t>
        <w:tab/>
        <w:t>az</w:t>
        <w:tab/>
        <w:t>adóhatóság</w:t>
        <w:tab/>
        <w:t>felé</w:t>
        <w:tab/>
      </w:r>
      <w:r>
        <w:rPr>
          <w:spacing w:val="-1"/>
          <w:w w:val="125"/>
          <w:sz w:val="24"/>
        </w:rPr>
        <w:t>fennálló </w:t>
      </w:r>
      <w:r>
        <w:rPr>
          <w:w w:val="125"/>
          <w:sz w:val="24"/>
        </w:rPr>
        <w:t>adatszolgáltatási</w:t>
      </w:r>
      <w:r>
        <w:rPr>
          <w:spacing w:val="1"/>
          <w:w w:val="125"/>
          <w:sz w:val="24"/>
        </w:rPr>
        <w:t> </w:t>
      </w:r>
      <w:r>
        <w:rPr>
          <w:w w:val="125"/>
          <w:sz w:val="24"/>
        </w:rPr>
        <w:t>kötelezettségéről,</w:t>
      </w:r>
    </w:p>
    <w:p>
      <w:pPr>
        <w:pStyle w:val="ListParagraph"/>
        <w:numPr>
          <w:ilvl w:val="0"/>
          <w:numId w:val="626"/>
        </w:numPr>
        <w:tabs>
          <w:tab w:pos="623" w:val="left" w:leader="none"/>
        </w:tabs>
        <w:spacing w:line="256" w:lineRule="exact" w:before="0" w:after="0"/>
        <w:ind w:left="622" w:right="0" w:hanging="305"/>
        <w:jc w:val="left"/>
        <w:rPr>
          <w:sz w:val="24"/>
        </w:rPr>
      </w:pPr>
      <w:r>
        <w:rPr>
          <w:w w:val="130"/>
          <w:sz w:val="24"/>
        </w:rPr>
        <w:t>a FATCA-törvény szerinti jelentéstételi</w:t>
      </w:r>
      <w:r>
        <w:rPr>
          <w:spacing w:val="-41"/>
          <w:w w:val="130"/>
          <w:sz w:val="24"/>
        </w:rPr>
        <w:t> </w:t>
      </w:r>
      <w:r>
        <w:rPr>
          <w:w w:val="130"/>
          <w:sz w:val="24"/>
        </w:rPr>
        <w:t>kötelezettségéről.</w:t>
      </w:r>
    </w:p>
    <w:p>
      <w:pPr>
        <w:pStyle w:val="BodyText"/>
        <w:spacing w:line="225" w:lineRule="auto" w:before="6"/>
        <w:ind w:right="126"/>
        <w:jc w:val="both"/>
      </w:pPr>
      <w:r>
        <w:rPr>
          <w:w w:val="125"/>
        </w:rPr>
        <w:t>(2) Az Aktv. 43/B-43/C. §-a szerinti adatszolgáltatás esetén az adatszolgáltatás tényéről az intézmény a számlatulajdonost az adatszolgáltatás teljesítésétől számított 30 napon belül írásban</w:t>
      </w:r>
      <w:r>
        <w:rPr>
          <w:spacing w:val="26"/>
          <w:w w:val="125"/>
        </w:rPr>
        <w:t> </w:t>
      </w:r>
      <w:r>
        <w:rPr>
          <w:w w:val="125"/>
        </w:rPr>
        <w:t>tájékoztatja.</w:t>
      </w:r>
    </w:p>
    <w:p>
      <w:pPr>
        <w:pStyle w:val="BodyText"/>
        <w:spacing w:line="225" w:lineRule="auto" w:before="241"/>
        <w:ind w:left="2966" w:hanging="2555"/>
      </w:pPr>
      <w:r>
        <w:rPr>
          <w:w w:val="125"/>
        </w:rPr>
        <w:t>126/B.</w:t>
      </w:r>
      <w:r>
        <w:rPr>
          <w:i/>
          <w:w w:val="125"/>
          <w:position w:val="3"/>
          <w:sz w:val="18"/>
        </w:rPr>
        <w:t>3 </w:t>
      </w:r>
      <w:r>
        <w:rPr>
          <w:w w:val="125"/>
        </w:rPr>
        <w:t>A Pénzügyi Számlákkal kapcsolatos adatszolgáltatás és átvilágítás alapján fennálló kötelezettségek</w:t>
      </w:r>
    </w:p>
    <w:p>
      <w:pPr>
        <w:pStyle w:val="BodyText"/>
        <w:ind w:left="0" w:firstLine="0"/>
        <w:rPr>
          <w:sz w:val="11"/>
        </w:rPr>
      </w:pPr>
    </w:p>
    <w:p>
      <w:pPr>
        <w:pStyle w:val="BodyText"/>
        <w:spacing w:line="262" w:lineRule="exact" w:before="101"/>
        <w:ind w:left="317" w:firstLine="0"/>
      </w:pPr>
      <w:r>
        <w:rPr>
          <w:rFonts w:ascii="Arial" w:hAnsi="Arial"/>
          <w:b/>
          <w:w w:val="125"/>
        </w:rPr>
        <w:t>288/C. §</w:t>
      </w:r>
      <w:r>
        <w:rPr>
          <w:i/>
          <w:w w:val="125"/>
          <w:position w:val="3"/>
          <w:sz w:val="18"/>
        </w:rPr>
        <w:t>4 </w:t>
      </w:r>
      <w:r>
        <w:rPr>
          <w:w w:val="125"/>
        </w:rPr>
        <w:t>Az Aktv. szerinti, e törvény hatálya alá tartozó Jelentő Magyar</w:t>
      </w:r>
    </w:p>
    <w:p>
      <w:pPr>
        <w:pStyle w:val="BodyText"/>
        <w:spacing w:line="225" w:lineRule="auto" w:before="12"/>
        <w:ind w:right="120" w:firstLine="0"/>
        <w:jc w:val="both"/>
      </w:pPr>
      <w:r>
        <w:rPr>
          <w:w w:val="125"/>
        </w:rPr>
        <w:t>Pénzügyi Intézmény (a továbbiakban ezen alcím tekintetében: intézmény) az általa kezelt, az Aktv. 1. melléklet VIII/C. pontja szerinti Pénzügyi Számla (a továbbiakban: Pénzügyi Számla) vonatkozásában elvégzi az Aktv. szerinti Számlatulajdonos és Jogalany (a továbbiakban együtt: Számlatulajdonos) illetőségének az Aktv. 1. melléklet II-VII. pontja szerinti megállapítására irányuló vizsgálatot (a továbbiakban: illetőségvizsgálat).</w:t>
      </w:r>
    </w:p>
    <w:p>
      <w:pPr>
        <w:pStyle w:val="BodyText"/>
        <w:tabs>
          <w:tab w:pos="2489" w:val="left" w:leader="none"/>
        </w:tabs>
        <w:spacing w:line="251" w:lineRule="exact"/>
        <w:ind w:left="317" w:firstLine="0"/>
      </w:pPr>
      <w:r>
        <w:rPr>
          <w:rFonts w:ascii="Arial" w:hAnsi="Arial"/>
          <w:b/>
          <w:w w:val="125"/>
        </w:rPr>
        <w:t>288/D. </w:t>
      </w:r>
      <w:r>
        <w:rPr>
          <w:rFonts w:ascii="Arial" w:hAnsi="Arial"/>
          <w:b/>
          <w:spacing w:val="9"/>
          <w:w w:val="125"/>
        </w:rPr>
        <w:t> </w:t>
      </w:r>
      <w:r>
        <w:rPr>
          <w:rFonts w:ascii="Arial" w:hAnsi="Arial"/>
          <w:b/>
          <w:spacing w:val="8"/>
          <w:w w:val="125"/>
        </w:rPr>
        <w:t>§</w:t>
      </w:r>
      <w:r>
        <w:rPr>
          <w:i/>
          <w:spacing w:val="8"/>
          <w:w w:val="125"/>
          <w:position w:val="3"/>
          <w:sz w:val="18"/>
        </w:rPr>
        <w:t>5 </w:t>
      </w:r>
      <w:r>
        <w:rPr>
          <w:i/>
          <w:spacing w:val="42"/>
          <w:w w:val="125"/>
          <w:position w:val="3"/>
          <w:sz w:val="18"/>
        </w:rPr>
        <w:t> </w:t>
      </w:r>
      <w:r>
        <w:rPr>
          <w:w w:val="125"/>
        </w:rPr>
        <w:t>(1)</w:t>
      </w:r>
      <w:r>
        <w:rPr>
          <w:i/>
          <w:w w:val="125"/>
          <w:position w:val="3"/>
          <w:sz w:val="18"/>
        </w:rPr>
        <w:t>6</w:t>
        <w:tab/>
      </w:r>
      <w:r>
        <w:rPr>
          <w:w w:val="125"/>
        </w:rPr>
        <w:t>Az intézmény a Számlatulajdonost az</w:t>
      </w:r>
      <w:r>
        <w:rPr>
          <w:spacing w:val="27"/>
          <w:w w:val="125"/>
        </w:rPr>
        <w:t> </w:t>
      </w:r>
      <w:r>
        <w:rPr>
          <w:w w:val="125"/>
        </w:rPr>
        <w:t>illetőségvizsgálat</w:t>
      </w:r>
    </w:p>
    <w:p>
      <w:pPr>
        <w:pStyle w:val="BodyText"/>
        <w:spacing w:line="225" w:lineRule="auto" w:before="12"/>
        <w:ind w:right="118" w:firstLine="0"/>
        <w:jc w:val="both"/>
      </w:pPr>
      <w:r>
        <w:rPr>
          <w:w w:val="125"/>
        </w:rPr>
        <w:t>elvégzésével egyidejűleg az ügyfélfogadásra nyitva álló helyiségeiben  közzétett hirdetmény útján vagy - ha az lehetséges - elektronikus úton tájékoztatja</w:t>
      </w:r>
    </w:p>
    <w:p>
      <w:pPr>
        <w:pStyle w:val="ListParagraph"/>
        <w:numPr>
          <w:ilvl w:val="0"/>
          <w:numId w:val="627"/>
        </w:numPr>
        <w:tabs>
          <w:tab w:pos="631" w:val="left" w:leader="none"/>
        </w:tabs>
        <w:spacing w:line="256" w:lineRule="exact" w:before="0" w:after="0"/>
        <w:ind w:left="630" w:right="0" w:hanging="313"/>
        <w:jc w:val="left"/>
        <w:rPr>
          <w:sz w:val="24"/>
        </w:rPr>
      </w:pPr>
      <w:r>
        <w:rPr>
          <w:w w:val="125"/>
          <w:sz w:val="24"/>
        </w:rPr>
        <w:t>az illetőségvizsgálat elvégzéséről,</w:t>
      </w:r>
    </w:p>
    <w:p>
      <w:pPr>
        <w:pStyle w:val="ListParagraph"/>
        <w:numPr>
          <w:ilvl w:val="0"/>
          <w:numId w:val="627"/>
        </w:numPr>
        <w:tabs>
          <w:tab w:pos="689" w:val="left" w:leader="none"/>
        </w:tabs>
        <w:spacing w:line="225" w:lineRule="auto" w:before="5" w:after="0"/>
        <w:ind w:left="113" w:right="124" w:firstLine="204"/>
        <w:jc w:val="both"/>
        <w:rPr>
          <w:sz w:val="24"/>
        </w:rPr>
      </w:pPr>
      <w:r>
        <w:rPr>
          <w:w w:val="130"/>
          <w:sz w:val="24"/>
        </w:rPr>
        <w:t>az Aktv. 43/H. §-a alapján az adóhatóság felé fennálló adatszolgáltatási kötelezettségéről.</w:t>
      </w:r>
    </w:p>
    <w:p>
      <w:pPr>
        <w:pStyle w:val="BodyText"/>
        <w:spacing w:line="225" w:lineRule="auto" w:before="1"/>
        <w:ind w:right="127"/>
        <w:jc w:val="both"/>
      </w:pPr>
      <w:r>
        <w:rPr>
          <w:w w:val="125"/>
        </w:rPr>
        <w:t>(2) Az Aktv. 43/H. §-a szerinti adatszolgáltatásról az intézmény a Számlatulajdonost az adatszolgáltatás teljesítésétől számított 30 napon belül írásban - ha az lehetséges elektronikus úton - tájékoztatja.</w:t>
      </w:r>
    </w:p>
    <w:p>
      <w:pPr>
        <w:pStyle w:val="Heading2"/>
        <w:numPr>
          <w:ilvl w:val="0"/>
          <w:numId w:val="321"/>
        </w:numPr>
        <w:tabs>
          <w:tab w:pos="4777" w:val="left" w:leader="none"/>
        </w:tabs>
        <w:spacing w:line="240" w:lineRule="auto" w:before="233" w:after="0"/>
        <w:ind w:left="4776" w:right="0" w:hanging="650"/>
        <w:jc w:val="left"/>
      </w:pPr>
      <w:r>
        <w:rPr>
          <w:w w:val="110"/>
        </w:rPr>
        <w:t>Fejezet</w:t>
      </w:r>
    </w:p>
    <w:p>
      <w:pPr>
        <w:pStyle w:val="BodyText"/>
        <w:spacing w:before="1"/>
        <w:ind w:left="0" w:firstLine="0"/>
        <w:rPr>
          <w:rFonts w:ascii="Georgia-BoldItalic"/>
          <w:b/>
          <w:i/>
          <w:sz w:val="41"/>
        </w:rPr>
      </w:pPr>
    </w:p>
    <w:p>
      <w:pPr>
        <w:spacing w:before="0"/>
        <w:ind w:left="2945" w:right="0" w:firstLine="0"/>
        <w:jc w:val="left"/>
        <w:rPr>
          <w:rFonts w:ascii="Georgia-BoldItalic" w:hAnsi="Georgia-BoldItalic"/>
          <w:b/>
          <w:i/>
          <w:sz w:val="24"/>
        </w:rPr>
      </w:pPr>
      <w:r>
        <w:rPr>
          <w:rFonts w:ascii="Georgia-BoldItalic" w:hAnsi="Georgia-BoldItalic"/>
          <w:b/>
          <w:i/>
          <w:w w:val="110"/>
          <w:sz w:val="24"/>
        </w:rPr>
        <w:t>Vegyes és záró rendelkezések</w:t>
      </w:r>
    </w:p>
    <w:p>
      <w:pPr>
        <w:pStyle w:val="BodyText"/>
        <w:spacing w:before="9"/>
        <w:ind w:left="0" w:firstLine="0"/>
        <w:rPr>
          <w:rFonts w:ascii="Georgia-BoldItalic"/>
          <w:b/>
          <w:i/>
          <w:sz w:val="40"/>
        </w:rPr>
      </w:pPr>
    </w:p>
    <w:p>
      <w:pPr>
        <w:pStyle w:val="BodyText"/>
        <w:ind w:left="3289" w:firstLine="0"/>
      </w:pPr>
      <w:r>
        <w:rPr>
          <w:w w:val="125"/>
        </w:rPr>
        <w:t>127. Vegyes rendelkezések</w:t>
      </w:r>
    </w:p>
    <w:p>
      <w:pPr>
        <w:pStyle w:val="BodyText"/>
        <w:ind w:left="0" w:firstLine="0"/>
        <w:rPr>
          <w:sz w:val="20"/>
        </w:rPr>
      </w:pPr>
    </w:p>
    <w:p>
      <w:pPr>
        <w:pStyle w:val="BodyText"/>
        <w:spacing w:before="1"/>
        <w:ind w:left="0" w:firstLine="0"/>
        <w:rPr>
          <w:sz w:val="23"/>
        </w:rPr>
      </w:pPr>
      <w:r>
        <w:rPr/>
        <w:pict>
          <v:line style="position:absolute;mso-position-horizontal-relative:page;mso-position-vertical-relative:paragraph;z-index:2744;mso-wrap-distance-left:0;mso-wrap-distance-right:0" from="56.693001pt,15.499236pt" to="538.583001pt,15.499236pt" stroked="true" strokeweight=".5pt" strokecolor="#000000">
            <v:stroke dashstyle="solid"/>
            <w10:wrap type="topAndBottom"/>
          </v:line>
        </w:pict>
      </w:r>
    </w:p>
    <w:p>
      <w:pPr>
        <w:pStyle w:val="ListParagraph"/>
        <w:numPr>
          <w:ilvl w:val="0"/>
          <w:numId w:val="628"/>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9"/>
          <w:w w:val="125"/>
          <w:sz w:val="18"/>
        </w:rPr>
        <w:t> </w:t>
      </w:r>
      <w:r>
        <w:rPr>
          <w:i/>
          <w:w w:val="125"/>
          <w:sz w:val="18"/>
        </w:rPr>
        <w:t>2014.</w:t>
      </w:r>
      <w:r>
        <w:rPr>
          <w:i/>
          <w:spacing w:val="-8"/>
          <w:w w:val="125"/>
          <w:sz w:val="18"/>
        </w:rPr>
        <w:t> </w:t>
      </w:r>
      <w:r>
        <w:rPr>
          <w:i/>
          <w:w w:val="125"/>
          <w:sz w:val="18"/>
        </w:rPr>
        <w:t>évi</w:t>
      </w:r>
      <w:r>
        <w:rPr>
          <w:i/>
          <w:spacing w:val="-8"/>
          <w:w w:val="125"/>
          <w:sz w:val="18"/>
        </w:rPr>
        <w:t> </w:t>
      </w:r>
      <w:r>
        <w:rPr>
          <w:i/>
          <w:w w:val="125"/>
          <w:sz w:val="18"/>
        </w:rPr>
        <w:t>XIX.</w:t>
      </w:r>
      <w:r>
        <w:rPr>
          <w:i/>
          <w:spacing w:val="-9"/>
          <w:w w:val="125"/>
          <w:sz w:val="18"/>
        </w:rPr>
        <w:t> </w:t>
      </w:r>
      <w:r>
        <w:rPr>
          <w:i/>
          <w:w w:val="125"/>
          <w:sz w:val="18"/>
        </w:rPr>
        <w:t>törvény</w:t>
      </w:r>
      <w:r>
        <w:rPr>
          <w:i/>
          <w:spacing w:val="-8"/>
          <w:w w:val="125"/>
          <w:sz w:val="18"/>
        </w:rPr>
        <w:t> </w:t>
      </w:r>
      <w:r>
        <w:rPr>
          <w:i/>
          <w:w w:val="125"/>
          <w:sz w:val="18"/>
        </w:rPr>
        <w:t>22.</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2014.</w:t>
      </w:r>
      <w:r>
        <w:rPr>
          <w:i/>
          <w:spacing w:val="-9"/>
          <w:w w:val="125"/>
          <w:sz w:val="18"/>
        </w:rPr>
        <w:t> </w:t>
      </w:r>
      <w:r>
        <w:rPr>
          <w:i/>
          <w:w w:val="125"/>
          <w:sz w:val="18"/>
        </w:rPr>
        <w:t>VII.</w:t>
      </w:r>
      <w:r>
        <w:rPr>
          <w:i/>
          <w:spacing w:val="-7"/>
          <w:w w:val="125"/>
          <w:sz w:val="18"/>
        </w:rPr>
        <w:t> </w:t>
      </w:r>
      <w:r>
        <w:rPr>
          <w:i/>
          <w:w w:val="125"/>
          <w:sz w:val="18"/>
        </w:rPr>
        <w:t>16-tól.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9"/>
          <w:w w:val="125"/>
          <w:sz w:val="18"/>
        </w:rPr>
        <w:t> </w:t>
      </w:r>
      <w:r>
        <w:rPr>
          <w:i/>
          <w:w w:val="125"/>
          <w:sz w:val="18"/>
        </w:rPr>
        <w:t>2014.</w:t>
      </w:r>
      <w:r>
        <w:rPr>
          <w:i/>
          <w:spacing w:val="-8"/>
          <w:w w:val="125"/>
          <w:sz w:val="18"/>
        </w:rPr>
        <w:t> </w:t>
      </w:r>
      <w:r>
        <w:rPr>
          <w:i/>
          <w:w w:val="125"/>
          <w:sz w:val="18"/>
        </w:rPr>
        <w:t>évi</w:t>
      </w:r>
      <w:r>
        <w:rPr>
          <w:i/>
          <w:spacing w:val="-8"/>
          <w:w w:val="125"/>
          <w:sz w:val="18"/>
        </w:rPr>
        <w:t> </w:t>
      </w:r>
      <w:r>
        <w:rPr>
          <w:i/>
          <w:w w:val="125"/>
          <w:sz w:val="18"/>
        </w:rPr>
        <w:t>XIX.</w:t>
      </w:r>
      <w:r>
        <w:rPr>
          <w:i/>
          <w:spacing w:val="-9"/>
          <w:w w:val="125"/>
          <w:sz w:val="18"/>
        </w:rPr>
        <w:t> </w:t>
      </w:r>
      <w:r>
        <w:rPr>
          <w:i/>
          <w:w w:val="125"/>
          <w:sz w:val="18"/>
        </w:rPr>
        <w:t>törvény</w:t>
      </w:r>
      <w:r>
        <w:rPr>
          <w:i/>
          <w:spacing w:val="-8"/>
          <w:w w:val="125"/>
          <w:sz w:val="18"/>
        </w:rPr>
        <w:t> </w:t>
      </w:r>
      <w:r>
        <w:rPr>
          <w:i/>
          <w:w w:val="125"/>
          <w:sz w:val="18"/>
        </w:rPr>
        <w:t>22.</w:t>
      </w:r>
      <w:r>
        <w:rPr>
          <w:i/>
          <w:spacing w:val="-8"/>
          <w:w w:val="125"/>
          <w:sz w:val="18"/>
        </w:rPr>
        <w:t> </w:t>
      </w:r>
      <w:r>
        <w:rPr>
          <w:i/>
          <w:w w:val="125"/>
          <w:sz w:val="18"/>
        </w:rPr>
        <w:t>§.</w:t>
      </w:r>
      <w:r>
        <w:rPr>
          <w:i/>
          <w:spacing w:val="-8"/>
          <w:w w:val="125"/>
          <w:sz w:val="18"/>
        </w:rPr>
        <w:t> </w:t>
      </w:r>
      <w:r>
        <w:rPr>
          <w:i/>
          <w:w w:val="125"/>
          <w:sz w:val="18"/>
        </w:rPr>
        <w:t>Hatályos:</w:t>
      </w:r>
      <w:r>
        <w:rPr>
          <w:i/>
          <w:spacing w:val="-7"/>
          <w:w w:val="125"/>
          <w:sz w:val="18"/>
        </w:rPr>
        <w:t> </w:t>
      </w:r>
      <w:r>
        <w:rPr>
          <w:i/>
          <w:w w:val="125"/>
          <w:sz w:val="18"/>
        </w:rPr>
        <w:t>2014.</w:t>
      </w:r>
      <w:r>
        <w:rPr>
          <w:i/>
          <w:spacing w:val="-9"/>
          <w:w w:val="125"/>
          <w:sz w:val="18"/>
        </w:rPr>
        <w:t> </w:t>
      </w:r>
      <w:r>
        <w:rPr>
          <w:i/>
          <w:w w:val="125"/>
          <w:sz w:val="18"/>
        </w:rPr>
        <w:t>VII.</w:t>
      </w:r>
      <w:r>
        <w:rPr>
          <w:i/>
          <w:spacing w:val="-7"/>
          <w:w w:val="125"/>
          <w:sz w:val="18"/>
        </w:rPr>
        <w:t> </w:t>
      </w:r>
      <w:r>
        <w:rPr>
          <w:i/>
          <w:w w:val="125"/>
          <w:sz w:val="18"/>
        </w:rPr>
        <w:t>16-tól.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CXCII.</w:t>
      </w:r>
      <w:r>
        <w:rPr>
          <w:i/>
          <w:spacing w:val="-8"/>
          <w:w w:val="125"/>
          <w:sz w:val="18"/>
        </w:rPr>
        <w:t> </w:t>
      </w:r>
      <w:r>
        <w:rPr>
          <w:i/>
          <w:w w:val="125"/>
          <w:sz w:val="18"/>
        </w:rPr>
        <w:t>törvény</w:t>
      </w:r>
      <w:r>
        <w:rPr>
          <w:i/>
          <w:spacing w:val="-9"/>
          <w:w w:val="125"/>
          <w:sz w:val="18"/>
        </w:rPr>
        <w:t> </w:t>
      </w:r>
      <w:r>
        <w:rPr>
          <w:i/>
          <w:w w:val="125"/>
          <w:sz w:val="18"/>
        </w:rPr>
        <w:t>18.</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CXCII.</w:t>
      </w:r>
      <w:r>
        <w:rPr>
          <w:i/>
          <w:spacing w:val="-8"/>
          <w:w w:val="125"/>
          <w:sz w:val="18"/>
        </w:rPr>
        <w:t> </w:t>
      </w:r>
      <w:r>
        <w:rPr>
          <w:i/>
          <w:w w:val="125"/>
          <w:sz w:val="18"/>
        </w:rPr>
        <w:t>törvény</w:t>
      </w:r>
      <w:r>
        <w:rPr>
          <w:i/>
          <w:spacing w:val="-9"/>
          <w:w w:val="125"/>
          <w:sz w:val="18"/>
        </w:rPr>
        <w:t> </w:t>
      </w:r>
      <w:r>
        <w:rPr>
          <w:i/>
          <w:w w:val="125"/>
          <w:sz w:val="18"/>
        </w:rPr>
        <w:t>18.</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628"/>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10"/>
          <w:w w:val="125"/>
          <w:sz w:val="18"/>
        </w:rPr>
        <w:t> </w:t>
      </w:r>
      <w:r>
        <w:rPr>
          <w:i/>
          <w:w w:val="125"/>
          <w:sz w:val="18"/>
        </w:rPr>
        <w:t>2015.</w:t>
      </w:r>
      <w:r>
        <w:rPr>
          <w:i/>
          <w:spacing w:val="-9"/>
          <w:w w:val="125"/>
          <w:sz w:val="18"/>
        </w:rPr>
        <w:t> </w:t>
      </w:r>
      <w:r>
        <w:rPr>
          <w:i/>
          <w:w w:val="125"/>
          <w:sz w:val="18"/>
        </w:rPr>
        <w:t>évi</w:t>
      </w:r>
      <w:r>
        <w:rPr>
          <w:i/>
          <w:spacing w:val="-9"/>
          <w:w w:val="125"/>
          <w:sz w:val="18"/>
        </w:rPr>
        <w:t> </w:t>
      </w:r>
      <w:r>
        <w:rPr>
          <w:i/>
          <w:w w:val="125"/>
          <w:sz w:val="18"/>
        </w:rPr>
        <w:t>CXCII.</w:t>
      </w:r>
      <w:r>
        <w:rPr>
          <w:i/>
          <w:spacing w:val="-8"/>
          <w:w w:val="125"/>
          <w:sz w:val="18"/>
        </w:rPr>
        <w:t> </w:t>
      </w:r>
      <w:r>
        <w:rPr>
          <w:i/>
          <w:w w:val="125"/>
          <w:sz w:val="18"/>
        </w:rPr>
        <w:t>törvény</w:t>
      </w:r>
      <w:r>
        <w:rPr>
          <w:i/>
          <w:spacing w:val="-9"/>
          <w:w w:val="125"/>
          <w:sz w:val="18"/>
        </w:rPr>
        <w:t> </w:t>
      </w:r>
      <w:r>
        <w:rPr>
          <w:i/>
          <w:w w:val="125"/>
          <w:sz w:val="18"/>
        </w:rPr>
        <w:t>18.</w:t>
      </w:r>
      <w:r>
        <w:rPr>
          <w:i/>
          <w:spacing w:val="-9"/>
          <w:w w:val="125"/>
          <w:sz w:val="18"/>
        </w:rPr>
        <w:t> </w:t>
      </w:r>
      <w:r>
        <w:rPr>
          <w:i/>
          <w:w w:val="125"/>
          <w:sz w:val="18"/>
        </w:rPr>
        <w:t>§.</w:t>
      </w:r>
      <w:r>
        <w:rPr>
          <w:i/>
          <w:spacing w:val="-8"/>
          <w:w w:val="125"/>
          <w:sz w:val="18"/>
        </w:rPr>
        <w:t> </w:t>
      </w:r>
      <w:r>
        <w:rPr>
          <w:i/>
          <w:w w:val="125"/>
          <w:sz w:val="18"/>
        </w:rPr>
        <w:t>Hatályos:</w:t>
      </w:r>
      <w:r>
        <w:rPr>
          <w:i/>
          <w:spacing w:val="-9"/>
          <w:w w:val="125"/>
          <w:sz w:val="18"/>
        </w:rPr>
        <w:t> </w:t>
      </w:r>
      <w:r>
        <w:rPr>
          <w:i/>
          <w:w w:val="125"/>
          <w:sz w:val="18"/>
        </w:rPr>
        <w:t>2016.</w:t>
      </w:r>
      <w:r>
        <w:rPr>
          <w:i/>
          <w:spacing w:val="-9"/>
          <w:w w:val="125"/>
          <w:sz w:val="18"/>
        </w:rPr>
        <w:t> </w:t>
      </w:r>
      <w:r>
        <w:rPr>
          <w:i/>
          <w:w w:val="125"/>
          <w:sz w:val="18"/>
        </w:rPr>
        <w:t>I.</w:t>
      </w:r>
      <w:r>
        <w:rPr>
          <w:i/>
          <w:spacing w:val="-8"/>
          <w:w w:val="125"/>
          <w:sz w:val="18"/>
        </w:rPr>
        <w:t> </w:t>
      </w:r>
      <w:r>
        <w:rPr>
          <w:i/>
          <w:w w:val="125"/>
          <w:sz w:val="18"/>
        </w:rPr>
        <w:t>1-től.</w:t>
      </w:r>
    </w:p>
    <w:p>
      <w:pPr>
        <w:pStyle w:val="ListParagraph"/>
        <w:numPr>
          <w:ilvl w:val="0"/>
          <w:numId w:val="628"/>
        </w:numPr>
        <w:tabs>
          <w:tab w:pos="686" w:val="left" w:leader="none"/>
          <w:tab w:pos="687" w:val="left" w:leader="none"/>
        </w:tabs>
        <w:spacing w:line="203" w:lineRule="exact" w:before="0" w:after="0"/>
        <w:ind w:left="686" w:right="0" w:hanging="344"/>
        <w:jc w:val="left"/>
        <w:rPr>
          <w:i/>
          <w:sz w:val="18"/>
        </w:rPr>
      </w:pPr>
      <w:r>
        <w:rPr>
          <w:i/>
          <w:w w:val="125"/>
          <w:sz w:val="18"/>
        </w:rPr>
        <w:t>Módosította: 2017. évi LXIX. törvény 178. §</w:t>
      </w:r>
      <w:r>
        <w:rPr>
          <w:i/>
          <w:spacing w:val="-4"/>
          <w:w w:val="125"/>
          <w:sz w:val="18"/>
        </w:rPr>
        <w:t> </w:t>
      </w:r>
      <w:r>
        <w:rPr>
          <w:i/>
          <w:w w:val="125"/>
          <w:sz w:val="18"/>
        </w:rPr>
        <w:t>h).</w:t>
      </w:r>
    </w:p>
    <w:p>
      <w:pPr>
        <w:spacing w:after="0" w:line="203" w:lineRule="exact"/>
        <w:jc w:val="left"/>
        <w:rPr>
          <w:sz w:val="18"/>
        </w:rPr>
        <w:sectPr>
          <w:pgSz w:w="11900" w:h="16820"/>
          <w:pgMar w:header="1104" w:footer="0" w:top="1840" w:bottom="280" w:left="1020" w:right="1000"/>
        </w:sectPr>
      </w:pPr>
    </w:p>
    <w:p>
      <w:pPr>
        <w:pStyle w:val="ListParagraph"/>
        <w:numPr>
          <w:ilvl w:val="0"/>
          <w:numId w:val="623"/>
        </w:numPr>
        <w:tabs>
          <w:tab w:pos="1011" w:val="left" w:leader="none"/>
        </w:tabs>
        <w:spacing w:line="269" w:lineRule="exact" w:before="158" w:after="0"/>
        <w:ind w:left="1010" w:right="0" w:hanging="693"/>
        <w:jc w:val="left"/>
        <w:rPr>
          <w:sz w:val="24"/>
        </w:rPr>
      </w:pPr>
      <w:r>
        <w:rPr>
          <w:rFonts w:ascii="Arial" w:hAnsi="Arial"/>
          <w:b/>
          <w:w w:val="125"/>
          <w:sz w:val="24"/>
        </w:rPr>
        <w:t>§</w:t>
      </w:r>
      <w:r>
        <w:rPr>
          <w:rFonts w:ascii="Arial" w:hAnsi="Arial"/>
          <w:b/>
          <w:spacing w:val="18"/>
          <w:w w:val="125"/>
          <w:sz w:val="24"/>
        </w:rPr>
        <w:t> </w:t>
      </w:r>
      <w:r>
        <w:rPr>
          <w:w w:val="125"/>
          <w:sz w:val="24"/>
        </w:rPr>
        <w:t>(1)</w:t>
      </w:r>
      <w:r>
        <w:rPr>
          <w:spacing w:val="19"/>
          <w:w w:val="125"/>
          <w:sz w:val="24"/>
        </w:rPr>
        <w:t> </w:t>
      </w:r>
      <w:r>
        <w:rPr>
          <w:w w:val="125"/>
          <w:sz w:val="24"/>
        </w:rPr>
        <w:t>Az</w:t>
      </w:r>
      <w:r>
        <w:rPr>
          <w:spacing w:val="18"/>
          <w:w w:val="125"/>
          <w:sz w:val="24"/>
        </w:rPr>
        <w:t> </w:t>
      </w:r>
      <w:r>
        <w:rPr>
          <w:w w:val="125"/>
          <w:sz w:val="24"/>
        </w:rPr>
        <w:t>575/2013/EU</w:t>
      </w:r>
      <w:r>
        <w:rPr>
          <w:spacing w:val="19"/>
          <w:w w:val="125"/>
          <w:sz w:val="24"/>
        </w:rPr>
        <w:t> </w:t>
      </w:r>
      <w:r>
        <w:rPr>
          <w:w w:val="125"/>
          <w:sz w:val="24"/>
        </w:rPr>
        <w:t>rendelet</w:t>
      </w:r>
      <w:r>
        <w:rPr>
          <w:spacing w:val="19"/>
          <w:w w:val="125"/>
          <w:sz w:val="24"/>
        </w:rPr>
        <w:t> </w:t>
      </w:r>
      <w:r>
        <w:rPr>
          <w:w w:val="125"/>
          <w:sz w:val="24"/>
        </w:rPr>
        <w:t>458.</w:t>
      </w:r>
      <w:r>
        <w:rPr>
          <w:spacing w:val="19"/>
          <w:w w:val="125"/>
          <w:sz w:val="24"/>
        </w:rPr>
        <w:t> </w:t>
      </w:r>
      <w:r>
        <w:rPr>
          <w:w w:val="125"/>
          <w:sz w:val="24"/>
        </w:rPr>
        <w:t>cikk</w:t>
      </w:r>
      <w:r>
        <w:rPr>
          <w:spacing w:val="19"/>
          <w:w w:val="125"/>
          <w:sz w:val="24"/>
        </w:rPr>
        <w:t> </w:t>
      </w:r>
      <w:r>
        <w:rPr>
          <w:w w:val="125"/>
          <w:sz w:val="24"/>
        </w:rPr>
        <w:t>(2)</w:t>
      </w:r>
      <w:r>
        <w:rPr>
          <w:spacing w:val="19"/>
          <w:w w:val="125"/>
          <w:sz w:val="24"/>
        </w:rPr>
        <w:t> </w:t>
      </w:r>
      <w:r>
        <w:rPr>
          <w:w w:val="125"/>
          <w:sz w:val="24"/>
        </w:rPr>
        <w:t>bekezdés</w:t>
      </w:r>
      <w:r>
        <w:rPr>
          <w:spacing w:val="17"/>
          <w:w w:val="125"/>
          <w:sz w:val="24"/>
        </w:rPr>
        <w:t> </w:t>
      </w:r>
      <w:r>
        <w:rPr>
          <w:i/>
          <w:w w:val="125"/>
          <w:sz w:val="24"/>
        </w:rPr>
        <w:t>d)</w:t>
      </w:r>
      <w:r>
        <w:rPr>
          <w:i/>
          <w:spacing w:val="18"/>
          <w:w w:val="125"/>
          <w:sz w:val="24"/>
        </w:rPr>
        <w:t> </w:t>
      </w:r>
      <w:r>
        <w:rPr>
          <w:w w:val="125"/>
          <w:sz w:val="24"/>
        </w:rPr>
        <w:t>pont</w:t>
      </w:r>
      <w:r>
        <w:rPr>
          <w:spacing w:val="19"/>
          <w:w w:val="125"/>
          <w:sz w:val="24"/>
        </w:rPr>
        <w:t> </w:t>
      </w:r>
      <w:r>
        <w:rPr>
          <w:i/>
          <w:w w:val="125"/>
          <w:sz w:val="24"/>
        </w:rPr>
        <w:t>i)-iv)</w:t>
      </w:r>
      <w:r>
        <w:rPr>
          <w:i/>
          <w:spacing w:val="20"/>
          <w:w w:val="125"/>
          <w:sz w:val="24"/>
        </w:rPr>
        <w:t> </w:t>
      </w:r>
      <w:r>
        <w:rPr>
          <w:w w:val="125"/>
          <w:sz w:val="24"/>
        </w:rPr>
        <w:t>és</w:t>
      </w:r>
    </w:p>
    <w:p>
      <w:pPr>
        <w:pStyle w:val="BodyText"/>
        <w:spacing w:line="225" w:lineRule="auto" w:before="6"/>
        <w:ind w:firstLine="0"/>
      </w:pPr>
      <w:r>
        <w:rPr>
          <w:i/>
          <w:w w:val="130"/>
        </w:rPr>
        <w:t>vii) </w:t>
      </w:r>
      <w:r>
        <w:rPr>
          <w:w w:val="130"/>
        </w:rPr>
        <w:t>alpont alkalmazásában kijelölt hatóság a pénz-, tőke és biztosítási piac</w:t>
      </w:r>
      <w:r>
        <w:rPr>
          <w:spacing w:val="78"/>
          <w:w w:val="130"/>
        </w:rPr>
        <w:t> </w:t>
      </w:r>
      <w:r>
        <w:rPr>
          <w:w w:val="130"/>
        </w:rPr>
        <w:t>szabályozásáért felelős miniszter.</w:t>
      </w:r>
    </w:p>
    <w:p>
      <w:pPr>
        <w:pStyle w:val="BodyText"/>
        <w:spacing w:line="225" w:lineRule="auto" w:before="1"/>
      </w:pPr>
      <w:r>
        <w:rPr>
          <w:w w:val="125"/>
        </w:rPr>
        <w:t>(2) Az 575/2013/EU rendelet 458. cikk (2) bekezdés </w:t>
      </w:r>
      <w:r>
        <w:rPr>
          <w:i/>
          <w:w w:val="125"/>
        </w:rPr>
        <w:t>d) </w:t>
      </w:r>
      <w:r>
        <w:rPr>
          <w:w w:val="125"/>
        </w:rPr>
        <w:t>pont </w:t>
      </w:r>
      <w:r>
        <w:rPr>
          <w:i/>
          <w:w w:val="125"/>
        </w:rPr>
        <w:t>v) </w:t>
      </w:r>
      <w:r>
        <w:rPr>
          <w:w w:val="125"/>
        </w:rPr>
        <w:t>és </w:t>
      </w:r>
      <w:r>
        <w:rPr>
          <w:i/>
          <w:w w:val="125"/>
        </w:rPr>
        <w:t>vi) </w:t>
      </w:r>
      <w:r>
        <w:rPr>
          <w:w w:val="125"/>
        </w:rPr>
        <w:t>alpont alkalmazásában kijelölt hatóság az MNB.</w:t>
      </w:r>
    </w:p>
    <w:p>
      <w:pPr>
        <w:tabs>
          <w:tab w:pos="6995" w:val="left" w:leader="none"/>
        </w:tabs>
        <w:spacing w:line="249" w:lineRule="exact" w:before="0"/>
        <w:ind w:left="317" w:right="0" w:firstLine="0"/>
        <w:jc w:val="left"/>
        <w:rPr>
          <w:sz w:val="24"/>
        </w:rPr>
      </w:pPr>
      <w:r>
        <w:rPr>
          <w:rFonts w:ascii="Arial" w:hAnsi="Arial"/>
          <w:b/>
          <w:w w:val="120"/>
          <w:sz w:val="24"/>
        </w:rPr>
        <w:t>289/A.  §</w:t>
      </w:r>
      <w:r>
        <w:rPr>
          <w:i/>
          <w:w w:val="120"/>
          <w:position w:val="3"/>
          <w:sz w:val="18"/>
        </w:rPr>
        <w:t>1    </w:t>
      </w:r>
      <w:r>
        <w:rPr>
          <w:w w:val="120"/>
          <w:sz w:val="24"/>
        </w:rPr>
        <w:t>(1)   A   6.   §   (4)   bekezdés   </w:t>
      </w:r>
      <w:r>
        <w:rPr>
          <w:i/>
          <w:w w:val="120"/>
          <w:sz w:val="24"/>
        </w:rPr>
        <w:t>k)</w:t>
      </w:r>
      <w:r>
        <w:rPr>
          <w:i/>
          <w:spacing w:val="-3"/>
          <w:w w:val="120"/>
          <w:sz w:val="24"/>
        </w:rPr>
        <w:t> </w:t>
      </w:r>
      <w:r>
        <w:rPr>
          <w:w w:val="120"/>
          <w:sz w:val="24"/>
        </w:rPr>
        <w:t>pont </w:t>
      </w:r>
      <w:r>
        <w:rPr>
          <w:spacing w:val="47"/>
          <w:w w:val="120"/>
          <w:sz w:val="24"/>
        </w:rPr>
        <w:t> </w:t>
      </w:r>
      <w:r>
        <w:rPr>
          <w:i/>
          <w:w w:val="120"/>
          <w:sz w:val="24"/>
        </w:rPr>
        <w:t>ka)</w:t>
        <w:tab/>
      </w:r>
      <w:r>
        <w:rPr>
          <w:w w:val="120"/>
          <w:sz w:val="24"/>
        </w:rPr>
        <w:t>vagy </w:t>
      </w:r>
      <w:r>
        <w:rPr>
          <w:i/>
          <w:w w:val="120"/>
          <w:sz w:val="24"/>
        </w:rPr>
        <w:t>kb)</w:t>
      </w:r>
      <w:r>
        <w:rPr>
          <w:i/>
          <w:spacing w:val="8"/>
          <w:w w:val="120"/>
          <w:sz w:val="24"/>
        </w:rPr>
        <w:t> </w:t>
      </w:r>
      <w:r>
        <w:rPr>
          <w:w w:val="120"/>
          <w:sz w:val="24"/>
        </w:rPr>
        <w:t>alpontjában</w:t>
      </w:r>
    </w:p>
    <w:p>
      <w:pPr>
        <w:pStyle w:val="BodyText"/>
        <w:spacing w:line="225" w:lineRule="auto" w:before="12"/>
        <w:ind w:right="132" w:firstLine="0"/>
        <w:jc w:val="both"/>
      </w:pPr>
      <w:r>
        <w:rPr>
          <w:w w:val="125"/>
        </w:rPr>
        <w:t>meghatározott specifikus készpénz-helyettesítő fizetési eszköz kibocsátója bejelenti a Felügyeletnek, ha az általa kibocsátott specifikus készpénz-helyettesítő fizetési eszközökkel teljesített fizetési műveletek összértéke a megelőző tizenkét hónapban meghaladta a 300 millió forintot.</w:t>
      </w:r>
    </w:p>
    <w:p>
      <w:pPr>
        <w:pStyle w:val="ListParagraph"/>
        <w:numPr>
          <w:ilvl w:val="0"/>
          <w:numId w:val="629"/>
        </w:numPr>
        <w:tabs>
          <w:tab w:pos="894" w:val="left" w:leader="none"/>
        </w:tabs>
        <w:spacing w:line="225" w:lineRule="auto" w:before="2" w:after="0"/>
        <w:ind w:left="113" w:right="125" w:firstLine="204"/>
        <w:jc w:val="both"/>
        <w:rPr>
          <w:sz w:val="24"/>
        </w:rPr>
      </w:pPr>
      <w:r>
        <w:rPr>
          <w:w w:val="125"/>
          <w:sz w:val="24"/>
        </w:rPr>
        <w:t>Az (1) bekezdésben meghatározott bejelentésben a kibocsátónak ismertetnie kell a specifikus készpénz-helyettesítő fizetési eszközzel igénybe vehető szolgáltatásokat, valamint meg kell határozni, hogy a kibocsátó megítélése szerint a 6. § (4) bekezdés </w:t>
      </w:r>
      <w:r>
        <w:rPr>
          <w:i/>
          <w:w w:val="125"/>
          <w:sz w:val="24"/>
        </w:rPr>
        <w:t>k) </w:t>
      </w:r>
      <w:r>
        <w:rPr>
          <w:w w:val="125"/>
          <w:sz w:val="24"/>
        </w:rPr>
        <w:t>pont </w:t>
      </w:r>
      <w:r>
        <w:rPr>
          <w:i/>
          <w:w w:val="125"/>
          <w:sz w:val="24"/>
        </w:rPr>
        <w:t>ka) </w:t>
      </w:r>
      <w:r>
        <w:rPr>
          <w:w w:val="125"/>
          <w:sz w:val="24"/>
        </w:rPr>
        <w:t>vagy </w:t>
      </w:r>
      <w:r>
        <w:rPr>
          <w:i/>
          <w:w w:val="125"/>
          <w:sz w:val="24"/>
        </w:rPr>
        <w:t>kb) </w:t>
      </w:r>
      <w:r>
        <w:rPr>
          <w:w w:val="125"/>
          <w:sz w:val="24"/>
        </w:rPr>
        <w:t>alpontja szerint  végzi tevékenységét.</w:t>
      </w:r>
    </w:p>
    <w:p>
      <w:pPr>
        <w:pStyle w:val="ListParagraph"/>
        <w:numPr>
          <w:ilvl w:val="0"/>
          <w:numId w:val="629"/>
        </w:numPr>
        <w:tabs>
          <w:tab w:pos="868" w:val="left" w:leader="none"/>
        </w:tabs>
        <w:spacing w:line="225" w:lineRule="auto" w:before="3" w:after="0"/>
        <w:ind w:left="113" w:right="127" w:firstLine="204"/>
        <w:jc w:val="both"/>
        <w:rPr>
          <w:sz w:val="24"/>
        </w:rPr>
      </w:pPr>
      <w:r>
        <w:rPr>
          <w:w w:val="130"/>
          <w:sz w:val="24"/>
        </w:rPr>
        <w:t>Az (1) és (2) bekezdésben meghatározottak alapján a Felügyelet határozatban dönt arról, hogy a kibocsátó által nyújtott szolgáltatás pénzforgalmi szolgáltatásnak</w:t>
      </w:r>
      <w:r>
        <w:rPr>
          <w:spacing w:val="-10"/>
          <w:w w:val="130"/>
          <w:sz w:val="24"/>
        </w:rPr>
        <w:t> </w:t>
      </w:r>
      <w:r>
        <w:rPr>
          <w:w w:val="130"/>
          <w:sz w:val="24"/>
        </w:rPr>
        <w:t>minősül-e.</w:t>
      </w:r>
    </w:p>
    <w:p>
      <w:pPr>
        <w:pStyle w:val="ListParagraph"/>
        <w:numPr>
          <w:ilvl w:val="0"/>
          <w:numId w:val="629"/>
        </w:numPr>
        <w:tabs>
          <w:tab w:pos="807" w:val="left" w:leader="none"/>
        </w:tabs>
        <w:spacing w:line="225" w:lineRule="auto" w:before="2" w:after="0"/>
        <w:ind w:left="113" w:right="124" w:firstLine="204"/>
        <w:jc w:val="both"/>
        <w:rPr>
          <w:sz w:val="24"/>
        </w:rPr>
      </w:pPr>
      <w:r>
        <w:rPr>
          <w:w w:val="125"/>
          <w:sz w:val="24"/>
        </w:rPr>
        <w:t>A 6. § (4) bekezdés </w:t>
      </w:r>
      <w:r>
        <w:rPr>
          <w:i/>
          <w:w w:val="125"/>
          <w:sz w:val="24"/>
        </w:rPr>
        <w:t>l) </w:t>
      </w:r>
      <w:r>
        <w:rPr>
          <w:w w:val="125"/>
          <w:sz w:val="24"/>
        </w:rPr>
        <w:t>pontjában meghatározott tevékenységet végző szolgáltató minden év május 31-ig köteles a Felügyeletnek megküldeni egy olyan éves ellenőri véleményt, amely igazolja, hogy az általa nyújtott szolgáltatás - a 6. § (4) bekezdés </w:t>
      </w:r>
      <w:r>
        <w:rPr>
          <w:i/>
          <w:w w:val="125"/>
          <w:sz w:val="24"/>
        </w:rPr>
        <w:t>l) </w:t>
      </w:r>
      <w:r>
        <w:rPr>
          <w:w w:val="125"/>
          <w:sz w:val="24"/>
        </w:rPr>
        <w:t>pontjában meghatározott értékhatárokra is figyelemmel - nem minősül pénzforgalmi</w:t>
      </w:r>
      <w:r>
        <w:rPr>
          <w:spacing w:val="-1"/>
          <w:w w:val="125"/>
          <w:sz w:val="24"/>
        </w:rPr>
        <w:t> </w:t>
      </w:r>
      <w:r>
        <w:rPr>
          <w:w w:val="125"/>
          <w:sz w:val="24"/>
        </w:rPr>
        <w:t>szolgáltatásnak.</w:t>
      </w:r>
    </w:p>
    <w:p>
      <w:pPr>
        <w:pStyle w:val="BodyText"/>
        <w:spacing w:before="229"/>
        <w:ind w:left="2895" w:firstLine="0"/>
      </w:pPr>
      <w:r>
        <w:rPr>
          <w:w w:val="130"/>
        </w:rPr>
        <w:t>128. Felhatalmazó rendelkezések</w:t>
      </w:r>
    </w:p>
    <w:p>
      <w:pPr>
        <w:pStyle w:val="ListParagraph"/>
        <w:numPr>
          <w:ilvl w:val="0"/>
          <w:numId w:val="623"/>
        </w:numPr>
        <w:tabs>
          <w:tab w:pos="1023" w:val="left" w:leader="none"/>
        </w:tabs>
        <w:spacing w:line="225" w:lineRule="auto" w:before="237" w:after="0"/>
        <w:ind w:left="113" w:right="129" w:firstLine="204"/>
        <w:jc w:val="both"/>
        <w:rPr>
          <w:sz w:val="24"/>
        </w:rPr>
      </w:pPr>
      <w:r>
        <w:rPr>
          <w:rFonts w:ascii="Arial" w:hAnsi="Arial"/>
          <w:b/>
          <w:w w:val="125"/>
          <w:sz w:val="24"/>
        </w:rPr>
        <w:t>§ </w:t>
      </w:r>
      <w:r>
        <w:rPr>
          <w:w w:val="125"/>
          <w:sz w:val="24"/>
        </w:rPr>
        <w:t>(1) Felhatalmazást kap a Kormány arra, hogy rendeletben állapítsa meg:</w:t>
      </w:r>
    </w:p>
    <w:p>
      <w:pPr>
        <w:pStyle w:val="ListParagraph"/>
        <w:numPr>
          <w:ilvl w:val="0"/>
          <w:numId w:val="630"/>
        </w:numPr>
        <w:tabs>
          <w:tab w:pos="714" w:val="left" w:leader="none"/>
        </w:tabs>
        <w:spacing w:line="225" w:lineRule="auto" w:before="1" w:after="0"/>
        <w:ind w:left="113" w:right="126" w:firstLine="204"/>
        <w:jc w:val="both"/>
        <w:rPr>
          <w:sz w:val="24"/>
        </w:rPr>
      </w:pPr>
      <w:r>
        <w:rPr>
          <w:w w:val="130"/>
          <w:sz w:val="24"/>
        </w:rPr>
        <w:t>a 3. § (1) bekezdésében, valamint a 3. § (2) bekezdésének </w:t>
      </w:r>
      <w:r>
        <w:rPr>
          <w:i/>
          <w:w w:val="130"/>
          <w:sz w:val="24"/>
        </w:rPr>
        <w:t>a) </w:t>
      </w:r>
      <w:r>
        <w:rPr>
          <w:w w:val="130"/>
          <w:sz w:val="24"/>
        </w:rPr>
        <w:t>és </w:t>
      </w:r>
      <w:r>
        <w:rPr>
          <w:i/>
          <w:w w:val="130"/>
          <w:sz w:val="24"/>
        </w:rPr>
        <w:t>d) </w:t>
      </w:r>
      <w:r>
        <w:rPr>
          <w:w w:val="130"/>
          <w:sz w:val="24"/>
        </w:rPr>
        <w:t>pontjában</w:t>
      </w:r>
      <w:r>
        <w:rPr>
          <w:spacing w:val="-17"/>
          <w:w w:val="130"/>
          <w:sz w:val="24"/>
        </w:rPr>
        <w:t> </w:t>
      </w:r>
      <w:r>
        <w:rPr>
          <w:w w:val="130"/>
          <w:sz w:val="24"/>
        </w:rPr>
        <w:t>meghatározott</w:t>
      </w:r>
      <w:r>
        <w:rPr>
          <w:spacing w:val="-32"/>
          <w:w w:val="130"/>
          <w:sz w:val="24"/>
        </w:rPr>
        <w:t> </w:t>
      </w:r>
      <w:r>
        <w:rPr>
          <w:w w:val="130"/>
          <w:sz w:val="24"/>
        </w:rPr>
        <w:t>szolgáltatások</w:t>
      </w:r>
      <w:r>
        <w:rPr>
          <w:spacing w:val="-24"/>
          <w:w w:val="130"/>
          <w:sz w:val="24"/>
        </w:rPr>
        <w:t> </w:t>
      </w:r>
      <w:r>
        <w:rPr>
          <w:w w:val="130"/>
          <w:sz w:val="24"/>
        </w:rPr>
        <w:t>végzésére,</w:t>
      </w:r>
      <w:r>
        <w:rPr>
          <w:spacing w:val="-24"/>
          <w:w w:val="130"/>
          <w:sz w:val="24"/>
        </w:rPr>
        <w:t> </w:t>
      </w:r>
      <w:r>
        <w:rPr>
          <w:w w:val="130"/>
          <w:sz w:val="24"/>
        </w:rPr>
        <w:t>illetve</w:t>
      </w:r>
      <w:r>
        <w:rPr>
          <w:spacing w:val="-24"/>
          <w:w w:val="130"/>
          <w:sz w:val="24"/>
        </w:rPr>
        <w:t> </w:t>
      </w:r>
      <w:r>
        <w:rPr>
          <w:w w:val="130"/>
          <w:sz w:val="24"/>
        </w:rPr>
        <w:t>kiegészítő</w:t>
      </w:r>
      <w:r>
        <w:rPr>
          <w:spacing w:val="-24"/>
          <w:w w:val="130"/>
          <w:sz w:val="24"/>
        </w:rPr>
        <w:t> </w:t>
      </w:r>
      <w:r>
        <w:rPr>
          <w:w w:val="130"/>
          <w:sz w:val="24"/>
        </w:rPr>
        <w:t>pénzügyi szolgáltatások végzésére, valamint a szolgáltatások nyújtása során kötött szerződések kötelező tartalmi</w:t>
      </w:r>
      <w:r>
        <w:rPr>
          <w:spacing w:val="-13"/>
          <w:w w:val="130"/>
          <w:sz w:val="24"/>
        </w:rPr>
        <w:t> </w:t>
      </w:r>
      <w:r>
        <w:rPr>
          <w:w w:val="130"/>
          <w:sz w:val="24"/>
        </w:rPr>
        <w:t>elemeire,</w:t>
      </w:r>
    </w:p>
    <w:p>
      <w:pPr>
        <w:pStyle w:val="ListParagraph"/>
        <w:numPr>
          <w:ilvl w:val="0"/>
          <w:numId w:val="630"/>
        </w:numPr>
        <w:tabs>
          <w:tab w:pos="653" w:val="left" w:leader="none"/>
        </w:tabs>
        <w:spacing w:line="257" w:lineRule="exact" w:before="0" w:after="0"/>
        <w:ind w:left="652" w:right="0" w:hanging="335"/>
        <w:jc w:val="left"/>
        <w:rPr>
          <w:sz w:val="24"/>
        </w:rPr>
      </w:pPr>
      <w:r>
        <w:rPr>
          <w:w w:val="130"/>
          <w:sz w:val="24"/>
        </w:rPr>
        <w:t>az egységesített betéti kamatláb mutató számítására és</w:t>
      </w:r>
      <w:r>
        <w:rPr>
          <w:spacing w:val="-52"/>
          <w:w w:val="130"/>
          <w:sz w:val="24"/>
        </w:rPr>
        <w:t> </w:t>
      </w:r>
      <w:r>
        <w:rPr>
          <w:w w:val="130"/>
          <w:sz w:val="24"/>
        </w:rPr>
        <w:t>közzétételére,</w:t>
      </w:r>
    </w:p>
    <w:p>
      <w:pPr>
        <w:pStyle w:val="ListParagraph"/>
        <w:numPr>
          <w:ilvl w:val="0"/>
          <w:numId w:val="630"/>
        </w:numPr>
        <w:tabs>
          <w:tab w:pos="547" w:val="left" w:leader="none"/>
        </w:tabs>
        <w:spacing w:line="225" w:lineRule="auto" w:before="5" w:after="0"/>
        <w:ind w:left="113" w:right="126" w:firstLine="204"/>
        <w:jc w:val="both"/>
        <w:rPr>
          <w:sz w:val="24"/>
        </w:rPr>
      </w:pPr>
      <w:r>
        <w:rPr>
          <w:i/>
          <w:w w:val="125"/>
          <w:position w:val="3"/>
          <w:sz w:val="18"/>
        </w:rPr>
        <w:t>2 </w:t>
      </w:r>
      <w:r>
        <w:rPr>
          <w:w w:val="125"/>
          <w:sz w:val="24"/>
        </w:rPr>
        <w:t>a 3. § (1) bekezdésében, valamint a 3. § (2) bekezdésében meghatározott pénzügyi szolgáltatások, illetve kiegészítő pénzügyi szolgáltatások folytatásához szükséges személyi és tárgyi feltételekre, továbbá a tanúsítási eljárás - általános forgalmi adó nélkül számított - maximális díjával szemben támasztott</w:t>
      </w:r>
      <w:r>
        <w:rPr>
          <w:spacing w:val="1"/>
          <w:w w:val="125"/>
          <w:sz w:val="24"/>
        </w:rPr>
        <w:t> </w:t>
      </w:r>
      <w:r>
        <w:rPr>
          <w:w w:val="125"/>
          <w:sz w:val="24"/>
        </w:rPr>
        <w:t>feltételekre,</w:t>
      </w:r>
    </w:p>
    <w:p>
      <w:pPr>
        <w:pStyle w:val="ListParagraph"/>
        <w:numPr>
          <w:ilvl w:val="0"/>
          <w:numId w:val="630"/>
        </w:numPr>
        <w:tabs>
          <w:tab w:pos="653" w:val="left" w:leader="none"/>
        </w:tabs>
        <w:spacing w:line="251" w:lineRule="exact" w:before="0" w:after="0"/>
        <w:ind w:left="652" w:right="0" w:hanging="335"/>
        <w:jc w:val="left"/>
        <w:rPr>
          <w:sz w:val="24"/>
        </w:rPr>
      </w:pPr>
      <w:r>
        <w:rPr>
          <w:w w:val="130"/>
          <w:sz w:val="24"/>
        </w:rPr>
        <w:t>a</w:t>
      </w:r>
      <w:r>
        <w:rPr>
          <w:spacing w:val="-22"/>
          <w:w w:val="130"/>
          <w:sz w:val="24"/>
        </w:rPr>
        <w:t> </w:t>
      </w:r>
      <w:r>
        <w:rPr>
          <w:w w:val="130"/>
          <w:sz w:val="24"/>
        </w:rPr>
        <w:t>hitelintézet</w:t>
      </w:r>
      <w:r>
        <w:rPr>
          <w:spacing w:val="-17"/>
          <w:w w:val="130"/>
          <w:sz w:val="24"/>
        </w:rPr>
        <w:t> </w:t>
      </w:r>
      <w:r>
        <w:rPr>
          <w:w w:val="130"/>
          <w:sz w:val="24"/>
        </w:rPr>
        <w:t>nyilvánosságra</w:t>
      </w:r>
      <w:r>
        <w:rPr>
          <w:spacing w:val="-15"/>
          <w:w w:val="130"/>
          <w:sz w:val="24"/>
        </w:rPr>
        <w:t> </w:t>
      </w:r>
      <w:r>
        <w:rPr>
          <w:w w:val="130"/>
          <w:sz w:val="24"/>
        </w:rPr>
        <w:t>hozatali</w:t>
      </w:r>
      <w:r>
        <w:rPr>
          <w:spacing w:val="-14"/>
          <w:w w:val="130"/>
          <w:sz w:val="24"/>
        </w:rPr>
        <w:t> </w:t>
      </w:r>
      <w:r>
        <w:rPr>
          <w:w w:val="130"/>
          <w:sz w:val="24"/>
        </w:rPr>
        <w:t>követelményeinek</w:t>
      </w:r>
      <w:r>
        <w:rPr>
          <w:spacing w:val="-16"/>
          <w:w w:val="130"/>
          <w:sz w:val="24"/>
        </w:rPr>
        <w:t> </w:t>
      </w:r>
      <w:r>
        <w:rPr>
          <w:w w:val="130"/>
          <w:sz w:val="24"/>
        </w:rPr>
        <w:t>teljesítésére,</w:t>
      </w:r>
    </w:p>
    <w:p>
      <w:pPr>
        <w:pStyle w:val="ListParagraph"/>
        <w:numPr>
          <w:ilvl w:val="0"/>
          <w:numId w:val="630"/>
        </w:numPr>
        <w:tabs>
          <w:tab w:pos="555" w:val="left" w:leader="none"/>
        </w:tabs>
        <w:spacing w:line="261" w:lineRule="exact" w:before="0" w:after="0"/>
        <w:ind w:left="554" w:right="0" w:hanging="237"/>
        <w:jc w:val="left"/>
        <w:rPr>
          <w:sz w:val="24"/>
        </w:rPr>
      </w:pPr>
      <w:r>
        <w:rPr>
          <w:i/>
          <w:w w:val="130"/>
          <w:position w:val="3"/>
          <w:sz w:val="18"/>
        </w:rPr>
        <w:t>3 </w:t>
      </w:r>
      <w:r>
        <w:rPr>
          <w:w w:val="130"/>
          <w:sz w:val="24"/>
        </w:rPr>
        <w:t>a független közvetítők, valamint a jelzáloghitel közvetítői</w:t>
      </w:r>
      <w:r>
        <w:rPr>
          <w:spacing w:val="-21"/>
          <w:w w:val="130"/>
          <w:sz w:val="24"/>
        </w:rPr>
        <w:t> </w:t>
      </w:r>
      <w:r>
        <w:rPr>
          <w:w w:val="130"/>
          <w:sz w:val="24"/>
        </w:rPr>
        <w:t>tevékenységet</w:t>
      </w:r>
    </w:p>
    <w:p>
      <w:pPr>
        <w:pStyle w:val="BodyText"/>
        <w:tabs>
          <w:tab w:pos="1111" w:val="left" w:leader="none"/>
          <w:tab w:pos="2104" w:val="left" w:leader="none"/>
          <w:tab w:pos="3651" w:val="left" w:leader="none"/>
          <w:tab w:pos="6398" w:val="left" w:leader="none"/>
          <w:tab w:pos="8552" w:val="left" w:leader="none"/>
        </w:tabs>
        <w:spacing w:line="225" w:lineRule="auto" w:before="12"/>
        <w:ind w:right="351" w:firstLine="0"/>
        <w:rPr>
          <w:i/>
          <w:sz w:val="18"/>
        </w:rPr>
      </w:pPr>
      <w:r>
        <w:rPr>
          <w:w w:val="125"/>
        </w:rPr>
        <w:t>végző</w:t>
        <w:tab/>
        <w:t>függő</w:t>
        <w:tab/>
        <w:t>közvetítők</w:t>
        <w:tab/>
        <w:t>felelősségbiztosítási</w:t>
        <w:tab/>
        <w:t>szerződéseinek</w:t>
        <w:tab/>
      </w:r>
      <w:r>
        <w:rPr>
          <w:spacing w:val="-1"/>
          <w:w w:val="125"/>
        </w:rPr>
        <w:t>tartalmi </w:t>
      </w:r>
      <w:r>
        <w:rPr>
          <w:w w:val="125"/>
        </w:rPr>
        <w:t>követelményeire,</w:t>
      </w:r>
      <w:r>
        <w:rPr>
          <w:i/>
          <w:w w:val="125"/>
          <w:position w:val="3"/>
          <w:sz w:val="18"/>
        </w:rPr>
        <w:t>4</w:t>
      </w:r>
    </w:p>
    <w:p>
      <w:pPr>
        <w:pStyle w:val="ListParagraph"/>
        <w:numPr>
          <w:ilvl w:val="0"/>
          <w:numId w:val="630"/>
        </w:numPr>
        <w:tabs>
          <w:tab w:pos="696" w:val="left" w:leader="none"/>
        </w:tabs>
        <w:spacing w:line="225" w:lineRule="auto" w:before="1" w:after="0"/>
        <w:ind w:left="113" w:right="135" w:firstLine="204"/>
        <w:jc w:val="both"/>
        <w:rPr>
          <w:sz w:val="24"/>
        </w:rPr>
      </w:pPr>
      <w:r>
        <w:rPr>
          <w:w w:val="130"/>
          <w:sz w:val="24"/>
        </w:rPr>
        <w:t>a közvetítői díj meghatározásának és kifizetésének módjára, időbeli ütemezésére,</w:t>
      </w:r>
    </w:p>
    <w:p>
      <w:pPr>
        <w:pStyle w:val="ListParagraph"/>
        <w:numPr>
          <w:ilvl w:val="0"/>
          <w:numId w:val="630"/>
        </w:numPr>
        <w:tabs>
          <w:tab w:pos="683" w:val="left" w:leader="none"/>
        </w:tabs>
        <w:spacing w:line="225" w:lineRule="auto" w:before="1" w:after="0"/>
        <w:ind w:left="113" w:right="129" w:firstLine="204"/>
        <w:jc w:val="both"/>
        <w:rPr>
          <w:sz w:val="24"/>
        </w:rPr>
      </w:pPr>
      <w:r>
        <w:rPr>
          <w:w w:val="130"/>
          <w:sz w:val="24"/>
        </w:rPr>
        <w:t>a 2012. április 1-je előtt hatályos 1996. évi CXII. törvény 210/A. §-ában meghatározott szerződésekben előírt kamat a pénzügyi intézmény általi, az ügyfél számára kedvezőtlen egyoldalú módosításának eseteire, feltételeire és módjára,</w:t>
      </w:r>
    </w:p>
    <w:p>
      <w:pPr>
        <w:pStyle w:val="BodyText"/>
        <w:spacing w:before="5"/>
        <w:ind w:left="0" w:firstLine="0"/>
      </w:pPr>
      <w:r>
        <w:rPr/>
        <w:pict>
          <v:line style="position:absolute;mso-position-horizontal-relative:page;mso-position-vertical-relative:paragraph;z-index:2768;mso-wrap-distance-left:0;mso-wrap-distance-right:0" from="56.693001pt,16.248484pt" to="538.583001pt,16.248484pt" stroked="true" strokeweight=".5pt" strokecolor="#000000">
            <v:stroke dashstyle="solid"/>
            <w10:wrap type="topAndBottom"/>
          </v:line>
        </w:pict>
      </w:r>
    </w:p>
    <w:p>
      <w:pPr>
        <w:pStyle w:val="ListParagraph"/>
        <w:numPr>
          <w:ilvl w:val="0"/>
          <w:numId w:val="631"/>
        </w:numPr>
        <w:tabs>
          <w:tab w:pos="686" w:val="left" w:leader="none"/>
          <w:tab w:pos="687" w:val="left" w:leader="none"/>
        </w:tabs>
        <w:spacing w:line="203" w:lineRule="exact" w:before="44" w:after="0"/>
        <w:ind w:left="686" w:right="0" w:hanging="344"/>
        <w:jc w:val="left"/>
        <w:rPr>
          <w:i/>
          <w:sz w:val="18"/>
        </w:rPr>
      </w:pPr>
      <w:r>
        <w:rPr>
          <w:i/>
          <w:w w:val="125"/>
          <w:sz w:val="18"/>
        </w:rPr>
        <w:t>Beiktatta: 2017. évi CXLV. törvény 131. §. Hatályos: 2018. I.</w:t>
      </w:r>
      <w:r>
        <w:rPr>
          <w:i/>
          <w:spacing w:val="-11"/>
          <w:w w:val="125"/>
          <w:sz w:val="18"/>
        </w:rPr>
        <w:t> </w:t>
      </w:r>
      <w:r>
        <w:rPr>
          <w:i/>
          <w:w w:val="125"/>
          <w:sz w:val="18"/>
        </w:rPr>
        <w:t>13-tól.</w:t>
      </w:r>
    </w:p>
    <w:p>
      <w:pPr>
        <w:pStyle w:val="ListParagraph"/>
        <w:numPr>
          <w:ilvl w:val="0"/>
          <w:numId w:val="631"/>
        </w:numPr>
        <w:tabs>
          <w:tab w:pos="686" w:val="left" w:leader="none"/>
          <w:tab w:pos="687" w:val="left" w:leader="none"/>
        </w:tabs>
        <w:spacing w:line="200" w:lineRule="exact" w:before="0" w:after="0"/>
        <w:ind w:left="686" w:right="0" w:hanging="344"/>
        <w:jc w:val="left"/>
        <w:rPr>
          <w:i/>
          <w:sz w:val="18"/>
        </w:rPr>
      </w:pPr>
      <w:r>
        <w:rPr>
          <w:i/>
          <w:w w:val="125"/>
          <w:sz w:val="18"/>
        </w:rPr>
        <w:t>Megállapította: 2016. évi CLXXXII. törvény 43. §. Hatályos: 2016. XII.</w:t>
      </w:r>
      <w:r>
        <w:rPr>
          <w:i/>
          <w:spacing w:val="-29"/>
          <w:w w:val="125"/>
          <w:sz w:val="18"/>
        </w:rPr>
        <w:t> </w:t>
      </w:r>
      <w:r>
        <w:rPr>
          <w:i/>
          <w:w w:val="125"/>
          <w:sz w:val="18"/>
        </w:rPr>
        <w:t>28-tól.</w:t>
      </w:r>
    </w:p>
    <w:p>
      <w:pPr>
        <w:pStyle w:val="ListParagraph"/>
        <w:numPr>
          <w:ilvl w:val="0"/>
          <w:numId w:val="631"/>
        </w:numPr>
        <w:tabs>
          <w:tab w:pos="686" w:val="left" w:leader="none"/>
          <w:tab w:pos="687" w:val="left" w:leader="none"/>
        </w:tabs>
        <w:spacing w:line="232" w:lineRule="auto" w:before="2" w:after="0"/>
        <w:ind w:left="342" w:right="2069" w:firstLine="0"/>
        <w:jc w:val="left"/>
        <w:rPr>
          <w:i/>
          <w:sz w:val="18"/>
        </w:rPr>
      </w:pPr>
      <w:r>
        <w:rPr>
          <w:i/>
          <w:w w:val="125"/>
          <w:sz w:val="18"/>
        </w:rPr>
        <w:t>Megállapította:</w:t>
      </w:r>
      <w:r>
        <w:rPr>
          <w:i/>
          <w:spacing w:val="-12"/>
          <w:w w:val="125"/>
          <w:sz w:val="18"/>
        </w:rPr>
        <w:t> </w:t>
      </w:r>
      <w:r>
        <w:rPr>
          <w:i/>
          <w:w w:val="125"/>
          <w:sz w:val="18"/>
        </w:rPr>
        <w:t>2015.</w:t>
      </w:r>
      <w:r>
        <w:rPr>
          <w:i/>
          <w:spacing w:val="-11"/>
          <w:w w:val="125"/>
          <w:sz w:val="18"/>
        </w:rPr>
        <w:t> </w:t>
      </w:r>
      <w:r>
        <w:rPr>
          <w:i/>
          <w:w w:val="125"/>
          <w:sz w:val="18"/>
        </w:rPr>
        <w:t>évi</w:t>
      </w:r>
      <w:r>
        <w:rPr>
          <w:i/>
          <w:spacing w:val="-11"/>
          <w:w w:val="125"/>
          <w:sz w:val="18"/>
        </w:rPr>
        <w:t> </w:t>
      </w:r>
      <w:r>
        <w:rPr>
          <w:i/>
          <w:w w:val="125"/>
          <w:sz w:val="18"/>
        </w:rPr>
        <w:t>CCXV.</w:t>
      </w:r>
      <w:r>
        <w:rPr>
          <w:i/>
          <w:spacing w:val="-10"/>
          <w:w w:val="125"/>
          <w:sz w:val="18"/>
        </w:rPr>
        <w:t> </w:t>
      </w:r>
      <w:r>
        <w:rPr>
          <w:i/>
          <w:w w:val="125"/>
          <w:sz w:val="18"/>
        </w:rPr>
        <w:t>törvény</w:t>
      </w:r>
      <w:r>
        <w:rPr>
          <w:i/>
          <w:spacing w:val="-11"/>
          <w:w w:val="125"/>
          <w:sz w:val="18"/>
        </w:rPr>
        <w:t> </w:t>
      </w:r>
      <w:r>
        <w:rPr>
          <w:i/>
          <w:w w:val="125"/>
          <w:sz w:val="18"/>
        </w:rPr>
        <w:t>148.</w:t>
      </w:r>
      <w:r>
        <w:rPr>
          <w:i/>
          <w:spacing w:val="-11"/>
          <w:w w:val="125"/>
          <w:sz w:val="18"/>
        </w:rPr>
        <w:t> </w:t>
      </w:r>
      <w:r>
        <w:rPr>
          <w:i/>
          <w:w w:val="125"/>
          <w:sz w:val="18"/>
        </w:rPr>
        <w:t>§</w:t>
      </w:r>
      <w:r>
        <w:rPr>
          <w:i/>
          <w:spacing w:val="-10"/>
          <w:w w:val="125"/>
          <w:sz w:val="18"/>
        </w:rPr>
        <w:t> </w:t>
      </w:r>
      <w:r>
        <w:rPr>
          <w:i/>
          <w:w w:val="125"/>
          <w:sz w:val="18"/>
        </w:rPr>
        <w:t>(1).</w:t>
      </w:r>
      <w:r>
        <w:rPr>
          <w:i/>
          <w:spacing w:val="-10"/>
          <w:w w:val="125"/>
          <w:sz w:val="18"/>
        </w:rPr>
        <w:t> </w:t>
      </w:r>
      <w:r>
        <w:rPr>
          <w:i/>
          <w:w w:val="125"/>
          <w:sz w:val="18"/>
        </w:rPr>
        <w:t>Hatályos:</w:t>
      </w:r>
      <w:r>
        <w:rPr>
          <w:i/>
          <w:spacing w:val="-10"/>
          <w:w w:val="125"/>
          <w:sz w:val="18"/>
        </w:rPr>
        <w:t> </w:t>
      </w:r>
      <w:r>
        <w:rPr>
          <w:i/>
          <w:w w:val="125"/>
          <w:sz w:val="18"/>
        </w:rPr>
        <w:t>2016.</w:t>
      </w:r>
      <w:r>
        <w:rPr>
          <w:i/>
          <w:spacing w:val="-11"/>
          <w:w w:val="125"/>
          <w:sz w:val="18"/>
        </w:rPr>
        <w:t> </w:t>
      </w:r>
      <w:r>
        <w:rPr>
          <w:i/>
          <w:w w:val="125"/>
          <w:sz w:val="18"/>
        </w:rPr>
        <w:t>III.</w:t>
      </w:r>
      <w:r>
        <w:rPr>
          <w:i/>
          <w:spacing w:val="-11"/>
          <w:w w:val="125"/>
          <w:sz w:val="18"/>
        </w:rPr>
        <w:t> </w:t>
      </w:r>
      <w:r>
        <w:rPr>
          <w:i/>
          <w:w w:val="125"/>
          <w:sz w:val="18"/>
        </w:rPr>
        <w:t>21-től. 4</w:t>
        <w:tab/>
        <w:t>Lásd: 463/2015. (XII. 29.) Korm.</w:t>
      </w:r>
      <w:r>
        <w:rPr>
          <w:i/>
          <w:spacing w:val="-1"/>
          <w:w w:val="125"/>
          <w:sz w:val="18"/>
        </w:rPr>
        <w:t> </w:t>
      </w:r>
      <w:r>
        <w:rPr>
          <w:i/>
          <w:w w:val="125"/>
          <w:sz w:val="18"/>
        </w:rPr>
        <w:t>rendelet.</w:t>
      </w:r>
    </w:p>
    <w:p>
      <w:pPr>
        <w:spacing w:after="0" w:line="232" w:lineRule="auto"/>
        <w:jc w:val="left"/>
        <w:rPr>
          <w:sz w:val="18"/>
        </w:rPr>
        <w:sectPr>
          <w:pgSz w:w="11900" w:h="16820"/>
          <w:pgMar w:header="1104" w:footer="0" w:top="1840" w:bottom="280" w:left="1020" w:right="1000"/>
        </w:sectPr>
      </w:pPr>
    </w:p>
    <w:p>
      <w:pPr>
        <w:pStyle w:val="ListParagraph"/>
        <w:numPr>
          <w:ilvl w:val="0"/>
          <w:numId w:val="630"/>
        </w:numPr>
        <w:tabs>
          <w:tab w:pos="920" w:val="left" w:leader="none"/>
        </w:tabs>
        <w:spacing w:line="225" w:lineRule="auto" w:before="173" w:after="0"/>
        <w:ind w:left="113" w:right="119" w:firstLine="204"/>
        <w:jc w:val="both"/>
        <w:rPr>
          <w:sz w:val="24"/>
        </w:rPr>
      </w:pPr>
      <w:r>
        <w:rPr>
          <w:w w:val="130"/>
          <w:sz w:val="24"/>
        </w:rPr>
        <w:t>a javadalmazási politikának az érintett hitelintézet mérete, tevékenységének jellege, köre és jogi formájából eredő sajátossága figyelembevételével történő</w:t>
      </w:r>
      <w:r>
        <w:rPr>
          <w:spacing w:val="-10"/>
          <w:w w:val="130"/>
          <w:sz w:val="24"/>
        </w:rPr>
        <w:t> </w:t>
      </w:r>
      <w:r>
        <w:rPr>
          <w:w w:val="130"/>
          <w:sz w:val="24"/>
        </w:rPr>
        <w:t>alkalmazására,</w:t>
      </w:r>
    </w:p>
    <w:p>
      <w:pPr>
        <w:pStyle w:val="ListParagraph"/>
        <w:numPr>
          <w:ilvl w:val="0"/>
          <w:numId w:val="630"/>
        </w:numPr>
        <w:tabs>
          <w:tab w:pos="490" w:val="left" w:leader="none"/>
        </w:tabs>
        <w:spacing w:line="250" w:lineRule="exact" w:before="0" w:after="0"/>
        <w:ind w:left="489" w:right="0" w:hanging="172"/>
        <w:jc w:val="left"/>
        <w:rPr>
          <w:sz w:val="24"/>
        </w:rPr>
      </w:pPr>
      <w:r>
        <w:rPr>
          <w:i/>
          <w:w w:val="125"/>
          <w:position w:val="3"/>
          <w:sz w:val="18"/>
        </w:rPr>
        <w:t>1</w:t>
      </w:r>
      <w:r>
        <w:rPr>
          <w:i/>
          <w:spacing w:val="54"/>
          <w:w w:val="125"/>
          <w:position w:val="3"/>
          <w:sz w:val="18"/>
        </w:rPr>
        <w:t> </w:t>
      </w:r>
      <w:r>
        <w:rPr>
          <w:w w:val="125"/>
          <w:sz w:val="24"/>
        </w:rPr>
        <w:t>az</w:t>
      </w:r>
      <w:r>
        <w:rPr>
          <w:spacing w:val="35"/>
          <w:w w:val="125"/>
          <w:sz w:val="24"/>
        </w:rPr>
        <w:t> </w:t>
      </w:r>
      <w:r>
        <w:rPr>
          <w:w w:val="125"/>
          <w:sz w:val="24"/>
        </w:rPr>
        <w:t>alapszámlához</w:t>
      </w:r>
      <w:r>
        <w:rPr>
          <w:spacing w:val="36"/>
          <w:w w:val="125"/>
          <w:sz w:val="24"/>
        </w:rPr>
        <w:t> </w:t>
      </w:r>
      <w:r>
        <w:rPr>
          <w:w w:val="125"/>
          <w:sz w:val="24"/>
        </w:rPr>
        <w:t>való</w:t>
      </w:r>
      <w:r>
        <w:rPr>
          <w:spacing w:val="34"/>
          <w:w w:val="125"/>
          <w:sz w:val="24"/>
        </w:rPr>
        <w:t> </w:t>
      </w:r>
      <w:r>
        <w:rPr>
          <w:w w:val="125"/>
          <w:sz w:val="24"/>
        </w:rPr>
        <w:t>hozzáférésre,</w:t>
      </w:r>
      <w:r>
        <w:rPr>
          <w:spacing w:val="36"/>
          <w:w w:val="125"/>
          <w:sz w:val="24"/>
        </w:rPr>
        <w:t> </w:t>
      </w:r>
      <w:r>
        <w:rPr>
          <w:w w:val="125"/>
          <w:sz w:val="24"/>
        </w:rPr>
        <w:t>az</w:t>
      </w:r>
      <w:r>
        <w:rPr>
          <w:spacing w:val="35"/>
          <w:w w:val="125"/>
          <w:sz w:val="24"/>
        </w:rPr>
        <w:t> </w:t>
      </w:r>
      <w:r>
        <w:rPr>
          <w:w w:val="125"/>
          <w:sz w:val="24"/>
        </w:rPr>
        <w:t>alapszámla</w:t>
      </w:r>
      <w:r>
        <w:rPr>
          <w:spacing w:val="36"/>
          <w:w w:val="125"/>
          <w:sz w:val="24"/>
        </w:rPr>
        <w:t> </w:t>
      </w:r>
      <w:r>
        <w:rPr>
          <w:w w:val="125"/>
          <w:sz w:val="24"/>
        </w:rPr>
        <w:t>jellemzőire,</w:t>
      </w:r>
      <w:r>
        <w:rPr>
          <w:spacing w:val="35"/>
          <w:w w:val="125"/>
          <w:sz w:val="24"/>
        </w:rPr>
        <w:t> </w:t>
      </w:r>
      <w:r>
        <w:rPr>
          <w:w w:val="125"/>
          <w:sz w:val="24"/>
        </w:rPr>
        <w:t>valamint</w:t>
      </w:r>
    </w:p>
    <w:p>
      <w:pPr>
        <w:pStyle w:val="BodyText"/>
        <w:spacing w:line="260" w:lineRule="exact"/>
        <w:ind w:firstLine="0"/>
      </w:pPr>
      <w:r>
        <w:rPr>
          <w:w w:val="130"/>
        </w:rPr>
        <w:t>díjára,</w:t>
      </w:r>
    </w:p>
    <w:p>
      <w:pPr>
        <w:pStyle w:val="ListParagraph"/>
        <w:numPr>
          <w:ilvl w:val="0"/>
          <w:numId w:val="630"/>
        </w:numPr>
        <w:tabs>
          <w:tab w:pos="487" w:val="left" w:leader="none"/>
        </w:tabs>
        <w:spacing w:line="260" w:lineRule="exact" w:before="0" w:after="0"/>
        <w:ind w:left="486" w:right="0" w:hanging="169"/>
        <w:jc w:val="left"/>
        <w:rPr>
          <w:sz w:val="24"/>
        </w:rPr>
      </w:pPr>
      <w:r>
        <w:rPr>
          <w:i/>
          <w:w w:val="130"/>
          <w:position w:val="3"/>
          <w:sz w:val="18"/>
        </w:rPr>
        <w:t>2</w:t>
      </w:r>
      <w:r>
        <w:rPr>
          <w:i/>
          <w:spacing w:val="9"/>
          <w:w w:val="130"/>
          <w:position w:val="3"/>
          <w:sz w:val="18"/>
        </w:rPr>
        <w:t> </w:t>
      </w:r>
      <w:r>
        <w:rPr>
          <w:w w:val="130"/>
          <w:sz w:val="24"/>
        </w:rPr>
        <w:t>a</w:t>
      </w:r>
      <w:r>
        <w:rPr>
          <w:spacing w:val="48"/>
          <w:w w:val="130"/>
          <w:sz w:val="24"/>
        </w:rPr>
        <w:t> </w:t>
      </w:r>
      <w:r>
        <w:rPr>
          <w:w w:val="130"/>
          <w:sz w:val="24"/>
        </w:rPr>
        <w:t>pénzügyi</w:t>
      </w:r>
      <w:r>
        <w:rPr>
          <w:spacing w:val="48"/>
          <w:w w:val="130"/>
          <w:sz w:val="24"/>
        </w:rPr>
        <w:t> </w:t>
      </w:r>
      <w:r>
        <w:rPr>
          <w:w w:val="130"/>
          <w:sz w:val="24"/>
        </w:rPr>
        <w:t>intézmények</w:t>
      </w:r>
      <w:r>
        <w:rPr>
          <w:spacing w:val="47"/>
          <w:w w:val="130"/>
          <w:sz w:val="24"/>
        </w:rPr>
        <w:t> </w:t>
      </w:r>
      <w:r>
        <w:rPr>
          <w:w w:val="130"/>
          <w:sz w:val="24"/>
        </w:rPr>
        <w:t>és</w:t>
      </w:r>
      <w:r>
        <w:rPr>
          <w:spacing w:val="47"/>
          <w:w w:val="130"/>
          <w:sz w:val="24"/>
        </w:rPr>
        <w:t> </w:t>
      </w:r>
      <w:r>
        <w:rPr>
          <w:w w:val="130"/>
          <w:sz w:val="24"/>
        </w:rPr>
        <w:t>a</w:t>
      </w:r>
      <w:r>
        <w:rPr>
          <w:spacing w:val="48"/>
          <w:w w:val="130"/>
          <w:sz w:val="24"/>
        </w:rPr>
        <w:t> </w:t>
      </w:r>
      <w:r>
        <w:rPr>
          <w:w w:val="130"/>
          <w:sz w:val="24"/>
        </w:rPr>
        <w:t>független</w:t>
      </w:r>
      <w:r>
        <w:rPr>
          <w:spacing w:val="48"/>
          <w:w w:val="130"/>
          <w:sz w:val="24"/>
        </w:rPr>
        <w:t> </w:t>
      </w:r>
      <w:r>
        <w:rPr>
          <w:w w:val="130"/>
          <w:sz w:val="24"/>
        </w:rPr>
        <w:t>közvetítők</w:t>
      </w:r>
      <w:r>
        <w:rPr>
          <w:spacing w:val="48"/>
          <w:w w:val="130"/>
          <w:sz w:val="24"/>
        </w:rPr>
        <w:t> </w:t>
      </w:r>
      <w:r>
        <w:rPr>
          <w:w w:val="130"/>
          <w:sz w:val="24"/>
        </w:rPr>
        <w:t>panaszkezelésének</w:t>
      </w:r>
    </w:p>
    <w:p>
      <w:pPr>
        <w:pStyle w:val="BodyText"/>
        <w:spacing w:line="267" w:lineRule="exact"/>
        <w:ind w:firstLine="0"/>
      </w:pPr>
      <w:r>
        <w:rPr>
          <w:w w:val="130"/>
        </w:rPr>
        <w:t>eljárására, valamint a panaszkezelési szabályzatára</w:t>
      </w:r>
      <w:r>
        <w:rPr>
          <w:i/>
          <w:w w:val="130"/>
          <w:position w:val="3"/>
          <w:sz w:val="18"/>
        </w:rPr>
        <w:t>3</w:t>
      </w:r>
      <w:r>
        <w:rPr>
          <w:w w:val="130"/>
        </w:rPr>
        <w:t>,</w:t>
      </w:r>
    </w:p>
    <w:p>
      <w:pPr>
        <w:pStyle w:val="ListParagraph"/>
        <w:numPr>
          <w:ilvl w:val="0"/>
          <w:numId w:val="630"/>
        </w:numPr>
        <w:tabs>
          <w:tab w:pos="558" w:val="left" w:leader="none"/>
        </w:tabs>
        <w:spacing w:line="225" w:lineRule="auto" w:before="5" w:after="0"/>
        <w:ind w:left="113" w:right="1775" w:firstLine="204"/>
        <w:jc w:val="left"/>
        <w:rPr>
          <w:sz w:val="24"/>
        </w:rPr>
      </w:pPr>
      <w:r>
        <w:rPr>
          <w:i/>
          <w:w w:val="130"/>
          <w:position w:val="3"/>
          <w:sz w:val="18"/>
        </w:rPr>
        <w:t>4</w:t>
      </w:r>
      <w:r>
        <w:rPr>
          <w:i/>
          <w:spacing w:val="-14"/>
          <w:w w:val="130"/>
          <w:position w:val="3"/>
          <w:sz w:val="18"/>
        </w:rPr>
        <w:t> </w:t>
      </w:r>
      <w:r>
        <w:rPr>
          <w:w w:val="130"/>
          <w:sz w:val="24"/>
        </w:rPr>
        <w:t>a</w:t>
      </w:r>
      <w:r>
        <w:rPr>
          <w:spacing w:val="-33"/>
          <w:w w:val="130"/>
          <w:sz w:val="24"/>
        </w:rPr>
        <w:t> </w:t>
      </w:r>
      <w:r>
        <w:rPr>
          <w:w w:val="130"/>
          <w:sz w:val="24"/>
        </w:rPr>
        <w:t>szociális</w:t>
      </w:r>
      <w:r>
        <w:rPr>
          <w:spacing w:val="-33"/>
          <w:w w:val="130"/>
          <w:sz w:val="24"/>
        </w:rPr>
        <w:t> </w:t>
      </w:r>
      <w:r>
        <w:rPr>
          <w:w w:val="130"/>
          <w:sz w:val="24"/>
        </w:rPr>
        <w:t>számlához</w:t>
      </w:r>
      <w:r>
        <w:rPr>
          <w:spacing w:val="-33"/>
          <w:w w:val="130"/>
          <w:sz w:val="24"/>
        </w:rPr>
        <w:t> </w:t>
      </w:r>
      <w:r>
        <w:rPr>
          <w:w w:val="130"/>
          <w:sz w:val="24"/>
        </w:rPr>
        <w:t>való</w:t>
      </w:r>
      <w:r>
        <w:rPr>
          <w:spacing w:val="-34"/>
          <w:w w:val="130"/>
          <w:sz w:val="24"/>
        </w:rPr>
        <w:t> </w:t>
      </w:r>
      <w:r>
        <w:rPr>
          <w:w w:val="130"/>
          <w:sz w:val="24"/>
        </w:rPr>
        <w:t>jogosultságra,</w:t>
      </w:r>
      <w:r>
        <w:rPr>
          <w:spacing w:val="-28"/>
          <w:w w:val="130"/>
          <w:sz w:val="24"/>
        </w:rPr>
        <w:t> </w:t>
      </w:r>
      <w:r>
        <w:rPr>
          <w:w w:val="130"/>
          <w:sz w:val="24"/>
        </w:rPr>
        <w:t>díjra</w:t>
      </w:r>
      <w:r>
        <w:rPr>
          <w:spacing w:val="-38"/>
          <w:w w:val="130"/>
          <w:sz w:val="24"/>
        </w:rPr>
        <w:t> </w:t>
      </w:r>
      <w:r>
        <w:rPr>
          <w:w w:val="130"/>
          <w:sz w:val="24"/>
        </w:rPr>
        <w:t>és</w:t>
      </w:r>
      <w:r>
        <w:rPr>
          <w:spacing w:val="-34"/>
          <w:w w:val="130"/>
          <w:sz w:val="24"/>
        </w:rPr>
        <w:t> </w:t>
      </w:r>
      <w:r>
        <w:rPr>
          <w:w w:val="130"/>
          <w:sz w:val="24"/>
        </w:rPr>
        <w:t>jellemzőire vonatkozó részletes</w:t>
      </w:r>
      <w:r>
        <w:rPr>
          <w:spacing w:val="-10"/>
          <w:w w:val="130"/>
          <w:sz w:val="24"/>
        </w:rPr>
        <w:t> </w:t>
      </w:r>
      <w:r>
        <w:rPr>
          <w:w w:val="130"/>
          <w:sz w:val="24"/>
        </w:rPr>
        <w:t>szabályokat.</w:t>
      </w:r>
    </w:p>
    <w:p>
      <w:pPr>
        <w:pStyle w:val="ListParagraph"/>
        <w:numPr>
          <w:ilvl w:val="0"/>
          <w:numId w:val="632"/>
        </w:numPr>
        <w:tabs>
          <w:tab w:pos="810" w:val="left" w:leader="none"/>
        </w:tabs>
        <w:spacing w:line="225" w:lineRule="auto" w:before="1" w:after="0"/>
        <w:ind w:left="113" w:right="131" w:firstLine="204"/>
        <w:jc w:val="left"/>
        <w:rPr>
          <w:sz w:val="24"/>
        </w:rPr>
      </w:pPr>
      <w:r>
        <w:rPr>
          <w:w w:val="130"/>
          <w:sz w:val="24"/>
        </w:rPr>
        <w:t>Felhatalmazást kap a pénz-, tőke- és biztosítási piac szabályozásáért felelős miniszter, hogy rendeletben állapítsa</w:t>
      </w:r>
      <w:r>
        <w:rPr>
          <w:spacing w:val="-26"/>
          <w:w w:val="130"/>
          <w:sz w:val="24"/>
        </w:rPr>
        <w:t> </w:t>
      </w:r>
      <w:r>
        <w:rPr>
          <w:w w:val="130"/>
          <w:sz w:val="24"/>
        </w:rPr>
        <w:t>meg:</w:t>
      </w:r>
    </w:p>
    <w:p>
      <w:pPr>
        <w:pStyle w:val="ListParagraph"/>
        <w:numPr>
          <w:ilvl w:val="0"/>
          <w:numId w:val="633"/>
        </w:numPr>
        <w:tabs>
          <w:tab w:pos="631" w:val="left" w:leader="none"/>
        </w:tabs>
        <w:spacing w:line="256" w:lineRule="exact" w:before="0" w:after="0"/>
        <w:ind w:left="630" w:right="0" w:hanging="313"/>
        <w:jc w:val="left"/>
        <w:rPr>
          <w:sz w:val="24"/>
        </w:rPr>
      </w:pPr>
      <w:r>
        <w:rPr>
          <w:w w:val="130"/>
          <w:sz w:val="24"/>
        </w:rPr>
        <w:t>a hitelintézetek befektetési</w:t>
      </w:r>
      <w:r>
        <w:rPr>
          <w:spacing w:val="-11"/>
          <w:w w:val="130"/>
          <w:sz w:val="24"/>
        </w:rPr>
        <w:t> </w:t>
      </w:r>
      <w:r>
        <w:rPr>
          <w:w w:val="130"/>
          <w:sz w:val="24"/>
        </w:rPr>
        <w:t>szabályzatára,</w:t>
      </w:r>
    </w:p>
    <w:p>
      <w:pPr>
        <w:pStyle w:val="ListParagraph"/>
        <w:numPr>
          <w:ilvl w:val="0"/>
          <w:numId w:val="633"/>
        </w:numPr>
        <w:tabs>
          <w:tab w:pos="674" w:val="left" w:leader="none"/>
        </w:tabs>
        <w:spacing w:line="225" w:lineRule="auto" w:before="6" w:after="0"/>
        <w:ind w:left="113" w:right="132" w:firstLine="204"/>
        <w:jc w:val="left"/>
        <w:rPr>
          <w:sz w:val="24"/>
        </w:rPr>
      </w:pPr>
      <w:r>
        <w:rPr>
          <w:w w:val="130"/>
          <w:sz w:val="24"/>
        </w:rPr>
        <w:t>a kintlevőségek, a mérlegen kívüli tételek és a fedezetek minősítésének, illetőleg értékelésének</w:t>
      </w:r>
      <w:r>
        <w:rPr>
          <w:spacing w:val="-9"/>
          <w:w w:val="130"/>
          <w:sz w:val="24"/>
        </w:rPr>
        <w:t> </w:t>
      </w:r>
      <w:r>
        <w:rPr>
          <w:w w:val="130"/>
          <w:sz w:val="24"/>
        </w:rPr>
        <w:t>szempontjaira,</w:t>
      </w:r>
    </w:p>
    <w:p>
      <w:pPr>
        <w:pStyle w:val="ListParagraph"/>
        <w:numPr>
          <w:ilvl w:val="0"/>
          <w:numId w:val="633"/>
        </w:numPr>
        <w:tabs>
          <w:tab w:pos="683" w:val="left" w:leader="none"/>
        </w:tabs>
        <w:spacing w:line="225" w:lineRule="auto" w:before="1" w:after="0"/>
        <w:ind w:left="113" w:right="126" w:firstLine="204"/>
        <w:jc w:val="both"/>
        <w:rPr>
          <w:i/>
          <w:sz w:val="18"/>
        </w:rPr>
      </w:pPr>
      <w:r>
        <w:rPr>
          <w:w w:val="130"/>
          <w:sz w:val="24"/>
        </w:rPr>
        <w:t>a fogyasztóval kötött szerződés megkötését megelőzően, a szerződéses jogviszony fennállása alatt, valamint annak megszűnése esetén</w:t>
      </w:r>
      <w:r>
        <w:rPr>
          <w:spacing w:val="-52"/>
          <w:w w:val="130"/>
          <w:sz w:val="24"/>
        </w:rPr>
        <w:t> </w:t>
      </w:r>
      <w:r>
        <w:rPr>
          <w:w w:val="130"/>
          <w:sz w:val="24"/>
        </w:rPr>
        <w:t>alkalmazandó tájékoztatás minimálisan kötelező tartalmi</w:t>
      </w:r>
      <w:r>
        <w:rPr>
          <w:spacing w:val="-11"/>
          <w:w w:val="130"/>
          <w:sz w:val="24"/>
        </w:rPr>
        <w:t> </w:t>
      </w:r>
      <w:r>
        <w:rPr>
          <w:w w:val="130"/>
          <w:sz w:val="24"/>
        </w:rPr>
        <w:t>elemeire,</w:t>
      </w:r>
      <w:r>
        <w:rPr>
          <w:i/>
          <w:w w:val="130"/>
          <w:position w:val="3"/>
          <w:sz w:val="18"/>
        </w:rPr>
        <w:t>5</w:t>
      </w:r>
    </w:p>
    <w:p>
      <w:pPr>
        <w:pStyle w:val="ListParagraph"/>
        <w:numPr>
          <w:ilvl w:val="0"/>
          <w:numId w:val="633"/>
        </w:numPr>
        <w:tabs>
          <w:tab w:pos="653" w:val="left" w:leader="none"/>
        </w:tabs>
        <w:spacing w:line="250" w:lineRule="exact" w:before="0" w:after="0"/>
        <w:ind w:left="652" w:right="0" w:hanging="335"/>
        <w:jc w:val="left"/>
        <w:rPr>
          <w:sz w:val="24"/>
        </w:rPr>
      </w:pPr>
      <w:r>
        <w:rPr>
          <w:w w:val="130"/>
          <w:sz w:val="24"/>
        </w:rPr>
        <w:t>a belső ellenőrzési rendszerekre,</w:t>
      </w:r>
      <w:r>
        <w:rPr>
          <w:spacing w:val="-26"/>
          <w:w w:val="130"/>
          <w:sz w:val="24"/>
        </w:rPr>
        <w:t> </w:t>
      </w:r>
      <w:r>
        <w:rPr>
          <w:w w:val="130"/>
          <w:sz w:val="24"/>
        </w:rPr>
        <w:t>eljárásokra,</w:t>
      </w:r>
    </w:p>
    <w:p>
      <w:pPr>
        <w:pStyle w:val="ListParagraph"/>
        <w:numPr>
          <w:ilvl w:val="0"/>
          <w:numId w:val="633"/>
        </w:numPr>
        <w:tabs>
          <w:tab w:pos="555" w:val="left" w:leader="none"/>
        </w:tabs>
        <w:spacing w:line="260" w:lineRule="exact" w:before="0" w:after="0"/>
        <w:ind w:left="554" w:right="0" w:hanging="237"/>
        <w:jc w:val="left"/>
        <w:rPr>
          <w:sz w:val="24"/>
        </w:rPr>
      </w:pPr>
      <w:r>
        <w:rPr>
          <w:i/>
          <w:w w:val="130"/>
          <w:position w:val="3"/>
          <w:sz w:val="18"/>
        </w:rPr>
        <w:t>6</w:t>
      </w:r>
      <w:r>
        <w:rPr>
          <w:i/>
          <w:spacing w:val="9"/>
          <w:w w:val="130"/>
          <w:position w:val="3"/>
          <w:sz w:val="18"/>
        </w:rPr>
        <w:t> </w:t>
      </w:r>
      <w:r>
        <w:rPr>
          <w:w w:val="130"/>
          <w:sz w:val="24"/>
        </w:rPr>
        <w:t>a</w:t>
      </w:r>
      <w:r>
        <w:rPr>
          <w:spacing w:val="49"/>
          <w:w w:val="130"/>
          <w:sz w:val="24"/>
        </w:rPr>
        <w:t> </w:t>
      </w:r>
      <w:r>
        <w:rPr>
          <w:w w:val="130"/>
          <w:sz w:val="24"/>
        </w:rPr>
        <w:t>közvetítői</w:t>
      </w:r>
      <w:r>
        <w:rPr>
          <w:spacing w:val="48"/>
          <w:w w:val="130"/>
          <w:sz w:val="24"/>
        </w:rPr>
        <w:t> </w:t>
      </w:r>
      <w:r>
        <w:rPr>
          <w:w w:val="130"/>
          <w:sz w:val="24"/>
        </w:rPr>
        <w:t>hatósági</w:t>
      </w:r>
      <w:r>
        <w:rPr>
          <w:spacing w:val="51"/>
          <w:w w:val="130"/>
          <w:sz w:val="24"/>
        </w:rPr>
        <w:t> </w:t>
      </w:r>
      <w:r>
        <w:rPr>
          <w:w w:val="130"/>
          <w:sz w:val="24"/>
        </w:rPr>
        <w:t>képzés</w:t>
      </w:r>
      <w:r>
        <w:rPr>
          <w:spacing w:val="46"/>
          <w:w w:val="130"/>
          <w:sz w:val="24"/>
        </w:rPr>
        <w:t> </w:t>
      </w:r>
      <w:r>
        <w:rPr>
          <w:w w:val="130"/>
          <w:sz w:val="24"/>
        </w:rPr>
        <w:t>és</w:t>
      </w:r>
      <w:r>
        <w:rPr>
          <w:spacing w:val="49"/>
          <w:w w:val="130"/>
          <w:sz w:val="24"/>
        </w:rPr>
        <w:t> </w:t>
      </w:r>
      <w:r>
        <w:rPr>
          <w:w w:val="130"/>
          <w:sz w:val="24"/>
        </w:rPr>
        <w:t>vizsga</w:t>
      </w:r>
      <w:r>
        <w:rPr>
          <w:spacing w:val="49"/>
          <w:w w:val="130"/>
          <w:sz w:val="24"/>
        </w:rPr>
        <w:t> </w:t>
      </w:r>
      <w:r>
        <w:rPr>
          <w:w w:val="130"/>
          <w:sz w:val="24"/>
        </w:rPr>
        <w:t>szabályaira,</w:t>
      </w:r>
      <w:r>
        <w:rPr>
          <w:spacing w:val="52"/>
          <w:w w:val="130"/>
          <w:sz w:val="24"/>
        </w:rPr>
        <w:t> </w:t>
      </w:r>
      <w:r>
        <w:rPr>
          <w:w w:val="130"/>
          <w:sz w:val="24"/>
        </w:rPr>
        <w:t>a</w:t>
      </w:r>
      <w:r>
        <w:rPr>
          <w:spacing w:val="45"/>
          <w:w w:val="130"/>
          <w:sz w:val="24"/>
        </w:rPr>
        <w:t> </w:t>
      </w:r>
      <w:r>
        <w:rPr>
          <w:w w:val="130"/>
          <w:sz w:val="24"/>
        </w:rPr>
        <w:t>hatósági</w:t>
      </w:r>
      <w:r>
        <w:rPr>
          <w:spacing w:val="48"/>
          <w:w w:val="130"/>
          <w:sz w:val="24"/>
        </w:rPr>
        <w:t> </w:t>
      </w:r>
      <w:r>
        <w:rPr>
          <w:w w:val="130"/>
          <w:sz w:val="24"/>
        </w:rPr>
        <w:t>vizsga</w:t>
      </w:r>
    </w:p>
    <w:p>
      <w:pPr>
        <w:pStyle w:val="BodyText"/>
        <w:spacing w:line="225" w:lineRule="auto" w:before="12"/>
        <w:ind w:right="132" w:firstLine="0"/>
        <w:jc w:val="both"/>
        <w:rPr>
          <w:i/>
          <w:sz w:val="18"/>
        </w:rPr>
      </w:pPr>
      <w:r>
        <w:rPr>
          <w:w w:val="130"/>
        </w:rPr>
        <w:t>letételével szerzett, pénzügyi szolgáltatás közvetítői tevékenység folytatására feljogosító tanúsítvány megszerzésének követelményeire, a hatósági vizsga díjának mértékére, megfizetésére és visszatérítésére,</w:t>
      </w:r>
      <w:r>
        <w:rPr>
          <w:i/>
          <w:w w:val="130"/>
          <w:position w:val="3"/>
          <w:sz w:val="18"/>
        </w:rPr>
        <w:t>7</w:t>
      </w:r>
    </w:p>
    <w:p>
      <w:pPr>
        <w:pStyle w:val="ListParagraph"/>
        <w:numPr>
          <w:ilvl w:val="0"/>
          <w:numId w:val="633"/>
        </w:numPr>
        <w:tabs>
          <w:tab w:pos="577" w:val="left" w:leader="none"/>
        </w:tabs>
        <w:spacing w:line="256" w:lineRule="exact" w:before="0" w:after="0"/>
        <w:ind w:left="576" w:right="0" w:hanging="259"/>
        <w:jc w:val="left"/>
        <w:rPr>
          <w:sz w:val="24"/>
        </w:rPr>
      </w:pPr>
      <w:r>
        <w:rPr>
          <w:w w:val="125"/>
          <w:sz w:val="24"/>
        </w:rPr>
        <w:t>a deviza nyitott</w:t>
      </w:r>
      <w:r>
        <w:rPr>
          <w:spacing w:val="2"/>
          <w:w w:val="125"/>
          <w:sz w:val="24"/>
        </w:rPr>
        <w:t> </w:t>
      </w:r>
      <w:r>
        <w:rPr>
          <w:w w:val="125"/>
          <w:sz w:val="24"/>
        </w:rPr>
        <w:t>pozícióra,</w:t>
      </w:r>
    </w:p>
    <w:p>
      <w:pPr>
        <w:pStyle w:val="ListParagraph"/>
        <w:numPr>
          <w:ilvl w:val="0"/>
          <w:numId w:val="633"/>
        </w:numPr>
        <w:tabs>
          <w:tab w:pos="838" w:val="left" w:leader="none"/>
        </w:tabs>
        <w:spacing w:line="225" w:lineRule="auto" w:before="5" w:after="0"/>
        <w:ind w:left="113" w:right="120" w:firstLine="204"/>
        <w:jc w:val="both"/>
        <w:rPr>
          <w:sz w:val="24"/>
        </w:rPr>
      </w:pPr>
      <w:r>
        <w:rPr>
          <w:w w:val="130"/>
          <w:sz w:val="24"/>
        </w:rPr>
        <w:t>a banki értékesítői, az értékpapír értékesítői, a szakképesített banktisztviselői és a befektetési tanácsadói képesítés szakmai és vizsgakövetelményeire,</w:t>
      </w:r>
    </w:p>
    <w:p>
      <w:pPr>
        <w:pStyle w:val="ListParagraph"/>
        <w:numPr>
          <w:ilvl w:val="0"/>
          <w:numId w:val="633"/>
        </w:numPr>
        <w:tabs>
          <w:tab w:pos="568" w:val="left" w:leader="none"/>
          <w:tab w:pos="917" w:val="left" w:leader="none"/>
          <w:tab w:pos="1296" w:val="left" w:leader="none"/>
          <w:tab w:pos="2630" w:val="left" w:leader="none"/>
          <w:tab w:pos="5027" w:val="left" w:leader="none"/>
          <w:tab w:pos="6154" w:val="left" w:leader="none"/>
          <w:tab w:pos="7343" w:val="left" w:leader="none"/>
          <w:tab w:pos="8345" w:val="left" w:leader="none"/>
        </w:tabs>
        <w:spacing w:line="250" w:lineRule="exact" w:before="0" w:after="0"/>
        <w:ind w:left="567" w:right="0" w:hanging="250"/>
        <w:jc w:val="left"/>
        <w:rPr>
          <w:sz w:val="24"/>
        </w:rPr>
      </w:pPr>
      <w:r>
        <w:rPr>
          <w:i/>
          <w:w w:val="125"/>
          <w:position w:val="3"/>
          <w:sz w:val="18"/>
        </w:rPr>
        <w:t>8</w:t>
        <w:tab/>
      </w:r>
      <w:r>
        <w:rPr>
          <w:w w:val="125"/>
          <w:sz w:val="24"/>
        </w:rPr>
        <w:t>a</w:t>
        <w:tab/>
        <w:t>pénzügyi</w:t>
        <w:tab/>
        <w:t>szolgáltatásokhoz</w:t>
        <w:tab/>
        <w:t>történő</w:t>
        <w:tab/>
        <w:t>egyenlő</w:t>
        <w:tab/>
        <w:t>esélyű</w:t>
        <w:tab/>
        <w:t>hozzáférést</w:t>
      </w:r>
    </w:p>
    <w:p>
      <w:pPr>
        <w:pStyle w:val="BodyText"/>
        <w:spacing w:line="225" w:lineRule="auto" w:before="12"/>
        <w:ind w:right="5138" w:firstLine="0"/>
      </w:pPr>
      <w:r>
        <w:rPr>
          <w:w w:val="130"/>
        </w:rPr>
        <w:t>elősegítő hitelintézeti stratégiára</w:t>
      </w:r>
      <w:r>
        <w:rPr>
          <w:i/>
          <w:w w:val="130"/>
          <w:position w:val="3"/>
          <w:sz w:val="18"/>
        </w:rPr>
        <w:t>9 </w:t>
      </w:r>
      <w:r>
        <w:rPr>
          <w:w w:val="130"/>
        </w:rPr>
        <w:t>vonatkozó részletes</w:t>
      </w:r>
      <w:r>
        <w:rPr>
          <w:spacing w:val="-56"/>
          <w:w w:val="130"/>
        </w:rPr>
        <w:t> </w:t>
      </w:r>
      <w:r>
        <w:rPr>
          <w:w w:val="130"/>
        </w:rPr>
        <w:t>szabályokat.</w:t>
      </w:r>
    </w:p>
    <w:p>
      <w:pPr>
        <w:pStyle w:val="BodyText"/>
        <w:tabs>
          <w:tab w:pos="1278" w:val="left" w:leader="none"/>
          <w:tab w:pos="3347" w:val="left" w:leader="none"/>
          <w:tab w:pos="4020" w:val="left" w:leader="none"/>
          <w:tab w:pos="4521" w:val="left" w:leader="none"/>
          <w:tab w:pos="6687" w:val="left" w:leader="none"/>
          <w:tab w:pos="7713" w:val="left" w:leader="none"/>
          <w:tab w:pos="9159" w:val="left" w:leader="none"/>
        </w:tabs>
        <w:spacing w:line="249" w:lineRule="exact"/>
        <w:ind w:left="317" w:firstLine="0"/>
      </w:pPr>
      <w:r>
        <w:rPr>
          <w:w w:val="130"/>
        </w:rPr>
        <w:t>(2a)</w:t>
      </w:r>
      <w:r>
        <w:rPr>
          <w:i/>
          <w:w w:val="130"/>
          <w:position w:val="3"/>
          <w:sz w:val="18"/>
        </w:rPr>
        <w:t>10</w:t>
        <w:tab/>
      </w:r>
      <w:r>
        <w:rPr>
          <w:w w:val="130"/>
        </w:rPr>
        <w:t>Felhatalmazást</w:t>
        <w:tab/>
        <w:t>kap</w:t>
        <w:tab/>
        <w:t>az</w:t>
        <w:tab/>
        <w:t>agrárpolitikáért</w:t>
        <w:tab/>
        <w:t>felelős</w:t>
        <w:tab/>
        <w:t>miniszter,</w:t>
        <w:tab/>
        <w:t>hogy</w:t>
      </w:r>
    </w:p>
    <w:p>
      <w:pPr>
        <w:pStyle w:val="BodyText"/>
        <w:tabs>
          <w:tab w:pos="2035" w:val="left" w:leader="none"/>
          <w:tab w:pos="3516" w:val="left" w:leader="none"/>
          <w:tab w:pos="4489" w:val="left" w:leader="none"/>
          <w:tab w:pos="5086" w:val="left" w:leader="none"/>
          <w:tab w:pos="6716" w:val="left" w:leader="none"/>
          <w:tab w:pos="8970" w:val="left" w:leader="none"/>
        </w:tabs>
        <w:spacing w:line="225" w:lineRule="auto" w:before="12"/>
        <w:ind w:right="130" w:firstLine="0"/>
      </w:pPr>
      <w:r>
        <w:rPr>
          <w:w w:val="130"/>
        </w:rPr>
        <w:t>rendeletben</w:t>
        <w:tab/>
        <w:t>állapítsa</w:t>
        <w:tab/>
        <w:t>meg</w:t>
        <w:tab/>
        <w:t>a</w:t>
        <w:tab/>
        <w:t>termőföld</w:t>
        <w:tab/>
        <w:t>hitelbiztosítéki</w:t>
        <w:tab/>
      </w:r>
      <w:r>
        <w:rPr>
          <w:spacing w:val="-4"/>
          <w:w w:val="130"/>
        </w:rPr>
        <w:t>értéke </w:t>
      </w:r>
      <w:r>
        <w:rPr>
          <w:w w:val="130"/>
        </w:rPr>
        <w:t>meghatározásának módszertani</w:t>
      </w:r>
      <w:r>
        <w:rPr>
          <w:spacing w:val="-9"/>
          <w:w w:val="130"/>
        </w:rPr>
        <w:t> </w:t>
      </w:r>
      <w:r>
        <w:rPr>
          <w:w w:val="130"/>
        </w:rPr>
        <w:t>elveit.</w:t>
      </w:r>
    </w:p>
    <w:p>
      <w:pPr>
        <w:pStyle w:val="ListParagraph"/>
        <w:numPr>
          <w:ilvl w:val="0"/>
          <w:numId w:val="632"/>
        </w:numPr>
        <w:tabs>
          <w:tab w:pos="747" w:val="left" w:leader="none"/>
        </w:tabs>
        <w:spacing w:line="225" w:lineRule="auto" w:before="1" w:after="0"/>
        <w:ind w:left="113" w:right="126" w:firstLine="204"/>
        <w:jc w:val="both"/>
        <w:rPr>
          <w:i/>
          <w:sz w:val="18"/>
        </w:rPr>
      </w:pPr>
      <w:r>
        <w:rPr>
          <w:w w:val="130"/>
          <w:sz w:val="24"/>
        </w:rPr>
        <w:t>Felhatalmazást</w:t>
      </w:r>
      <w:r>
        <w:rPr>
          <w:spacing w:val="-12"/>
          <w:w w:val="130"/>
          <w:sz w:val="24"/>
        </w:rPr>
        <w:t> </w:t>
      </w:r>
      <w:r>
        <w:rPr>
          <w:w w:val="130"/>
          <w:sz w:val="24"/>
        </w:rPr>
        <w:t>kap</w:t>
      </w:r>
      <w:r>
        <w:rPr>
          <w:spacing w:val="-11"/>
          <w:w w:val="130"/>
          <w:sz w:val="24"/>
        </w:rPr>
        <w:t> </w:t>
      </w:r>
      <w:r>
        <w:rPr>
          <w:w w:val="130"/>
          <w:sz w:val="24"/>
        </w:rPr>
        <w:t>az</w:t>
      </w:r>
      <w:r>
        <w:rPr>
          <w:spacing w:val="-10"/>
          <w:w w:val="130"/>
          <w:sz w:val="24"/>
        </w:rPr>
        <w:t> </w:t>
      </w:r>
      <w:r>
        <w:rPr>
          <w:w w:val="130"/>
          <w:sz w:val="24"/>
        </w:rPr>
        <w:t>MNB</w:t>
      </w:r>
      <w:r>
        <w:rPr>
          <w:spacing w:val="-11"/>
          <w:w w:val="130"/>
          <w:sz w:val="24"/>
        </w:rPr>
        <w:t> </w:t>
      </w:r>
      <w:r>
        <w:rPr>
          <w:w w:val="130"/>
          <w:sz w:val="24"/>
        </w:rPr>
        <w:t>elnöke</w:t>
      </w:r>
      <w:r>
        <w:rPr>
          <w:spacing w:val="-10"/>
          <w:w w:val="130"/>
          <w:sz w:val="24"/>
        </w:rPr>
        <w:t> </w:t>
      </w:r>
      <w:r>
        <w:rPr>
          <w:w w:val="130"/>
          <w:sz w:val="24"/>
        </w:rPr>
        <w:t>arra,</w:t>
      </w:r>
      <w:r>
        <w:rPr>
          <w:spacing w:val="-10"/>
          <w:w w:val="130"/>
          <w:sz w:val="24"/>
        </w:rPr>
        <w:t> </w:t>
      </w:r>
      <w:r>
        <w:rPr>
          <w:w w:val="130"/>
          <w:sz w:val="24"/>
        </w:rPr>
        <w:t>hogy</w:t>
      </w:r>
      <w:r>
        <w:rPr>
          <w:spacing w:val="-11"/>
          <w:w w:val="130"/>
          <w:sz w:val="24"/>
        </w:rPr>
        <w:t> </w:t>
      </w:r>
      <w:r>
        <w:rPr>
          <w:w w:val="130"/>
          <w:sz w:val="24"/>
        </w:rPr>
        <w:t>rendeletben</w:t>
      </w:r>
      <w:r>
        <w:rPr>
          <w:spacing w:val="-10"/>
          <w:w w:val="130"/>
          <w:sz w:val="24"/>
        </w:rPr>
        <w:t> </w:t>
      </w:r>
      <w:r>
        <w:rPr>
          <w:w w:val="130"/>
          <w:sz w:val="24"/>
        </w:rPr>
        <w:t>állapítsa</w:t>
      </w:r>
      <w:r>
        <w:rPr>
          <w:spacing w:val="-10"/>
          <w:w w:val="130"/>
          <w:sz w:val="24"/>
        </w:rPr>
        <w:t> </w:t>
      </w:r>
      <w:r>
        <w:rPr>
          <w:w w:val="130"/>
          <w:sz w:val="24"/>
        </w:rPr>
        <w:t>meg a fogyasztóval kötött szerződés megkötését megelőzően, a szerződéses jogviszony fennállása alatt, valamint annak megszűnése esetén</w:t>
      </w:r>
      <w:r>
        <w:rPr>
          <w:spacing w:val="-52"/>
          <w:w w:val="130"/>
          <w:sz w:val="24"/>
        </w:rPr>
        <w:t> </w:t>
      </w:r>
      <w:r>
        <w:rPr>
          <w:w w:val="130"/>
          <w:sz w:val="24"/>
        </w:rPr>
        <w:t>alkalmazandó tájékoztatás és ügyfélpanaszok kezelésének formájára és módjára vonatkozó részletes</w:t>
      </w:r>
      <w:r>
        <w:rPr>
          <w:spacing w:val="-3"/>
          <w:w w:val="130"/>
          <w:sz w:val="24"/>
        </w:rPr>
        <w:t> </w:t>
      </w:r>
      <w:r>
        <w:rPr>
          <w:w w:val="130"/>
          <w:sz w:val="24"/>
        </w:rPr>
        <w:t>szabályokat.</w:t>
      </w:r>
      <w:r>
        <w:rPr>
          <w:i/>
          <w:w w:val="130"/>
          <w:position w:val="3"/>
          <w:sz w:val="18"/>
        </w:rPr>
        <w:t>11</w:t>
      </w:r>
    </w:p>
    <w:p>
      <w:pPr>
        <w:pStyle w:val="ListParagraph"/>
        <w:numPr>
          <w:ilvl w:val="0"/>
          <w:numId w:val="632"/>
        </w:numPr>
        <w:tabs>
          <w:tab w:pos="955" w:val="left" w:leader="none"/>
        </w:tabs>
        <w:spacing w:line="225" w:lineRule="auto" w:before="3" w:after="0"/>
        <w:ind w:left="113" w:right="130" w:firstLine="204"/>
        <w:jc w:val="both"/>
        <w:rPr>
          <w:sz w:val="24"/>
        </w:rPr>
      </w:pPr>
      <w:r>
        <w:rPr>
          <w:w w:val="130"/>
          <w:sz w:val="24"/>
        </w:rPr>
        <w:t>Felhatalmazást kap az MNB elnöke arra, hogy a pénzügyi közvetítőrendszer felügyeletével kapcsolatos jogkörében eljárva rendeletben állapítsa meg az 575/2013/EU</w:t>
      </w:r>
      <w:r>
        <w:rPr>
          <w:spacing w:val="-17"/>
          <w:w w:val="130"/>
          <w:sz w:val="24"/>
        </w:rPr>
        <w:t> </w:t>
      </w:r>
      <w:r>
        <w:rPr>
          <w:w w:val="130"/>
          <w:sz w:val="24"/>
        </w:rPr>
        <w:t>rendelet</w:t>
      </w:r>
    </w:p>
    <w:p>
      <w:pPr>
        <w:pStyle w:val="BodyText"/>
        <w:ind w:left="0" w:firstLine="0"/>
        <w:rPr>
          <w:sz w:val="20"/>
        </w:rPr>
      </w:pPr>
    </w:p>
    <w:p>
      <w:pPr>
        <w:pStyle w:val="BodyText"/>
        <w:ind w:left="0" w:firstLine="0"/>
        <w:rPr>
          <w:sz w:val="20"/>
        </w:rPr>
      </w:pPr>
    </w:p>
    <w:p>
      <w:pPr>
        <w:pStyle w:val="BodyText"/>
        <w:spacing w:before="7"/>
        <w:ind w:left="0" w:firstLine="0"/>
        <w:rPr>
          <w:sz w:val="22"/>
        </w:rPr>
      </w:pPr>
      <w:r>
        <w:rPr/>
        <w:pict>
          <v:line style="position:absolute;mso-position-horizontal-relative:page;mso-position-vertical-relative:paragraph;z-index:2792;mso-wrap-distance-left:0;mso-wrap-distance-right:0" from="56.693001pt,15.208641pt" to="538.583001pt,15.208641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0"/>
          <w:sz w:val="18"/>
        </w:rPr>
        <w:t>1</w:t>
        <w:tab/>
        <w:t>Beiktatta: 2016. évi LIII. törvény 133. § (1). Hatályos: 2016. IX. 18-tól.</w:t>
      </w:r>
    </w:p>
    <w:p>
      <w:pPr>
        <w:tabs>
          <w:tab w:pos="686" w:val="left" w:leader="none"/>
        </w:tabs>
        <w:spacing w:line="232" w:lineRule="auto" w:before="2"/>
        <w:ind w:left="342" w:right="3153" w:firstLine="0"/>
        <w:jc w:val="left"/>
        <w:rPr>
          <w:i/>
          <w:sz w:val="18"/>
        </w:rPr>
      </w:pPr>
      <w:r>
        <w:rPr>
          <w:i/>
          <w:w w:val="125"/>
          <w:sz w:val="18"/>
        </w:rPr>
        <w:t>2</w:t>
        <w:tab/>
        <w:t>Beiktatta:</w:t>
      </w:r>
      <w:r>
        <w:rPr>
          <w:i/>
          <w:spacing w:val="-8"/>
          <w:w w:val="125"/>
          <w:sz w:val="18"/>
        </w:rPr>
        <w:t> </w:t>
      </w:r>
      <w:r>
        <w:rPr>
          <w:i/>
          <w:w w:val="125"/>
          <w:sz w:val="18"/>
        </w:rPr>
        <w:t>2016.</w:t>
      </w:r>
      <w:r>
        <w:rPr>
          <w:i/>
          <w:spacing w:val="-7"/>
          <w:w w:val="125"/>
          <w:sz w:val="18"/>
        </w:rPr>
        <w:t> </w:t>
      </w:r>
      <w:r>
        <w:rPr>
          <w:i/>
          <w:w w:val="125"/>
          <w:sz w:val="18"/>
        </w:rPr>
        <w:t>évi</w:t>
      </w:r>
      <w:r>
        <w:rPr>
          <w:i/>
          <w:spacing w:val="-7"/>
          <w:w w:val="125"/>
          <w:sz w:val="18"/>
        </w:rPr>
        <w:t> </w:t>
      </w:r>
      <w:r>
        <w:rPr>
          <w:i/>
          <w:w w:val="125"/>
          <w:sz w:val="18"/>
        </w:rPr>
        <w:t>LXVII.</w:t>
      </w:r>
      <w:r>
        <w:rPr>
          <w:i/>
          <w:spacing w:val="-7"/>
          <w:w w:val="125"/>
          <w:sz w:val="18"/>
        </w:rPr>
        <w:t> </w:t>
      </w:r>
      <w:r>
        <w:rPr>
          <w:i/>
          <w:w w:val="125"/>
          <w:sz w:val="18"/>
        </w:rPr>
        <w:t>törvény</w:t>
      </w:r>
      <w:r>
        <w:rPr>
          <w:i/>
          <w:spacing w:val="-7"/>
          <w:w w:val="125"/>
          <w:sz w:val="18"/>
        </w:rPr>
        <w:t> </w:t>
      </w:r>
      <w:r>
        <w:rPr>
          <w:i/>
          <w:w w:val="125"/>
          <w:sz w:val="18"/>
        </w:rPr>
        <w:t>223.</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2017.</w:t>
      </w:r>
      <w:r>
        <w:rPr>
          <w:i/>
          <w:spacing w:val="-7"/>
          <w:w w:val="125"/>
          <w:sz w:val="18"/>
        </w:rPr>
        <w:t> </w:t>
      </w:r>
      <w:r>
        <w:rPr>
          <w:i/>
          <w:w w:val="125"/>
          <w:sz w:val="18"/>
        </w:rPr>
        <w:t>I.</w:t>
      </w:r>
      <w:r>
        <w:rPr>
          <w:i/>
          <w:spacing w:val="-6"/>
          <w:w w:val="125"/>
          <w:sz w:val="18"/>
        </w:rPr>
        <w:t> </w:t>
      </w:r>
      <w:r>
        <w:rPr>
          <w:i/>
          <w:w w:val="125"/>
          <w:sz w:val="18"/>
        </w:rPr>
        <w:t>1-től. 3</w:t>
        <w:tab/>
        <w:t>Lásd: 435/2016. (XII. 16.) Korm.</w:t>
      </w:r>
      <w:r>
        <w:rPr>
          <w:i/>
          <w:spacing w:val="-2"/>
          <w:w w:val="125"/>
          <w:sz w:val="18"/>
        </w:rPr>
        <w:t> </w:t>
      </w:r>
      <w:r>
        <w:rPr>
          <w:i/>
          <w:w w:val="125"/>
          <w:sz w:val="18"/>
        </w:rPr>
        <w:t>rendelet.</w:t>
      </w:r>
    </w:p>
    <w:p>
      <w:pPr>
        <w:tabs>
          <w:tab w:pos="686" w:val="left" w:leader="none"/>
        </w:tabs>
        <w:spacing w:line="197" w:lineRule="exact" w:before="0"/>
        <w:ind w:left="342" w:right="0" w:firstLine="0"/>
        <w:jc w:val="left"/>
        <w:rPr>
          <w:i/>
          <w:sz w:val="18"/>
        </w:rPr>
      </w:pPr>
      <w:r>
        <w:rPr>
          <w:i/>
          <w:w w:val="125"/>
          <w:sz w:val="18"/>
        </w:rPr>
        <w:t>4</w:t>
        <w:tab/>
        <w:t>Beiktatta: 2017. évi LXIX. törvény 176. §. Hatályos: 2017. VII.</w:t>
      </w:r>
      <w:r>
        <w:rPr>
          <w:i/>
          <w:spacing w:val="-13"/>
          <w:w w:val="125"/>
          <w:sz w:val="18"/>
        </w:rPr>
        <w:t> </w:t>
      </w:r>
      <w:r>
        <w:rPr>
          <w:i/>
          <w:w w:val="125"/>
          <w:sz w:val="18"/>
        </w:rPr>
        <w:t>1-től.</w:t>
      </w:r>
    </w:p>
    <w:p>
      <w:pPr>
        <w:tabs>
          <w:tab w:pos="686" w:val="left" w:leader="none"/>
        </w:tabs>
        <w:spacing w:line="200" w:lineRule="exact" w:before="0"/>
        <w:ind w:left="342" w:right="0" w:firstLine="0"/>
        <w:jc w:val="left"/>
        <w:rPr>
          <w:i/>
          <w:sz w:val="18"/>
        </w:rPr>
      </w:pPr>
      <w:r>
        <w:rPr>
          <w:i/>
          <w:w w:val="125"/>
          <w:sz w:val="18"/>
        </w:rPr>
        <w:t>5</w:t>
        <w:tab/>
        <w:t>Lásd: 22/2016. (VI. 29.) NGM rendelet, 53/2016. (XII. 21.) NGM</w:t>
      </w:r>
      <w:r>
        <w:rPr>
          <w:i/>
          <w:spacing w:val="-2"/>
          <w:w w:val="125"/>
          <w:sz w:val="18"/>
        </w:rPr>
        <w:t> </w:t>
      </w:r>
      <w:r>
        <w:rPr>
          <w:i/>
          <w:w w:val="125"/>
          <w:sz w:val="18"/>
        </w:rPr>
        <w:t>rendelet.</w:t>
      </w:r>
    </w:p>
    <w:p>
      <w:pPr>
        <w:tabs>
          <w:tab w:pos="686" w:val="left" w:leader="none"/>
        </w:tabs>
        <w:spacing w:line="232" w:lineRule="auto" w:before="2"/>
        <w:ind w:left="342" w:right="5052" w:firstLine="0"/>
        <w:jc w:val="left"/>
        <w:rPr>
          <w:i/>
          <w:sz w:val="18"/>
        </w:rPr>
      </w:pPr>
      <w:r>
        <w:rPr>
          <w:i/>
          <w:w w:val="125"/>
          <w:sz w:val="18"/>
        </w:rPr>
        <w:t>6</w:t>
        <w:tab/>
        <w:t>Módosította: 2016. évi LIII. törvény 134. §</w:t>
      </w:r>
      <w:r>
        <w:rPr>
          <w:i/>
          <w:spacing w:val="-32"/>
          <w:w w:val="125"/>
          <w:sz w:val="18"/>
        </w:rPr>
        <w:t> </w:t>
      </w:r>
      <w:r>
        <w:rPr>
          <w:i/>
          <w:w w:val="125"/>
          <w:sz w:val="18"/>
        </w:rPr>
        <w:t>e). 7</w:t>
        <w:tab/>
        <w:t>Lásd: 40/2015. (XII. 30.) NGM</w:t>
      </w:r>
      <w:r>
        <w:rPr>
          <w:i/>
          <w:spacing w:val="-9"/>
          <w:w w:val="125"/>
          <w:sz w:val="18"/>
        </w:rPr>
        <w:t> </w:t>
      </w:r>
      <w:r>
        <w:rPr>
          <w:i/>
          <w:w w:val="125"/>
          <w:sz w:val="18"/>
        </w:rPr>
        <w:t>rendelet.</w:t>
      </w:r>
    </w:p>
    <w:p>
      <w:pPr>
        <w:tabs>
          <w:tab w:pos="686" w:val="left" w:leader="none"/>
        </w:tabs>
        <w:spacing w:line="232" w:lineRule="auto" w:before="0"/>
        <w:ind w:left="342" w:right="2827" w:firstLine="0"/>
        <w:jc w:val="left"/>
        <w:rPr>
          <w:i/>
          <w:sz w:val="18"/>
        </w:rPr>
      </w:pPr>
      <w:r>
        <w:rPr>
          <w:i/>
          <w:w w:val="125"/>
          <w:sz w:val="18"/>
        </w:rPr>
        <w:t>8</w:t>
        <w:tab/>
        <w:t>Beiktatta:</w:t>
      </w:r>
      <w:r>
        <w:rPr>
          <w:i/>
          <w:spacing w:val="-8"/>
          <w:w w:val="125"/>
          <w:sz w:val="18"/>
        </w:rPr>
        <w:t> </w:t>
      </w:r>
      <w:r>
        <w:rPr>
          <w:i/>
          <w:w w:val="125"/>
          <w:sz w:val="18"/>
        </w:rPr>
        <w:t>2016.</w:t>
      </w:r>
      <w:r>
        <w:rPr>
          <w:i/>
          <w:spacing w:val="-7"/>
          <w:w w:val="125"/>
          <w:sz w:val="18"/>
        </w:rPr>
        <w:t> </w:t>
      </w:r>
      <w:r>
        <w:rPr>
          <w:i/>
          <w:w w:val="125"/>
          <w:sz w:val="18"/>
        </w:rPr>
        <w:t>évi</w:t>
      </w:r>
      <w:r>
        <w:rPr>
          <w:i/>
          <w:spacing w:val="-8"/>
          <w:w w:val="125"/>
          <w:sz w:val="18"/>
        </w:rPr>
        <w:t> </w:t>
      </w:r>
      <w:r>
        <w:rPr>
          <w:i/>
          <w:w w:val="125"/>
          <w:sz w:val="18"/>
        </w:rPr>
        <w:t>LIII.</w:t>
      </w:r>
      <w:r>
        <w:rPr>
          <w:i/>
          <w:spacing w:val="-7"/>
          <w:w w:val="125"/>
          <w:sz w:val="18"/>
        </w:rPr>
        <w:t> </w:t>
      </w:r>
      <w:r>
        <w:rPr>
          <w:i/>
          <w:w w:val="125"/>
          <w:sz w:val="18"/>
        </w:rPr>
        <w:t>törvény</w:t>
      </w:r>
      <w:r>
        <w:rPr>
          <w:i/>
          <w:spacing w:val="-7"/>
          <w:w w:val="125"/>
          <w:sz w:val="18"/>
        </w:rPr>
        <w:t> </w:t>
      </w:r>
      <w:r>
        <w:rPr>
          <w:i/>
          <w:w w:val="125"/>
          <w:sz w:val="18"/>
        </w:rPr>
        <w:t>133.</w:t>
      </w:r>
      <w:r>
        <w:rPr>
          <w:i/>
          <w:spacing w:val="-8"/>
          <w:w w:val="125"/>
          <w:sz w:val="18"/>
        </w:rPr>
        <w:t> </w:t>
      </w:r>
      <w:r>
        <w:rPr>
          <w:i/>
          <w:w w:val="125"/>
          <w:sz w:val="18"/>
        </w:rPr>
        <w:t>§</w:t>
      </w:r>
      <w:r>
        <w:rPr>
          <w:i/>
          <w:spacing w:val="-6"/>
          <w:w w:val="125"/>
          <w:sz w:val="18"/>
        </w:rPr>
        <w:t> </w:t>
      </w:r>
      <w:r>
        <w:rPr>
          <w:i/>
          <w:w w:val="125"/>
          <w:sz w:val="18"/>
        </w:rPr>
        <w:t>(2).</w:t>
      </w:r>
      <w:r>
        <w:rPr>
          <w:i/>
          <w:spacing w:val="-7"/>
          <w:w w:val="125"/>
          <w:sz w:val="18"/>
        </w:rPr>
        <w:t> </w:t>
      </w:r>
      <w:r>
        <w:rPr>
          <w:i/>
          <w:w w:val="125"/>
          <w:sz w:val="18"/>
        </w:rPr>
        <w:t>Hatályos:</w:t>
      </w:r>
      <w:r>
        <w:rPr>
          <w:i/>
          <w:spacing w:val="-6"/>
          <w:w w:val="125"/>
          <w:sz w:val="18"/>
        </w:rPr>
        <w:t> </w:t>
      </w:r>
      <w:r>
        <w:rPr>
          <w:i/>
          <w:w w:val="125"/>
          <w:sz w:val="18"/>
        </w:rPr>
        <w:t>2016.</w:t>
      </w:r>
      <w:r>
        <w:rPr>
          <w:i/>
          <w:spacing w:val="-8"/>
          <w:w w:val="125"/>
          <w:sz w:val="18"/>
        </w:rPr>
        <w:t> </w:t>
      </w:r>
      <w:r>
        <w:rPr>
          <w:i/>
          <w:w w:val="125"/>
          <w:sz w:val="18"/>
        </w:rPr>
        <w:t>VII.</w:t>
      </w:r>
      <w:r>
        <w:rPr>
          <w:i/>
          <w:spacing w:val="-6"/>
          <w:w w:val="125"/>
          <w:sz w:val="18"/>
        </w:rPr>
        <w:t> </w:t>
      </w:r>
      <w:r>
        <w:rPr>
          <w:i/>
          <w:w w:val="125"/>
          <w:sz w:val="18"/>
        </w:rPr>
        <w:t>1-től. 9</w:t>
        <w:tab/>
        <w:t>Lásd: 22/2016. (VI. 29.) NGM</w:t>
      </w:r>
      <w:r>
        <w:rPr>
          <w:i/>
          <w:spacing w:val="-1"/>
          <w:w w:val="125"/>
          <w:sz w:val="18"/>
        </w:rPr>
        <w:t> </w:t>
      </w:r>
      <w:r>
        <w:rPr>
          <w:i/>
          <w:w w:val="125"/>
          <w:sz w:val="18"/>
        </w:rPr>
        <w:t>rendelet.</w:t>
      </w:r>
    </w:p>
    <w:p>
      <w:pPr>
        <w:tabs>
          <w:tab w:pos="686" w:val="left" w:leader="none"/>
        </w:tabs>
        <w:spacing w:line="197" w:lineRule="exact" w:before="0"/>
        <w:ind w:left="228" w:right="0" w:firstLine="0"/>
        <w:jc w:val="left"/>
        <w:rPr>
          <w:i/>
          <w:sz w:val="18"/>
        </w:rPr>
      </w:pPr>
      <w:r>
        <w:rPr>
          <w:i/>
          <w:w w:val="120"/>
          <w:sz w:val="18"/>
        </w:rPr>
        <w:t>10</w:t>
        <w:tab/>
        <w:t>Beiktatta: 2015. évi CCXV. törvény 148. § (2). Hatályos: 2016. III.</w:t>
      </w:r>
      <w:r>
        <w:rPr>
          <w:i/>
          <w:spacing w:val="53"/>
          <w:w w:val="120"/>
          <w:sz w:val="18"/>
        </w:rPr>
        <w:t> </w:t>
      </w:r>
      <w:r>
        <w:rPr>
          <w:i/>
          <w:w w:val="120"/>
          <w:sz w:val="18"/>
        </w:rPr>
        <w:t>21-től.</w:t>
      </w:r>
    </w:p>
    <w:p>
      <w:pPr>
        <w:tabs>
          <w:tab w:pos="686" w:val="left" w:leader="none"/>
        </w:tabs>
        <w:spacing w:line="200" w:lineRule="exact" w:before="0"/>
        <w:ind w:left="228" w:right="0" w:firstLine="0"/>
        <w:jc w:val="left"/>
        <w:rPr>
          <w:i/>
          <w:sz w:val="18"/>
        </w:rPr>
      </w:pPr>
      <w:r>
        <w:rPr>
          <w:i/>
          <w:w w:val="125"/>
          <w:sz w:val="18"/>
        </w:rPr>
        <w:t>11</w:t>
        <w:tab/>
        <w:t>Lásd: 40/2013. (XII. 29.) MNB rendelet, 28/2014. (VII. 23.) MNB rendelet, 47/2018. (XII. 17.)</w:t>
      </w:r>
      <w:r>
        <w:rPr>
          <w:i/>
          <w:spacing w:val="-28"/>
          <w:w w:val="125"/>
          <w:sz w:val="18"/>
        </w:rPr>
        <w:t> </w:t>
      </w:r>
      <w:r>
        <w:rPr>
          <w:i/>
          <w:w w:val="125"/>
          <w:sz w:val="18"/>
        </w:rPr>
        <w:t>MNB</w:t>
      </w:r>
    </w:p>
    <w:p>
      <w:pPr>
        <w:spacing w:line="203" w:lineRule="exact" w:before="0"/>
        <w:ind w:left="686" w:right="0" w:firstLine="0"/>
        <w:jc w:val="left"/>
        <w:rPr>
          <w:i/>
          <w:sz w:val="18"/>
        </w:rPr>
      </w:pPr>
      <w:r>
        <w:rPr>
          <w:i/>
          <w:w w:val="125"/>
          <w:sz w:val="18"/>
        </w:rPr>
        <w:t>rendelet, 46/2018. (XII. 17.) MNB rendelet.</w:t>
      </w:r>
    </w:p>
    <w:p>
      <w:pPr>
        <w:spacing w:after="0" w:line="203" w:lineRule="exact"/>
        <w:jc w:val="left"/>
        <w:rPr>
          <w:sz w:val="18"/>
        </w:rPr>
        <w:sectPr>
          <w:pgSz w:w="11900" w:h="16820"/>
          <w:pgMar w:header="1104" w:footer="0" w:top="1840" w:bottom="280" w:left="1020" w:right="1000"/>
        </w:sectPr>
      </w:pPr>
    </w:p>
    <w:p>
      <w:pPr>
        <w:pStyle w:val="ListParagraph"/>
        <w:numPr>
          <w:ilvl w:val="0"/>
          <w:numId w:val="634"/>
        </w:numPr>
        <w:tabs>
          <w:tab w:pos="810" w:val="left" w:leader="none"/>
        </w:tabs>
        <w:spacing w:line="225" w:lineRule="auto" w:before="173" w:after="0"/>
        <w:ind w:left="113" w:right="126" w:firstLine="204"/>
        <w:jc w:val="both"/>
        <w:rPr>
          <w:i/>
          <w:sz w:val="18"/>
        </w:rPr>
      </w:pPr>
      <w:r>
        <w:rPr>
          <w:w w:val="130"/>
          <w:sz w:val="24"/>
        </w:rPr>
        <w:t>465. cikk (2) bekezdésének megfelelően az elsődleges alapvető tőkemegfelelési mutatónak és az alapvető tőkemegfelelési mutatónak azt a szintjét,</w:t>
      </w:r>
      <w:r>
        <w:rPr>
          <w:spacing w:val="-14"/>
          <w:w w:val="130"/>
          <w:sz w:val="24"/>
        </w:rPr>
        <w:t> </w:t>
      </w:r>
      <w:r>
        <w:rPr>
          <w:w w:val="130"/>
          <w:sz w:val="24"/>
        </w:rPr>
        <w:t>amelyet</w:t>
      </w:r>
      <w:r>
        <w:rPr>
          <w:spacing w:val="-15"/>
          <w:w w:val="130"/>
          <w:sz w:val="24"/>
        </w:rPr>
        <w:t> </w:t>
      </w:r>
      <w:r>
        <w:rPr>
          <w:w w:val="130"/>
          <w:sz w:val="24"/>
        </w:rPr>
        <w:t>a</w:t>
      </w:r>
      <w:r>
        <w:rPr>
          <w:spacing w:val="-15"/>
          <w:w w:val="130"/>
          <w:sz w:val="24"/>
        </w:rPr>
        <w:t> </w:t>
      </w:r>
      <w:r>
        <w:rPr>
          <w:w w:val="130"/>
          <w:sz w:val="24"/>
        </w:rPr>
        <w:t>hitelintézeteknek</w:t>
      </w:r>
      <w:r>
        <w:rPr>
          <w:spacing w:val="-14"/>
          <w:w w:val="130"/>
          <w:sz w:val="24"/>
        </w:rPr>
        <w:t> </w:t>
      </w:r>
      <w:r>
        <w:rPr>
          <w:w w:val="130"/>
          <w:sz w:val="24"/>
        </w:rPr>
        <w:t>el</w:t>
      </w:r>
      <w:r>
        <w:rPr>
          <w:spacing w:val="-15"/>
          <w:w w:val="130"/>
          <w:sz w:val="24"/>
        </w:rPr>
        <w:t> </w:t>
      </w:r>
      <w:r>
        <w:rPr>
          <w:w w:val="130"/>
          <w:sz w:val="24"/>
        </w:rPr>
        <w:t>kell</w:t>
      </w:r>
      <w:r>
        <w:rPr>
          <w:spacing w:val="-14"/>
          <w:w w:val="130"/>
          <w:sz w:val="24"/>
        </w:rPr>
        <w:t> </w:t>
      </w:r>
      <w:r>
        <w:rPr>
          <w:w w:val="130"/>
          <w:sz w:val="24"/>
        </w:rPr>
        <w:t>érnie</w:t>
      </w:r>
      <w:r>
        <w:rPr>
          <w:spacing w:val="-15"/>
          <w:w w:val="130"/>
          <w:sz w:val="24"/>
        </w:rPr>
        <w:t> </w:t>
      </w:r>
      <w:r>
        <w:rPr>
          <w:w w:val="130"/>
          <w:sz w:val="24"/>
        </w:rPr>
        <w:t>vagy</w:t>
      </w:r>
      <w:r>
        <w:rPr>
          <w:spacing w:val="-15"/>
          <w:w w:val="130"/>
          <w:sz w:val="24"/>
        </w:rPr>
        <w:t> </w:t>
      </w:r>
      <w:r>
        <w:rPr>
          <w:w w:val="130"/>
          <w:sz w:val="24"/>
        </w:rPr>
        <w:t>meg</w:t>
      </w:r>
      <w:r>
        <w:rPr>
          <w:spacing w:val="-15"/>
          <w:w w:val="130"/>
          <w:sz w:val="24"/>
        </w:rPr>
        <w:t> </w:t>
      </w:r>
      <w:r>
        <w:rPr>
          <w:w w:val="130"/>
          <w:sz w:val="24"/>
        </w:rPr>
        <w:t>kell</w:t>
      </w:r>
      <w:r>
        <w:rPr>
          <w:spacing w:val="-14"/>
          <w:w w:val="130"/>
          <w:sz w:val="24"/>
        </w:rPr>
        <w:t> </w:t>
      </w:r>
      <w:r>
        <w:rPr>
          <w:w w:val="130"/>
          <w:sz w:val="24"/>
        </w:rPr>
        <w:t>haladnia,</w:t>
      </w:r>
      <w:r>
        <w:rPr>
          <w:i/>
          <w:w w:val="130"/>
          <w:position w:val="3"/>
          <w:sz w:val="18"/>
        </w:rPr>
        <w:t>1</w:t>
      </w:r>
    </w:p>
    <w:p>
      <w:pPr>
        <w:pStyle w:val="ListParagraph"/>
        <w:numPr>
          <w:ilvl w:val="0"/>
          <w:numId w:val="634"/>
        </w:numPr>
        <w:tabs>
          <w:tab w:pos="852" w:val="left" w:leader="none"/>
        </w:tabs>
        <w:spacing w:line="225" w:lineRule="auto" w:before="1" w:after="0"/>
        <w:ind w:left="113" w:right="129" w:firstLine="204"/>
        <w:jc w:val="both"/>
        <w:rPr>
          <w:i/>
          <w:sz w:val="18"/>
        </w:rPr>
      </w:pPr>
      <w:r>
        <w:rPr>
          <w:w w:val="125"/>
          <w:sz w:val="24"/>
        </w:rPr>
        <w:t>467. cikk (2) bekezdésben meghatározott tartományokon belül alkalmazandó százalékos</w:t>
      </w:r>
      <w:r>
        <w:rPr>
          <w:spacing w:val="2"/>
          <w:w w:val="125"/>
          <w:sz w:val="24"/>
        </w:rPr>
        <w:t> </w:t>
      </w:r>
      <w:r>
        <w:rPr>
          <w:w w:val="125"/>
          <w:sz w:val="24"/>
        </w:rPr>
        <w:t>arányt,</w:t>
      </w:r>
      <w:r>
        <w:rPr>
          <w:i/>
          <w:w w:val="125"/>
          <w:position w:val="3"/>
          <w:sz w:val="18"/>
        </w:rPr>
        <w:t>2</w:t>
      </w:r>
    </w:p>
    <w:p>
      <w:pPr>
        <w:pStyle w:val="ListParagraph"/>
        <w:numPr>
          <w:ilvl w:val="0"/>
          <w:numId w:val="634"/>
        </w:numPr>
        <w:tabs>
          <w:tab w:pos="766" w:val="left" w:leader="none"/>
        </w:tabs>
        <w:spacing w:line="225" w:lineRule="auto" w:before="2" w:after="0"/>
        <w:ind w:left="113" w:right="128" w:firstLine="204"/>
        <w:jc w:val="both"/>
        <w:rPr>
          <w:i/>
          <w:sz w:val="18"/>
        </w:rPr>
      </w:pPr>
      <w:r>
        <w:rPr>
          <w:w w:val="130"/>
          <w:sz w:val="24"/>
        </w:rPr>
        <w:t>468. cikk (3) bekezdésének megfelelően a valós értéken értékelt eszközökkel és kötelezettségekkel kapcsolatos nem realizált nyereség azon százalékos</w:t>
      </w:r>
      <w:r>
        <w:rPr>
          <w:spacing w:val="-7"/>
          <w:w w:val="130"/>
          <w:sz w:val="24"/>
        </w:rPr>
        <w:t> </w:t>
      </w:r>
      <w:r>
        <w:rPr>
          <w:w w:val="130"/>
          <w:sz w:val="24"/>
        </w:rPr>
        <w:t>arányát,</w:t>
      </w:r>
      <w:r>
        <w:rPr>
          <w:spacing w:val="-11"/>
          <w:w w:val="130"/>
          <w:sz w:val="24"/>
        </w:rPr>
        <w:t> </w:t>
      </w:r>
      <w:r>
        <w:rPr>
          <w:w w:val="130"/>
          <w:sz w:val="24"/>
        </w:rPr>
        <w:t>amely</w:t>
      </w:r>
      <w:r>
        <w:rPr>
          <w:spacing w:val="-12"/>
          <w:w w:val="130"/>
          <w:sz w:val="24"/>
        </w:rPr>
        <w:t> </w:t>
      </w:r>
      <w:r>
        <w:rPr>
          <w:w w:val="130"/>
          <w:sz w:val="24"/>
        </w:rPr>
        <w:t>az elsődleges</w:t>
      </w:r>
      <w:r>
        <w:rPr>
          <w:spacing w:val="-20"/>
          <w:w w:val="130"/>
          <w:sz w:val="24"/>
        </w:rPr>
        <w:t> </w:t>
      </w:r>
      <w:r>
        <w:rPr>
          <w:w w:val="130"/>
          <w:sz w:val="24"/>
        </w:rPr>
        <w:t>alapvető</w:t>
      </w:r>
      <w:r>
        <w:rPr>
          <w:spacing w:val="-10"/>
          <w:w w:val="130"/>
          <w:sz w:val="24"/>
        </w:rPr>
        <w:t> </w:t>
      </w:r>
      <w:r>
        <w:rPr>
          <w:w w:val="130"/>
          <w:sz w:val="24"/>
        </w:rPr>
        <w:t>tőkeelemek</w:t>
      </w:r>
      <w:r>
        <w:rPr>
          <w:spacing w:val="-10"/>
          <w:w w:val="130"/>
          <w:sz w:val="24"/>
        </w:rPr>
        <w:t> </w:t>
      </w:r>
      <w:r>
        <w:rPr>
          <w:w w:val="130"/>
          <w:sz w:val="24"/>
        </w:rPr>
        <w:t>számítása</w:t>
      </w:r>
      <w:r>
        <w:rPr>
          <w:spacing w:val="-10"/>
          <w:w w:val="130"/>
          <w:sz w:val="24"/>
        </w:rPr>
        <w:t> </w:t>
      </w:r>
      <w:r>
        <w:rPr>
          <w:w w:val="130"/>
          <w:sz w:val="24"/>
        </w:rPr>
        <w:t>során figyelembe</w:t>
      </w:r>
      <w:r>
        <w:rPr>
          <w:spacing w:val="-4"/>
          <w:w w:val="130"/>
          <w:sz w:val="24"/>
        </w:rPr>
        <w:t> </w:t>
      </w:r>
      <w:r>
        <w:rPr>
          <w:w w:val="130"/>
          <w:sz w:val="24"/>
        </w:rPr>
        <w:t>vehető,</w:t>
      </w:r>
      <w:r>
        <w:rPr>
          <w:i/>
          <w:w w:val="130"/>
          <w:position w:val="3"/>
          <w:sz w:val="18"/>
        </w:rPr>
        <w:t>3</w:t>
      </w:r>
    </w:p>
    <w:p>
      <w:pPr>
        <w:pStyle w:val="ListParagraph"/>
        <w:numPr>
          <w:ilvl w:val="0"/>
          <w:numId w:val="634"/>
        </w:numPr>
        <w:tabs>
          <w:tab w:pos="820" w:val="left" w:leader="none"/>
        </w:tabs>
        <w:spacing w:line="225" w:lineRule="auto" w:before="2" w:after="0"/>
        <w:ind w:left="113" w:right="126" w:firstLine="204"/>
        <w:jc w:val="both"/>
        <w:rPr>
          <w:i/>
          <w:sz w:val="18"/>
        </w:rPr>
      </w:pPr>
      <w:r>
        <w:rPr>
          <w:w w:val="125"/>
          <w:sz w:val="24"/>
        </w:rPr>
        <w:t>478. cikk (3) bekezdésének megfelelően az elsődleges alapvető tőkeelemekből, a kiegészítő alapvető tőkeelemekből, valamint a járulékos tőkeelemekből való levonások során alkalmazandó százalékos</w:t>
      </w:r>
      <w:r>
        <w:rPr>
          <w:spacing w:val="19"/>
          <w:w w:val="125"/>
          <w:sz w:val="24"/>
        </w:rPr>
        <w:t> </w:t>
      </w:r>
      <w:r>
        <w:rPr>
          <w:w w:val="125"/>
          <w:sz w:val="24"/>
        </w:rPr>
        <w:t>arányokat,</w:t>
      </w:r>
      <w:r>
        <w:rPr>
          <w:i/>
          <w:w w:val="125"/>
          <w:position w:val="3"/>
          <w:sz w:val="18"/>
        </w:rPr>
        <w:t>4</w:t>
      </w:r>
    </w:p>
    <w:p>
      <w:pPr>
        <w:pStyle w:val="ListParagraph"/>
        <w:numPr>
          <w:ilvl w:val="0"/>
          <w:numId w:val="634"/>
        </w:numPr>
        <w:tabs>
          <w:tab w:pos="751" w:val="left" w:leader="none"/>
        </w:tabs>
        <w:spacing w:line="225" w:lineRule="auto" w:before="2" w:after="0"/>
        <w:ind w:left="113" w:right="124" w:firstLine="204"/>
        <w:jc w:val="both"/>
        <w:rPr>
          <w:i/>
          <w:sz w:val="18"/>
        </w:rPr>
      </w:pPr>
      <w:r>
        <w:rPr>
          <w:w w:val="125"/>
          <w:sz w:val="24"/>
        </w:rPr>
        <w:t>479. cikk (4) bekezdésének megfelelően azon tőkeelemek átmeneti figyelembe vételi lehetőségére vonatkozó százalékos arányokat, amelyek a 2013. december 31-ig hatályos jogszabályok alapján figyelembe vehetőek voltak az összevont alapú elsődleges alapvető tőke számítás során, de az 575/2013/EU rendelet hatályos követelményeinek már nem felelnek</w:t>
      </w:r>
      <w:r>
        <w:rPr>
          <w:spacing w:val="30"/>
          <w:w w:val="125"/>
          <w:sz w:val="24"/>
        </w:rPr>
        <w:t> </w:t>
      </w:r>
      <w:r>
        <w:rPr>
          <w:w w:val="125"/>
          <w:sz w:val="24"/>
        </w:rPr>
        <w:t>meg,</w:t>
      </w:r>
      <w:r>
        <w:rPr>
          <w:i/>
          <w:w w:val="125"/>
          <w:position w:val="3"/>
          <w:sz w:val="18"/>
        </w:rPr>
        <w:t>5</w:t>
      </w:r>
    </w:p>
    <w:p>
      <w:pPr>
        <w:pStyle w:val="ListParagraph"/>
        <w:numPr>
          <w:ilvl w:val="0"/>
          <w:numId w:val="634"/>
        </w:numPr>
        <w:tabs>
          <w:tab w:pos="657" w:val="left" w:leader="none"/>
        </w:tabs>
        <w:spacing w:line="225" w:lineRule="auto" w:before="3" w:after="0"/>
        <w:ind w:left="113" w:right="126" w:firstLine="204"/>
        <w:jc w:val="both"/>
        <w:rPr>
          <w:i/>
          <w:sz w:val="18"/>
        </w:rPr>
      </w:pPr>
      <w:r>
        <w:rPr>
          <w:w w:val="125"/>
          <w:sz w:val="24"/>
        </w:rPr>
        <w:t>480. cikk (3) bekezdésének megfelelően a kisebbségi részesedések, a kiegészítő alapvető tőkébe beszámítható tőkeelemek, illetve a járulékos tőkébe beszámítható tőkeelemek összevont alapú szavatolótőkében való figyelembevételi lehetőségére vonatkozó</w:t>
      </w:r>
      <w:r>
        <w:rPr>
          <w:spacing w:val="4"/>
          <w:w w:val="125"/>
          <w:sz w:val="24"/>
        </w:rPr>
        <w:t> </w:t>
      </w:r>
      <w:r>
        <w:rPr>
          <w:w w:val="125"/>
          <w:sz w:val="24"/>
        </w:rPr>
        <w:t>arányokat,</w:t>
      </w:r>
      <w:r>
        <w:rPr>
          <w:i/>
          <w:w w:val="125"/>
          <w:position w:val="3"/>
          <w:sz w:val="18"/>
        </w:rPr>
        <w:t>6</w:t>
      </w:r>
    </w:p>
    <w:p>
      <w:pPr>
        <w:pStyle w:val="ListParagraph"/>
        <w:numPr>
          <w:ilvl w:val="0"/>
          <w:numId w:val="634"/>
        </w:numPr>
        <w:tabs>
          <w:tab w:pos="820" w:val="left" w:leader="none"/>
        </w:tabs>
        <w:spacing w:line="225" w:lineRule="auto" w:before="2" w:after="0"/>
        <w:ind w:left="113" w:right="123" w:firstLine="204"/>
        <w:jc w:val="both"/>
        <w:rPr>
          <w:i/>
          <w:sz w:val="18"/>
        </w:rPr>
      </w:pPr>
      <w:r>
        <w:rPr>
          <w:w w:val="125"/>
          <w:sz w:val="24"/>
        </w:rPr>
        <w:t>481. cikk (5) bekezdésének megfelelően az elsődleges alapvető tőkeelemekre, az alapvető tőkeelemekre, a járulékos tőkeelemekre és a szavatolótőke-elemekre a 2013. december 31-ig hatályos jogszabályok által előírt, de az 575/2013/EU rendeletben nem szereplő szűrők és levonások átmeneti alkalmazására vonatkozó százalékos</w:t>
      </w:r>
      <w:r>
        <w:rPr>
          <w:spacing w:val="10"/>
          <w:w w:val="125"/>
          <w:sz w:val="24"/>
        </w:rPr>
        <w:t> </w:t>
      </w:r>
      <w:r>
        <w:rPr>
          <w:w w:val="125"/>
          <w:sz w:val="24"/>
        </w:rPr>
        <w:t>arányokat,</w:t>
      </w:r>
      <w:r>
        <w:rPr>
          <w:i/>
          <w:w w:val="125"/>
          <w:position w:val="3"/>
          <w:sz w:val="18"/>
        </w:rPr>
        <w:t>7</w:t>
      </w:r>
    </w:p>
    <w:p>
      <w:pPr>
        <w:pStyle w:val="ListParagraph"/>
        <w:numPr>
          <w:ilvl w:val="0"/>
          <w:numId w:val="634"/>
        </w:numPr>
        <w:tabs>
          <w:tab w:pos="650" w:val="left" w:leader="none"/>
        </w:tabs>
        <w:spacing w:line="225" w:lineRule="auto" w:before="3" w:after="0"/>
        <w:ind w:left="113" w:right="125" w:firstLine="204"/>
        <w:jc w:val="both"/>
        <w:rPr>
          <w:i/>
          <w:sz w:val="18"/>
        </w:rPr>
      </w:pPr>
      <w:r>
        <w:rPr>
          <w:w w:val="125"/>
          <w:sz w:val="24"/>
        </w:rPr>
        <w:t>486. cikk (6) bekezdésének megfelelően az elsődleges alapvető tőkében, a kiegészítő alapvető tőkében, valamint a járulékos tőkében a 2013. december 31-ig hatályos jogszabályok alapján figyelembe vehető, de az 575/2013/EU rendeletben foglalt követelményeknek meg nem felelő tételek átmeneti figyelembe vételére vonatkozó százalékos</w:t>
      </w:r>
      <w:r>
        <w:rPr>
          <w:spacing w:val="4"/>
          <w:w w:val="125"/>
          <w:sz w:val="24"/>
        </w:rPr>
        <w:t> </w:t>
      </w:r>
      <w:r>
        <w:rPr>
          <w:w w:val="125"/>
          <w:sz w:val="24"/>
        </w:rPr>
        <w:t>arányokat,</w:t>
      </w:r>
      <w:r>
        <w:rPr>
          <w:i/>
          <w:w w:val="125"/>
          <w:position w:val="3"/>
          <w:sz w:val="18"/>
        </w:rPr>
        <w:t>8</w:t>
      </w:r>
    </w:p>
    <w:p>
      <w:pPr>
        <w:pStyle w:val="ListParagraph"/>
        <w:numPr>
          <w:ilvl w:val="0"/>
          <w:numId w:val="634"/>
        </w:numPr>
        <w:tabs>
          <w:tab w:pos="490" w:val="left" w:leader="none"/>
        </w:tabs>
        <w:spacing w:line="251" w:lineRule="exact" w:before="0" w:after="0"/>
        <w:ind w:left="489" w:right="0" w:hanging="172"/>
        <w:jc w:val="left"/>
        <w:rPr>
          <w:sz w:val="24"/>
        </w:rPr>
      </w:pPr>
      <w:r>
        <w:rPr>
          <w:i/>
          <w:w w:val="130"/>
          <w:position w:val="3"/>
          <w:sz w:val="18"/>
        </w:rPr>
        <w:t>9</w:t>
      </w:r>
      <w:r>
        <w:rPr>
          <w:i/>
          <w:spacing w:val="50"/>
          <w:w w:val="130"/>
          <w:position w:val="3"/>
          <w:sz w:val="18"/>
        </w:rPr>
        <w:t> </w:t>
      </w:r>
      <w:r>
        <w:rPr>
          <w:w w:val="130"/>
          <w:sz w:val="24"/>
        </w:rPr>
        <w:t>89.</w:t>
      </w:r>
      <w:r>
        <w:rPr>
          <w:spacing w:val="31"/>
          <w:w w:val="130"/>
          <w:sz w:val="24"/>
        </w:rPr>
        <w:t> </w:t>
      </w:r>
      <w:r>
        <w:rPr>
          <w:w w:val="130"/>
          <w:sz w:val="24"/>
        </w:rPr>
        <w:t>cikk</w:t>
      </w:r>
      <w:r>
        <w:rPr>
          <w:spacing w:val="31"/>
          <w:w w:val="130"/>
          <w:sz w:val="24"/>
        </w:rPr>
        <w:t> </w:t>
      </w:r>
      <w:r>
        <w:rPr>
          <w:w w:val="130"/>
          <w:sz w:val="24"/>
        </w:rPr>
        <w:t>(3)</w:t>
      </w:r>
      <w:r>
        <w:rPr>
          <w:spacing w:val="31"/>
          <w:w w:val="130"/>
          <w:sz w:val="24"/>
        </w:rPr>
        <w:t> </w:t>
      </w:r>
      <w:r>
        <w:rPr>
          <w:w w:val="130"/>
          <w:sz w:val="24"/>
        </w:rPr>
        <w:t>bekezdésének</w:t>
      </w:r>
      <w:r>
        <w:rPr>
          <w:spacing w:val="31"/>
          <w:w w:val="130"/>
          <w:sz w:val="24"/>
        </w:rPr>
        <w:t> </w:t>
      </w:r>
      <w:r>
        <w:rPr>
          <w:w w:val="130"/>
          <w:sz w:val="24"/>
        </w:rPr>
        <w:t>megfelelően</w:t>
      </w:r>
      <w:r>
        <w:rPr>
          <w:spacing w:val="32"/>
          <w:w w:val="130"/>
          <w:sz w:val="24"/>
        </w:rPr>
        <w:t> </w:t>
      </w:r>
      <w:r>
        <w:rPr>
          <w:w w:val="130"/>
          <w:sz w:val="24"/>
        </w:rPr>
        <w:t>azt,</w:t>
      </w:r>
      <w:r>
        <w:rPr>
          <w:spacing w:val="31"/>
          <w:w w:val="130"/>
          <w:sz w:val="24"/>
        </w:rPr>
        <w:t> </w:t>
      </w:r>
      <w:r>
        <w:rPr>
          <w:w w:val="130"/>
          <w:sz w:val="24"/>
        </w:rPr>
        <w:t>hogy</w:t>
      </w:r>
      <w:r>
        <w:rPr>
          <w:spacing w:val="31"/>
          <w:w w:val="130"/>
          <w:sz w:val="24"/>
        </w:rPr>
        <w:t> </w:t>
      </w:r>
      <w:r>
        <w:rPr>
          <w:w w:val="130"/>
          <w:sz w:val="24"/>
        </w:rPr>
        <w:t>a</w:t>
      </w:r>
      <w:r>
        <w:rPr>
          <w:spacing w:val="31"/>
          <w:w w:val="130"/>
          <w:sz w:val="24"/>
        </w:rPr>
        <w:t> </w:t>
      </w:r>
      <w:r>
        <w:rPr>
          <w:w w:val="130"/>
          <w:sz w:val="24"/>
        </w:rPr>
        <w:t>hitelintézeteknek</w:t>
      </w:r>
      <w:r>
        <w:rPr>
          <w:spacing w:val="31"/>
          <w:w w:val="130"/>
          <w:sz w:val="24"/>
        </w:rPr>
        <w:t> </w:t>
      </w:r>
      <w:r>
        <w:rPr>
          <w:w w:val="130"/>
          <w:sz w:val="24"/>
        </w:rPr>
        <w:t>a</w:t>
      </w:r>
    </w:p>
    <w:p>
      <w:pPr>
        <w:pStyle w:val="BodyText"/>
        <w:spacing w:line="225" w:lineRule="auto" w:before="12"/>
        <w:ind w:right="126" w:firstLine="0"/>
        <w:jc w:val="both"/>
        <w:rPr>
          <w:i/>
          <w:sz w:val="18"/>
        </w:rPr>
      </w:pPr>
      <w:r>
        <w:rPr>
          <w:w w:val="125"/>
        </w:rPr>
        <w:t>pénzügyi ágazaton kívüli befolyásoló részesedés vonatkozásában az 575/2013/EU rendelet 89. cikk (3) bekezdés </w:t>
      </w:r>
      <w:r>
        <w:rPr>
          <w:i/>
          <w:w w:val="125"/>
        </w:rPr>
        <w:t>a) </w:t>
      </w:r>
      <w:r>
        <w:rPr>
          <w:w w:val="125"/>
        </w:rPr>
        <w:t>vagy </w:t>
      </w:r>
      <w:r>
        <w:rPr>
          <w:i/>
          <w:w w:val="125"/>
        </w:rPr>
        <w:t>b) </w:t>
      </w:r>
      <w:r>
        <w:rPr>
          <w:w w:val="125"/>
        </w:rPr>
        <w:t>pontjában meghatározott követelményeknek kell</w:t>
      </w:r>
      <w:r>
        <w:rPr>
          <w:spacing w:val="2"/>
          <w:w w:val="125"/>
        </w:rPr>
        <w:t> </w:t>
      </w:r>
      <w:r>
        <w:rPr>
          <w:w w:val="125"/>
        </w:rPr>
        <w:t>megfelelniük,</w:t>
      </w:r>
      <w:r>
        <w:rPr>
          <w:i/>
          <w:w w:val="125"/>
          <w:position w:val="3"/>
          <w:sz w:val="18"/>
        </w:rPr>
        <w:t>10</w:t>
      </w:r>
    </w:p>
    <w:p>
      <w:pPr>
        <w:spacing w:after="0" w:line="225" w:lineRule="auto"/>
        <w:jc w:val="both"/>
        <w:rPr>
          <w:sz w:val="18"/>
        </w:rPr>
        <w:sectPr>
          <w:pgSz w:w="11900" w:h="16820"/>
          <w:pgMar w:header="1104" w:footer="0" w:top="1840" w:bottom="280" w:left="1020" w:right="1000"/>
        </w:sectPr>
      </w:pPr>
    </w:p>
    <w:p>
      <w:pPr>
        <w:pStyle w:val="ListParagraph"/>
        <w:numPr>
          <w:ilvl w:val="0"/>
          <w:numId w:val="634"/>
        </w:numPr>
        <w:tabs>
          <w:tab w:pos="487" w:val="left" w:leader="none"/>
        </w:tabs>
        <w:spacing w:line="250" w:lineRule="exact" w:before="0" w:after="0"/>
        <w:ind w:left="486" w:right="0" w:hanging="169"/>
        <w:jc w:val="left"/>
        <w:rPr>
          <w:i/>
          <w:sz w:val="18"/>
        </w:rPr>
      </w:pPr>
      <w:r>
        <w:rPr>
          <w:i/>
          <w:spacing w:val="-1"/>
          <w:w w:val="125"/>
          <w:sz w:val="18"/>
        </w:rPr>
        <w:t>11</w:t>
      </w:r>
    </w:p>
    <w:p>
      <w:pPr>
        <w:pStyle w:val="BodyText"/>
        <w:spacing w:line="250" w:lineRule="exact"/>
        <w:ind w:left="127" w:firstLine="0"/>
      </w:pPr>
      <w:r>
        <w:rPr/>
        <w:br w:type="column"/>
      </w:r>
      <w:r>
        <w:rPr>
          <w:w w:val="125"/>
        </w:rPr>
        <w:t>178. cikk (1) bekezdés </w:t>
      </w:r>
      <w:r>
        <w:rPr>
          <w:i/>
          <w:w w:val="125"/>
        </w:rPr>
        <w:t>b) </w:t>
      </w:r>
      <w:r>
        <w:rPr>
          <w:w w:val="125"/>
        </w:rPr>
        <w:t>pontjának megfelelően azon időtartamot,</w:t>
      </w:r>
    </w:p>
    <w:p>
      <w:pPr>
        <w:spacing w:after="0" w:line="250" w:lineRule="exact"/>
        <w:sectPr>
          <w:type w:val="continuous"/>
          <w:pgSz w:w="11900" w:h="16820"/>
          <w:pgMar w:top="1840" w:bottom="280" w:left="1020" w:right="1000"/>
          <w:cols w:num="2" w:equalWidth="0">
            <w:col w:w="715" w:space="40"/>
            <w:col w:w="9125"/>
          </w:cols>
        </w:sectPr>
      </w:pPr>
    </w:p>
    <w:p>
      <w:pPr>
        <w:pStyle w:val="BodyText"/>
        <w:spacing w:line="260" w:lineRule="exact"/>
        <w:ind w:firstLine="0"/>
      </w:pPr>
      <w:r>
        <w:rPr>
          <w:w w:val="130"/>
        </w:rPr>
        <w:t>amelyen túl az ügyfél nemteljesítését megtörténtnek kell</w:t>
      </w:r>
      <w:r>
        <w:rPr>
          <w:spacing w:val="-59"/>
          <w:w w:val="130"/>
        </w:rPr>
        <w:t> </w:t>
      </w:r>
      <w:r>
        <w:rPr>
          <w:w w:val="130"/>
        </w:rPr>
        <w:t>tekinteni,</w:t>
      </w:r>
    </w:p>
    <w:p>
      <w:pPr>
        <w:spacing w:after="0" w:line="260" w:lineRule="exact"/>
        <w:sectPr>
          <w:type w:val="continuous"/>
          <w:pgSz w:w="11900" w:h="16820"/>
          <w:pgMar w:top="1840" w:bottom="280" w:left="1020" w:right="1000"/>
        </w:sectPr>
      </w:pPr>
    </w:p>
    <w:p>
      <w:pPr>
        <w:pStyle w:val="ListParagraph"/>
        <w:numPr>
          <w:ilvl w:val="0"/>
          <w:numId w:val="634"/>
        </w:numPr>
        <w:tabs>
          <w:tab w:pos="558" w:val="left" w:leader="none"/>
        </w:tabs>
        <w:spacing w:line="260" w:lineRule="exact" w:before="0" w:after="0"/>
        <w:ind w:left="557" w:right="0" w:hanging="240"/>
        <w:jc w:val="left"/>
        <w:rPr>
          <w:i/>
          <w:sz w:val="18"/>
        </w:rPr>
      </w:pPr>
      <w:r>
        <w:rPr>
          <w:i/>
          <w:spacing w:val="-1"/>
          <w:w w:val="125"/>
          <w:sz w:val="18"/>
        </w:rPr>
        <w:t>12</w:t>
      </w:r>
    </w:p>
    <w:p>
      <w:pPr>
        <w:pStyle w:val="BodyText"/>
        <w:spacing w:line="260" w:lineRule="exact"/>
        <w:ind w:left="100" w:firstLine="0"/>
      </w:pPr>
      <w:r>
        <w:rPr/>
        <w:br w:type="column"/>
      </w:r>
      <w:r>
        <w:rPr>
          <w:w w:val="125"/>
        </w:rPr>
        <w:t>178. cikk (2) bekezdés </w:t>
      </w:r>
      <w:r>
        <w:rPr>
          <w:i/>
          <w:w w:val="125"/>
        </w:rPr>
        <w:t>d) </w:t>
      </w:r>
      <w:r>
        <w:rPr>
          <w:w w:val="125"/>
        </w:rPr>
        <w:t>pontjának megfelelően azt a határértéket,</w:t>
      </w:r>
    </w:p>
    <w:p>
      <w:pPr>
        <w:spacing w:after="0" w:line="260" w:lineRule="exact"/>
        <w:sectPr>
          <w:type w:val="continuous"/>
          <w:pgSz w:w="11900" w:h="16820"/>
          <w:pgMar w:top="1840" w:bottom="280" w:left="1020" w:right="1000"/>
          <w:cols w:num="2" w:equalWidth="0">
            <w:col w:w="786" w:space="40"/>
            <w:col w:w="9054"/>
          </w:cols>
        </w:sectPr>
      </w:pPr>
    </w:p>
    <w:p>
      <w:pPr>
        <w:pStyle w:val="BodyText"/>
        <w:spacing w:line="275" w:lineRule="exact"/>
        <w:ind w:firstLine="0"/>
        <w:rPr>
          <w:i/>
          <w:sz w:val="18"/>
        </w:rPr>
      </w:pPr>
      <w:r>
        <w:rPr>
          <w:w w:val="130"/>
        </w:rPr>
        <w:t>amely</w:t>
      </w:r>
      <w:r>
        <w:rPr>
          <w:spacing w:val="-31"/>
          <w:w w:val="130"/>
        </w:rPr>
        <w:t> </w:t>
      </w:r>
      <w:r>
        <w:rPr>
          <w:w w:val="130"/>
        </w:rPr>
        <w:t>alapján</w:t>
      </w:r>
      <w:r>
        <w:rPr>
          <w:spacing w:val="-30"/>
          <w:w w:val="130"/>
        </w:rPr>
        <w:t> </w:t>
      </w:r>
      <w:r>
        <w:rPr>
          <w:w w:val="130"/>
        </w:rPr>
        <w:t>a</w:t>
      </w:r>
      <w:r>
        <w:rPr>
          <w:spacing w:val="-31"/>
          <w:w w:val="130"/>
        </w:rPr>
        <w:t> </w:t>
      </w:r>
      <w:r>
        <w:rPr>
          <w:w w:val="130"/>
        </w:rPr>
        <w:t>hitelkötelezettség-teljesítési</w:t>
      </w:r>
      <w:r>
        <w:rPr>
          <w:spacing w:val="-29"/>
          <w:w w:val="130"/>
        </w:rPr>
        <w:t> </w:t>
      </w:r>
      <w:r>
        <w:rPr>
          <w:w w:val="130"/>
        </w:rPr>
        <w:t>késedelem</w:t>
      </w:r>
      <w:r>
        <w:rPr>
          <w:spacing w:val="-31"/>
          <w:w w:val="130"/>
        </w:rPr>
        <w:t> </w:t>
      </w:r>
      <w:r>
        <w:rPr>
          <w:w w:val="130"/>
        </w:rPr>
        <w:t>jelentősnek</w:t>
      </w:r>
      <w:r>
        <w:rPr>
          <w:spacing w:val="-29"/>
          <w:w w:val="130"/>
        </w:rPr>
        <w:t> </w:t>
      </w:r>
      <w:r>
        <w:rPr>
          <w:w w:val="130"/>
        </w:rPr>
        <w:t>minősül,</w:t>
      </w:r>
      <w:r>
        <w:rPr>
          <w:i/>
          <w:w w:val="130"/>
          <w:position w:val="3"/>
          <w:sz w:val="18"/>
        </w:rPr>
        <w:t>13</w:t>
      </w:r>
    </w:p>
    <w:p>
      <w:pPr>
        <w:pStyle w:val="BodyText"/>
        <w:ind w:left="0" w:firstLine="0"/>
        <w:rPr>
          <w:i/>
          <w:sz w:val="20"/>
        </w:rPr>
      </w:pPr>
    </w:p>
    <w:p>
      <w:pPr>
        <w:pStyle w:val="BodyText"/>
        <w:ind w:left="0" w:firstLine="0"/>
        <w:rPr>
          <w:i/>
          <w:sz w:val="20"/>
        </w:rPr>
      </w:pPr>
    </w:p>
    <w:p>
      <w:pPr>
        <w:pStyle w:val="BodyText"/>
        <w:spacing w:before="5"/>
        <w:ind w:left="0" w:firstLine="0"/>
        <w:rPr>
          <w:i/>
          <w:sz w:val="27"/>
        </w:rPr>
      </w:pPr>
      <w:r>
        <w:rPr/>
        <w:pict>
          <v:line style="position:absolute;mso-position-horizontal-relative:page;mso-position-vertical-relative:paragraph;z-index:2816;mso-wrap-distance-left:0;mso-wrap-distance-right:0" from="56.693001pt,17.983253pt" to="538.583001pt,17.983253pt" stroked="true" strokeweight=".5pt" strokecolor="#000000">
            <v:stroke dashstyle="solid"/>
            <w10:wrap type="topAndBottom"/>
          </v:line>
        </w:pict>
      </w:r>
    </w:p>
    <w:p>
      <w:pPr>
        <w:spacing w:line="232" w:lineRule="auto" w:before="49"/>
        <w:ind w:left="342" w:right="5740" w:firstLine="0"/>
        <w:jc w:val="both"/>
        <w:rPr>
          <w:i/>
          <w:sz w:val="18"/>
        </w:rPr>
      </w:pPr>
      <w:r>
        <w:rPr>
          <w:i/>
          <w:w w:val="125"/>
          <w:sz w:val="18"/>
        </w:rPr>
        <w:t>1  Lásd: 10/2014. (IV. 3.) MNB rendelet. 2  Lásd: 10/2014. (IV. 3.) MNB rendelet. 3  Lásd: 10/2014. (IV. 3.) MNB rendelet. 4  Lásd: 10/2014. (IV. 3.) MNB rendelet. 5  Lásd: 10/2014. (IV. 3.) MNB rendelet. 6  Lásd: 10/2014. (IV. 3.) MNB rendelet. 7  Lásd: 10/2014. (IV. 3.) MNB rendelet. 8 Lásd: 10/2014. (IV. 3.) MNB</w:t>
      </w:r>
      <w:r>
        <w:rPr>
          <w:i/>
          <w:spacing w:val="-6"/>
          <w:w w:val="125"/>
          <w:sz w:val="18"/>
        </w:rPr>
        <w:t> </w:t>
      </w:r>
      <w:r>
        <w:rPr>
          <w:i/>
          <w:w w:val="125"/>
          <w:sz w:val="18"/>
        </w:rPr>
        <w:t>rendelet.</w:t>
      </w:r>
    </w:p>
    <w:p>
      <w:pPr>
        <w:pStyle w:val="ListParagraph"/>
        <w:numPr>
          <w:ilvl w:val="0"/>
          <w:numId w:val="635"/>
        </w:numPr>
        <w:tabs>
          <w:tab w:pos="687" w:val="left" w:leader="none"/>
        </w:tabs>
        <w:spacing w:line="192" w:lineRule="exact" w:before="0" w:after="0"/>
        <w:ind w:left="686" w:right="0" w:hanging="344"/>
        <w:jc w:val="both"/>
        <w:rPr>
          <w:i/>
          <w:sz w:val="18"/>
        </w:rPr>
      </w:pPr>
      <w:r>
        <w:rPr>
          <w:i/>
          <w:w w:val="125"/>
          <w:sz w:val="18"/>
        </w:rPr>
        <w:t>Beiktatta: 2014. évi CIV. törvény 91. §. Hatályos: 2015. I.</w:t>
      </w:r>
      <w:r>
        <w:rPr>
          <w:i/>
          <w:spacing w:val="-9"/>
          <w:w w:val="125"/>
          <w:sz w:val="18"/>
        </w:rPr>
        <w:t> </w:t>
      </w:r>
      <w:r>
        <w:rPr>
          <w:i/>
          <w:w w:val="125"/>
          <w:sz w:val="18"/>
        </w:rPr>
        <w:t>1-től.</w:t>
      </w:r>
    </w:p>
    <w:p>
      <w:pPr>
        <w:pStyle w:val="ListParagraph"/>
        <w:numPr>
          <w:ilvl w:val="0"/>
          <w:numId w:val="635"/>
        </w:numPr>
        <w:tabs>
          <w:tab w:pos="686" w:val="left" w:leader="none"/>
          <w:tab w:pos="687" w:val="left" w:leader="none"/>
        </w:tabs>
        <w:spacing w:line="200" w:lineRule="exact" w:before="0" w:after="0"/>
        <w:ind w:left="686" w:right="0" w:hanging="458"/>
        <w:jc w:val="left"/>
        <w:rPr>
          <w:i/>
          <w:sz w:val="18"/>
        </w:rPr>
      </w:pPr>
      <w:r>
        <w:rPr>
          <w:i/>
          <w:w w:val="125"/>
          <w:sz w:val="18"/>
        </w:rPr>
        <w:t>Lásd: 44/2018. (XII. 5.) MNB</w:t>
      </w:r>
      <w:r>
        <w:rPr>
          <w:i/>
          <w:spacing w:val="-1"/>
          <w:w w:val="125"/>
          <w:sz w:val="18"/>
        </w:rPr>
        <w:t> </w:t>
      </w:r>
      <w:r>
        <w:rPr>
          <w:i/>
          <w:w w:val="125"/>
          <w:sz w:val="18"/>
        </w:rPr>
        <w:t>rendelet.</w:t>
      </w:r>
    </w:p>
    <w:p>
      <w:pPr>
        <w:pStyle w:val="ListParagraph"/>
        <w:numPr>
          <w:ilvl w:val="0"/>
          <w:numId w:val="635"/>
        </w:numPr>
        <w:tabs>
          <w:tab w:pos="686" w:val="left" w:leader="none"/>
          <w:tab w:pos="687" w:val="left" w:leader="none"/>
        </w:tabs>
        <w:spacing w:line="200" w:lineRule="exact" w:before="0" w:after="0"/>
        <w:ind w:left="686" w:right="0" w:hanging="458"/>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5"/>
        </w:numPr>
        <w:tabs>
          <w:tab w:pos="686" w:val="left" w:leader="none"/>
          <w:tab w:pos="687" w:val="left" w:leader="none"/>
        </w:tabs>
        <w:spacing w:line="200" w:lineRule="exact" w:before="0" w:after="0"/>
        <w:ind w:left="686" w:right="0" w:hanging="458"/>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5"/>
        </w:numPr>
        <w:tabs>
          <w:tab w:pos="686" w:val="left" w:leader="none"/>
          <w:tab w:pos="687" w:val="left" w:leader="none"/>
        </w:tabs>
        <w:spacing w:line="203" w:lineRule="exact" w:before="0" w:after="0"/>
        <w:ind w:left="686" w:right="0" w:hanging="458"/>
        <w:jc w:val="left"/>
        <w:rPr>
          <w:i/>
          <w:sz w:val="18"/>
        </w:rPr>
      </w:pPr>
      <w:r>
        <w:rPr>
          <w:i/>
          <w:w w:val="125"/>
          <w:sz w:val="18"/>
        </w:rPr>
        <w:t>Lásd: 44/2018. (XII. 5.) MNB</w:t>
      </w:r>
      <w:r>
        <w:rPr>
          <w:i/>
          <w:spacing w:val="-1"/>
          <w:w w:val="125"/>
          <w:sz w:val="18"/>
        </w:rPr>
        <w:t> </w:t>
      </w:r>
      <w:r>
        <w:rPr>
          <w:i/>
          <w:w w:val="125"/>
          <w:sz w:val="18"/>
        </w:rPr>
        <w:t>rendelet.</w:t>
      </w:r>
    </w:p>
    <w:p>
      <w:pPr>
        <w:spacing w:after="0" w:line="203" w:lineRule="exact"/>
        <w:jc w:val="left"/>
        <w:rPr>
          <w:sz w:val="18"/>
        </w:rPr>
        <w:sectPr>
          <w:type w:val="continuous"/>
          <w:pgSz w:w="11900" w:h="16820"/>
          <w:pgMar w:top="1840" w:bottom="280" w:left="1020" w:right="1000"/>
        </w:sectPr>
      </w:pPr>
    </w:p>
    <w:p>
      <w:pPr>
        <w:pStyle w:val="ListParagraph"/>
        <w:numPr>
          <w:ilvl w:val="0"/>
          <w:numId w:val="634"/>
        </w:numPr>
        <w:tabs>
          <w:tab w:pos="490" w:val="left" w:leader="none"/>
        </w:tabs>
        <w:spacing w:line="261" w:lineRule="exact" w:before="159" w:after="0"/>
        <w:ind w:left="489" w:right="0" w:hanging="172"/>
        <w:jc w:val="left"/>
        <w:rPr>
          <w:sz w:val="24"/>
        </w:rPr>
      </w:pPr>
      <w:r>
        <w:rPr>
          <w:i/>
          <w:w w:val="130"/>
          <w:position w:val="3"/>
          <w:sz w:val="18"/>
        </w:rPr>
        <w:t>1</w:t>
      </w:r>
      <w:r>
        <w:rPr>
          <w:i/>
          <w:spacing w:val="50"/>
          <w:w w:val="130"/>
          <w:position w:val="3"/>
          <w:sz w:val="18"/>
        </w:rPr>
        <w:t> </w:t>
      </w:r>
      <w:r>
        <w:rPr>
          <w:w w:val="130"/>
          <w:sz w:val="24"/>
        </w:rPr>
        <w:t>327.</w:t>
      </w:r>
      <w:r>
        <w:rPr>
          <w:spacing w:val="30"/>
          <w:w w:val="130"/>
          <w:sz w:val="24"/>
        </w:rPr>
        <w:t> </w:t>
      </w:r>
      <w:r>
        <w:rPr>
          <w:w w:val="130"/>
          <w:sz w:val="24"/>
        </w:rPr>
        <w:t>cikk</w:t>
      </w:r>
      <w:r>
        <w:rPr>
          <w:spacing w:val="31"/>
          <w:w w:val="130"/>
          <w:sz w:val="24"/>
        </w:rPr>
        <w:t> </w:t>
      </w:r>
      <w:r>
        <w:rPr>
          <w:w w:val="130"/>
          <w:sz w:val="24"/>
        </w:rPr>
        <w:t>(2)</w:t>
      </w:r>
      <w:r>
        <w:rPr>
          <w:spacing w:val="45"/>
          <w:w w:val="130"/>
          <w:sz w:val="24"/>
        </w:rPr>
        <w:t> </w:t>
      </w:r>
      <w:r>
        <w:rPr>
          <w:w w:val="130"/>
          <w:sz w:val="24"/>
        </w:rPr>
        <w:t>bekezdésének</w:t>
      </w:r>
      <w:r>
        <w:rPr>
          <w:spacing w:val="17"/>
          <w:w w:val="130"/>
          <w:sz w:val="24"/>
        </w:rPr>
        <w:t> </w:t>
      </w:r>
      <w:r>
        <w:rPr>
          <w:w w:val="130"/>
          <w:sz w:val="24"/>
        </w:rPr>
        <w:t>megfelelően</w:t>
      </w:r>
      <w:r>
        <w:rPr>
          <w:spacing w:val="31"/>
          <w:w w:val="130"/>
          <w:sz w:val="24"/>
        </w:rPr>
        <w:t> </w:t>
      </w:r>
      <w:r>
        <w:rPr>
          <w:w w:val="130"/>
          <w:sz w:val="24"/>
        </w:rPr>
        <w:t>az</w:t>
      </w:r>
      <w:r>
        <w:rPr>
          <w:spacing w:val="31"/>
          <w:w w:val="130"/>
          <w:sz w:val="24"/>
        </w:rPr>
        <w:t> </w:t>
      </w:r>
      <w:r>
        <w:rPr>
          <w:w w:val="130"/>
          <w:sz w:val="24"/>
        </w:rPr>
        <w:t>átváltható</w:t>
      </w:r>
      <w:r>
        <w:rPr>
          <w:spacing w:val="30"/>
          <w:w w:val="130"/>
          <w:sz w:val="24"/>
        </w:rPr>
        <w:t> </w:t>
      </w:r>
      <w:r>
        <w:rPr>
          <w:w w:val="130"/>
          <w:sz w:val="24"/>
        </w:rPr>
        <w:t>értékpapír</w:t>
      </w:r>
      <w:r>
        <w:rPr>
          <w:spacing w:val="31"/>
          <w:w w:val="130"/>
          <w:sz w:val="24"/>
        </w:rPr>
        <w:t> </w:t>
      </w:r>
      <w:r>
        <w:rPr>
          <w:w w:val="130"/>
          <w:sz w:val="24"/>
        </w:rPr>
        <w:t>és</w:t>
      </w:r>
      <w:r>
        <w:rPr>
          <w:spacing w:val="31"/>
          <w:w w:val="130"/>
          <w:sz w:val="24"/>
        </w:rPr>
        <w:t> </w:t>
      </w:r>
      <w:r>
        <w:rPr>
          <w:w w:val="130"/>
          <w:sz w:val="24"/>
        </w:rPr>
        <w:t>az</w:t>
      </w:r>
    </w:p>
    <w:p>
      <w:pPr>
        <w:pStyle w:val="BodyText"/>
        <w:tabs>
          <w:tab w:pos="1096" w:val="left" w:leader="none"/>
          <w:tab w:pos="2303" w:val="left" w:leader="none"/>
          <w:tab w:pos="3533" w:val="left" w:leader="none"/>
          <w:tab w:pos="4581" w:val="left" w:leader="none"/>
          <w:tab w:pos="6163" w:val="left" w:leader="none"/>
          <w:tab w:pos="7479" w:val="left" w:leader="none"/>
          <w:tab w:pos="8549" w:val="left" w:leader="none"/>
        </w:tabs>
        <w:spacing w:line="225" w:lineRule="auto" w:before="12"/>
        <w:ind w:right="133" w:firstLine="0"/>
      </w:pPr>
      <w:r>
        <w:rPr>
          <w:w w:val="125"/>
        </w:rPr>
        <w:t>annak</w:t>
        <w:tab/>
        <w:t>alapjául</w:t>
        <w:tab/>
        <w:t>szolgáló</w:t>
        <w:tab/>
        <w:t>eszköz</w:t>
        <w:tab/>
        <w:t>kiegyenlítő</w:t>
        <w:tab/>
        <w:t>pozíciója</w:t>
        <w:tab/>
        <w:t>közötti</w:t>
        <w:tab/>
      </w:r>
      <w:r>
        <w:rPr>
          <w:spacing w:val="-1"/>
          <w:w w:val="125"/>
        </w:rPr>
        <w:t>nettósítás </w:t>
      </w:r>
      <w:r>
        <w:rPr>
          <w:w w:val="125"/>
        </w:rPr>
        <w:t>alkalmazhatóságának feltételéül szolgáló</w:t>
      </w:r>
      <w:r>
        <w:rPr>
          <w:spacing w:val="6"/>
          <w:w w:val="125"/>
        </w:rPr>
        <w:t> </w:t>
      </w:r>
      <w:r>
        <w:rPr>
          <w:w w:val="125"/>
        </w:rPr>
        <w:t>módszert,</w:t>
      </w:r>
    </w:p>
    <w:p>
      <w:pPr>
        <w:pStyle w:val="ListParagraph"/>
        <w:numPr>
          <w:ilvl w:val="0"/>
          <w:numId w:val="634"/>
        </w:numPr>
        <w:tabs>
          <w:tab w:pos="641" w:val="left" w:leader="none"/>
          <w:tab w:pos="999" w:val="left" w:leader="none"/>
          <w:tab w:pos="1779" w:val="left" w:leader="none"/>
          <w:tab w:pos="2527" w:val="left" w:leader="none"/>
          <w:tab w:pos="3112" w:val="left" w:leader="none"/>
          <w:tab w:pos="5070" w:val="left" w:leader="none"/>
          <w:tab w:pos="6806" w:val="left" w:leader="none"/>
          <w:tab w:pos="7195" w:val="left" w:leader="none"/>
          <w:tab w:pos="7898" w:val="left" w:leader="none"/>
          <w:tab w:pos="8840" w:val="left" w:leader="none"/>
        </w:tabs>
        <w:spacing w:line="250" w:lineRule="exact" w:before="0" w:after="0"/>
        <w:ind w:left="640" w:right="0" w:hanging="323"/>
        <w:jc w:val="left"/>
        <w:rPr>
          <w:sz w:val="24"/>
        </w:rPr>
      </w:pPr>
      <w:r>
        <w:rPr>
          <w:i/>
          <w:w w:val="125"/>
          <w:position w:val="3"/>
          <w:sz w:val="18"/>
        </w:rPr>
        <w:t>2</w:t>
        <w:tab/>
      </w:r>
      <w:r>
        <w:rPr>
          <w:w w:val="125"/>
          <w:sz w:val="24"/>
        </w:rPr>
        <w:t>395.</w:t>
        <w:tab/>
        <w:t>cikk</w:t>
        <w:tab/>
        <w:t>(1)</w:t>
        <w:tab/>
        <w:t>bekezdésének</w:t>
        <w:tab/>
        <w:t>megfelelően</w:t>
        <w:tab/>
        <w:t>a</w:t>
        <w:tab/>
        <w:t>150</w:t>
        <w:tab/>
        <w:t>millió</w:t>
        <w:tab/>
        <w:t>eurónál</w:t>
      </w:r>
    </w:p>
    <w:p>
      <w:pPr>
        <w:pStyle w:val="BodyText"/>
        <w:spacing w:line="267" w:lineRule="exact"/>
        <w:ind w:firstLine="0"/>
      </w:pPr>
      <w:r>
        <w:rPr>
          <w:w w:val="125"/>
        </w:rPr>
        <w:t>alacsonyabb nagykockázat-vállalási határérték alkalmazását,</w:t>
      </w:r>
    </w:p>
    <w:p>
      <w:pPr>
        <w:spacing w:line="253" w:lineRule="exact" w:before="0"/>
        <w:ind w:left="317" w:right="0" w:firstLine="0"/>
        <w:jc w:val="left"/>
        <w:rPr>
          <w:i/>
          <w:sz w:val="18"/>
        </w:rPr>
      </w:pPr>
      <w:r>
        <w:rPr>
          <w:i/>
          <w:w w:val="120"/>
          <w:sz w:val="24"/>
        </w:rPr>
        <w:t>n)-o)</w:t>
      </w:r>
      <w:r>
        <w:rPr>
          <w:i/>
          <w:w w:val="120"/>
          <w:position w:val="3"/>
          <w:sz w:val="18"/>
        </w:rPr>
        <w:t>3</w:t>
      </w:r>
    </w:p>
    <w:p>
      <w:pPr>
        <w:pStyle w:val="ListParagraph"/>
        <w:numPr>
          <w:ilvl w:val="0"/>
          <w:numId w:val="632"/>
        </w:numPr>
        <w:tabs>
          <w:tab w:pos="659" w:val="left" w:leader="none"/>
          <w:tab w:pos="1056" w:val="left" w:leader="none"/>
          <w:tab w:pos="3193" w:val="left" w:leader="none"/>
          <w:tab w:pos="3918" w:val="left" w:leader="none"/>
          <w:tab w:pos="4471" w:val="left" w:leader="none"/>
          <w:tab w:pos="5386" w:val="left" w:leader="none"/>
          <w:tab w:pos="6480" w:val="left" w:leader="none"/>
          <w:tab w:pos="7348" w:val="left" w:leader="none"/>
          <w:tab w:pos="8220" w:val="left" w:leader="none"/>
          <w:tab w:pos="8647" w:val="left" w:leader="none"/>
        </w:tabs>
        <w:spacing w:line="260" w:lineRule="exact" w:before="0" w:after="0"/>
        <w:ind w:left="658" w:right="0" w:hanging="341"/>
        <w:jc w:val="left"/>
        <w:rPr>
          <w:sz w:val="24"/>
        </w:rPr>
      </w:pPr>
      <w:r>
        <w:rPr>
          <w:i/>
          <w:w w:val="130"/>
          <w:position w:val="3"/>
          <w:sz w:val="18"/>
        </w:rPr>
        <w:t>4</w:t>
        <w:tab/>
      </w:r>
      <w:r>
        <w:rPr>
          <w:w w:val="130"/>
          <w:sz w:val="24"/>
        </w:rPr>
        <w:t>Felhatalmazást</w:t>
        <w:tab/>
        <w:t>kap</w:t>
        <w:tab/>
        <w:t>az</w:t>
        <w:tab/>
        <w:t>MNB</w:t>
        <w:tab/>
        <w:t>elnöke</w:t>
        <w:tab/>
        <w:t>arra,</w:t>
        <w:tab/>
        <w:t>hogy</w:t>
        <w:tab/>
        <w:t>a</w:t>
        <w:tab/>
        <w:t>pénzügyi</w:t>
      </w:r>
    </w:p>
    <w:p>
      <w:pPr>
        <w:pStyle w:val="BodyText"/>
        <w:spacing w:line="225" w:lineRule="auto" w:before="12"/>
        <w:ind w:right="130" w:firstLine="0"/>
        <w:jc w:val="both"/>
        <w:rPr>
          <w:i/>
          <w:sz w:val="18"/>
        </w:rPr>
      </w:pPr>
      <w:r>
        <w:rPr>
          <w:w w:val="125"/>
        </w:rPr>
        <w:t>közvetítőrendszer felügyeletével kapcsolatos jogkörében eljárva rendeletben állapítsa meg a teljesítmény.javadalmazás diszkontált értékének számításával, nyilvántartásával és közzétételével összefüggő szabályokat.</w:t>
      </w:r>
      <w:r>
        <w:rPr>
          <w:i/>
          <w:w w:val="125"/>
          <w:position w:val="3"/>
          <w:sz w:val="18"/>
        </w:rPr>
        <w:t>5</w:t>
      </w:r>
    </w:p>
    <w:p>
      <w:pPr>
        <w:pStyle w:val="ListParagraph"/>
        <w:numPr>
          <w:ilvl w:val="0"/>
          <w:numId w:val="632"/>
        </w:numPr>
        <w:tabs>
          <w:tab w:pos="659" w:val="left" w:leader="none"/>
        </w:tabs>
        <w:spacing w:line="225" w:lineRule="auto" w:before="2" w:after="0"/>
        <w:ind w:left="113" w:right="128" w:firstLine="204"/>
        <w:jc w:val="left"/>
        <w:rPr>
          <w:i/>
          <w:sz w:val="18"/>
        </w:rPr>
      </w:pPr>
      <w:r>
        <w:rPr>
          <w:i/>
          <w:w w:val="130"/>
          <w:position w:val="3"/>
          <w:sz w:val="18"/>
        </w:rPr>
        <w:t>6</w:t>
      </w:r>
      <w:r>
        <w:rPr>
          <w:i/>
          <w:spacing w:val="8"/>
          <w:w w:val="130"/>
          <w:position w:val="3"/>
          <w:sz w:val="18"/>
        </w:rPr>
        <w:t> </w:t>
      </w:r>
      <w:r>
        <w:rPr>
          <w:w w:val="130"/>
          <w:sz w:val="24"/>
        </w:rPr>
        <w:t>Felhatalmazást</w:t>
      </w:r>
      <w:r>
        <w:rPr>
          <w:spacing w:val="-12"/>
          <w:w w:val="130"/>
          <w:sz w:val="24"/>
        </w:rPr>
        <w:t> </w:t>
      </w:r>
      <w:r>
        <w:rPr>
          <w:w w:val="130"/>
          <w:sz w:val="24"/>
        </w:rPr>
        <w:t>kap</w:t>
      </w:r>
      <w:r>
        <w:rPr>
          <w:spacing w:val="-12"/>
          <w:w w:val="130"/>
          <w:sz w:val="24"/>
        </w:rPr>
        <w:t> </w:t>
      </w:r>
      <w:r>
        <w:rPr>
          <w:w w:val="130"/>
          <w:sz w:val="24"/>
        </w:rPr>
        <w:t>az</w:t>
      </w:r>
      <w:r>
        <w:rPr>
          <w:spacing w:val="-11"/>
          <w:w w:val="130"/>
          <w:sz w:val="24"/>
        </w:rPr>
        <w:t> </w:t>
      </w:r>
      <w:r>
        <w:rPr>
          <w:w w:val="130"/>
          <w:sz w:val="24"/>
        </w:rPr>
        <w:t>MNB</w:t>
      </w:r>
      <w:r>
        <w:rPr>
          <w:spacing w:val="-11"/>
          <w:w w:val="130"/>
          <w:sz w:val="24"/>
        </w:rPr>
        <w:t> </w:t>
      </w:r>
      <w:r>
        <w:rPr>
          <w:w w:val="130"/>
          <w:sz w:val="24"/>
        </w:rPr>
        <w:t>elnöke,</w:t>
      </w:r>
      <w:r>
        <w:rPr>
          <w:spacing w:val="-12"/>
          <w:w w:val="130"/>
          <w:sz w:val="24"/>
        </w:rPr>
        <w:t> </w:t>
      </w:r>
      <w:r>
        <w:rPr>
          <w:w w:val="130"/>
          <w:sz w:val="24"/>
        </w:rPr>
        <w:t>hogy</w:t>
      </w:r>
      <w:r>
        <w:rPr>
          <w:spacing w:val="-11"/>
          <w:w w:val="130"/>
          <w:sz w:val="24"/>
        </w:rPr>
        <w:t> </w:t>
      </w:r>
      <w:r>
        <w:rPr>
          <w:w w:val="130"/>
          <w:sz w:val="24"/>
        </w:rPr>
        <w:t>a</w:t>
      </w:r>
      <w:r>
        <w:rPr>
          <w:spacing w:val="-11"/>
          <w:w w:val="130"/>
          <w:sz w:val="24"/>
        </w:rPr>
        <w:t> </w:t>
      </w:r>
      <w:r>
        <w:rPr>
          <w:w w:val="130"/>
          <w:sz w:val="24"/>
        </w:rPr>
        <w:t>pénzügyi</w:t>
      </w:r>
      <w:r>
        <w:rPr>
          <w:spacing w:val="-11"/>
          <w:w w:val="130"/>
          <w:sz w:val="24"/>
        </w:rPr>
        <w:t> </w:t>
      </w:r>
      <w:r>
        <w:rPr>
          <w:w w:val="130"/>
          <w:sz w:val="24"/>
        </w:rPr>
        <w:t>közvetítőrendszer felügyeletével kapcsolatos</w:t>
      </w:r>
      <w:r>
        <w:rPr>
          <w:spacing w:val="-59"/>
          <w:w w:val="130"/>
          <w:sz w:val="24"/>
        </w:rPr>
        <w:t> </w:t>
      </w:r>
      <w:r>
        <w:rPr>
          <w:w w:val="130"/>
          <w:sz w:val="24"/>
        </w:rPr>
        <w:t>jogkörében eljárva rendeletben szabályozza a nem teljesítő kitettség és az átstrukturált követelésre vonatkozó prudenciális követelményeket.</w:t>
      </w:r>
      <w:r>
        <w:rPr>
          <w:i/>
          <w:w w:val="130"/>
          <w:position w:val="3"/>
          <w:sz w:val="18"/>
        </w:rPr>
        <w:t>7</w:t>
      </w:r>
    </w:p>
    <w:p>
      <w:pPr>
        <w:pStyle w:val="ListParagraph"/>
        <w:numPr>
          <w:ilvl w:val="0"/>
          <w:numId w:val="632"/>
        </w:numPr>
        <w:tabs>
          <w:tab w:pos="659" w:val="left" w:leader="none"/>
          <w:tab w:pos="1195" w:val="left" w:leader="none"/>
          <w:tab w:pos="1709" w:val="left" w:leader="none"/>
          <w:tab w:pos="3631" w:val="left" w:leader="none"/>
          <w:tab w:pos="4118" w:val="left" w:leader="none"/>
          <w:tab w:pos="5417" w:val="left" w:leader="none"/>
          <w:tab w:pos="5810" w:val="left" w:leader="none"/>
          <w:tab w:pos="8074" w:val="left" w:leader="none"/>
        </w:tabs>
        <w:spacing w:line="225" w:lineRule="auto" w:before="2" w:after="0"/>
        <w:ind w:left="113" w:right="128" w:firstLine="204"/>
        <w:jc w:val="left"/>
        <w:rPr>
          <w:i/>
          <w:sz w:val="18"/>
        </w:rPr>
      </w:pPr>
      <w:r>
        <w:rPr>
          <w:i/>
          <w:w w:val="130"/>
          <w:position w:val="3"/>
          <w:sz w:val="18"/>
        </w:rPr>
        <w:t>8</w:t>
      </w:r>
      <w:r>
        <w:rPr>
          <w:i/>
          <w:spacing w:val="8"/>
          <w:w w:val="130"/>
          <w:position w:val="3"/>
          <w:sz w:val="18"/>
        </w:rPr>
        <w:t> </w:t>
      </w:r>
      <w:r>
        <w:rPr>
          <w:w w:val="130"/>
          <w:sz w:val="24"/>
        </w:rPr>
        <w:t>Felhatalmazást</w:t>
      </w:r>
      <w:r>
        <w:rPr>
          <w:spacing w:val="-12"/>
          <w:w w:val="130"/>
          <w:sz w:val="24"/>
        </w:rPr>
        <w:t> </w:t>
      </w:r>
      <w:r>
        <w:rPr>
          <w:w w:val="130"/>
          <w:sz w:val="24"/>
        </w:rPr>
        <w:t>kap</w:t>
      </w:r>
      <w:r>
        <w:rPr>
          <w:spacing w:val="-12"/>
          <w:w w:val="130"/>
          <w:sz w:val="24"/>
        </w:rPr>
        <w:t> </w:t>
      </w:r>
      <w:r>
        <w:rPr>
          <w:w w:val="130"/>
          <w:sz w:val="24"/>
        </w:rPr>
        <w:t>az</w:t>
      </w:r>
      <w:r>
        <w:rPr>
          <w:spacing w:val="-11"/>
          <w:w w:val="130"/>
          <w:sz w:val="24"/>
        </w:rPr>
        <w:t> </w:t>
      </w:r>
      <w:r>
        <w:rPr>
          <w:w w:val="130"/>
          <w:sz w:val="24"/>
        </w:rPr>
        <w:t>MNB</w:t>
      </w:r>
      <w:r>
        <w:rPr>
          <w:spacing w:val="-11"/>
          <w:w w:val="130"/>
          <w:sz w:val="24"/>
        </w:rPr>
        <w:t> </w:t>
      </w:r>
      <w:r>
        <w:rPr>
          <w:w w:val="130"/>
          <w:sz w:val="24"/>
        </w:rPr>
        <w:t>elnöke,</w:t>
      </w:r>
      <w:r>
        <w:rPr>
          <w:spacing w:val="-12"/>
          <w:w w:val="130"/>
          <w:sz w:val="24"/>
        </w:rPr>
        <w:t> </w:t>
      </w:r>
      <w:r>
        <w:rPr>
          <w:w w:val="130"/>
          <w:sz w:val="24"/>
        </w:rPr>
        <w:t>hogy</w:t>
      </w:r>
      <w:r>
        <w:rPr>
          <w:spacing w:val="-11"/>
          <w:w w:val="130"/>
          <w:sz w:val="24"/>
        </w:rPr>
        <w:t> </w:t>
      </w:r>
      <w:r>
        <w:rPr>
          <w:w w:val="130"/>
          <w:sz w:val="24"/>
        </w:rPr>
        <w:t>a</w:t>
      </w:r>
      <w:r>
        <w:rPr>
          <w:spacing w:val="-11"/>
          <w:w w:val="130"/>
          <w:sz w:val="24"/>
        </w:rPr>
        <w:t> </w:t>
      </w:r>
      <w:r>
        <w:rPr>
          <w:w w:val="130"/>
          <w:sz w:val="24"/>
        </w:rPr>
        <w:t>pénzügyi</w:t>
      </w:r>
      <w:r>
        <w:rPr>
          <w:spacing w:val="-11"/>
          <w:w w:val="130"/>
          <w:sz w:val="24"/>
        </w:rPr>
        <w:t> </w:t>
      </w:r>
      <w:r>
        <w:rPr>
          <w:w w:val="130"/>
          <w:sz w:val="24"/>
        </w:rPr>
        <w:t>közvetítőrendszer felügyeletével</w:t>
      </w:r>
      <w:r>
        <w:rPr>
          <w:spacing w:val="45"/>
          <w:w w:val="130"/>
          <w:sz w:val="24"/>
        </w:rPr>
        <w:t> </w:t>
      </w:r>
      <w:r>
        <w:rPr>
          <w:w w:val="130"/>
          <w:sz w:val="24"/>
        </w:rPr>
        <w:t>kapcsolatos</w:t>
        <w:tab/>
        <w:t>jogkörében eljárva rendeletben szabályozza az ügyfél-</w:t>
        <w:tab/>
        <w:t>és</w:t>
        <w:tab/>
        <w:t>partnerminősítés,</w:t>
        <w:tab/>
        <w:t>valamint</w:t>
        <w:tab/>
        <w:t>a</w:t>
        <w:tab/>
        <w:t>fedezetértékelés</w:t>
        <w:tab/>
        <w:t>prudenciális követelményeit.</w:t>
      </w:r>
      <w:r>
        <w:rPr>
          <w:i/>
          <w:w w:val="130"/>
          <w:position w:val="3"/>
          <w:sz w:val="18"/>
        </w:rPr>
        <w:t>9</w:t>
      </w:r>
    </w:p>
    <w:p>
      <w:pPr>
        <w:pStyle w:val="ListParagraph"/>
        <w:numPr>
          <w:ilvl w:val="0"/>
          <w:numId w:val="632"/>
        </w:numPr>
        <w:tabs>
          <w:tab w:pos="659" w:val="left" w:leader="none"/>
          <w:tab w:pos="1157" w:val="left" w:leader="none"/>
          <w:tab w:pos="3282" w:val="left" w:leader="none"/>
          <w:tab w:pos="3994" w:val="left" w:leader="none"/>
          <w:tab w:pos="4537" w:val="left" w:leader="none"/>
          <w:tab w:pos="5437" w:val="left" w:leader="none"/>
          <w:tab w:pos="6511" w:val="left" w:leader="none"/>
          <w:tab w:pos="7390" w:val="left" w:leader="none"/>
          <w:tab w:pos="8243" w:val="left" w:leader="none"/>
          <w:tab w:pos="8647" w:val="left" w:leader="none"/>
        </w:tabs>
        <w:spacing w:line="250" w:lineRule="exact" w:before="0" w:after="0"/>
        <w:ind w:left="658" w:right="0" w:hanging="341"/>
        <w:jc w:val="left"/>
        <w:rPr>
          <w:sz w:val="24"/>
        </w:rPr>
      </w:pPr>
      <w:r>
        <w:rPr>
          <w:i/>
          <w:w w:val="130"/>
          <w:position w:val="3"/>
          <w:sz w:val="18"/>
        </w:rPr>
        <w:t>10</w:t>
        <w:tab/>
      </w:r>
      <w:r>
        <w:rPr>
          <w:w w:val="130"/>
          <w:sz w:val="24"/>
        </w:rPr>
        <w:t>Felhatalmazást</w:t>
        <w:tab/>
        <w:t>kap</w:t>
        <w:tab/>
        <w:t>az</w:t>
        <w:tab/>
        <w:t>MNB</w:t>
        <w:tab/>
        <w:t>elnöke</w:t>
        <w:tab/>
        <w:t>arra,</w:t>
        <w:tab/>
        <w:t>hogy</w:t>
        <w:tab/>
        <w:t>a</w:t>
        <w:tab/>
        <w:t>pénzügyi</w:t>
      </w:r>
    </w:p>
    <w:p>
      <w:pPr>
        <w:pStyle w:val="BodyText"/>
        <w:spacing w:line="225" w:lineRule="auto" w:before="12"/>
        <w:ind w:right="130" w:firstLine="0"/>
        <w:jc w:val="both"/>
        <w:rPr>
          <w:i/>
          <w:sz w:val="18"/>
        </w:rPr>
      </w:pPr>
      <w:r>
        <w:rPr>
          <w:w w:val="125"/>
        </w:rPr>
        <w:t>közvetítőrendszer felügyeletével kapcsolatos jogkörében eljárva rendeletben állapítsa meg az OBA tagjai által fizetendő kockázat alapú változó díj megállapítására vonatkozó részletes szabályokat.</w:t>
      </w:r>
      <w:r>
        <w:rPr>
          <w:i/>
          <w:w w:val="125"/>
          <w:position w:val="3"/>
          <w:sz w:val="18"/>
        </w:rPr>
        <w:t>11</w:t>
      </w:r>
    </w:p>
    <w:p>
      <w:pPr>
        <w:pStyle w:val="BodyText"/>
        <w:spacing w:before="228"/>
        <w:ind w:left="2719" w:firstLine="0"/>
      </w:pPr>
      <w:r>
        <w:rPr>
          <w:w w:val="130"/>
        </w:rPr>
        <w:t>129. Hatályba léptető rendelkezések</w:t>
      </w:r>
    </w:p>
    <w:p>
      <w:pPr>
        <w:pStyle w:val="BodyText"/>
        <w:spacing w:line="225" w:lineRule="auto" w:before="237"/>
        <w:ind w:right="131"/>
        <w:jc w:val="both"/>
      </w:pPr>
      <w:r>
        <w:rPr>
          <w:rFonts w:ascii="Arial" w:hAnsi="Arial"/>
          <w:b/>
          <w:w w:val="125"/>
        </w:rPr>
        <w:t>291. § </w:t>
      </w:r>
      <w:r>
        <w:rPr>
          <w:w w:val="125"/>
        </w:rPr>
        <w:t>(1) Ez a törvény - a (2) és (3) bekezdésben meghatározott kivétellel - 2014. január 1-jén lép hatályba.</w:t>
      </w:r>
    </w:p>
    <w:p>
      <w:pPr>
        <w:pStyle w:val="BodyText"/>
        <w:spacing w:line="225" w:lineRule="auto" w:before="1"/>
        <w:ind w:right="126"/>
        <w:jc w:val="both"/>
      </w:pPr>
      <w:r>
        <w:rPr>
          <w:w w:val="125"/>
        </w:rPr>
        <w:t>(2) A 135. §, a 164. § </w:t>
      </w:r>
      <w:r>
        <w:rPr>
          <w:i/>
          <w:w w:val="125"/>
        </w:rPr>
        <w:t>w) </w:t>
      </w:r>
      <w:r>
        <w:rPr>
          <w:w w:val="125"/>
        </w:rPr>
        <w:t>pontja, a 306. § és a 308. § (2) bekezdése 2014. március 15-én lép hatályba.</w:t>
      </w:r>
    </w:p>
    <w:p>
      <w:pPr>
        <w:pStyle w:val="BodyText"/>
        <w:spacing w:line="264" w:lineRule="exact"/>
        <w:ind w:left="317" w:firstLine="0"/>
      </w:pPr>
      <w:r>
        <w:rPr>
          <w:w w:val="120"/>
        </w:rPr>
        <w:t>(3) A 145. § 2014. július 1-jén lép hatályba.</w:t>
      </w:r>
    </w:p>
    <w:p>
      <w:pPr>
        <w:pStyle w:val="BodyText"/>
        <w:spacing w:before="224"/>
        <w:ind w:left="3174" w:firstLine="0"/>
      </w:pPr>
      <w:r>
        <w:rPr>
          <w:w w:val="125"/>
        </w:rPr>
        <w:t>130. Átmeneti rendelkezések</w:t>
      </w:r>
    </w:p>
    <w:p>
      <w:pPr>
        <w:pStyle w:val="BodyText"/>
        <w:spacing w:line="225" w:lineRule="auto" w:before="236"/>
        <w:ind w:right="125"/>
        <w:jc w:val="both"/>
      </w:pPr>
      <w:r>
        <w:rPr>
          <w:rFonts w:ascii="Arial" w:hAnsi="Arial"/>
          <w:b/>
          <w:w w:val="125"/>
        </w:rPr>
        <w:t>292. § </w:t>
      </w:r>
      <w:r>
        <w:rPr>
          <w:w w:val="125"/>
        </w:rPr>
        <w:t>(1) E törvény hatálybalépésekor hitel- és pénzkölcsönnyújtási tevékenysége keretében követelésnek - a  kötelezett  kockázatának átvállalásával vagy anélkül történő - megszerzésére, megelőlegezésére, valamint leszámítolására engedéllyel rendelkező pénzügyi intézmény a 3. § (1) bekezdés </w:t>
      </w:r>
      <w:r>
        <w:rPr>
          <w:i/>
          <w:w w:val="125"/>
        </w:rPr>
        <w:t>l) </w:t>
      </w:r>
      <w:r>
        <w:rPr>
          <w:w w:val="125"/>
        </w:rPr>
        <w:t>pontjában foglalt tevékenység végzésére külön  engedélyezés  nélkül a továbbiakban is</w:t>
      </w:r>
      <w:r>
        <w:rPr>
          <w:spacing w:val="1"/>
          <w:w w:val="125"/>
        </w:rPr>
        <w:t> </w:t>
      </w:r>
      <w:r>
        <w:rPr>
          <w:w w:val="125"/>
        </w:rPr>
        <w:t>jogosult.</w:t>
      </w:r>
    </w:p>
    <w:p>
      <w:pPr>
        <w:pStyle w:val="ListParagraph"/>
        <w:numPr>
          <w:ilvl w:val="0"/>
          <w:numId w:val="636"/>
        </w:numPr>
        <w:tabs>
          <w:tab w:pos="779" w:val="left" w:leader="none"/>
        </w:tabs>
        <w:spacing w:line="225" w:lineRule="auto" w:before="4" w:after="0"/>
        <w:ind w:left="113" w:right="126" w:firstLine="204"/>
        <w:jc w:val="both"/>
        <w:rPr>
          <w:sz w:val="24"/>
        </w:rPr>
      </w:pPr>
      <w:r>
        <w:rPr>
          <w:w w:val="125"/>
          <w:sz w:val="24"/>
        </w:rPr>
        <w:t>Az e törvény hatálybalépésekor már működő hitelintézet - a 117. § (5) bekezdésétől eltérően - 2014. június 30-ig az irányítási jogkörrel rendelkező vezető testület által elfogadott és a felügyeleti jogkörrel rendelkező vezető testület által ellenőrzött javadalmazási politikát is</w:t>
      </w:r>
      <w:r>
        <w:rPr>
          <w:spacing w:val="22"/>
          <w:w w:val="125"/>
          <w:sz w:val="24"/>
        </w:rPr>
        <w:t> </w:t>
      </w:r>
      <w:r>
        <w:rPr>
          <w:w w:val="125"/>
          <w:sz w:val="24"/>
        </w:rPr>
        <w:t>alkalmazhat.</w:t>
      </w:r>
    </w:p>
    <w:p>
      <w:pPr>
        <w:pStyle w:val="BodyText"/>
        <w:spacing w:before="1"/>
        <w:ind w:left="0" w:firstLine="0"/>
        <w:rPr>
          <w:sz w:val="19"/>
        </w:rPr>
      </w:pPr>
      <w:r>
        <w:rPr/>
        <w:pict>
          <v:line style="position:absolute;mso-position-horizontal-relative:page;mso-position-vertical-relative:paragraph;z-index:2840;mso-wrap-distance-left:0;mso-wrap-distance-right:0" from="56.693001pt,13.222429pt" to="538.583001pt,13.222429pt" stroked="true" strokeweight=".5pt" strokecolor="#000000">
            <v:stroke dashstyle="solid"/>
            <w10:wrap type="topAndBottom"/>
          </v:line>
        </w:pict>
      </w:r>
    </w:p>
    <w:p>
      <w:pPr>
        <w:pStyle w:val="ListParagraph"/>
        <w:numPr>
          <w:ilvl w:val="0"/>
          <w:numId w:val="637"/>
        </w:numPr>
        <w:tabs>
          <w:tab w:pos="686" w:val="left" w:leader="none"/>
          <w:tab w:pos="687" w:val="left" w:leader="none"/>
        </w:tabs>
        <w:spacing w:line="203" w:lineRule="exact" w:before="44"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7"/>
        </w:numPr>
        <w:tabs>
          <w:tab w:pos="686" w:val="left" w:leader="none"/>
          <w:tab w:pos="687" w:val="left" w:leader="none"/>
        </w:tabs>
        <w:spacing w:line="200" w:lineRule="exact" w:before="0" w:after="0"/>
        <w:ind w:left="686" w:right="0" w:hanging="344"/>
        <w:jc w:val="left"/>
        <w:rPr>
          <w:i/>
          <w:sz w:val="18"/>
        </w:rPr>
      </w:pPr>
      <w:r>
        <w:rPr>
          <w:i/>
          <w:w w:val="125"/>
          <w:sz w:val="18"/>
        </w:rPr>
        <w:t>Beiktatta:</w:t>
      </w:r>
      <w:r>
        <w:rPr>
          <w:i/>
          <w:spacing w:val="-8"/>
          <w:w w:val="125"/>
          <w:sz w:val="18"/>
        </w:rPr>
        <w:t> </w:t>
      </w:r>
      <w:r>
        <w:rPr>
          <w:i/>
          <w:w w:val="125"/>
          <w:sz w:val="18"/>
        </w:rPr>
        <w:t>2014.</w:t>
      </w:r>
      <w:r>
        <w:rPr>
          <w:i/>
          <w:spacing w:val="-7"/>
          <w:w w:val="125"/>
          <w:sz w:val="18"/>
        </w:rPr>
        <w:t> </w:t>
      </w:r>
      <w:r>
        <w:rPr>
          <w:i/>
          <w:w w:val="125"/>
          <w:sz w:val="18"/>
        </w:rPr>
        <w:t>évi</w:t>
      </w:r>
      <w:r>
        <w:rPr>
          <w:i/>
          <w:spacing w:val="-7"/>
          <w:w w:val="125"/>
          <w:sz w:val="18"/>
        </w:rPr>
        <w:t> </w:t>
      </w:r>
      <w:r>
        <w:rPr>
          <w:i/>
          <w:w w:val="125"/>
          <w:sz w:val="18"/>
        </w:rPr>
        <w:t>CIV.</w:t>
      </w:r>
      <w:r>
        <w:rPr>
          <w:i/>
          <w:spacing w:val="-6"/>
          <w:w w:val="125"/>
          <w:sz w:val="18"/>
        </w:rPr>
        <w:t> </w:t>
      </w:r>
      <w:r>
        <w:rPr>
          <w:i/>
          <w:w w:val="125"/>
          <w:sz w:val="18"/>
        </w:rPr>
        <w:t>törvény</w:t>
      </w:r>
      <w:r>
        <w:rPr>
          <w:i/>
          <w:spacing w:val="-7"/>
          <w:w w:val="125"/>
          <w:sz w:val="18"/>
        </w:rPr>
        <w:t> </w:t>
      </w:r>
      <w:r>
        <w:rPr>
          <w:i/>
          <w:w w:val="125"/>
          <w:sz w:val="18"/>
        </w:rPr>
        <w:t>91.</w:t>
      </w:r>
      <w:r>
        <w:rPr>
          <w:i/>
          <w:spacing w:val="-7"/>
          <w:w w:val="125"/>
          <w:sz w:val="18"/>
        </w:rPr>
        <w:t> </w:t>
      </w:r>
      <w:r>
        <w:rPr>
          <w:i/>
          <w:w w:val="125"/>
          <w:sz w:val="18"/>
        </w:rPr>
        <w:t>§.</w:t>
      </w:r>
      <w:r>
        <w:rPr>
          <w:i/>
          <w:spacing w:val="-6"/>
          <w:w w:val="125"/>
          <w:sz w:val="18"/>
        </w:rPr>
        <w:t> </w:t>
      </w:r>
      <w:r>
        <w:rPr>
          <w:i/>
          <w:w w:val="125"/>
          <w:sz w:val="18"/>
        </w:rPr>
        <w:t>Hatályos:</w:t>
      </w:r>
      <w:r>
        <w:rPr>
          <w:i/>
          <w:spacing w:val="-7"/>
          <w:w w:val="125"/>
          <w:sz w:val="18"/>
        </w:rPr>
        <w:t> </w:t>
      </w:r>
      <w:r>
        <w:rPr>
          <w:i/>
          <w:w w:val="125"/>
          <w:sz w:val="18"/>
        </w:rPr>
        <w:t>2015.</w:t>
      </w:r>
      <w:r>
        <w:rPr>
          <w:i/>
          <w:spacing w:val="-7"/>
          <w:w w:val="125"/>
          <w:sz w:val="18"/>
        </w:rPr>
        <w:t> </w:t>
      </w:r>
      <w:r>
        <w:rPr>
          <w:i/>
          <w:w w:val="125"/>
          <w:sz w:val="18"/>
        </w:rPr>
        <w:t>I.</w:t>
      </w:r>
      <w:r>
        <w:rPr>
          <w:i/>
          <w:spacing w:val="-6"/>
          <w:w w:val="125"/>
          <w:sz w:val="18"/>
        </w:rPr>
        <w:t> </w:t>
      </w:r>
      <w:r>
        <w:rPr>
          <w:i/>
          <w:w w:val="125"/>
          <w:sz w:val="18"/>
        </w:rPr>
        <w:t>1-től.</w:t>
      </w:r>
    </w:p>
    <w:p>
      <w:pPr>
        <w:pStyle w:val="ListParagraph"/>
        <w:numPr>
          <w:ilvl w:val="0"/>
          <w:numId w:val="63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2015.</w:t>
      </w:r>
      <w:r>
        <w:rPr>
          <w:i/>
          <w:spacing w:val="7"/>
          <w:w w:val="120"/>
          <w:sz w:val="18"/>
        </w:rPr>
        <w:t> </w:t>
      </w:r>
      <w:r>
        <w:rPr>
          <w:i/>
          <w:w w:val="120"/>
          <w:sz w:val="18"/>
        </w:rPr>
        <w:t>évi</w:t>
      </w:r>
      <w:r>
        <w:rPr>
          <w:i/>
          <w:spacing w:val="7"/>
          <w:w w:val="120"/>
          <w:sz w:val="18"/>
        </w:rPr>
        <w:t> </w:t>
      </w:r>
      <w:r>
        <w:rPr>
          <w:i/>
          <w:w w:val="120"/>
          <w:sz w:val="18"/>
        </w:rPr>
        <w:t>CCXV.</w:t>
      </w:r>
      <w:r>
        <w:rPr>
          <w:i/>
          <w:spacing w:val="8"/>
          <w:w w:val="120"/>
          <w:sz w:val="18"/>
        </w:rPr>
        <w:t> </w:t>
      </w:r>
      <w:r>
        <w:rPr>
          <w:i/>
          <w:w w:val="120"/>
          <w:sz w:val="18"/>
        </w:rPr>
        <w:t>törvény</w:t>
      </w:r>
      <w:r>
        <w:rPr>
          <w:i/>
          <w:spacing w:val="7"/>
          <w:w w:val="120"/>
          <w:sz w:val="18"/>
        </w:rPr>
        <w:t> </w:t>
      </w:r>
      <w:r>
        <w:rPr>
          <w:i/>
          <w:w w:val="120"/>
          <w:sz w:val="18"/>
        </w:rPr>
        <w:t>153.</w:t>
      </w:r>
      <w:r>
        <w:rPr>
          <w:i/>
          <w:spacing w:val="6"/>
          <w:w w:val="120"/>
          <w:sz w:val="18"/>
        </w:rPr>
        <w:t> </w:t>
      </w:r>
      <w:r>
        <w:rPr>
          <w:i/>
          <w:w w:val="120"/>
          <w:sz w:val="18"/>
        </w:rPr>
        <w:t>§</w:t>
      </w:r>
      <w:r>
        <w:rPr>
          <w:i/>
          <w:spacing w:val="8"/>
          <w:w w:val="120"/>
          <w:sz w:val="18"/>
        </w:rPr>
        <w:t> </w:t>
      </w:r>
      <w:r>
        <w:rPr>
          <w:i/>
          <w:w w:val="120"/>
          <w:sz w:val="18"/>
        </w:rPr>
        <w:t>c).</w:t>
      </w:r>
      <w:r>
        <w:rPr>
          <w:i/>
          <w:spacing w:val="8"/>
          <w:w w:val="120"/>
          <w:sz w:val="18"/>
        </w:rPr>
        <w:t> </w:t>
      </w:r>
      <w:r>
        <w:rPr>
          <w:i/>
          <w:w w:val="120"/>
          <w:sz w:val="18"/>
        </w:rPr>
        <w:t>Hatálytalan:</w:t>
      </w:r>
      <w:r>
        <w:rPr>
          <w:i/>
          <w:spacing w:val="8"/>
          <w:w w:val="120"/>
          <w:sz w:val="18"/>
        </w:rPr>
        <w:t> </w:t>
      </w:r>
      <w:r>
        <w:rPr>
          <w:i/>
          <w:w w:val="120"/>
          <w:sz w:val="18"/>
        </w:rPr>
        <w:t>2016.</w:t>
      </w:r>
      <w:r>
        <w:rPr>
          <w:i/>
          <w:spacing w:val="7"/>
          <w:w w:val="120"/>
          <w:sz w:val="18"/>
        </w:rPr>
        <w:t> </w:t>
      </w:r>
      <w:r>
        <w:rPr>
          <w:i/>
          <w:w w:val="120"/>
          <w:sz w:val="18"/>
        </w:rPr>
        <w:t>I.</w:t>
      </w:r>
      <w:r>
        <w:rPr>
          <w:i/>
          <w:spacing w:val="8"/>
          <w:w w:val="120"/>
          <w:sz w:val="18"/>
        </w:rPr>
        <w:t> </w:t>
      </w:r>
      <w:r>
        <w:rPr>
          <w:i/>
          <w:w w:val="120"/>
          <w:sz w:val="18"/>
        </w:rPr>
        <w:t>1-től.</w:t>
      </w:r>
    </w:p>
    <w:p>
      <w:pPr>
        <w:pStyle w:val="ListParagraph"/>
        <w:numPr>
          <w:ilvl w:val="0"/>
          <w:numId w:val="637"/>
        </w:numPr>
        <w:tabs>
          <w:tab w:pos="686" w:val="left" w:leader="none"/>
          <w:tab w:pos="687" w:val="left" w:leader="none"/>
        </w:tabs>
        <w:spacing w:line="232" w:lineRule="auto" w:before="2" w:after="0"/>
        <w:ind w:left="342" w:right="1847" w:firstLine="0"/>
        <w:jc w:val="left"/>
        <w:rPr>
          <w:i/>
          <w:sz w:val="18"/>
        </w:rPr>
      </w:pPr>
      <w:r>
        <w:rPr>
          <w:i/>
          <w:w w:val="125"/>
          <w:sz w:val="18"/>
        </w:rPr>
        <w:t>Megállapította:</w:t>
      </w:r>
      <w:r>
        <w:rPr>
          <w:i/>
          <w:spacing w:val="-12"/>
          <w:w w:val="125"/>
          <w:sz w:val="18"/>
        </w:rPr>
        <w:t> </w:t>
      </w:r>
      <w:r>
        <w:rPr>
          <w:i/>
          <w:w w:val="125"/>
          <w:sz w:val="18"/>
        </w:rPr>
        <w:t>2014.</w:t>
      </w:r>
      <w:r>
        <w:rPr>
          <w:i/>
          <w:spacing w:val="-11"/>
          <w:w w:val="125"/>
          <w:sz w:val="18"/>
        </w:rPr>
        <w:t> </w:t>
      </w:r>
      <w:r>
        <w:rPr>
          <w:i/>
          <w:w w:val="125"/>
          <w:sz w:val="18"/>
        </w:rPr>
        <w:t>évi</w:t>
      </w:r>
      <w:r>
        <w:rPr>
          <w:i/>
          <w:spacing w:val="-12"/>
          <w:w w:val="125"/>
          <w:sz w:val="18"/>
        </w:rPr>
        <w:t> </w:t>
      </w:r>
      <w:r>
        <w:rPr>
          <w:i/>
          <w:w w:val="125"/>
          <w:sz w:val="18"/>
        </w:rPr>
        <w:t>XXXVII.</w:t>
      </w:r>
      <w:r>
        <w:rPr>
          <w:i/>
          <w:spacing w:val="-11"/>
          <w:w w:val="125"/>
          <w:sz w:val="18"/>
        </w:rPr>
        <w:t> </w:t>
      </w:r>
      <w:r>
        <w:rPr>
          <w:i/>
          <w:w w:val="125"/>
          <w:sz w:val="18"/>
        </w:rPr>
        <w:t>törvény</w:t>
      </w:r>
      <w:r>
        <w:rPr>
          <w:i/>
          <w:spacing w:val="-11"/>
          <w:w w:val="125"/>
          <w:sz w:val="18"/>
        </w:rPr>
        <w:t> </w:t>
      </w:r>
      <w:r>
        <w:rPr>
          <w:i/>
          <w:w w:val="125"/>
          <w:sz w:val="18"/>
        </w:rPr>
        <w:t>161.</w:t>
      </w:r>
      <w:r>
        <w:rPr>
          <w:i/>
          <w:spacing w:val="-12"/>
          <w:w w:val="125"/>
          <w:sz w:val="18"/>
        </w:rPr>
        <w:t> </w:t>
      </w:r>
      <w:r>
        <w:rPr>
          <w:i/>
          <w:w w:val="125"/>
          <w:sz w:val="18"/>
        </w:rPr>
        <w:t>§</w:t>
      </w:r>
      <w:r>
        <w:rPr>
          <w:i/>
          <w:spacing w:val="-10"/>
          <w:w w:val="125"/>
          <w:sz w:val="18"/>
        </w:rPr>
        <w:t> </w:t>
      </w:r>
      <w:r>
        <w:rPr>
          <w:i/>
          <w:w w:val="125"/>
          <w:sz w:val="18"/>
        </w:rPr>
        <w:t>(23).</w:t>
      </w:r>
      <w:r>
        <w:rPr>
          <w:i/>
          <w:spacing w:val="-11"/>
          <w:w w:val="125"/>
          <w:sz w:val="18"/>
        </w:rPr>
        <w:t> </w:t>
      </w:r>
      <w:r>
        <w:rPr>
          <w:i/>
          <w:w w:val="125"/>
          <w:sz w:val="18"/>
        </w:rPr>
        <w:t>Hatályos:</w:t>
      </w:r>
      <w:r>
        <w:rPr>
          <w:i/>
          <w:spacing w:val="-10"/>
          <w:w w:val="125"/>
          <w:sz w:val="18"/>
        </w:rPr>
        <w:t> </w:t>
      </w:r>
      <w:r>
        <w:rPr>
          <w:i/>
          <w:w w:val="125"/>
          <w:sz w:val="18"/>
        </w:rPr>
        <w:t>2014.</w:t>
      </w:r>
      <w:r>
        <w:rPr>
          <w:i/>
          <w:spacing w:val="-12"/>
          <w:w w:val="125"/>
          <w:sz w:val="18"/>
        </w:rPr>
        <w:t> </w:t>
      </w:r>
      <w:r>
        <w:rPr>
          <w:i/>
          <w:w w:val="125"/>
          <w:sz w:val="18"/>
        </w:rPr>
        <w:t>IX.</w:t>
      </w:r>
      <w:r>
        <w:rPr>
          <w:i/>
          <w:spacing w:val="-10"/>
          <w:w w:val="125"/>
          <w:sz w:val="18"/>
        </w:rPr>
        <w:t> </w:t>
      </w:r>
      <w:r>
        <w:rPr>
          <w:i/>
          <w:w w:val="125"/>
          <w:sz w:val="18"/>
        </w:rPr>
        <w:t>16-tól. 5</w:t>
        <w:tab/>
        <w:t>Lásd: 39/2014. (X. 9.) MNB rendelet.</w:t>
      </w:r>
    </w:p>
    <w:p>
      <w:pPr>
        <w:tabs>
          <w:tab w:pos="686" w:val="left" w:leader="none"/>
        </w:tabs>
        <w:spacing w:line="232" w:lineRule="auto" w:before="0"/>
        <w:ind w:left="342" w:right="2931" w:firstLine="0"/>
        <w:jc w:val="left"/>
        <w:rPr>
          <w:i/>
          <w:sz w:val="18"/>
        </w:rPr>
      </w:pPr>
      <w:r>
        <w:rPr>
          <w:i/>
          <w:w w:val="125"/>
          <w:sz w:val="18"/>
        </w:rPr>
        <w:t>6</w:t>
        <w:tab/>
        <w:t>Beiktatta:</w:t>
      </w:r>
      <w:r>
        <w:rPr>
          <w:i/>
          <w:spacing w:val="-10"/>
          <w:w w:val="125"/>
          <w:sz w:val="18"/>
        </w:rPr>
        <w:t> </w:t>
      </w:r>
      <w:r>
        <w:rPr>
          <w:i/>
          <w:w w:val="125"/>
          <w:sz w:val="18"/>
        </w:rPr>
        <w:t>2015.</w:t>
      </w:r>
      <w:r>
        <w:rPr>
          <w:i/>
          <w:spacing w:val="-10"/>
          <w:w w:val="125"/>
          <w:sz w:val="18"/>
        </w:rPr>
        <w:t> </w:t>
      </w:r>
      <w:r>
        <w:rPr>
          <w:i/>
          <w:w w:val="125"/>
          <w:sz w:val="18"/>
        </w:rPr>
        <w:t>évi</w:t>
      </w:r>
      <w:r>
        <w:rPr>
          <w:i/>
          <w:spacing w:val="-10"/>
          <w:w w:val="125"/>
          <w:sz w:val="18"/>
        </w:rPr>
        <w:t> </w:t>
      </w:r>
      <w:r>
        <w:rPr>
          <w:i/>
          <w:w w:val="125"/>
          <w:sz w:val="18"/>
        </w:rPr>
        <w:t>CLXXVIII.</w:t>
      </w:r>
      <w:r>
        <w:rPr>
          <w:i/>
          <w:spacing w:val="-9"/>
          <w:w w:val="125"/>
          <w:sz w:val="18"/>
        </w:rPr>
        <w:t> </w:t>
      </w:r>
      <w:r>
        <w:rPr>
          <w:i/>
          <w:w w:val="125"/>
          <w:sz w:val="18"/>
        </w:rPr>
        <w:t>törvény</w:t>
      </w:r>
      <w:r>
        <w:rPr>
          <w:i/>
          <w:spacing w:val="-10"/>
          <w:w w:val="125"/>
          <w:sz w:val="18"/>
        </w:rPr>
        <w:t> </w:t>
      </w:r>
      <w:r>
        <w:rPr>
          <w:i/>
          <w:w w:val="125"/>
          <w:sz w:val="18"/>
        </w:rPr>
        <w:t>42.</w:t>
      </w:r>
      <w:r>
        <w:rPr>
          <w:i/>
          <w:spacing w:val="-10"/>
          <w:w w:val="125"/>
          <w:sz w:val="18"/>
        </w:rPr>
        <w:t> </w:t>
      </w:r>
      <w:r>
        <w:rPr>
          <w:i/>
          <w:w w:val="125"/>
          <w:sz w:val="18"/>
        </w:rPr>
        <w:t>§.</w:t>
      </w:r>
      <w:r>
        <w:rPr>
          <w:i/>
          <w:spacing w:val="-9"/>
          <w:w w:val="125"/>
          <w:sz w:val="18"/>
        </w:rPr>
        <w:t> </w:t>
      </w:r>
      <w:r>
        <w:rPr>
          <w:i/>
          <w:w w:val="125"/>
          <w:sz w:val="18"/>
        </w:rPr>
        <w:t>Hatályos:</w:t>
      </w:r>
      <w:r>
        <w:rPr>
          <w:i/>
          <w:spacing w:val="-9"/>
          <w:w w:val="125"/>
          <w:sz w:val="18"/>
        </w:rPr>
        <w:t> </w:t>
      </w:r>
      <w:r>
        <w:rPr>
          <w:i/>
          <w:w w:val="125"/>
          <w:sz w:val="18"/>
        </w:rPr>
        <w:t>2016.</w:t>
      </w:r>
      <w:r>
        <w:rPr>
          <w:i/>
          <w:spacing w:val="-10"/>
          <w:w w:val="125"/>
          <w:sz w:val="18"/>
        </w:rPr>
        <w:t> </w:t>
      </w:r>
      <w:r>
        <w:rPr>
          <w:i/>
          <w:w w:val="125"/>
          <w:sz w:val="18"/>
        </w:rPr>
        <w:t>I.</w:t>
      </w:r>
      <w:r>
        <w:rPr>
          <w:i/>
          <w:spacing w:val="-9"/>
          <w:w w:val="125"/>
          <w:sz w:val="18"/>
        </w:rPr>
        <w:t> </w:t>
      </w:r>
      <w:r>
        <w:rPr>
          <w:i/>
          <w:w w:val="125"/>
          <w:sz w:val="18"/>
        </w:rPr>
        <w:t>1-től. 7</w:t>
        <w:tab/>
        <w:t>Lásd: 39/2016. (X. 11.) MNB rendelet.</w:t>
      </w:r>
    </w:p>
    <w:p>
      <w:pPr>
        <w:tabs>
          <w:tab w:pos="686" w:val="left" w:leader="none"/>
        </w:tabs>
        <w:spacing w:line="197" w:lineRule="exact" w:before="0"/>
        <w:ind w:left="342" w:right="0" w:firstLine="0"/>
        <w:jc w:val="left"/>
        <w:rPr>
          <w:i/>
          <w:sz w:val="18"/>
        </w:rPr>
      </w:pPr>
      <w:r>
        <w:rPr>
          <w:i/>
          <w:w w:val="125"/>
          <w:sz w:val="18"/>
        </w:rPr>
        <w:t>8</w:t>
        <w:tab/>
        <w:t>Beiktatta: 2015. évi CLXXVIII. törvény 42. §. Hatályos: 2016. I.</w:t>
      </w:r>
      <w:r>
        <w:rPr>
          <w:i/>
          <w:spacing w:val="-16"/>
          <w:w w:val="125"/>
          <w:sz w:val="18"/>
        </w:rPr>
        <w:t> </w:t>
      </w:r>
      <w:r>
        <w:rPr>
          <w:i/>
          <w:w w:val="125"/>
          <w:sz w:val="18"/>
        </w:rPr>
        <w:t>1-től.</w:t>
      </w:r>
    </w:p>
    <w:p>
      <w:pPr>
        <w:tabs>
          <w:tab w:pos="686" w:val="left" w:leader="none"/>
        </w:tabs>
        <w:spacing w:line="232" w:lineRule="auto" w:before="0"/>
        <w:ind w:left="228" w:right="2558" w:firstLine="114"/>
        <w:jc w:val="left"/>
        <w:rPr>
          <w:i/>
          <w:sz w:val="18"/>
        </w:rPr>
      </w:pPr>
      <w:r>
        <w:rPr>
          <w:i/>
          <w:w w:val="125"/>
          <w:sz w:val="18"/>
        </w:rPr>
        <w:t>9</w:t>
        <w:tab/>
        <w:t>Lásd: 40/2016. (X. 11.) MNB rendelet, 47/2018. (XII. 17.) MNB rendelet. 10</w:t>
        <w:tab/>
        <w:t>Beiktatta: 2015. évi CCXV. törvény 148. § (3). Hatályos: 2016. V. 31-től. 11</w:t>
        <w:tab/>
        <w:t>Lásd: 19/2016. (V. 25.) MNB rendelet.</w:t>
      </w:r>
    </w:p>
    <w:p>
      <w:pPr>
        <w:spacing w:after="0" w:line="232" w:lineRule="auto"/>
        <w:jc w:val="left"/>
        <w:rPr>
          <w:sz w:val="18"/>
        </w:rPr>
        <w:sectPr>
          <w:pgSz w:w="11900" w:h="16820"/>
          <w:pgMar w:header="1104" w:footer="0" w:top="1840" w:bottom="280" w:left="1020" w:right="1000"/>
        </w:sectPr>
      </w:pPr>
    </w:p>
    <w:p>
      <w:pPr>
        <w:pStyle w:val="ListParagraph"/>
        <w:numPr>
          <w:ilvl w:val="0"/>
          <w:numId w:val="636"/>
        </w:numPr>
        <w:tabs>
          <w:tab w:pos="905" w:val="left" w:leader="none"/>
        </w:tabs>
        <w:spacing w:line="225" w:lineRule="auto" w:before="173" w:after="0"/>
        <w:ind w:left="113" w:right="128" w:firstLine="204"/>
        <w:jc w:val="both"/>
        <w:rPr>
          <w:sz w:val="24"/>
        </w:rPr>
      </w:pPr>
      <w:r>
        <w:rPr>
          <w:w w:val="130"/>
          <w:sz w:val="24"/>
        </w:rPr>
        <w:t>A 118. §-ban foglaltakat 2014. január 1-jét követően kifizetett javadalmazásra</w:t>
      </w:r>
      <w:r>
        <w:rPr>
          <w:spacing w:val="-22"/>
          <w:w w:val="130"/>
          <w:sz w:val="24"/>
        </w:rPr>
        <w:t> </w:t>
      </w:r>
      <w:r>
        <w:rPr>
          <w:w w:val="130"/>
          <w:sz w:val="24"/>
        </w:rPr>
        <w:t>abban</w:t>
      </w:r>
      <w:r>
        <w:rPr>
          <w:spacing w:val="-21"/>
          <w:w w:val="130"/>
          <w:sz w:val="24"/>
        </w:rPr>
        <w:t> </w:t>
      </w:r>
      <w:r>
        <w:rPr>
          <w:w w:val="130"/>
          <w:sz w:val="24"/>
        </w:rPr>
        <w:t>az</w:t>
      </w:r>
      <w:r>
        <w:rPr>
          <w:spacing w:val="-13"/>
          <w:w w:val="130"/>
          <w:sz w:val="24"/>
        </w:rPr>
        <w:t> </w:t>
      </w:r>
      <w:r>
        <w:rPr>
          <w:w w:val="130"/>
          <w:sz w:val="24"/>
        </w:rPr>
        <w:t>esetben</w:t>
      </w:r>
      <w:r>
        <w:rPr>
          <w:spacing w:val="-31"/>
          <w:w w:val="130"/>
          <w:sz w:val="24"/>
        </w:rPr>
        <w:t> </w:t>
      </w:r>
      <w:r>
        <w:rPr>
          <w:w w:val="130"/>
          <w:sz w:val="24"/>
        </w:rPr>
        <w:t>is</w:t>
      </w:r>
      <w:r>
        <w:rPr>
          <w:spacing w:val="-22"/>
          <w:w w:val="130"/>
          <w:sz w:val="24"/>
        </w:rPr>
        <w:t> </w:t>
      </w:r>
      <w:r>
        <w:rPr>
          <w:w w:val="130"/>
          <w:sz w:val="24"/>
        </w:rPr>
        <w:t>alkalmazni</w:t>
      </w:r>
      <w:r>
        <w:rPr>
          <w:spacing w:val="-21"/>
          <w:w w:val="130"/>
          <w:sz w:val="24"/>
        </w:rPr>
        <w:t> </w:t>
      </w:r>
      <w:r>
        <w:rPr>
          <w:w w:val="130"/>
          <w:sz w:val="24"/>
        </w:rPr>
        <w:t>kell,</w:t>
      </w:r>
      <w:r>
        <w:rPr>
          <w:spacing w:val="-22"/>
          <w:w w:val="130"/>
          <w:sz w:val="24"/>
        </w:rPr>
        <w:t> </w:t>
      </w:r>
      <w:r>
        <w:rPr>
          <w:w w:val="130"/>
          <w:sz w:val="24"/>
        </w:rPr>
        <w:t>ha</w:t>
      </w:r>
      <w:r>
        <w:rPr>
          <w:spacing w:val="-14"/>
          <w:w w:val="130"/>
          <w:sz w:val="24"/>
        </w:rPr>
        <w:t> </w:t>
      </w:r>
      <w:r>
        <w:rPr>
          <w:w w:val="130"/>
          <w:sz w:val="24"/>
        </w:rPr>
        <w:t>a</w:t>
      </w:r>
      <w:r>
        <w:rPr>
          <w:spacing w:val="-29"/>
          <w:w w:val="130"/>
          <w:sz w:val="24"/>
        </w:rPr>
        <w:t> </w:t>
      </w:r>
      <w:r>
        <w:rPr>
          <w:w w:val="130"/>
          <w:sz w:val="24"/>
        </w:rPr>
        <w:t>kifizetésre</w:t>
      </w:r>
      <w:r>
        <w:rPr>
          <w:spacing w:val="-22"/>
          <w:w w:val="130"/>
          <w:sz w:val="24"/>
        </w:rPr>
        <w:t> </w:t>
      </w:r>
      <w:r>
        <w:rPr>
          <w:w w:val="130"/>
          <w:sz w:val="24"/>
        </w:rPr>
        <w:t>vonatkozó szerződés az e törvény hatályba lépése előtt került</w:t>
      </w:r>
      <w:r>
        <w:rPr>
          <w:spacing w:val="-40"/>
          <w:w w:val="130"/>
          <w:sz w:val="24"/>
        </w:rPr>
        <w:t> </w:t>
      </w:r>
      <w:r>
        <w:rPr>
          <w:w w:val="130"/>
          <w:sz w:val="24"/>
        </w:rPr>
        <w:t>megkötésre.</w:t>
      </w:r>
    </w:p>
    <w:p>
      <w:pPr>
        <w:pStyle w:val="BodyText"/>
        <w:spacing w:line="256" w:lineRule="exact"/>
        <w:ind w:left="317" w:firstLine="0"/>
        <w:rPr>
          <w:i/>
          <w:sz w:val="18"/>
        </w:rPr>
      </w:pPr>
      <w:r>
        <w:rPr>
          <w:w w:val="120"/>
        </w:rPr>
        <w:t>(4)-(7)</w:t>
      </w:r>
      <w:r>
        <w:rPr>
          <w:i/>
          <w:w w:val="120"/>
          <w:position w:val="3"/>
          <w:sz w:val="18"/>
        </w:rPr>
        <w:t>1</w:t>
      </w:r>
    </w:p>
    <w:p>
      <w:pPr>
        <w:pStyle w:val="BodyText"/>
        <w:spacing w:line="225" w:lineRule="auto" w:before="5"/>
        <w:ind w:right="126"/>
        <w:jc w:val="both"/>
      </w:pPr>
      <w:r>
        <w:rPr>
          <w:rFonts w:ascii="Arial" w:hAnsi="Arial"/>
          <w:b/>
          <w:w w:val="125"/>
        </w:rPr>
        <w:t>293. § </w:t>
      </w:r>
      <w:r>
        <w:rPr>
          <w:w w:val="125"/>
        </w:rPr>
        <w:t>(1) A 279. § (4)-(6) és (8)-(16) bekezdését a 2009. augusztus 1-je előtt fogyasztóval kötött kölcsönszerződés vagy pénzügyi lízingszerződés módosítása esetén is alkalmazni kell a (2) bekezdésben meghatározott eltéréssel.</w:t>
      </w:r>
    </w:p>
    <w:p>
      <w:pPr>
        <w:pStyle w:val="BodyText"/>
        <w:spacing w:line="257" w:lineRule="exact"/>
        <w:ind w:left="317" w:firstLine="0"/>
      </w:pPr>
      <w:r>
        <w:rPr>
          <w:w w:val="120"/>
        </w:rPr>
        <w:t>(2)</w:t>
      </w:r>
      <w:r>
        <w:rPr>
          <w:spacing w:val="53"/>
          <w:w w:val="120"/>
        </w:rPr>
        <w:t> </w:t>
      </w:r>
      <w:r>
        <w:rPr>
          <w:w w:val="120"/>
        </w:rPr>
        <w:t>A</w:t>
      </w:r>
      <w:r>
        <w:rPr>
          <w:spacing w:val="54"/>
          <w:w w:val="120"/>
        </w:rPr>
        <w:t> </w:t>
      </w:r>
      <w:r>
        <w:rPr>
          <w:w w:val="120"/>
        </w:rPr>
        <w:t>279.</w:t>
      </w:r>
      <w:r>
        <w:rPr>
          <w:spacing w:val="53"/>
          <w:w w:val="120"/>
        </w:rPr>
        <w:t> </w:t>
      </w:r>
      <w:r>
        <w:rPr>
          <w:w w:val="120"/>
        </w:rPr>
        <w:t>§</w:t>
      </w:r>
      <w:r>
        <w:rPr>
          <w:spacing w:val="54"/>
          <w:w w:val="120"/>
        </w:rPr>
        <w:t> </w:t>
      </w:r>
      <w:r>
        <w:rPr>
          <w:w w:val="120"/>
        </w:rPr>
        <w:t>(4)-(6),</w:t>
      </w:r>
      <w:r>
        <w:rPr>
          <w:spacing w:val="53"/>
          <w:w w:val="120"/>
        </w:rPr>
        <w:t> </w:t>
      </w:r>
      <w:r>
        <w:rPr>
          <w:w w:val="120"/>
        </w:rPr>
        <w:t>(8),</w:t>
      </w:r>
      <w:r>
        <w:rPr>
          <w:spacing w:val="54"/>
          <w:w w:val="120"/>
        </w:rPr>
        <w:t> </w:t>
      </w:r>
      <w:r>
        <w:rPr>
          <w:w w:val="120"/>
        </w:rPr>
        <w:t>(9),</w:t>
      </w:r>
      <w:r>
        <w:rPr>
          <w:spacing w:val="54"/>
          <w:w w:val="120"/>
        </w:rPr>
        <w:t> </w:t>
      </w:r>
      <w:r>
        <w:rPr>
          <w:w w:val="120"/>
        </w:rPr>
        <w:t>(11)</w:t>
      </w:r>
      <w:r>
        <w:rPr>
          <w:spacing w:val="54"/>
          <w:w w:val="120"/>
        </w:rPr>
        <w:t> </w:t>
      </w:r>
      <w:r>
        <w:rPr>
          <w:w w:val="120"/>
        </w:rPr>
        <w:t>és</w:t>
      </w:r>
      <w:r>
        <w:rPr>
          <w:spacing w:val="53"/>
          <w:w w:val="120"/>
        </w:rPr>
        <w:t> </w:t>
      </w:r>
      <w:r>
        <w:rPr>
          <w:w w:val="120"/>
        </w:rPr>
        <w:t>(13)-(15)</w:t>
      </w:r>
      <w:r>
        <w:rPr>
          <w:spacing w:val="53"/>
          <w:w w:val="120"/>
        </w:rPr>
        <w:t> </w:t>
      </w:r>
      <w:r>
        <w:rPr>
          <w:w w:val="120"/>
        </w:rPr>
        <w:t>bekezdést,</w:t>
      </w:r>
      <w:r>
        <w:rPr>
          <w:spacing w:val="54"/>
          <w:w w:val="120"/>
        </w:rPr>
        <w:t> </w:t>
      </w:r>
      <w:r>
        <w:rPr>
          <w:w w:val="120"/>
        </w:rPr>
        <w:t>valamint</w:t>
      </w:r>
      <w:r>
        <w:rPr>
          <w:spacing w:val="53"/>
          <w:w w:val="120"/>
        </w:rPr>
        <w:t> </w:t>
      </w:r>
      <w:r>
        <w:rPr>
          <w:w w:val="120"/>
        </w:rPr>
        <w:t>a</w:t>
      </w:r>
      <w:r>
        <w:rPr>
          <w:spacing w:val="69"/>
          <w:w w:val="120"/>
        </w:rPr>
        <w:t> </w:t>
      </w:r>
      <w:r>
        <w:rPr>
          <w:w w:val="120"/>
        </w:rPr>
        <w:t>279. §</w:t>
      </w:r>
    </w:p>
    <w:p>
      <w:pPr>
        <w:pStyle w:val="BodyText"/>
        <w:spacing w:line="225" w:lineRule="auto" w:before="5"/>
        <w:ind w:right="125" w:firstLine="0"/>
        <w:jc w:val="both"/>
      </w:pPr>
      <w:r>
        <w:rPr>
          <w:w w:val="125"/>
        </w:rPr>
        <w:t>(12) bekezdés első mondatát 2009. augusztus 1-je előtt kötött, a szerződés alapján jelzáloglevéllel finanszírozott kölcsönszerződésekre nem kell alkalmazni. A 279. § (12) bekezdés második mondatát a 2010. január 1-jét követően kötött szerződésekre kell alkalmazni.</w:t>
      </w:r>
    </w:p>
    <w:p>
      <w:pPr>
        <w:pStyle w:val="ListParagraph"/>
        <w:numPr>
          <w:ilvl w:val="0"/>
          <w:numId w:val="638"/>
        </w:numPr>
        <w:tabs>
          <w:tab w:pos="1077" w:val="left" w:leader="none"/>
        </w:tabs>
        <w:spacing w:line="225" w:lineRule="auto" w:before="1" w:after="0"/>
        <w:ind w:left="113" w:right="125" w:firstLine="204"/>
        <w:jc w:val="both"/>
        <w:rPr>
          <w:sz w:val="24"/>
        </w:rPr>
      </w:pPr>
      <w:r>
        <w:rPr>
          <w:rFonts w:ascii="Arial" w:hAnsi="Arial"/>
          <w:b/>
          <w:w w:val="125"/>
          <w:sz w:val="24"/>
        </w:rPr>
        <w:t>§ </w:t>
      </w:r>
      <w:r>
        <w:rPr>
          <w:w w:val="125"/>
          <w:sz w:val="24"/>
        </w:rPr>
        <w:t>(1) A 213. § (1) bekezdését nem kell alkalmazni az árutőzsdei szolgáltató és a Pénztárak Garancia Alapja 2003. január 1-jét megelőzően elhelyezett betétjére.</w:t>
      </w:r>
    </w:p>
    <w:p>
      <w:pPr>
        <w:spacing w:line="256" w:lineRule="exact" w:before="0"/>
        <w:ind w:left="317" w:right="0" w:firstLine="0"/>
        <w:jc w:val="left"/>
        <w:rPr>
          <w:i/>
          <w:sz w:val="18"/>
        </w:rPr>
      </w:pPr>
      <w:r>
        <w:rPr>
          <w:w w:val="125"/>
          <w:sz w:val="24"/>
        </w:rPr>
        <w:t>(2)</w:t>
      </w:r>
      <w:r>
        <w:rPr>
          <w:i/>
          <w:w w:val="125"/>
          <w:position w:val="3"/>
          <w:sz w:val="18"/>
        </w:rPr>
        <w:t>2</w:t>
      </w:r>
    </w:p>
    <w:p>
      <w:pPr>
        <w:pStyle w:val="ListParagraph"/>
        <w:numPr>
          <w:ilvl w:val="0"/>
          <w:numId w:val="638"/>
        </w:numPr>
        <w:tabs>
          <w:tab w:pos="1126" w:val="left" w:leader="none"/>
        </w:tabs>
        <w:spacing w:line="225" w:lineRule="auto" w:before="5" w:after="0"/>
        <w:ind w:left="113" w:right="124" w:firstLine="204"/>
        <w:jc w:val="both"/>
        <w:rPr>
          <w:sz w:val="24"/>
        </w:rPr>
      </w:pPr>
      <w:r>
        <w:rPr>
          <w:rFonts w:ascii="Arial" w:hAnsi="Arial"/>
          <w:b/>
          <w:w w:val="125"/>
          <w:sz w:val="24"/>
        </w:rPr>
        <w:t>§ </w:t>
      </w:r>
      <w:r>
        <w:rPr>
          <w:w w:val="125"/>
          <w:sz w:val="24"/>
        </w:rPr>
        <w:t>(1) Ha a fogyasztóval 2010. január 1-jét megelőzően kötött kölcsönszerződésben a pénzügyi intézmény által biztosítéki céllal kikötött  vételi jog alapján 2010. március 1-jét követően megszerzett, a kötelezett által lakott lakóingatlan szerződés szerinti vételára alacsonyabb a vételi jog gyakorlását megelőző hat hónapon belül  készült  szakértői  értékbecslés szerinti beköltözhető forgalmi érték hetven százalékának megfelelő összegnél (minimum ár), a vételi jog jogosultja a vételáron felül - a jogalap nélküli gazdagodás szabályai szerint - köteles a vételár és a minimum ár különbözetének a kötelezett javára történő megtérítésére, illetve ezen  összegnek a (2) bekezdés szerinti elszámolás körében a kötelezett javára  történő figyelembevételére.</w:t>
      </w:r>
    </w:p>
    <w:p>
      <w:pPr>
        <w:pStyle w:val="ListParagraph"/>
        <w:numPr>
          <w:ilvl w:val="0"/>
          <w:numId w:val="639"/>
        </w:numPr>
        <w:tabs>
          <w:tab w:pos="738" w:val="left" w:leader="none"/>
        </w:tabs>
        <w:spacing w:line="225" w:lineRule="auto" w:before="7" w:after="0"/>
        <w:ind w:left="113" w:right="113" w:firstLine="204"/>
        <w:jc w:val="both"/>
        <w:rPr>
          <w:sz w:val="24"/>
        </w:rPr>
      </w:pPr>
      <w:r>
        <w:rPr>
          <w:w w:val="130"/>
          <w:sz w:val="24"/>
        </w:rPr>
        <w:t>Az</w:t>
      </w:r>
      <w:r>
        <w:rPr>
          <w:spacing w:val="-28"/>
          <w:w w:val="130"/>
          <w:sz w:val="24"/>
        </w:rPr>
        <w:t> </w:t>
      </w:r>
      <w:r>
        <w:rPr>
          <w:w w:val="130"/>
          <w:sz w:val="24"/>
        </w:rPr>
        <w:t>(1)</w:t>
      </w:r>
      <w:r>
        <w:rPr>
          <w:spacing w:val="-27"/>
          <w:w w:val="130"/>
          <w:sz w:val="24"/>
        </w:rPr>
        <w:t> </w:t>
      </w:r>
      <w:r>
        <w:rPr>
          <w:w w:val="130"/>
          <w:sz w:val="24"/>
        </w:rPr>
        <w:t>bekezdés</w:t>
      </w:r>
      <w:r>
        <w:rPr>
          <w:spacing w:val="-28"/>
          <w:w w:val="130"/>
          <w:sz w:val="24"/>
        </w:rPr>
        <w:t> </w:t>
      </w:r>
      <w:r>
        <w:rPr>
          <w:w w:val="130"/>
          <w:sz w:val="24"/>
        </w:rPr>
        <w:t>szerinti</w:t>
      </w:r>
      <w:r>
        <w:rPr>
          <w:spacing w:val="-27"/>
          <w:w w:val="130"/>
          <w:sz w:val="24"/>
        </w:rPr>
        <w:t> </w:t>
      </w:r>
      <w:r>
        <w:rPr>
          <w:w w:val="130"/>
          <w:sz w:val="24"/>
        </w:rPr>
        <w:t>vételi</w:t>
      </w:r>
      <w:r>
        <w:rPr>
          <w:spacing w:val="-29"/>
          <w:w w:val="130"/>
          <w:sz w:val="24"/>
        </w:rPr>
        <w:t> </w:t>
      </w:r>
      <w:r>
        <w:rPr>
          <w:w w:val="130"/>
          <w:sz w:val="24"/>
        </w:rPr>
        <w:t>jog</w:t>
      </w:r>
      <w:r>
        <w:rPr>
          <w:spacing w:val="-27"/>
          <w:w w:val="130"/>
          <w:sz w:val="24"/>
        </w:rPr>
        <w:t> </w:t>
      </w:r>
      <w:r>
        <w:rPr>
          <w:w w:val="130"/>
          <w:sz w:val="24"/>
        </w:rPr>
        <w:t>jogosultja</w:t>
      </w:r>
      <w:r>
        <w:rPr>
          <w:spacing w:val="-28"/>
          <w:w w:val="130"/>
          <w:sz w:val="24"/>
        </w:rPr>
        <w:t> </w:t>
      </w:r>
      <w:r>
        <w:rPr>
          <w:w w:val="130"/>
          <w:sz w:val="24"/>
        </w:rPr>
        <w:t>a</w:t>
      </w:r>
      <w:r>
        <w:rPr>
          <w:spacing w:val="-27"/>
          <w:w w:val="130"/>
          <w:sz w:val="24"/>
        </w:rPr>
        <w:t> </w:t>
      </w:r>
      <w:r>
        <w:rPr>
          <w:w w:val="130"/>
          <w:sz w:val="24"/>
        </w:rPr>
        <w:t>követelése,</w:t>
      </w:r>
      <w:r>
        <w:rPr>
          <w:spacing w:val="-17"/>
          <w:w w:val="130"/>
          <w:sz w:val="24"/>
        </w:rPr>
        <w:t> </w:t>
      </w:r>
      <w:r>
        <w:rPr>
          <w:w w:val="130"/>
          <w:sz w:val="24"/>
        </w:rPr>
        <w:t>annak</w:t>
      </w:r>
      <w:r>
        <w:rPr>
          <w:spacing w:val="-28"/>
          <w:w w:val="130"/>
          <w:sz w:val="24"/>
        </w:rPr>
        <w:t> </w:t>
      </w:r>
      <w:r>
        <w:rPr>
          <w:w w:val="130"/>
          <w:sz w:val="24"/>
        </w:rPr>
        <w:t>járulékai és az (1) bekezdés szerint általa térítendő pénzösszeg közötti különbözet összegével a kötelezettel elszámolni</w:t>
      </w:r>
      <w:r>
        <w:rPr>
          <w:spacing w:val="-22"/>
          <w:w w:val="130"/>
          <w:sz w:val="24"/>
        </w:rPr>
        <w:t> </w:t>
      </w:r>
      <w:r>
        <w:rPr>
          <w:w w:val="130"/>
          <w:sz w:val="24"/>
        </w:rPr>
        <w:t>köteles.</w:t>
      </w:r>
    </w:p>
    <w:p>
      <w:pPr>
        <w:pStyle w:val="ListParagraph"/>
        <w:numPr>
          <w:ilvl w:val="0"/>
          <w:numId w:val="639"/>
        </w:numPr>
        <w:tabs>
          <w:tab w:pos="786" w:val="left" w:leader="none"/>
        </w:tabs>
        <w:spacing w:line="225" w:lineRule="auto" w:before="1" w:after="0"/>
        <w:ind w:left="113" w:right="127" w:firstLine="204"/>
        <w:jc w:val="both"/>
        <w:rPr>
          <w:sz w:val="24"/>
        </w:rPr>
      </w:pPr>
      <w:r>
        <w:rPr>
          <w:w w:val="125"/>
          <w:sz w:val="24"/>
        </w:rPr>
        <w:t>Az (1) és a (2) bekezdésben foglaltakat kell alkalmazni akkor is, ha a pénzügyi intézmény</w:t>
      </w:r>
    </w:p>
    <w:p>
      <w:pPr>
        <w:pStyle w:val="ListParagraph"/>
        <w:numPr>
          <w:ilvl w:val="0"/>
          <w:numId w:val="640"/>
        </w:numPr>
        <w:tabs>
          <w:tab w:pos="631" w:val="left" w:leader="none"/>
        </w:tabs>
        <w:spacing w:line="256" w:lineRule="exact" w:before="0" w:after="0"/>
        <w:ind w:left="630" w:right="0" w:hanging="313"/>
        <w:jc w:val="left"/>
        <w:rPr>
          <w:sz w:val="24"/>
        </w:rPr>
      </w:pPr>
      <w:r>
        <w:rPr>
          <w:w w:val="130"/>
          <w:sz w:val="24"/>
        </w:rPr>
        <w:t>a</w:t>
      </w:r>
      <w:r>
        <w:rPr>
          <w:spacing w:val="-13"/>
          <w:w w:val="130"/>
          <w:sz w:val="24"/>
        </w:rPr>
        <w:t> </w:t>
      </w:r>
      <w:r>
        <w:rPr>
          <w:w w:val="130"/>
          <w:sz w:val="24"/>
        </w:rPr>
        <w:t>biztosítéki</w:t>
      </w:r>
      <w:r>
        <w:rPr>
          <w:spacing w:val="-11"/>
          <w:w w:val="130"/>
          <w:sz w:val="24"/>
        </w:rPr>
        <w:t> </w:t>
      </w:r>
      <w:r>
        <w:rPr>
          <w:w w:val="130"/>
          <w:sz w:val="24"/>
        </w:rPr>
        <w:t>céllal</w:t>
      </w:r>
      <w:r>
        <w:rPr>
          <w:spacing w:val="-12"/>
          <w:w w:val="130"/>
          <w:sz w:val="24"/>
        </w:rPr>
        <w:t> </w:t>
      </w:r>
      <w:r>
        <w:rPr>
          <w:w w:val="130"/>
          <w:sz w:val="24"/>
        </w:rPr>
        <w:t>kikötött</w:t>
      </w:r>
      <w:r>
        <w:rPr>
          <w:spacing w:val="-12"/>
          <w:w w:val="130"/>
          <w:sz w:val="24"/>
        </w:rPr>
        <w:t> </w:t>
      </w:r>
      <w:r>
        <w:rPr>
          <w:w w:val="130"/>
          <w:sz w:val="24"/>
        </w:rPr>
        <w:t>vételi</w:t>
      </w:r>
      <w:r>
        <w:rPr>
          <w:spacing w:val="-13"/>
          <w:w w:val="130"/>
          <w:sz w:val="24"/>
        </w:rPr>
        <w:t> </w:t>
      </w:r>
      <w:r>
        <w:rPr>
          <w:w w:val="130"/>
          <w:sz w:val="24"/>
        </w:rPr>
        <w:t>jog</w:t>
      </w:r>
      <w:r>
        <w:rPr>
          <w:spacing w:val="-1"/>
          <w:w w:val="130"/>
          <w:sz w:val="24"/>
        </w:rPr>
        <w:t> </w:t>
      </w:r>
      <w:r>
        <w:rPr>
          <w:w w:val="130"/>
          <w:sz w:val="24"/>
        </w:rPr>
        <w:t>gyakorlását</w:t>
      </w:r>
      <w:r>
        <w:rPr>
          <w:spacing w:val="-22"/>
          <w:w w:val="130"/>
          <w:sz w:val="24"/>
        </w:rPr>
        <w:t> </w:t>
      </w:r>
      <w:r>
        <w:rPr>
          <w:w w:val="130"/>
          <w:sz w:val="24"/>
        </w:rPr>
        <w:t>másnak</w:t>
      </w:r>
      <w:r>
        <w:rPr>
          <w:spacing w:val="-13"/>
          <w:w w:val="130"/>
          <w:sz w:val="24"/>
        </w:rPr>
        <w:t> </w:t>
      </w:r>
      <w:r>
        <w:rPr>
          <w:w w:val="130"/>
          <w:sz w:val="24"/>
        </w:rPr>
        <w:t>átengedi,</w:t>
      </w:r>
    </w:p>
    <w:p>
      <w:pPr>
        <w:pStyle w:val="ListParagraph"/>
        <w:numPr>
          <w:ilvl w:val="0"/>
          <w:numId w:val="640"/>
        </w:numPr>
        <w:tabs>
          <w:tab w:pos="738" w:val="left" w:leader="none"/>
        </w:tabs>
        <w:spacing w:line="260" w:lineRule="exact" w:before="0" w:after="0"/>
        <w:ind w:left="737" w:right="0" w:hanging="420"/>
        <w:jc w:val="left"/>
        <w:rPr>
          <w:sz w:val="24"/>
        </w:rPr>
      </w:pPr>
      <w:r>
        <w:rPr>
          <w:w w:val="130"/>
          <w:sz w:val="24"/>
        </w:rPr>
        <w:t>a biztosítéki céllal kikötött vételi joggal biztosított követelést</w:t>
      </w:r>
      <w:r>
        <w:rPr>
          <w:spacing w:val="4"/>
          <w:w w:val="130"/>
          <w:sz w:val="24"/>
        </w:rPr>
        <w:t> </w:t>
      </w:r>
      <w:r>
        <w:rPr>
          <w:w w:val="130"/>
          <w:sz w:val="24"/>
        </w:rPr>
        <w:t>másra</w:t>
      </w:r>
    </w:p>
    <w:p>
      <w:pPr>
        <w:spacing w:line="259" w:lineRule="exact" w:before="0"/>
        <w:ind w:left="113" w:right="0" w:firstLine="0"/>
        <w:jc w:val="left"/>
        <w:rPr>
          <w:sz w:val="24"/>
        </w:rPr>
      </w:pPr>
      <w:r>
        <w:rPr>
          <w:i/>
          <w:w w:val="125"/>
          <w:sz w:val="24"/>
        </w:rPr>
        <w:t>átruházza </w:t>
      </w:r>
      <w:r>
        <w:rPr>
          <w:w w:val="125"/>
          <w:sz w:val="24"/>
        </w:rPr>
        <w:t>(engedményezi).</w:t>
      </w:r>
    </w:p>
    <w:p>
      <w:pPr>
        <w:pStyle w:val="ListParagraph"/>
        <w:numPr>
          <w:ilvl w:val="0"/>
          <w:numId w:val="638"/>
        </w:numPr>
        <w:tabs>
          <w:tab w:pos="1002" w:val="left" w:leader="none"/>
        </w:tabs>
        <w:spacing w:line="225" w:lineRule="auto" w:before="5" w:after="0"/>
        <w:ind w:left="113" w:right="125" w:firstLine="204"/>
        <w:jc w:val="both"/>
        <w:rPr>
          <w:sz w:val="24"/>
        </w:rPr>
      </w:pPr>
      <w:r>
        <w:rPr>
          <w:rFonts w:ascii="Arial" w:hAnsi="Arial"/>
          <w:b/>
          <w:w w:val="125"/>
          <w:sz w:val="24"/>
        </w:rPr>
        <w:t>§ </w:t>
      </w:r>
      <w:r>
        <w:rPr>
          <w:w w:val="125"/>
          <w:sz w:val="24"/>
        </w:rPr>
        <w:t>E törvény hatálybalépésekor már működő vagy engedélyezési eljárás alatt lévő szövetkezeti hitelintézet 12. §-ban meghatározott követelményeknek legkésőbb 2015. december 31-től köteles</w:t>
      </w:r>
      <w:r>
        <w:rPr>
          <w:spacing w:val="5"/>
          <w:w w:val="125"/>
          <w:sz w:val="24"/>
        </w:rPr>
        <w:t> </w:t>
      </w:r>
      <w:r>
        <w:rPr>
          <w:w w:val="125"/>
          <w:sz w:val="24"/>
        </w:rPr>
        <w:t>megfelelni.</w:t>
      </w:r>
    </w:p>
    <w:p>
      <w:pPr>
        <w:pStyle w:val="ListParagraph"/>
        <w:numPr>
          <w:ilvl w:val="0"/>
          <w:numId w:val="638"/>
        </w:numPr>
        <w:tabs>
          <w:tab w:pos="1049" w:val="left" w:leader="none"/>
        </w:tabs>
        <w:spacing w:line="225" w:lineRule="auto" w:before="1" w:after="0"/>
        <w:ind w:left="113" w:right="125" w:firstLine="204"/>
        <w:jc w:val="both"/>
        <w:rPr>
          <w:sz w:val="24"/>
        </w:rPr>
      </w:pPr>
      <w:r>
        <w:rPr>
          <w:rFonts w:ascii="Arial" w:hAnsi="Arial"/>
          <w:b/>
          <w:w w:val="120"/>
          <w:sz w:val="24"/>
        </w:rPr>
        <w:t>§ </w:t>
      </w:r>
      <w:r>
        <w:rPr>
          <w:w w:val="120"/>
          <w:sz w:val="24"/>
        </w:rPr>
        <w:t>(1) A 283. § (3) bekezdést e  törvény  hatálybalépését  megelőzően  kötött jelzálog-hitelszerződés 2014. március 1-jét követő felmondásakor kell alkalmazni.</w:t>
      </w:r>
    </w:p>
    <w:p>
      <w:pPr>
        <w:pStyle w:val="BodyText"/>
        <w:spacing w:line="225" w:lineRule="auto" w:before="2"/>
        <w:ind w:right="126"/>
        <w:jc w:val="both"/>
      </w:pPr>
      <w:r>
        <w:rPr>
          <w:w w:val="125"/>
        </w:rPr>
        <w:t>(2) A 267. §-t a nem lakáscélú jelzáloghitel-szerződések esetén a törvény hatálybalépését követően megkötött szerződésekre, valamint a  hatálybalépéskor már fennálló szerződésekre 2014. július 1-jét követően teljesítendő törlesztőrészlet, valamint devizában megállapított bármilyen költség, díj vagy jutalék vonatkozásában is alkalmazni</w:t>
      </w:r>
      <w:r>
        <w:rPr>
          <w:spacing w:val="-1"/>
          <w:w w:val="125"/>
        </w:rPr>
        <w:t> </w:t>
      </w:r>
      <w:r>
        <w:rPr>
          <w:w w:val="125"/>
        </w:rPr>
        <w:t>kell.</w:t>
      </w:r>
    </w:p>
    <w:p>
      <w:pPr>
        <w:pStyle w:val="ListParagraph"/>
        <w:numPr>
          <w:ilvl w:val="0"/>
          <w:numId w:val="638"/>
        </w:numPr>
        <w:tabs>
          <w:tab w:pos="1006" w:val="left" w:leader="none"/>
        </w:tabs>
        <w:spacing w:line="257" w:lineRule="exact" w:before="0" w:after="0"/>
        <w:ind w:left="1005" w:right="0" w:hanging="688"/>
        <w:jc w:val="left"/>
        <w:rPr>
          <w:sz w:val="24"/>
        </w:rPr>
      </w:pPr>
      <w:r>
        <w:rPr>
          <w:rFonts w:ascii="Arial" w:hAnsi="Arial"/>
          <w:b/>
          <w:w w:val="125"/>
          <w:sz w:val="24"/>
        </w:rPr>
        <w:t>§</w:t>
      </w:r>
      <w:r>
        <w:rPr>
          <w:rFonts w:ascii="Arial" w:hAnsi="Arial"/>
          <w:b/>
          <w:spacing w:val="30"/>
          <w:w w:val="125"/>
          <w:sz w:val="24"/>
        </w:rPr>
        <w:t> </w:t>
      </w:r>
      <w:r>
        <w:rPr>
          <w:w w:val="125"/>
          <w:sz w:val="24"/>
        </w:rPr>
        <w:t>(1)</w:t>
      </w:r>
      <w:r>
        <w:rPr>
          <w:spacing w:val="31"/>
          <w:w w:val="125"/>
          <w:sz w:val="24"/>
        </w:rPr>
        <w:t> </w:t>
      </w:r>
      <w:r>
        <w:rPr>
          <w:w w:val="125"/>
          <w:sz w:val="24"/>
        </w:rPr>
        <w:t>2014.</w:t>
      </w:r>
      <w:r>
        <w:rPr>
          <w:spacing w:val="30"/>
          <w:w w:val="125"/>
          <w:sz w:val="24"/>
        </w:rPr>
        <w:t> </w:t>
      </w:r>
      <w:r>
        <w:rPr>
          <w:w w:val="125"/>
          <w:sz w:val="24"/>
        </w:rPr>
        <w:t>január</w:t>
      </w:r>
      <w:r>
        <w:rPr>
          <w:spacing w:val="36"/>
          <w:w w:val="125"/>
          <w:sz w:val="24"/>
        </w:rPr>
        <w:t> </w:t>
      </w:r>
      <w:r>
        <w:rPr>
          <w:w w:val="125"/>
          <w:sz w:val="24"/>
        </w:rPr>
        <w:t>1.</w:t>
      </w:r>
      <w:r>
        <w:rPr>
          <w:spacing w:val="24"/>
          <w:w w:val="125"/>
          <w:sz w:val="24"/>
        </w:rPr>
        <w:t> </w:t>
      </w:r>
      <w:r>
        <w:rPr>
          <w:w w:val="125"/>
          <w:sz w:val="24"/>
        </w:rPr>
        <w:t>és</w:t>
      </w:r>
      <w:r>
        <w:rPr>
          <w:spacing w:val="31"/>
          <w:w w:val="125"/>
          <w:sz w:val="24"/>
        </w:rPr>
        <w:t> </w:t>
      </w:r>
      <w:r>
        <w:rPr>
          <w:w w:val="125"/>
          <w:sz w:val="24"/>
        </w:rPr>
        <w:t>2015.</w:t>
      </w:r>
      <w:r>
        <w:rPr>
          <w:spacing w:val="30"/>
          <w:w w:val="125"/>
          <w:sz w:val="24"/>
        </w:rPr>
        <w:t> </w:t>
      </w:r>
      <w:r>
        <w:rPr>
          <w:w w:val="125"/>
          <w:sz w:val="24"/>
        </w:rPr>
        <w:t>december</w:t>
      </w:r>
      <w:r>
        <w:rPr>
          <w:spacing w:val="33"/>
          <w:w w:val="125"/>
          <w:sz w:val="24"/>
        </w:rPr>
        <w:t> </w:t>
      </w:r>
      <w:r>
        <w:rPr>
          <w:w w:val="125"/>
          <w:sz w:val="24"/>
        </w:rPr>
        <w:t>31.</w:t>
      </w:r>
      <w:r>
        <w:rPr>
          <w:spacing w:val="27"/>
          <w:w w:val="125"/>
          <w:sz w:val="24"/>
        </w:rPr>
        <w:t> </w:t>
      </w:r>
      <w:r>
        <w:rPr>
          <w:w w:val="125"/>
          <w:sz w:val="24"/>
        </w:rPr>
        <w:t>között</w:t>
      </w:r>
      <w:r>
        <w:rPr>
          <w:spacing w:val="31"/>
          <w:w w:val="125"/>
          <w:sz w:val="24"/>
        </w:rPr>
        <w:t> </w:t>
      </w:r>
      <w:r>
        <w:rPr>
          <w:w w:val="125"/>
          <w:sz w:val="24"/>
        </w:rPr>
        <w:t>a</w:t>
      </w:r>
      <w:r>
        <w:rPr>
          <w:spacing w:val="30"/>
          <w:w w:val="125"/>
          <w:sz w:val="24"/>
        </w:rPr>
        <w:t> </w:t>
      </w:r>
      <w:r>
        <w:rPr>
          <w:w w:val="125"/>
          <w:sz w:val="24"/>
        </w:rPr>
        <w:t>hitelintézetnek</w:t>
      </w:r>
      <w:r>
        <w:rPr>
          <w:spacing w:val="30"/>
          <w:w w:val="125"/>
          <w:sz w:val="24"/>
        </w:rPr>
        <w:t> </w:t>
      </w:r>
      <w:r>
        <w:rPr>
          <w:w w:val="125"/>
          <w:sz w:val="24"/>
        </w:rPr>
        <w:t>a</w:t>
      </w:r>
    </w:p>
    <w:p>
      <w:pPr>
        <w:pStyle w:val="ListParagraph"/>
        <w:numPr>
          <w:ilvl w:val="0"/>
          <w:numId w:val="641"/>
        </w:numPr>
        <w:tabs>
          <w:tab w:pos="572" w:val="left" w:leader="none"/>
        </w:tabs>
        <w:spacing w:line="268" w:lineRule="exact" w:before="0" w:after="0"/>
        <w:ind w:left="571" w:right="0" w:hanging="458"/>
        <w:jc w:val="both"/>
        <w:rPr>
          <w:sz w:val="24"/>
        </w:rPr>
      </w:pPr>
      <w:r>
        <w:rPr>
          <w:w w:val="125"/>
          <w:sz w:val="24"/>
        </w:rPr>
        <w:t>§ szerinti tőkefenntartási pufferének értéke</w:t>
      </w:r>
      <w:r>
        <w:rPr>
          <w:spacing w:val="15"/>
          <w:w w:val="125"/>
          <w:sz w:val="24"/>
        </w:rPr>
        <w:t> </w:t>
      </w:r>
      <w:r>
        <w:rPr>
          <w:w w:val="125"/>
          <w:sz w:val="24"/>
        </w:rPr>
        <w:t>nulla.</w:t>
      </w:r>
    </w:p>
    <w:p>
      <w:pPr>
        <w:pStyle w:val="BodyText"/>
        <w:ind w:left="0" w:firstLine="0"/>
        <w:rPr>
          <w:sz w:val="20"/>
        </w:rPr>
      </w:pPr>
    </w:p>
    <w:p>
      <w:pPr>
        <w:pStyle w:val="BodyText"/>
        <w:spacing w:before="7"/>
        <w:ind w:left="0" w:firstLine="0"/>
        <w:rPr>
          <w:sz w:val="12"/>
        </w:rPr>
      </w:pPr>
      <w:r>
        <w:rPr/>
        <w:pict>
          <v:line style="position:absolute;mso-position-horizontal-relative:page;mso-position-vertical-relative:paragraph;z-index:2864;mso-wrap-distance-left:0;mso-wrap-distance-right:0" from="56.693001pt,9.483274pt" to="538.583001pt,9.483274pt" stroked="true" strokeweight=".5pt" strokecolor="#000000">
            <v:stroke dashstyle="solid"/>
            <w10:wrap type="topAndBottom"/>
          </v:line>
        </w:pict>
      </w:r>
    </w:p>
    <w:p>
      <w:pPr>
        <w:pStyle w:val="ListParagraph"/>
        <w:numPr>
          <w:ilvl w:val="1"/>
          <w:numId w:val="641"/>
        </w:numPr>
        <w:tabs>
          <w:tab w:pos="686" w:val="left" w:leader="none"/>
          <w:tab w:pos="687" w:val="left" w:leader="none"/>
        </w:tabs>
        <w:spacing w:line="203" w:lineRule="exact" w:before="44"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7"/>
          <w:w w:val="120"/>
          <w:sz w:val="18"/>
        </w:rPr>
        <w:t> </w:t>
      </w:r>
      <w:r>
        <w:rPr>
          <w:i/>
          <w:w w:val="120"/>
          <w:sz w:val="18"/>
        </w:rPr>
        <w:t>2015.</w:t>
      </w:r>
      <w:r>
        <w:rPr>
          <w:i/>
          <w:spacing w:val="7"/>
          <w:w w:val="120"/>
          <w:sz w:val="18"/>
        </w:rPr>
        <w:t> </w:t>
      </w:r>
      <w:r>
        <w:rPr>
          <w:i/>
          <w:w w:val="120"/>
          <w:sz w:val="18"/>
        </w:rPr>
        <w:t>évi</w:t>
      </w:r>
      <w:r>
        <w:rPr>
          <w:i/>
          <w:spacing w:val="6"/>
          <w:w w:val="120"/>
          <w:sz w:val="18"/>
        </w:rPr>
        <w:t> </w:t>
      </w:r>
      <w:r>
        <w:rPr>
          <w:i/>
          <w:w w:val="120"/>
          <w:sz w:val="18"/>
        </w:rPr>
        <w:t>II.</w:t>
      </w:r>
      <w:r>
        <w:rPr>
          <w:i/>
          <w:spacing w:val="8"/>
          <w:w w:val="120"/>
          <w:sz w:val="18"/>
        </w:rPr>
        <w:t> </w:t>
      </w:r>
      <w:r>
        <w:rPr>
          <w:i/>
          <w:w w:val="120"/>
          <w:sz w:val="18"/>
        </w:rPr>
        <w:t>törvény</w:t>
      </w:r>
      <w:r>
        <w:rPr>
          <w:i/>
          <w:spacing w:val="6"/>
          <w:w w:val="120"/>
          <w:sz w:val="18"/>
        </w:rPr>
        <w:t> </w:t>
      </w:r>
      <w:r>
        <w:rPr>
          <w:i/>
          <w:w w:val="120"/>
          <w:sz w:val="18"/>
        </w:rPr>
        <w:t>3.</w:t>
      </w:r>
      <w:r>
        <w:rPr>
          <w:i/>
          <w:spacing w:val="6"/>
          <w:w w:val="120"/>
          <w:sz w:val="18"/>
        </w:rPr>
        <w:t> </w:t>
      </w:r>
      <w:r>
        <w:rPr>
          <w:i/>
          <w:w w:val="120"/>
          <w:sz w:val="18"/>
        </w:rPr>
        <w:t>§</w:t>
      </w:r>
      <w:r>
        <w:rPr>
          <w:i/>
          <w:spacing w:val="8"/>
          <w:w w:val="120"/>
          <w:sz w:val="18"/>
        </w:rPr>
        <w:t> </w:t>
      </w:r>
      <w:r>
        <w:rPr>
          <w:i/>
          <w:w w:val="120"/>
          <w:sz w:val="18"/>
        </w:rPr>
        <w:t>(2).</w:t>
      </w:r>
      <w:r>
        <w:rPr>
          <w:i/>
          <w:spacing w:val="8"/>
          <w:w w:val="120"/>
          <w:sz w:val="18"/>
        </w:rPr>
        <w:t> </w:t>
      </w:r>
      <w:r>
        <w:rPr>
          <w:i/>
          <w:w w:val="120"/>
          <w:sz w:val="18"/>
        </w:rPr>
        <w:t>Hatálytalan:</w:t>
      </w:r>
      <w:r>
        <w:rPr>
          <w:i/>
          <w:spacing w:val="7"/>
          <w:w w:val="120"/>
          <w:sz w:val="18"/>
        </w:rPr>
        <w:t> </w:t>
      </w:r>
      <w:r>
        <w:rPr>
          <w:i/>
          <w:w w:val="120"/>
          <w:sz w:val="18"/>
        </w:rPr>
        <w:t>2015.</w:t>
      </w:r>
      <w:r>
        <w:rPr>
          <w:i/>
          <w:spacing w:val="7"/>
          <w:w w:val="120"/>
          <w:sz w:val="18"/>
        </w:rPr>
        <w:t> </w:t>
      </w:r>
      <w:r>
        <w:rPr>
          <w:i/>
          <w:w w:val="120"/>
          <w:sz w:val="18"/>
        </w:rPr>
        <w:t>II.</w:t>
      </w:r>
      <w:r>
        <w:rPr>
          <w:i/>
          <w:spacing w:val="7"/>
          <w:w w:val="120"/>
          <w:sz w:val="18"/>
        </w:rPr>
        <w:t> </w:t>
      </w:r>
      <w:r>
        <w:rPr>
          <w:i/>
          <w:w w:val="120"/>
          <w:sz w:val="18"/>
        </w:rPr>
        <w:t>28-tól.</w:t>
      </w:r>
    </w:p>
    <w:p>
      <w:pPr>
        <w:pStyle w:val="ListParagraph"/>
        <w:numPr>
          <w:ilvl w:val="1"/>
          <w:numId w:val="641"/>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helyezte:</w:t>
      </w:r>
      <w:r>
        <w:rPr>
          <w:i/>
          <w:spacing w:val="9"/>
          <w:w w:val="120"/>
          <w:sz w:val="18"/>
        </w:rPr>
        <w:t> </w:t>
      </w:r>
      <w:r>
        <w:rPr>
          <w:i/>
          <w:w w:val="120"/>
          <w:sz w:val="18"/>
        </w:rPr>
        <w:t>2018.</w:t>
      </w:r>
      <w:r>
        <w:rPr>
          <w:i/>
          <w:spacing w:val="8"/>
          <w:w w:val="120"/>
          <w:sz w:val="18"/>
        </w:rPr>
        <w:t> </w:t>
      </w:r>
      <w:r>
        <w:rPr>
          <w:i/>
          <w:w w:val="120"/>
          <w:sz w:val="18"/>
        </w:rPr>
        <w:t>évi</w:t>
      </w:r>
      <w:r>
        <w:rPr>
          <w:i/>
          <w:spacing w:val="7"/>
          <w:w w:val="120"/>
          <w:sz w:val="18"/>
        </w:rPr>
        <w:t> </w:t>
      </w:r>
      <w:r>
        <w:rPr>
          <w:i/>
          <w:w w:val="120"/>
          <w:sz w:val="18"/>
        </w:rPr>
        <w:t>CXXVI.</w:t>
      </w:r>
      <w:r>
        <w:rPr>
          <w:i/>
          <w:spacing w:val="9"/>
          <w:w w:val="120"/>
          <w:sz w:val="18"/>
        </w:rPr>
        <w:t> </w:t>
      </w:r>
      <w:r>
        <w:rPr>
          <w:i/>
          <w:w w:val="120"/>
          <w:sz w:val="18"/>
        </w:rPr>
        <w:t>törvény</w:t>
      </w:r>
      <w:r>
        <w:rPr>
          <w:i/>
          <w:spacing w:val="8"/>
          <w:w w:val="120"/>
          <w:sz w:val="18"/>
        </w:rPr>
        <w:t> </w:t>
      </w:r>
      <w:r>
        <w:rPr>
          <w:i/>
          <w:w w:val="120"/>
          <w:sz w:val="18"/>
        </w:rPr>
        <w:t>121.</w:t>
      </w:r>
      <w:r>
        <w:rPr>
          <w:i/>
          <w:spacing w:val="8"/>
          <w:w w:val="120"/>
          <w:sz w:val="18"/>
        </w:rPr>
        <w:t> </w:t>
      </w:r>
      <w:r>
        <w:rPr>
          <w:i/>
          <w:w w:val="120"/>
          <w:sz w:val="18"/>
        </w:rPr>
        <w:t>§</w:t>
      </w:r>
      <w:r>
        <w:rPr>
          <w:i/>
          <w:spacing w:val="9"/>
          <w:w w:val="120"/>
          <w:sz w:val="18"/>
        </w:rPr>
        <w:t> </w:t>
      </w:r>
      <w:r>
        <w:rPr>
          <w:i/>
          <w:w w:val="120"/>
          <w:sz w:val="18"/>
        </w:rPr>
        <w:t>f).</w:t>
      </w:r>
      <w:r>
        <w:rPr>
          <w:i/>
          <w:spacing w:val="9"/>
          <w:w w:val="120"/>
          <w:sz w:val="18"/>
        </w:rPr>
        <w:t> </w:t>
      </w:r>
      <w:r>
        <w:rPr>
          <w:i/>
          <w:w w:val="120"/>
          <w:sz w:val="18"/>
        </w:rPr>
        <w:t>Hatálytalan:</w:t>
      </w:r>
      <w:r>
        <w:rPr>
          <w:i/>
          <w:spacing w:val="8"/>
          <w:w w:val="120"/>
          <w:sz w:val="18"/>
        </w:rPr>
        <w:t> </w:t>
      </w:r>
      <w:r>
        <w:rPr>
          <w:i/>
          <w:w w:val="120"/>
          <w:sz w:val="18"/>
        </w:rPr>
        <w:t>2018.</w:t>
      </w:r>
      <w:r>
        <w:rPr>
          <w:i/>
          <w:spacing w:val="8"/>
          <w:w w:val="120"/>
          <w:sz w:val="18"/>
        </w:rPr>
        <w:t> </w:t>
      </w:r>
      <w:r>
        <w:rPr>
          <w:i/>
          <w:w w:val="120"/>
          <w:sz w:val="18"/>
        </w:rPr>
        <w:t>XII.</w:t>
      </w:r>
      <w:r>
        <w:rPr>
          <w:i/>
          <w:spacing w:val="8"/>
          <w:w w:val="120"/>
          <w:sz w:val="18"/>
        </w:rPr>
        <w:t> </w:t>
      </w:r>
      <w:r>
        <w:rPr>
          <w:i/>
          <w:w w:val="120"/>
          <w:sz w:val="18"/>
        </w:rPr>
        <w:t>29-től.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28"/>
        <w:jc w:val="both"/>
      </w:pPr>
      <w:r>
        <w:rPr>
          <w:w w:val="125"/>
        </w:rPr>
        <w:t>(2) A hitelintézet a 86. § szerinti tőkefenntartási puffert 2016. január 1-jétől kezdődően az alábbiak szerint képzi</w:t>
      </w:r>
    </w:p>
    <w:p>
      <w:pPr>
        <w:pStyle w:val="ListParagraph"/>
        <w:numPr>
          <w:ilvl w:val="0"/>
          <w:numId w:val="642"/>
        </w:numPr>
        <w:tabs>
          <w:tab w:pos="768" w:val="left" w:leader="none"/>
        </w:tabs>
        <w:spacing w:line="225" w:lineRule="auto" w:before="1" w:after="0"/>
        <w:ind w:left="113" w:right="127" w:firstLine="204"/>
        <w:jc w:val="both"/>
        <w:rPr>
          <w:sz w:val="24"/>
        </w:rPr>
      </w:pPr>
      <w:r>
        <w:rPr>
          <w:w w:val="130"/>
          <w:sz w:val="24"/>
        </w:rPr>
        <w:t>2016. január 1-je és 2016. december 31-e közötti időszakban az 575/2013/EU</w:t>
      </w:r>
      <w:r>
        <w:rPr>
          <w:spacing w:val="-29"/>
          <w:w w:val="130"/>
          <w:sz w:val="24"/>
        </w:rPr>
        <w:t> </w:t>
      </w:r>
      <w:r>
        <w:rPr>
          <w:w w:val="130"/>
          <w:sz w:val="24"/>
        </w:rPr>
        <w:t>rendelet</w:t>
      </w:r>
      <w:r>
        <w:rPr>
          <w:spacing w:val="-29"/>
          <w:w w:val="130"/>
          <w:sz w:val="24"/>
        </w:rPr>
        <w:t> </w:t>
      </w:r>
      <w:r>
        <w:rPr>
          <w:w w:val="130"/>
          <w:sz w:val="24"/>
        </w:rPr>
        <w:t>92.</w:t>
      </w:r>
      <w:r>
        <w:rPr>
          <w:spacing w:val="-29"/>
          <w:w w:val="130"/>
          <w:sz w:val="24"/>
        </w:rPr>
        <w:t> </w:t>
      </w:r>
      <w:r>
        <w:rPr>
          <w:w w:val="130"/>
          <w:sz w:val="24"/>
        </w:rPr>
        <w:t>cikk</w:t>
      </w:r>
      <w:r>
        <w:rPr>
          <w:spacing w:val="-28"/>
          <w:w w:val="130"/>
          <w:sz w:val="24"/>
        </w:rPr>
        <w:t> </w:t>
      </w:r>
      <w:r>
        <w:rPr>
          <w:w w:val="130"/>
          <w:sz w:val="24"/>
        </w:rPr>
        <w:t>(3)</w:t>
      </w:r>
      <w:r>
        <w:rPr>
          <w:spacing w:val="-29"/>
          <w:w w:val="130"/>
          <w:sz w:val="24"/>
        </w:rPr>
        <w:t> </w:t>
      </w:r>
      <w:r>
        <w:rPr>
          <w:w w:val="130"/>
          <w:sz w:val="24"/>
        </w:rPr>
        <w:t>bekezdésben</w:t>
      </w:r>
      <w:r>
        <w:rPr>
          <w:spacing w:val="-29"/>
          <w:w w:val="130"/>
          <w:sz w:val="24"/>
        </w:rPr>
        <w:t> </w:t>
      </w:r>
      <w:r>
        <w:rPr>
          <w:w w:val="130"/>
          <w:sz w:val="24"/>
        </w:rPr>
        <w:t>meghatározott</w:t>
      </w:r>
      <w:r>
        <w:rPr>
          <w:spacing w:val="-29"/>
          <w:w w:val="130"/>
          <w:sz w:val="24"/>
        </w:rPr>
        <w:t> </w:t>
      </w:r>
      <w:r>
        <w:rPr>
          <w:w w:val="130"/>
          <w:sz w:val="24"/>
        </w:rPr>
        <w:t>teljes</w:t>
      </w:r>
      <w:r>
        <w:rPr>
          <w:spacing w:val="-29"/>
          <w:w w:val="130"/>
          <w:sz w:val="24"/>
        </w:rPr>
        <w:t> </w:t>
      </w:r>
      <w:r>
        <w:rPr>
          <w:w w:val="130"/>
          <w:sz w:val="24"/>
        </w:rPr>
        <w:t>kockázati kitettségérték 0,625</w:t>
      </w:r>
      <w:r>
        <w:rPr>
          <w:spacing w:val="-6"/>
          <w:w w:val="130"/>
          <w:sz w:val="24"/>
        </w:rPr>
        <w:t> </w:t>
      </w:r>
      <w:r>
        <w:rPr>
          <w:w w:val="130"/>
          <w:sz w:val="24"/>
        </w:rPr>
        <w:t>százaléka,</w:t>
      </w:r>
    </w:p>
    <w:p>
      <w:pPr>
        <w:pStyle w:val="ListParagraph"/>
        <w:numPr>
          <w:ilvl w:val="0"/>
          <w:numId w:val="642"/>
        </w:numPr>
        <w:tabs>
          <w:tab w:pos="777" w:val="left" w:leader="none"/>
        </w:tabs>
        <w:spacing w:line="225" w:lineRule="auto" w:before="2" w:after="0"/>
        <w:ind w:left="113" w:right="127" w:firstLine="204"/>
        <w:jc w:val="both"/>
        <w:rPr>
          <w:sz w:val="24"/>
        </w:rPr>
      </w:pPr>
      <w:r>
        <w:rPr>
          <w:w w:val="130"/>
          <w:sz w:val="24"/>
        </w:rPr>
        <w:t>2017. január 1-je és 2017. december 31-e közötti időszakban az 575/2013/EU</w:t>
      </w:r>
      <w:r>
        <w:rPr>
          <w:spacing w:val="-29"/>
          <w:w w:val="130"/>
          <w:sz w:val="24"/>
        </w:rPr>
        <w:t> </w:t>
      </w:r>
      <w:r>
        <w:rPr>
          <w:w w:val="130"/>
          <w:sz w:val="24"/>
        </w:rPr>
        <w:t>rendelet</w:t>
      </w:r>
      <w:r>
        <w:rPr>
          <w:spacing w:val="-29"/>
          <w:w w:val="130"/>
          <w:sz w:val="24"/>
        </w:rPr>
        <w:t> </w:t>
      </w:r>
      <w:r>
        <w:rPr>
          <w:w w:val="130"/>
          <w:sz w:val="24"/>
        </w:rPr>
        <w:t>92.</w:t>
      </w:r>
      <w:r>
        <w:rPr>
          <w:spacing w:val="-29"/>
          <w:w w:val="130"/>
          <w:sz w:val="24"/>
        </w:rPr>
        <w:t> </w:t>
      </w:r>
      <w:r>
        <w:rPr>
          <w:w w:val="130"/>
          <w:sz w:val="24"/>
        </w:rPr>
        <w:t>cikk</w:t>
      </w:r>
      <w:r>
        <w:rPr>
          <w:spacing w:val="-28"/>
          <w:w w:val="130"/>
          <w:sz w:val="24"/>
        </w:rPr>
        <w:t> </w:t>
      </w:r>
      <w:r>
        <w:rPr>
          <w:w w:val="130"/>
          <w:sz w:val="24"/>
        </w:rPr>
        <w:t>(3)</w:t>
      </w:r>
      <w:r>
        <w:rPr>
          <w:spacing w:val="-29"/>
          <w:w w:val="130"/>
          <w:sz w:val="24"/>
        </w:rPr>
        <w:t> </w:t>
      </w:r>
      <w:r>
        <w:rPr>
          <w:w w:val="130"/>
          <w:sz w:val="24"/>
        </w:rPr>
        <w:t>bekezdésben</w:t>
      </w:r>
      <w:r>
        <w:rPr>
          <w:spacing w:val="-29"/>
          <w:w w:val="130"/>
          <w:sz w:val="24"/>
        </w:rPr>
        <w:t> </w:t>
      </w:r>
      <w:r>
        <w:rPr>
          <w:w w:val="130"/>
          <w:sz w:val="24"/>
        </w:rPr>
        <w:t>meghatározott</w:t>
      </w:r>
      <w:r>
        <w:rPr>
          <w:spacing w:val="-29"/>
          <w:w w:val="130"/>
          <w:sz w:val="24"/>
        </w:rPr>
        <w:t> </w:t>
      </w:r>
      <w:r>
        <w:rPr>
          <w:w w:val="130"/>
          <w:sz w:val="24"/>
        </w:rPr>
        <w:t>teljes</w:t>
      </w:r>
      <w:r>
        <w:rPr>
          <w:spacing w:val="-29"/>
          <w:w w:val="130"/>
          <w:sz w:val="24"/>
        </w:rPr>
        <w:t> </w:t>
      </w:r>
      <w:r>
        <w:rPr>
          <w:w w:val="130"/>
          <w:sz w:val="24"/>
        </w:rPr>
        <w:t>kockázati kitettségérték 1,25</w:t>
      </w:r>
      <w:r>
        <w:rPr>
          <w:spacing w:val="-6"/>
          <w:w w:val="130"/>
          <w:sz w:val="24"/>
        </w:rPr>
        <w:t> </w:t>
      </w:r>
      <w:r>
        <w:rPr>
          <w:w w:val="130"/>
          <w:sz w:val="24"/>
        </w:rPr>
        <w:t>százaléka,</w:t>
      </w:r>
    </w:p>
    <w:p>
      <w:pPr>
        <w:pStyle w:val="ListParagraph"/>
        <w:numPr>
          <w:ilvl w:val="0"/>
          <w:numId w:val="642"/>
        </w:numPr>
        <w:tabs>
          <w:tab w:pos="760" w:val="left" w:leader="none"/>
        </w:tabs>
        <w:spacing w:line="225" w:lineRule="auto" w:before="1" w:after="0"/>
        <w:ind w:left="113" w:right="127" w:firstLine="204"/>
        <w:jc w:val="both"/>
        <w:rPr>
          <w:sz w:val="24"/>
        </w:rPr>
      </w:pPr>
      <w:r>
        <w:rPr>
          <w:w w:val="130"/>
          <w:sz w:val="24"/>
        </w:rPr>
        <w:t>2018. január 1-je és 2018. december 31-e közötti időszakban az 575/2013/EU</w:t>
      </w:r>
      <w:r>
        <w:rPr>
          <w:spacing w:val="-29"/>
          <w:w w:val="130"/>
          <w:sz w:val="24"/>
        </w:rPr>
        <w:t> </w:t>
      </w:r>
      <w:r>
        <w:rPr>
          <w:w w:val="130"/>
          <w:sz w:val="24"/>
        </w:rPr>
        <w:t>rendelet</w:t>
      </w:r>
      <w:r>
        <w:rPr>
          <w:spacing w:val="-29"/>
          <w:w w:val="130"/>
          <w:sz w:val="24"/>
        </w:rPr>
        <w:t> </w:t>
      </w:r>
      <w:r>
        <w:rPr>
          <w:w w:val="130"/>
          <w:sz w:val="24"/>
        </w:rPr>
        <w:t>92.</w:t>
      </w:r>
      <w:r>
        <w:rPr>
          <w:spacing w:val="-29"/>
          <w:w w:val="130"/>
          <w:sz w:val="24"/>
        </w:rPr>
        <w:t> </w:t>
      </w:r>
      <w:r>
        <w:rPr>
          <w:w w:val="130"/>
          <w:sz w:val="24"/>
        </w:rPr>
        <w:t>cikk</w:t>
      </w:r>
      <w:r>
        <w:rPr>
          <w:spacing w:val="-28"/>
          <w:w w:val="130"/>
          <w:sz w:val="24"/>
        </w:rPr>
        <w:t> </w:t>
      </w:r>
      <w:r>
        <w:rPr>
          <w:w w:val="130"/>
          <w:sz w:val="24"/>
        </w:rPr>
        <w:t>(3)</w:t>
      </w:r>
      <w:r>
        <w:rPr>
          <w:spacing w:val="-29"/>
          <w:w w:val="130"/>
          <w:sz w:val="24"/>
        </w:rPr>
        <w:t> </w:t>
      </w:r>
      <w:r>
        <w:rPr>
          <w:w w:val="130"/>
          <w:sz w:val="24"/>
        </w:rPr>
        <w:t>bekezdésben</w:t>
      </w:r>
      <w:r>
        <w:rPr>
          <w:spacing w:val="-29"/>
          <w:w w:val="130"/>
          <w:sz w:val="24"/>
        </w:rPr>
        <w:t> </w:t>
      </w:r>
      <w:r>
        <w:rPr>
          <w:w w:val="130"/>
          <w:sz w:val="24"/>
        </w:rPr>
        <w:t>meghatározott</w:t>
      </w:r>
      <w:r>
        <w:rPr>
          <w:spacing w:val="-29"/>
          <w:w w:val="130"/>
          <w:sz w:val="24"/>
        </w:rPr>
        <w:t> </w:t>
      </w:r>
      <w:r>
        <w:rPr>
          <w:w w:val="130"/>
          <w:sz w:val="24"/>
        </w:rPr>
        <w:t>teljes</w:t>
      </w:r>
      <w:r>
        <w:rPr>
          <w:spacing w:val="-29"/>
          <w:w w:val="130"/>
          <w:sz w:val="24"/>
        </w:rPr>
        <w:t> </w:t>
      </w:r>
      <w:r>
        <w:rPr>
          <w:w w:val="130"/>
          <w:sz w:val="24"/>
        </w:rPr>
        <w:t>kockázati kitettségérték 1,875</w:t>
      </w:r>
      <w:r>
        <w:rPr>
          <w:spacing w:val="-6"/>
          <w:w w:val="130"/>
          <w:sz w:val="24"/>
        </w:rPr>
        <w:t> </w:t>
      </w:r>
      <w:r>
        <w:rPr>
          <w:w w:val="130"/>
          <w:sz w:val="24"/>
        </w:rPr>
        <w:t>százaléka.</w:t>
      </w:r>
    </w:p>
    <w:p>
      <w:pPr>
        <w:pStyle w:val="ListParagraph"/>
        <w:numPr>
          <w:ilvl w:val="0"/>
          <w:numId w:val="643"/>
        </w:numPr>
        <w:tabs>
          <w:tab w:pos="1033" w:val="left" w:leader="none"/>
        </w:tabs>
        <w:spacing w:line="225" w:lineRule="auto" w:before="1" w:after="0"/>
        <w:ind w:left="113" w:right="125" w:firstLine="204"/>
        <w:jc w:val="both"/>
        <w:rPr>
          <w:sz w:val="24"/>
        </w:rPr>
      </w:pPr>
      <w:r>
        <w:rPr>
          <w:rFonts w:ascii="Arial" w:hAnsi="Arial"/>
          <w:b/>
          <w:w w:val="120"/>
          <w:sz w:val="24"/>
        </w:rPr>
        <w:t>§ </w:t>
      </w:r>
      <w:r>
        <w:rPr>
          <w:w w:val="120"/>
          <w:sz w:val="24"/>
        </w:rPr>
        <w:t>(1) A hitelintézet a 87. §-nak megfelelően - a (2), a (3) vagy a (4) bekezdésben foglalt kivétellel - intézményspecifikus  anticiklikus  tőkepuffert képez legkésőbb 2019. január</w:t>
      </w:r>
      <w:r>
        <w:rPr>
          <w:spacing w:val="24"/>
          <w:w w:val="120"/>
          <w:sz w:val="24"/>
        </w:rPr>
        <w:t> </w:t>
      </w:r>
      <w:r>
        <w:rPr>
          <w:w w:val="120"/>
          <w:sz w:val="24"/>
        </w:rPr>
        <w:t>1-jétől.</w:t>
      </w:r>
    </w:p>
    <w:p>
      <w:pPr>
        <w:pStyle w:val="ListParagraph"/>
        <w:numPr>
          <w:ilvl w:val="0"/>
          <w:numId w:val="644"/>
        </w:numPr>
        <w:tabs>
          <w:tab w:pos="789" w:val="left" w:leader="none"/>
        </w:tabs>
        <w:spacing w:line="225" w:lineRule="auto" w:before="2" w:after="0"/>
        <w:ind w:left="113" w:right="127" w:firstLine="204"/>
        <w:jc w:val="both"/>
        <w:rPr>
          <w:sz w:val="24"/>
        </w:rPr>
      </w:pPr>
      <w:r>
        <w:rPr>
          <w:w w:val="125"/>
          <w:sz w:val="24"/>
        </w:rPr>
        <w:t>Ha az MNB tv. 183/A. §-a szerint a makroprudenciális feladatkörében eljáró MNB anticiklikus tőkepuffert ír elő, akkor a hitelintézet intézményspecifikus anticiklikus tőkepufferrátát</w:t>
      </w:r>
      <w:r>
        <w:rPr>
          <w:spacing w:val="8"/>
          <w:w w:val="125"/>
          <w:sz w:val="24"/>
        </w:rPr>
        <w:t> </w:t>
      </w:r>
      <w:r>
        <w:rPr>
          <w:w w:val="125"/>
          <w:sz w:val="24"/>
        </w:rPr>
        <w:t>képez:</w:t>
      </w:r>
    </w:p>
    <w:p>
      <w:pPr>
        <w:pStyle w:val="ListParagraph"/>
        <w:numPr>
          <w:ilvl w:val="0"/>
          <w:numId w:val="645"/>
        </w:numPr>
        <w:tabs>
          <w:tab w:pos="768" w:val="left" w:leader="none"/>
        </w:tabs>
        <w:spacing w:line="225" w:lineRule="auto" w:before="1" w:after="0"/>
        <w:ind w:left="113" w:right="127" w:firstLine="204"/>
        <w:jc w:val="both"/>
        <w:rPr>
          <w:sz w:val="24"/>
        </w:rPr>
      </w:pPr>
      <w:r>
        <w:rPr>
          <w:w w:val="125"/>
          <w:sz w:val="24"/>
        </w:rPr>
        <w:t>2014. január 1-je és 2014. december 31-e közötti időszakban az 575/2013/EU rendelet 92. cikk (3) bekezdésben meghatározott teljes kockázati kitettségérték legfeljebb 0,625</w:t>
      </w:r>
      <w:r>
        <w:rPr>
          <w:spacing w:val="4"/>
          <w:w w:val="125"/>
          <w:sz w:val="24"/>
        </w:rPr>
        <w:t> </w:t>
      </w:r>
      <w:r>
        <w:rPr>
          <w:w w:val="125"/>
          <w:sz w:val="24"/>
        </w:rPr>
        <w:t>százalékáig,</w:t>
      </w:r>
    </w:p>
    <w:p>
      <w:pPr>
        <w:pStyle w:val="ListParagraph"/>
        <w:numPr>
          <w:ilvl w:val="0"/>
          <w:numId w:val="645"/>
        </w:numPr>
        <w:tabs>
          <w:tab w:pos="777" w:val="left" w:leader="none"/>
        </w:tabs>
        <w:spacing w:line="225" w:lineRule="auto" w:before="2" w:after="0"/>
        <w:ind w:left="113" w:right="127" w:firstLine="204"/>
        <w:jc w:val="both"/>
        <w:rPr>
          <w:sz w:val="24"/>
        </w:rPr>
      </w:pPr>
      <w:r>
        <w:rPr>
          <w:w w:val="125"/>
          <w:sz w:val="24"/>
        </w:rPr>
        <w:t>2015. január 1-je és 2015. december 31-e közötti időszakban az 575/2013/EU rendelet 92. cikk (3) bekezdésben meghatározott teljes kockázati kitettségérték legfeljebb 1,25</w:t>
      </w:r>
      <w:r>
        <w:rPr>
          <w:spacing w:val="4"/>
          <w:w w:val="125"/>
          <w:sz w:val="24"/>
        </w:rPr>
        <w:t> </w:t>
      </w:r>
      <w:r>
        <w:rPr>
          <w:w w:val="125"/>
          <w:sz w:val="24"/>
        </w:rPr>
        <w:t>százalékáig,</w:t>
      </w:r>
    </w:p>
    <w:p>
      <w:pPr>
        <w:pStyle w:val="ListParagraph"/>
        <w:numPr>
          <w:ilvl w:val="0"/>
          <w:numId w:val="645"/>
        </w:numPr>
        <w:tabs>
          <w:tab w:pos="760" w:val="left" w:leader="none"/>
        </w:tabs>
        <w:spacing w:line="225" w:lineRule="auto" w:before="2" w:after="0"/>
        <w:ind w:left="113" w:right="127" w:firstLine="204"/>
        <w:jc w:val="both"/>
        <w:rPr>
          <w:sz w:val="24"/>
        </w:rPr>
      </w:pPr>
      <w:r>
        <w:rPr>
          <w:w w:val="125"/>
          <w:sz w:val="24"/>
        </w:rPr>
        <w:t>2016. január 1-je és 2016. december 31-e közötti időszakban az 575/2013/EU rendelet 92. cikk (3) bekezdésben meghatározott teljes kockázati kitettségérték legfeljebb 1,875</w:t>
      </w:r>
      <w:r>
        <w:rPr>
          <w:spacing w:val="4"/>
          <w:w w:val="125"/>
          <w:sz w:val="24"/>
        </w:rPr>
        <w:t> </w:t>
      </w:r>
      <w:r>
        <w:rPr>
          <w:w w:val="125"/>
          <w:sz w:val="24"/>
        </w:rPr>
        <w:t>százalékáig,</w:t>
      </w:r>
    </w:p>
    <w:p>
      <w:pPr>
        <w:pStyle w:val="BodyText"/>
        <w:spacing w:line="225" w:lineRule="auto" w:before="2"/>
        <w:ind w:firstLine="0"/>
      </w:pPr>
      <w:r>
        <w:rPr>
          <w:w w:val="130"/>
        </w:rPr>
        <w:t>azzal, hogy 2017. január 1-jétől a 87. §-ban meghatározott mérték szerint</w:t>
      </w:r>
      <w:r>
        <w:rPr>
          <w:spacing w:val="78"/>
          <w:w w:val="130"/>
        </w:rPr>
        <w:t> </w:t>
      </w:r>
      <w:r>
        <w:rPr>
          <w:w w:val="130"/>
        </w:rPr>
        <w:t>képzi.</w:t>
      </w:r>
    </w:p>
    <w:p>
      <w:pPr>
        <w:pStyle w:val="ListParagraph"/>
        <w:numPr>
          <w:ilvl w:val="0"/>
          <w:numId w:val="644"/>
        </w:numPr>
        <w:tabs>
          <w:tab w:pos="789" w:val="left" w:leader="none"/>
        </w:tabs>
        <w:spacing w:line="225" w:lineRule="auto" w:before="1" w:after="0"/>
        <w:ind w:left="113" w:right="127" w:firstLine="204"/>
        <w:jc w:val="both"/>
        <w:rPr>
          <w:sz w:val="24"/>
        </w:rPr>
      </w:pPr>
      <w:r>
        <w:rPr>
          <w:w w:val="125"/>
          <w:sz w:val="24"/>
        </w:rPr>
        <w:t>Ha az MNB tv. 183/A. §-a szerint a makroprudenciális feladatkörében eljáró MNB anticiklikus tőkepuffert ír elő, akkor a hitelintézet intézményspecifikus anticiklikus tőkepufferrátát</w:t>
      </w:r>
      <w:r>
        <w:rPr>
          <w:spacing w:val="8"/>
          <w:w w:val="125"/>
          <w:sz w:val="24"/>
        </w:rPr>
        <w:t> </w:t>
      </w:r>
      <w:r>
        <w:rPr>
          <w:w w:val="125"/>
          <w:sz w:val="24"/>
        </w:rPr>
        <w:t>képez:</w:t>
      </w:r>
    </w:p>
    <w:p>
      <w:pPr>
        <w:pStyle w:val="ListParagraph"/>
        <w:numPr>
          <w:ilvl w:val="0"/>
          <w:numId w:val="646"/>
        </w:numPr>
        <w:tabs>
          <w:tab w:pos="768" w:val="left" w:leader="none"/>
        </w:tabs>
        <w:spacing w:line="225" w:lineRule="auto" w:before="2" w:after="0"/>
        <w:ind w:left="113" w:right="127" w:firstLine="204"/>
        <w:jc w:val="both"/>
        <w:rPr>
          <w:sz w:val="24"/>
        </w:rPr>
      </w:pPr>
      <w:r>
        <w:rPr>
          <w:w w:val="125"/>
          <w:sz w:val="24"/>
        </w:rPr>
        <w:t>2015. január 1-je és 2015. december 31-e közötti időszakban az 575/2013/EU rendelet 92. cikk (3) bekezdésben meghatározott teljes kockázati kitettségérték legfeljebb 0,625</w:t>
      </w:r>
      <w:r>
        <w:rPr>
          <w:spacing w:val="4"/>
          <w:w w:val="125"/>
          <w:sz w:val="24"/>
        </w:rPr>
        <w:t> </w:t>
      </w:r>
      <w:r>
        <w:rPr>
          <w:w w:val="125"/>
          <w:sz w:val="24"/>
        </w:rPr>
        <w:t>százalékáig,</w:t>
      </w:r>
    </w:p>
    <w:p>
      <w:pPr>
        <w:pStyle w:val="ListParagraph"/>
        <w:numPr>
          <w:ilvl w:val="0"/>
          <w:numId w:val="646"/>
        </w:numPr>
        <w:tabs>
          <w:tab w:pos="777" w:val="left" w:leader="none"/>
        </w:tabs>
        <w:spacing w:line="225" w:lineRule="auto" w:before="1" w:after="0"/>
        <w:ind w:left="113" w:right="127" w:firstLine="204"/>
        <w:jc w:val="both"/>
        <w:rPr>
          <w:sz w:val="24"/>
        </w:rPr>
      </w:pPr>
      <w:r>
        <w:rPr>
          <w:w w:val="125"/>
          <w:sz w:val="24"/>
        </w:rPr>
        <w:t>2016. január 1-je és 2016. december 31-e közötti időszakban az 575/2013/EU rendelet 92. cikk (3) bekezdésben meghatározott teljes kockázati kitettségérték legfeljebb 1,25</w:t>
      </w:r>
      <w:r>
        <w:rPr>
          <w:spacing w:val="4"/>
          <w:w w:val="125"/>
          <w:sz w:val="24"/>
        </w:rPr>
        <w:t> </w:t>
      </w:r>
      <w:r>
        <w:rPr>
          <w:w w:val="125"/>
          <w:sz w:val="24"/>
        </w:rPr>
        <w:t>százalékáig,</w:t>
      </w:r>
    </w:p>
    <w:p>
      <w:pPr>
        <w:pStyle w:val="ListParagraph"/>
        <w:numPr>
          <w:ilvl w:val="0"/>
          <w:numId w:val="646"/>
        </w:numPr>
        <w:tabs>
          <w:tab w:pos="760" w:val="left" w:leader="none"/>
        </w:tabs>
        <w:spacing w:line="225" w:lineRule="auto" w:before="2" w:after="0"/>
        <w:ind w:left="113" w:right="127" w:firstLine="204"/>
        <w:jc w:val="both"/>
        <w:rPr>
          <w:sz w:val="24"/>
        </w:rPr>
      </w:pPr>
      <w:r>
        <w:rPr>
          <w:w w:val="125"/>
          <w:sz w:val="24"/>
        </w:rPr>
        <w:t>2017. január 1-je és 2017. december 31-e közötti időszakban az 575/2013/EU rendelet 92. cikk (3) bekezdésben meghatározott teljes kockázati kitettségérték legfeljebb 1,875</w:t>
      </w:r>
      <w:r>
        <w:rPr>
          <w:spacing w:val="4"/>
          <w:w w:val="125"/>
          <w:sz w:val="24"/>
        </w:rPr>
        <w:t> </w:t>
      </w:r>
      <w:r>
        <w:rPr>
          <w:w w:val="125"/>
          <w:sz w:val="24"/>
        </w:rPr>
        <w:t>százalékáig,</w:t>
      </w:r>
    </w:p>
    <w:p>
      <w:pPr>
        <w:pStyle w:val="BodyText"/>
        <w:spacing w:line="225" w:lineRule="auto" w:before="2"/>
        <w:ind w:firstLine="0"/>
      </w:pPr>
      <w:r>
        <w:rPr>
          <w:w w:val="130"/>
        </w:rPr>
        <w:t>azzal, hogy 2018. január 1-jétől a 87. §-ban meghatározott mérték szerint</w:t>
      </w:r>
      <w:r>
        <w:rPr>
          <w:spacing w:val="78"/>
          <w:w w:val="130"/>
        </w:rPr>
        <w:t> </w:t>
      </w:r>
      <w:r>
        <w:rPr>
          <w:w w:val="130"/>
        </w:rPr>
        <w:t>képzi.</w:t>
      </w:r>
    </w:p>
    <w:p>
      <w:pPr>
        <w:pStyle w:val="ListParagraph"/>
        <w:numPr>
          <w:ilvl w:val="0"/>
          <w:numId w:val="644"/>
        </w:numPr>
        <w:tabs>
          <w:tab w:pos="789" w:val="left" w:leader="none"/>
        </w:tabs>
        <w:spacing w:line="225" w:lineRule="auto" w:before="1" w:after="0"/>
        <w:ind w:left="113" w:right="127" w:firstLine="204"/>
        <w:jc w:val="both"/>
        <w:rPr>
          <w:sz w:val="24"/>
        </w:rPr>
      </w:pPr>
      <w:r>
        <w:rPr>
          <w:w w:val="125"/>
          <w:sz w:val="24"/>
        </w:rPr>
        <w:t>Ha az MNB tv. 183/A. §-a szerint a makroprudenciális feladatkörében eljáró MNB anticiklikus tőkepuffert ír elő, akkor a hitelintézet intézményspecifikus anticiklikus tőkepufferrátát</w:t>
      </w:r>
      <w:r>
        <w:rPr>
          <w:spacing w:val="8"/>
          <w:w w:val="125"/>
          <w:sz w:val="24"/>
        </w:rPr>
        <w:t> </w:t>
      </w:r>
      <w:r>
        <w:rPr>
          <w:w w:val="125"/>
          <w:sz w:val="24"/>
        </w:rPr>
        <w:t>képez:</w:t>
      </w:r>
    </w:p>
    <w:p>
      <w:pPr>
        <w:pStyle w:val="ListParagraph"/>
        <w:numPr>
          <w:ilvl w:val="0"/>
          <w:numId w:val="647"/>
        </w:numPr>
        <w:tabs>
          <w:tab w:pos="768" w:val="left" w:leader="none"/>
        </w:tabs>
        <w:spacing w:line="225" w:lineRule="auto" w:before="2" w:after="0"/>
        <w:ind w:left="113" w:right="127" w:firstLine="204"/>
        <w:jc w:val="both"/>
        <w:rPr>
          <w:sz w:val="24"/>
        </w:rPr>
      </w:pPr>
      <w:r>
        <w:rPr>
          <w:w w:val="125"/>
          <w:sz w:val="24"/>
        </w:rPr>
        <w:t>2016. január 1-je és 2016. december 31-e közötti időszakban az 575/2013/EU rendelet 92. cikk (3) bekezdésben meghatározott teljes kockázati kitettségérték legfeljebb 0,625</w:t>
      </w:r>
      <w:r>
        <w:rPr>
          <w:spacing w:val="4"/>
          <w:w w:val="125"/>
          <w:sz w:val="24"/>
        </w:rPr>
        <w:t> </w:t>
      </w:r>
      <w:r>
        <w:rPr>
          <w:w w:val="125"/>
          <w:sz w:val="24"/>
        </w:rPr>
        <w:t>százalékáig,</w:t>
      </w:r>
    </w:p>
    <w:p>
      <w:pPr>
        <w:pStyle w:val="ListParagraph"/>
        <w:numPr>
          <w:ilvl w:val="0"/>
          <w:numId w:val="647"/>
        </w:numPr>
        <w:tabs>
          <w:tab w:pos="777" w:val="left" w:leader="none"/>
        </w:tabs>
        <w:spacing w:line="225" w:lineRule="auto" w:before="2" w:after="0"/>
        <w:ind w:left="113" w:right="127" w:firstLine="204"/>
        <w:jc w:val="both"/>
        <w:rPr>
          <w:sz w:val="24"/>
        </w:rPr>
      </w:pPr>
      <w:r>
        <w:rPr>
          <w:w w:val="125"/>
          <w:sz w:val="24"/>
        </w:rPr>
        <w:t>2017. január 1-je és 2017. december 31-e közötti időszakban az 575/2013/EU rendelet 92. cikk (3) bekezdésben meghatározott teljes kockázati kitettségérték legfeljebb 1,25</w:t>
      </w:r>
      <w:r>
        <w:rPr>
          <w:spacing w:val="4"/>
          <w:w w:val="125"/>
          <w:sz w:val="24"/>
        </w:rPr>
        <w:t> </w:t>
      </w:r>
      <w:r>
        <w:rPr>
          <w:w w:val="125"/>
          <w:sz w:val="24"/>
        </w:rPr>
        <w:t>százalékáig,</w:t>
      </w:r>
    </w:p>
    <w:p>
      <w:pPr>
        <w:spacing w:after="0" w:line="225" w:lineRule="auto"/>
        <w:jc w:val="both"/>
        <w:rPr>
          <w:sz w:val="24"/>
        </w:rPr>
        <w:sectPr>
          <w:pgSz w:w="11900" w:h="16820"/>
          <w:pgMar w:header="1104" w:footer="0" w:top="1840" w:bottom="280" w:left="1020" w:right="1000"/>
        </w:sectPr>
      </w:pPr>
    </w:p>
    <w:p>
      <w:pPr>
        <w:pStyle w:val="ListParagraph"/>
        <w:numPr>
          <w:ilvl w:val="0"/>
          <w:numId w:val="647"/>
        </w:numPr>
        <w:tabs>
          <w:tab w:pos="760" w:val="left" w:leader="none"/>
        </w:tabs>
        <w:spacing w:line="225" w:lineRule="auto" w:before="173" w:after="0"/>
        <w:ind w:left="113" w:right="127" w:firstLine="204"/>
        <w:jc w:val="both"/>
        <w:rPr>
          <w:sz w:val="24"/>
        </w:rPr>
      </w:pPr>
      <w:r>
        <w:rPr>
          <w:w w:val="125"/>
          <w:sz w:val="24"/>
        </w:rPr>
        <w:t>2018. január 1-je és 2018. december 31-e közötti időszakban az 575/2013/EU rendelet 92. cikk (3) bekezdésben meghatározott teljes kockázati kitettségérték legfeljebb 1,875</w:t>
      </w:r>
      <w:r>
        <w:rPr>
          <w:spacing w:val="4"/>
          <w:w w:val="125"/>
          <w:sz w:val="24"/>
        </w:rPr>
        <w:t> </w:t>
      </w:r>
      <w:r>
        <w:rPr>
          <w:w w:val="125"/>
          <w:sz w:val="24"/>
        </w:rPr>
        <w:t>százalékáig,</w:t>
      </w:r>
    </w:p>
    <w:p>
      <w:pPr>
        <w:pStyle w:val="BodyText"/>
        <w:spacing w:line="225" w:lineRule="auto" w:before="1"/>
        <w:ind w:firstLine="0"/>
      </w:pPr>
      <w:r>
        <w:rPr>
          <w:w w:val="130"/>
        </w:rPr>
        <w:t>azzal, hogy 2019. január 1-jétől a 87. §-ban meghatározott mérték szerint</w:t>
      </w:r>
      <w:r>
        <w:rPr>
          <w:spacing w:val="78"/>
          <w:w w:val="130"/>
        </w:rPr>
        <w:t> </w:t>
      </w:r>
      <w:r>
        <w:rPr>
          <w:w w:val="130"/>
        </w:rPr>
        <w:t>képzi.</w:t>
      </w:r>
    </w:p>
    <w:p>
      <w:pPr>
        <w:pStyle w:val="ListParagraph"/>
        <w:numPr>
          <w:ilvl w:val="0"/>
          <w:numId w:val="643"/>
        </w:numPr>
        <w:tabs>
          <w:tab w:pos="1005" w:val="left" w:leader="none"/>
        </w:tabs>
        <w:spacing w:line="225" w:lineRule="auto" w:before="0" w:after="0"/>
        <w:ind w:left="113" w:right="122" w:firstLine="204"/>
        <w:jc w:val="both"/>
        <w:rPr>
          <w:sz w:val="24"/>
        </w:rPr>
      </w:pPr>
      <w:r>
        <w:rPr>
          <w:rFonts w:ascii="Arial" w:hAnsi="Arial"/>
          <w:b/>
          <w:w w:val="125"/>
          <w:sz w:val="24"/>
        </w:rPr>
        <w:t>§ </w:t>
      </w:r>
      <w:r>
        <w:rPr>
          <w:w w:val="125"/>
          <w:sz w:val="24"/>
        </w:rPr>
        <w:t>Ha a 299. § (2) és (3) bekezdése szerint jár el a hitelintézet és másik EGT-államban vagy harmadik országban végzett tevékenységének helye szerinti EGT-állam erre kijelölt hatósága nem határozza meg az anticiklikus tőkepufferráta mértékét, akkor az intézményspecifikus anticiklikus tőkepufferráta meghatározásakor a hitelintézet a másik EGT-államban vagy harmadik országban lévő féllel szembeni kitettsége tekintetében nulla százalékos anticiklikus tőkepufferrátát</w:t>
      </w:r>
      <w:r>
        <w:rPr>
          <w:spacing w:val="13"/>
          <w:w w:val="125"/>
          <w:sz w:val="24"/>
        </w:rPr>
        <w:t> </w:t>
      </w:r>
      <w:r>
        <w:rPr>
          <w:w w:val="125"/>
          <w:sz w:val="24"/>
        </w:rPr>
        <w:t>alkalmaz.</w:t>
      </w:r>
    </w:p>
    <w:p>
      <w:pPr>
        <w:pStyle w:val="ListParagraph"/>
        <w:numPr>
          <w:ilvl w:val="0"/>
          <w:numId w:val="643"/>
        </w:numPr>
        <w:tabs>
          <w:tab w:pos="1055" w:val="left" w:leader="none"/>
        </w:tabs>
        <w:spacing w:line="225" w:lineRule="auto" w:before="3" w:after="0"/>
        <w:ind w:left="113" w:right="122" w:firstLine="204"/>
        <w:jc w:val="both"/>
        <w:rPr>
          <w:sz w:val="24"/>
        </w:rPr>
      </w:pPr>
      <w:r>
        <w:rPr>
          <w:rFonts w:ascii="Arial" w:hAnsi="Arial"/>
          <w:b/>
          <w:w w:val="125"/>
          <w:sz w:val="24"/>
        </w:rPr>
        <w:t>§ </w:t>
      </w:r>
      <w:r>
        <w:rPr>
          <w:w w:val="125"/>
          <w:sz w:val="24"/>
        </w:rPr>
        <w:t>A hitelintézet a 89. § szerinti globálisan rendszerszinten jelentős hitelintézetre vonatkozó tőkepuffert 2016. január 1-jétől kezdődően  az  alábbiak szerint</w:t>
      </w:r>
      <w:r>
        <w:rPr>
          <w:spacing w:val="1"/>
          <w:w w:val="125"/>
          <w:sz w:val="24"/>
        </w:rPr>
        <w:t> </w:t>
      </w:r>
      <w:r>
        <w:rPr>
          <w:w w:val="125"/>
          <w:sz w:val="24"/>
        </w:rPr>
        <w:t>képzi</w:t>
      </w:r>
    </w:p>
    <w:p>
      <w:pPr>
        <w:pStyle w:val="ListParagraph"/>
        <w:numPr>
          <w:ilvl w:val="0"/>
          <w:numId w:val="648"/>
        </w:numPr>
        <w:tabs>
          <w:tab w:pos="705" w:val="left" w:leader="none"/>
        </w:tabs>
        <w:spacing w:line="225" w:lineRule="auto" w:before="2" w:after="0"/>
        <w:ind w:left="113" w:right="122" w:firstLine="204"/>
        <w:jc w:val="both"/>
        <w:rPr>
          <w:sz w:val="24"/>
        </w:rPr>
      </w:pPr>
      <w:r>
        <w:rPr>
          <w:w w:val="125"/>
          <w:sz w:val="24"/>
        </w:rPr>
        <w:t>2016. január 1-je és 2016. december 31-e közötti időszakban a 89. § szerinti globálisan rendszerszinten  jelentős  hitelintézetre  vonatkozó tőkepuffer értékének 25</w:t>
      </w:r>
      <w:r>
        <w:rPr>
          <w:spacing w:val="10"/>
          <w:w w:val="125"/>
          <w:sz w:val="24"/>
        </w:rPr>
        <w:t> </w:t>
      </w:r>
      <w:r>
        <w:rPr>
          <w:w w:val="125"/>
          <w:sz w:val="24"/>
        </w:rPr>
        <w:t>százaléka,</w:t>
      </w:r>
    </w:p>
    <w:p>
      <w:pPr>
        <w:pStyle w:val="ListParagraph"/>
        <w:numPr>
          <w:ilvl w:val="0"/>
          <w:numId w:val="648"/>
        </w:numPr>
        <w:tabs>
          <w:tab w:pos="711" w:val="left" w:leader="none"/>
        </w:tabs>
        <w:spacing w:line="225" w:lineRule="auto" w:before="2" w:after="0"/>
        <w:ind w:left="113" w:right="122" w:firstLine="204"/>
        <w:jc w:val="both"/>
        <w:rPr>
          <w:sz w:val="24"/>
        </w:rPr>
      </w:pPr>
      <w:r>
        <w:rPr>
          <w:w w:val="125"/>
          <w:sz w:val="24"/>
        </w:rPr>
        <w:t>2017. január 1-je és 2017. december 31-e közötti időszakban a 89. § szerinti globálisan rendszerszinten  jelentős  hitelintézetre  vonatkozó tőkepuffer értékének 50</w:t>
      </w:r>
      <w:r>
        <w:rPr>
          <w:spacing w:val="10"/>
          <w:w w:val="125"/>
          <w:sz w:val="24"/>
        </w:rPr>
        <w:t> </w:t>
      </w:r>
      <w:r>
        <w:rPr>
          <w:w w:val="125"/>
          <w:sz w:val="24"/>
        </w:rPr>
        <w:t>százaléka,</w:t>
      </w:r>
    </w:p>
    <w:p>
      <w:pPr>
        <w:pStyle w:val="ListParagraph"/>
        <w:numPr>
          <w:ilvl w:val="0"/>
          <w:numId w:val="648"/>
        </w:numPr>
        <w:tabs>
          <w:tab w:pos="693" w:val="left" w:leader="none"/>
        </w:tabs>
        <w:spacing w:line="225" w:lineRule="auto" w:before="2" w:after="0"/>
        <w:ind w:left="113" w:right="122" w:firstLine="204"/>
        <w:jc w:val="both"/>
        <w:rPr>
          <w:sz w:val="24"/>
        </w:rPr>
      </w:pPr>
      <w:r>
        <w:rPr>
          <w:w w:val="125"/>
          <w:sz w:val="24"/>
        </w:rPr>
        <w:t>2018. január 1-je és 2018. december 31-e közötti időszakban a 89. § szerinti globálisan rendszerszinten  jelentős  hitelintézetre  vonatkozó tőkepuffer értékének 75</w:t>
      </w:r>
      <w:r>
        <w:rPr>
          <w:spacing w:val="10"/>
          <w:w w:val="125"/>
          <w:sz w:val="24"/>
        </w:rPr>
        <w:t> </w:t>
      </w:r>
      <w:r>
        <w:rPr>
          <w:w w:val="125"/>
          <w:sz w:val="24"/>
        </w:rPr>
        <w:t>százaléka.</w:t>
      </w:r>
    </w:p>
    <w:p>
      <w:pPr>
        <w:pStyle w:val="ListParagraph"/>
        <w:numPr>
          <w:ilvl w:val="0"/>
          <w:numId w:val="643"/>
        </w:numPr>
        <w:tabs>
          <w:tab w:pos="1006" w:val="left" w:leader="none"/>
        </w:tabs>
        <w:spacing w:line="250" w:lineRule="exact" w:before="0" w:after="0"/>
        <w:ind w:left="1005" w:right="0" w:hanging="688"/>
        <w:jc w:val="left"/>
        <w:rPr>
          <w:sz w:val="24"/>
        </w:rPr>
      </w:pPr>
      <w:r>
        <w:rPr>
          <w:rFonts w:ascii="Arial" w:hAnsi="Arial"/>
          <w:b/>
          <w:w w:val="125"/>
          <w:sz w:val="24"/>
        </w:rPr>
        <w:t>§</w:t>
      </w:r>
      <w:r>
        <w:rPr>
          <w:i/>
          <w:w w:val="125"/>
          <w:position w:val="3"/>
          <w:sz w:val="18"/>
        </w:rPr>
        <w:t>1</w:t>
      </w:r>
      <w:r>
        <w:rPr>
          <w:i/>
          <w:spacing w:val="47"/>
          <w:w w:val="125"/>
          <w:position w:val="3"/>
          <w:sz w:val="18"/>
        </w:rPr>
        <w:t> </w:t>
      </w:r>
      <w:r>
        <w:rPr>
          <w:w w:val="125"/>
          <w:sz w:val="24"/>
        </w:rPr>
        <w:t>(1)</w:t>
      </w:r>
      <w:r>
        <w:rPr>
          <w:spacing w:val="20"/>
          <w:w w:val="125"/>
          <w:sz w:val="24"/>
        </w:rPr>
        <w:t> </w:t>
      </w:r>
      <w:r>
        <w:rPr>
          <w:w w:val="125"/>
          <w:sz w:val="24"/>
        </w:rPr>
        <w:t>Az</w:t>
      </w:r>
      <w:r>
        <w:rPr>
          <w:spacing w:val="21"/>
          <w:w w:val="125"/>
          <w:sz w:val="24"/>
        </w:rPr>
        <w:t> </w:t>
      </w:r>
      <w:r>
        <w:rPr>
          <w:w w:val="125"/>
          <w:sz w:val="24"/>
        </w:rPr>
        <w:t>575/2013/EU</w:t>
      </w:r>
      <w:r>
        <w:rPr>
          <w:spacing w:val="20"/>
          <w:w w:val="125"/>
          <w:sz w:val="24"/>
        </w:rPr>
        <w:t> </w:t>
      </w:r>
      <w:r>
        <w:rPr>
          <w:w w:val="125"/>
          <w:sz w:val="24"/>
        </w:rPr>
        <w:t>rendelet</w:t>
      </w:r>
      <w:r>
        <w:rPr>
          <w:spacing w:val="21"/>
          <w:w w:val="125"/>
          <w:sz w:val="24"/>
        </w:rPr>
        <w:t> </w:t>
      </w:r>
      <w:r>
        <w:rPr>
          <w:w w:val="125"/>
          <w:sz w:val="24"/>
        </w:rPr>
        <w:t>395.</w:t>
      </w:r>
      <w:r>
        <w:rPr>
          <w:spacing w:val="20"/>
          <w:w w:val="125"/>
          <w:sz w:val="24"/>
        </w:rPr>
        <w:t> </w:t>
      </w:r>
      <w:r>
        <w:rPr>
          <w:w w:val="125"/>
          <w:sz w:val="24"/>
        </w:rPr>
        <w:t>cikk</w:t>
      </w:r>
      <w:r>
        <w:rPr>
          <w:spacing w:val="21"/>
          <w:w w:val="125"/>
          <w:sz w:val="24"/>
        </w:rPr>
        <w:t> </w:t>
      </w:r>
      <w:r>
        <w:rPr>
          <w:w w:val="125"/>
          <w:sz w:val="24"/>
        </w:rPr>
        <w:t>(1)</w:t>
      </w:r>
      <w:r>
        <w:rPr>
          <w:spacing w:val="20"/>
          <w:w w:val="125"/>
          <w:sz w:val="24"/>
        </w:rPr>
        <w:t> </w:t>
      </w:r>
      <w:r>
        <w:rPr>
          <w:w w:val="125"/>
          <w:sz w:val="24"/>
        </w:rPr>
        <w:t>bekezdését</w:t>
      </w:r>
      <w:r>
        <w:rPr>
          <w:spacing w:val="21"/>
          <w:w w:val="125"/>
          <w:sz w:val="24"/>
        </w:rPr>
        <w:t> </w:t>
      </w:r>
      <w:r>
        <w:rPr>
          <w:w w:val="125"/>
          <w:sz w:val="24"/>
        </w:rPr>
        <w:t>a</w:t>
      </w:r>
      <w:r>
        <w:rPr>
          <w:spacing w:val="20"/>
          <w:w w:val="125"/>
          <w:sz w:val="24"/>
        </w:rPr>
        <w:t> </w:t>
      </w:r>
      <w:r>
        <w:rPr>
          <w:w w:val="125"/>
          <w:sz w:val="24"/>
        </w:rPr>
        <w:t>hitelintézet</w:t>
      </w:r>
    </w:p>
    <w:p>
      <w:pPr>
        <w:pStyle w:val="BodyText"/>
        <w:spacing w:line="267" w:lineRule="exact"/>
        <w:ind w:firstLine="0"/>
      </w:pPr>
      <w:r>
        <w:rPr>
          <w:w w:val="125"/>
        </w:rPr>
        <w:t>2028. december 31-ig nem alkalmazza</w:t>
      </w:r>
    </w:p>
    <w:p>
      <w:pPr>
        <w:pStyle w:val="ListParagraph"/>
        <w:numPr>
          <w:ilvl w:val="0"/>
          <w:numId w:val="649"/>
        </w:numPr>
        <w:tabs>
          <w:tab w:pos="774" w:val="left" w:leader="none"/>
        </w:tabs>
        <w:spacing w:line="225" w:lineRule="auto" w:before="5" w:after="0"/>
        <w:ind w:left="113" w:right="124" w:firstLine="204"/>
        <w:jc w:val="both"/>
        <w:rPr>
          <w:sz w:val="24"/>
        </w:rPr>
      </w:pPr>
      <w:r>
        <w:rPr>
          <w:w w:val="130"/>
          <w:sz w:val="24"/>
        </w:rPr>
        <w:t>az 575/2013/EU rendelet 129. cikk (1), (3) és (6) bekezdésében meghatározottaknak megfelelő fedezett</w:t>
      </w:r>
      <w:r>
        <w:rPr>
          <w:spacing w:val="-17"/>
          <w:w w:val="130"/>
          <w:sz w:val="24"/>
        </w:rPr>
        <w:t> </w:t>
      </w:r>
      <w:r>
        <w:rPr>
          <w:w w:val="130"/>
          <w:sz w:val="24"/>
        </w:rPr>
        <w:t>kötvényre,</w:t>
      </w:r>
    </w:p>
    <w:p>
      <w:pPr>
        <w:pStyle w:val="ListParagraph"/>
        <w:numPr>
          <w:ilvl w:val="0"/>
          <w:numId w:val="649"/>
        </w:numPr>
        <w:tabs>
          <w:tab w:pos="745" w:val="left" w:leader="none"/>
        </w:tabs>
        <w:spacing w:line="225" w:lineRule="auto" w:before="1" w:after="0"/>
        <w:ind w:left="113" w:right="121" w:firstLine="204"/>
        <w:jc w:val="both"/>
        <w:rPr>
          <w:sz w:val="24"/>
        </w:rPr>
      </w:pPr>
      <w:r>
        <w:rPr>
          <w:w w:val="125"/>
          <w:sz w:val="24"/>
        </w:rPr>
        <w:t>az olyan kitettségre, amely EGT-állam regionális kormányával, helyi önkormányzatával szemben áll fenn, vagy amelyet ezek valamelyike garantál, feltéve, hogy az ezen regionális kormánnyal vagy helyi önkormányzattal szembeni kitettség az 575/2013/EU rendelet harmadik rész II. cím 2. fejezet alkalmazásában 20%-os kockázati súlyt</w:t>
      </w:r>
      <w:r>
        <w:rPr>
          <w:spacing w:val="17"/>
          <w:w w:val="125"/>
          <w:sz w:val="24"/>
        </w:rPr>
        <w:t> </w:t>
      </w:r>
      <w:r>
        <w:rPr>
          <w:w w:val="125"/>
          <w:sz w:val="24"/>
        </w:rPr>
        <w:t>kapna,</w:t>
      </w:r>
    </w:p>
    <w:p>
      <w:pPr>
        <w:pStyle w:val="ListParagraph"/>
        <w:numPr>
          <w:ilvl w:val="0"/>
          <w:numId w:val="649"/>
        </w:numPr>
        <w:tabs>
          <w:tab w:pos="689" w:val="left" w:leader="none"/>
        </w:tabs>
        <w:spacing w:line="225" w:lineRule="auto" w:before="3" w:after="0"/>
        <w:ind w:left="113" w:right="127" w:firstLine="204"/>
        <w:jc w:val="both"/>
        <w:rPr>
          <w:sz w:val="24"/>
        </w:rPr>
      </w:pPr>
      <w:r>
        <w:rPr>
          <w:w w:val="125"/>
          <w:sz w:val="24"/>
        </w:rPr>
        <w:t>az anyavállalatával, az adott anyavállalat más leányvállalatával vagy  a saját leányvállalatával szembeni kitettségre, amennyiben az érintett vállalkozásokra olyan, az 575/2013/EU rendeletben vagy a 2002/87/EK irányelvben meghatározottak szerinti, vagy harmadik országban azzal egyenértékűnek minősülő összevont alapú felügyelet vonatkozik, amelybe a hitelintézet is</w:t>
      </w:r>
      <w:r>
        <w:rPr>
          <w:spacing w:val="2"/>
          <w:w w:val="125"/>
          <w:sz w:val="24"/>
        </w:rPr>
        <w:t> </w:t>
      </w:r>
      <w:r>
        <w:rPr>
          <w:w w:val="125"/>
          <w:sz w:val="24"/>
        </w:rPr>
        <w:t>beletartozik,</w:t>
      </w:r>
    </w:p>
    <w:p>
      <w:pPr>
        <w:pStyle w:val="ListParagraph"/>
        <w:numPr>
          <w:ilvl w:val="0"/>
          <w:numId w:val="649"/>
        </w:numPr>
        <w:tabs>
          <w:tab w:pos="732" w:val="left" w:leader="none"/>
        </w:tabs>
        <w:spacing w:line="225" w:lineRule="auto" w:before="4" w:after="0"/>
        <w:ind w:left="113" w:right="125" w:firstLine="204"/>
        <w:jc w:val="both"/>
        <w:rPr>
          <w:sz w:val="24"/>
        </w:rPr>
      </w:pPr>
      <w:r>
        <w:rPr>
          <w:w w:val="125"/>
          <w:sz w:val="24"/>
        </w:rPr>
        <w:t>az olyan központi szervként működő hitelintézettel szemben fennálló kitettségre, amellyel jogszabályi kötelezettségek alapján áll kapcsolatban, és amely a hitelintézet készpénz-elszámolási műveletéért</w:t>
      </w:r>
      <w:r>
        <w:rPr>
          <w:spacing w:val="9"/>
          <w:w w:val="125"/>
          <w:sz w:val="24"/>
        </w:rPr>
        <w:t> </w:t>
      </w:r>
      <w:r>
        <w:rPr>
          <w:w w:val="125"/>
          <w:sz w:val="24"/>
        </w:rPr>
        <w:t>felelős,</w:t>
      </w:r>
    </w:p>
    <w:p>
      <w:pPr>
        <w:pStyle w:val="ListParagraph"/>
        <w:numPr>
          <w:ilvl w:val="0"/>
          <w:numId w:val="649"/>
        </w:numPr>
        <w:tabs>
          <w:tab w:pos="809" w:val="left" w:leader="none"/>
        </w:tabs>
        <w:spacing w:line="225" w:lineRule="auto" w:before="1" w:after="0"/>
        <w:ind w:left="113" w:right="125" w:firstLine="204"/>
        <w:jc w:val="both"/>
        <w:rPr>
          <w:sz w:val="24"/>
        </w:rPr>
      </w:pPr>
      <w:r>
        <w:rPr>
          <w:w w:val="130"/>
          <w:sz w:val="24"/>
        </w:rPr>
        <w:t>az olyan hitelintézetekkel szembeni vagy az ezek kezességével, garanciájával biztosított kitettségekre, amely hitelintézetek jogszabályban vagy alapszabályban meghatározott célja egyes gazdasági ágazatok ösztönzése,</w:t>
      </w:r>
      <w:r>
        <w:rPr>
          <w:spacing w:val="-15"/>
          <w:w w:val="130"/>
          <w:sz w:val="24"/>
        </w:rPr>
        <w:t> </w:t>
      </w:r>
      <w:r>
        <w:rPr>
          <w:w w:val="130"/>
          <w:sz w:val="24"/>
        </w:rPr>
        <w:t>és</w:t>
      </w:r>
      <w:r>
        <w:rPr>
          <w:spacing w:val="-15"/>
          <w:w w:val="130"/>
          <w:sz w:val="24"/>
        </w:rPr>
        <w:t> </w:t>
      </w:r>
      <w:r>
        <w:rPr>
          <w:w w:val="130"/>
          <w:sz w:val="24"/>
        </w:rPr>
        <w:t>ezt</w:t>
      </w:r>
      <w:r>
        <w:rPr>
          <w:spacing w:val="-15"/>
          <w:w w:val="130"/>
          <w:sz w:val="24"/>
        </w:rPr>
        <w:t> </w:t>
      </w:r>
      <w:r>
        <w:rPr>
          <w:w w:val="130"/>
          <w:sz w:val="24"/>
        </w:rPr>
        <w:t>a</w:t>
      </w:r>
      <w:r>
        <w:rPr>
          <w:spacing w:val="-15"/>
          <w:w w:val="130"/>
          <w:sz w:val="24"/>
        </w:rPr>
        <w:t> </w:t>
      </w:r>
      <w:r>
        <w:rPr>
          <w:w w:val="130"/>
          <w:sz w:val="24"/>
        </w:rPr>
        <w:t>tevékenységüket</w:t>
      </w:r>
      <w:r>
        <w:rPr>
          <w:spacing w:val="-15"/>
          <w:w w:val="130"/>
          <w:sz w:val="24"/>
        </w:rPr>
        <w:t> </w:t>
      </w:r>
      <w:r>
        <w:rPr>
          <w:w w:val="130"/>
          <w:sz w:val="24"/>
        </w:rPr>
        <w:t>kormányzati</w:t>
      </w:r>
      <w:r>
        <w:rPr>
          <w:spacing w:val="-15"/>
          <w:w w:val="130"/>
          <w:sz w:val="24"/>
        </w:rPr>
        <w:t> </w:t>
      </w:r>
      <w:r>
        <w:rPr>
          <w:w w:val="130"/>
          <w:sz w:val="24"/>
        </w:rPr>
        <w:t>ellenőrzés</w:t>
      </w:r>
      <w:r>
        <w:rPr>
          <w:spacing w:val="-15"/>
          <w:w w:val="130"/>
          <w:sz w:val="24"/>
        </w:rPr>
        <w:t> </w:t>
      </w:r>
      <w:r>
        <w:rPr>
          <w:w w:val="130"/>
          <w:sz w:val="24"/>
        </w:rPr>
        <w:t>alatt</w:t>
      </w:r>
      <w:r>
        <w:rPr>
          <w:spacing w:val="-15"/>
          <w:w w:val="130"/>
          <w:sz w:val="24"/>
        </w:rPr>
        <w:t> </w:t>
      </w:r>
      <w:r>
        <w:rPr>
          <w:w w:val="130"/>
          <w:sz w:val="24"/>
        </w:rPr>
        <w:t>végzik,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4"/>
        <w:ind w:left="0" w:firstLine="0"/>
        <w:rPr>
          <w:sz w:val="18"/>
        </w:rPr>
      </w:pPr>
      <w:r>
        <w:rPr/>
        <w:pict>
          <v:line style="position:absolute;mso-position-horizontal-relative:page;mso-position-vertical-relative:paragraph;z-index:2888;mso-wrap-distance-left:0;mso-wrap-distance-right:0" from="56.693001pt,12.767614pt" to="538.583001pt,12.76761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2015. évi LXXXV. törvény 234. §. Hatályos: 2015. VII.</w:t>
      </w:r>
      <w:r>
        <w:rPr>
          <w:i/>
          <w:spacing w:val="-23"/>
          <w:w w:val="125"/>
          <w:sz w:val="18"/>
        </w:rPr>
        <w:t> </w:t>
      </w:r>
      <w:r>
        <w:rPr>
          <w:i/>
          <w:w w:val="125"/>
          <w:sz w:val="18"/>
        </w:rPr>
        <w:t>7-től.</w:t>
      </w:r>
    </w:p>
    <w:p>
      <w:pPr>
        <w:spacing w:after="0"/>
        <w:jc w:val="left"/>
        <w:rPr>
          <w:sz w:val="18"/>
        </w:rPr>
        <w:sectPr>
          <w:pgSz w:w="11900" w:h="16820"/>
          <w:pgMar w:header="1104" w:footer="0" w:top="1840" w:bottom="280" w:left="1020" w:right="1000"/>
        </w:sectPr>
      </w:pPr>
    </w:p>
    <w:p>
      <w:pPr>
        <w:pStyle w:val="ListParagraph"/>
        <w:numPr>
          <w:ilvl w:val="0"/>
          <w:numId w:val="649"/>
        </w:numPr>
        <w:tabs>
          <w:tab w:pos="754" w:val="left" w:leader="none"/>
        </w:tabs>
        <w:spacing w:line="225" w:lineRule="auto" w:before="173" w:after="0"/>
        <w:ind w:left="113" w:right="128" w:firstLine="204"/>
        <w:jc w:val="both"/>
        <w:rPr>
          <w:sz w:val="24"/>
        </w:rPr>
      </w:pPr>
      <w:r>
        <w:rPr>
          <w:w w:val="130"/>
          <w:sz w:val="24"/>
        </w:rPr>
        <w:t>a hitelintézettel vagy befektetési vállalkozással szemben fennálló</w:t>
      </w:r>
      <w:r>
        <w:rPr>
          <w:spacing w:val="78"/>
          <w:w w:val="130"/>
          <w:sz w:val="24"/>
        </w:rPr>
        <w:t> </w:t>
      </w:r>
      <w:r>
        <w:rPr>
          <w:w w:val="130"/>
          <w:sz w:val="24"/>
        </w:rPr>
        <w:t>kitettségre, feltéve, hogy a kitettség nem képezi részét a szóban forgó hitelintézet vagy befektetési vállalkozás szavatoló tőkéjének, legfeljebb a következő munkanapig áll fenn és pénzneme nem valamely jelentős kereskedési</w:t>
      </w:r>
      <w:r>
        <w:rPr>
          <w:spacing w:val="-4"/>
          <w:w w:val="130"/>
          <w:sz w:val="24"/>
        </w:rPr>
        <w:t> </w:t>
      </w:r>
      <w:r>
        <w:rPr>
          <w:w w:val="130"/>
          <w:sz w:val="24"/>
        </w:rPr>
        <w:t>pénznem,</w:t>
      </w:r>
    </w:p>
    <w:p>
      <w:pPr>
        <w:pStyle w:val="ListParagraph"/>
        <w:numPr>
          <w:ilvl w:val="0"/>
          <w:numId w:val="649"/>
        </w:numPr>
        <w:tabs>
          <w:tab w:pos="706" w:val="left" w:leader="none"/>
        </w:tabs>
        <w:spacing w:line="225" w:lineRule="auto" w:before="3" w:after="0"/>
        <w:ind w:left="113" w:right="133" w:firstLine="204"/>
        <w:jc w:val="both"/>
        <w:rPr>
          <w:sz w:val="24"/>
        </w:rPr>
      </w:pPr>
      <w:r>
        <w:rPr>
          <w:w w:val="130"/>
          <w:sz w:val="24"/>
        </w:rPr>
        <w:t>a kötelező jegybanki tartalékra, ideértve a jegybanki kötelező tartalék</w:t>
      </w:r>
      <w:r>
        <w:rPr>
          <w:spacing w:val="78"/>
          <w:w w:val="130"/>
          <w:sz w:val="24"/>
        </w:rPr>
        <w:t> </w:t>
      </w:r>
      <w:r>
        <w:rPr>
          <w:w w:val="130"/>
          <w:sz w:val="24"/>
        </w:rPr>
        <w:t>előírást levelező bankon keresztül teljesítő hitelintézet által elhelyezett kötelező tartalékot</w:t>
      </w:r>
      <w:r>
        <w:rPr>
          <w:spacing w:val="-3"/>
          <w:w w:val="130"/>
          <w:sz w:val="24"/>
        </w:rPr>
        <w:t> </w:t>
      </w:r>
      <w:r>
        <w:rPr>
          <w:w w:val="130"/>
          <w:sz w:val="24"/>
        </w:rPr>
        <w:t>is,</w:t>
      </w:r>
    </w:p>
    <w:p>
      <w:pPr>
        <w:pStyle w:val="ListParagraph"/>
        <w:numPr>
          <w:ilvl w:val="0"/>
          <w:numId w:val="649"/>
        </w:numPr>
        <w:tabs>
          <w:tab w:pos="754" w:val="left" w:leader="none"/>
        </w:tabs>
        <w:spacing w:line="225" w:lineRule="auto" w:before="1" w:after="0"/>
        <w:ind w:left="113" w:right="124" w:firstLine="204"/>
        <w:jc w:val="both"/>
        <w:rPr>
          <w:sz w:val="24"/>
        </w:rPr>
      </w:pPr>
      <w:r>
        <w:rPr>
          <w:w w:val="125"/>
          <w:sz w:val="24"/>
        </w:rPr>
        <w:t>a központi kormányzatokkal szembeni követelést megtestesítő olyan eszköztételekre, amelyek kormányzati értékpapírokban tartott,  törvényben előírt likviditási követelmények formájában állnak fenn, és amelyeket nemzeti pénznemükben denomináltak és finanszíroztak, feltéve, hogy - az illetékes hatóságok mérlegelése alapján - e központi kormányzatoknak egy külső hitelminősítő intézet által készített hitelminősítése befektetési fokozatú minősítés,</w:t>
      </w:r>
    </w:p>
    <w:p>
      <w:pPr>
        <w:pStyle w:val="ListParagraph"/>
        <w:numPr>
          <w:ilvl w:val="0"/>
          <w:numId w:val="649"/>
        </w:numPr>
        <w:tabs>
          <w:tab w:pos="606" w:val="left" w:leader="none"/>
        </w:tabs>
        <w:spacing w:line="225" w:lineRule="auto" w:before="4" w:after="0"/>
        <w:ind w:left="113" w:right="112" w:firstLine="204"/>
        <w:jc w:val="both"/>
        <w:rPr>
          <w:sz w:val="24"/>
        </w:rPr>
      </w:pPr>
      <w:r>
        <w:rPr>
          <w:w w:val="125"/>
          <w:sz w:val="24"/>
        </w:rPr>
        <w:t>az 575/2013/EU rendelet I. melléklet 3. pontja szerinti közepes/alacsony kockázati kategóriába tartozó mérlegen kívüli okmányos meghitelezésre, valamint hitelkeret még igénybe nem vett részének 50</w:t>
      </w:r>
      <w:r>
        <w:rPr>
          <w:spacing w:val="45"/>
          <w:w w:val="125"/>
          <w:sz w:val="24"/>
        </w:rPr>
        <w:t> </w:t>
      </w:r>
      <w:r>
        <w:rPr>
          <w:w w:val="125"/>
          <w:sz w:val="24"/>
        </w:rPr>
        <w:t>százalékára,</w:t>
      </w:r>
    </w:p>
    <w:p>
      <w:pPr>
        <w:pStyle w:val="ListParagraph"/>
        <w:numPr>
          <w:ilvl w:val="0"/>
          <w:numId w:val="649"/>
        </w:numPr>
        <w:tabs>
          <w:tab w:pos="563" w:val="left" w:leader="none"/>
        </w:tabs>
        <w:spacing w:line="256" w:lineRule="exact" w:before="0" w:after="0"/>
        <w:ind w:left="562" w:right="0" w:hanging="245"/>
        <w:jc w:val="left"/>
        <w:rPr>
          <w:sz w:val="24"/>
        </w:rPr>
      </w:pPr>
      <w:r>
        <w:rPr>
          <w:w w:val="130"/>
          <w:sz w:val="24"/>
        </w:rPr>
        <w:t>az elismert tőzsdével szembeni</w:t>
      </w:r>
      <w:r>
        <w:rPr>
          <w:spacing w:val="-18"/>
          <w:w w:val="130"/>
          <w:sz w:val="24"/>
        </w:rPr>
        <w:t> </w:t>
      </w:r>
      <w:r>
        <w:rPr>
          <w:w w:val="130"/>
          <w:sz w:val="24"/>
        </w:rPr>
        <w:t>kitettségre.</w:t>
      </w:r>
    </w:p>
    <w:p>
      <w:pPr>
        <w:pStyle w:val="ListParagraph"/>
        <w:numPr>
          <w:ilvl w:val="0"/>
          <w:numId w:val="650"/>
        </w:numPr>
        <w:tabs>
          <w:tab w:pos="904" w:val="left" w:leader="none"/>
        </w:tabs>
        <w:spacing w:line="225" w:lineRule="auto" w:before="6" w:after="0"/>
        <w:ind w:left="113" w:right="127" w:firstLine="204"/>
        <w:jc w:val="both"/>
        <w:rPr>
          <w:sz w:val="24"/>
        </w:rPr>
      </w:pPr>
      <w:r>
        <w:rPr>
          <w:w w:val="125"/>
          <w:sz w:val="24"/>
        </w:rPr>
        <w:t>Az e törvény egyes törvényeknek a pénzügyi közvetítőrendszer fejlesztésének előmozdítása érdekében történő módosításáról szóló 2015. évi LXXXV. törvénnyel megállapított 166/B. §-át a folyamatban lévő hatósági eljárások esetében is alkalmazni</w:t>
      </w:r>
      <w:r>
        <w:rPr>
          <w:spacing w:val="2"/>
          <w:w w:val="125"/>
          <w:sz w:val="24"/>
        </w:rPr>
        <w:t> </w:t>
      </w:r>
      <w:r>
        <w:rPr>
          <w:w w:val="125"/>
          <w:sz w:val="24"/>
        </w:rPr>
        <w:t>kell.</w:t>
      </w:r>
    </w:p>
    <w:p>
      <w:pPr>
        <w:pStyle w:val="ListParagraph"/>
        <w:numPr>
          <w:ilvl w:val="0"/>
          <w:numId w:val="650"/>
        </w:numPr>
        <w:tabs>
          <w:tab w:pos="659" w:val="left" w:leader="none"/>
          <w:tab w:pos="1003" w:val="left" w:leader="none"/>
          <w:tab w:pos="1534" w:val="left" w:leader="none"/>
          <w:tab w:pos="1907" w:val="left" w:leader="none"/>
          <w:tab w:pos="3059" w:val="left" w:leader="none"/>
          <w:tab w:pos="3985" w:val="left" w:leader="none"/>
          <w:tab w:pos="5865" w:val="left" w:leader="none"/>
          <w:tab w:pos="6239" w:val="left" w:leader="none"/>
          <w:tab w:pos="7568" w:val="left" w:leader="none"/>
        </w:tabs>
        <w:spacing w:line="250" w:lineRule="exact" w:before="0" w:after="0"/>
        <w:ind w:left="658" w:right="0" w:hanging="341"/>
        <w:jc w:val="left"/>
        <w:rPr>
          <w:sz w:val="24"/>
        </w:rPr>
      </w:pPr>
      <w:r>
        <w:rPr>
          <w:i/>
          <w:w w:val="125"/>
          <w:position w:val="3"/>
          <w:sz w:val="18"/>
        </w:rPr>
        <w:t>1</w:t>
        <w:tab/>
      </w:r>
      <w:r>
        <w:rPr>
          <w:w w:val="125"/>
          <w:sz w:val="24"/>
        </w:rPr>
        <w:t>Az</w:t>
        <w:tab/>
        <w:t>e</w:t>
        <w:tab/>
        <w:t>törvény</w:t>
        <w:tab/>
        <w:t>egyes</w:t>
        <w:tab/>
        <w:t>törvényeknek</w:t>
        <w:tab/>
        <w:t>a</w:t>
        <w:tab/>
        <w:t>pénzügyi</w:t>
        <w:tab/>
        <w:t>közvetítőrendszer</w:t>
      </w:r>
    </w:p>
    <w:p>
      <w:pPr>
        <w:pStyle w:val="BodyText"/>
        <w:spacing w:line="225" w:lineRule="auto" w:before="12"/>
        <w:ind w:right="124" w:firstLine="0"/>
        <w:jc w:val="both"/>
      </w:pPr>
      <w:r>
        <w:rPr>
          <w:w w:val="125"/>
        </w:rPr>
        <w:t>fejlesztésének előmozdítása érdekében történő módosításáról szóló 2015. évi LXXXV. törvénnyel megállapított 260. § (7) bekezdését a hatálybalépésének napját magában foglaló üzleti év éves beszámolójára, összevont (konszolidált) éves beszámolójára vonatkozó jogszabályi kötelezettségen alapuló könyvvizsgálói feladatok teljesítéséig, de legkésőbb 2016. december 31-ig nem kell alkalmazni.</w:t>
      </w:r>
    </w:p>
    <w:p>
      <w:pPr>
        <w:pStyle w:val="ListParagraph"/>
        <w:numPr>
          <w:ilvl w:val="0"/>
          <w:numId w:val="643"/>
        </w:numPr>
        <w:tabs>
          <w:tab w:pos="1033" w:val="left" w:leader="none"/>
        </w:tabs>
        <w:spacing w:line="258" w:lineRule="exact" w:before="0" w:after="0"/>
        <w:ind w:left="1032" w:right="0" w:hanging="715"/>
        <w:jc w:val="left"/>
        <w:rPr>
          <w:i/>
          <w:sz w:val="24"/>
        </w:rPr>
      </w:pPr>
      <w:r>
        <w:rPr>
          <w:rFonts w:ascii="Arial" w:hAnsi="Arial"/>
          <w:b/>
          <w:w w:val="120"/>
          <w:sz w:val="24"/>
        </w:rPr>
        <w:t>§ </w:t>
      </w:r>
      <w:r>
        <w:rPr>
          <w:w w:val="120"/>
          <w:sz w:val="24"/>
        </w:rPr>
        <w:t>(1) A hitelintézet nyilvánosságra hozza a 123. § (1) bekezdés</w:t>
      </w:r>
      <w:r>
        <w:rPr>
          <w:spacing w:val="10"/>
          <w:w w:val="120"/>
          <w:sz w:val="24"/>
        </w:rPr>
        <w:t> </w:t>
      </w:r>
      <w:r>
        <w:rPr>
          <w:i/>
          <w:w w:val="120"/>
          <w:sz w:val="24"/>
        </w:rPr>
        <w:t>a)-c)</w:t>
      </w:r>
    </w:p>
    <w:p>
      <w:pPr>
        <w:pStyle w:val="BodyText"/>
        <w:spacing w:line="260" w:lineRule="exact"/>
        <w:ind w:firstLine="0"/>
      </w:pPr>
      <w:r>
        <w:rPr>
          <w:w w:val="125"/>
        </w:rPr>
        <w:t>pontjában meghatározott információkat 2014. július 1-jétől, valamint a 123. §</w:t>
      </w:r>
    </w:p>
    <w:p>
      <w:pPr>
        <w:pStyle w:val="ListParagraph"/>
        <w:numPr>
          <w:ilvl w:val="0"/>
          <w:numId w:val="651"/>
        </w:numPr>
        <w:tabs>
          <w:tab w:pos="530" w:val="left" w:leader="none"/>
        </w:tabs>
        <w:spacing w:line="260" w:lineRule="exact" w:before="0" w:after="0"/>
        <w:ind w:left="529" w:right="0" w:hanging="416"/>
        <w:jc w:val="left"/>
        <w:rPr>
          <w:sz w:val="24"/>
        </w:rPr>
      </w:pPr>
      <w:r>
        <w:rPr>
          <w:w w:val="125"/>
          <w:sz w:val="24"/>
        </w:rPr>
        <w:t>bekezdés </w:t>
      </w:r>
      <w:r>
        <w:rPr>
          <w:i/>
          <w:w w:val="125"/>
          <w:sz w:val="24"/>
        </w:rPr>
        <w:t>d)-f) </w:t>
      </w:r>
      <w:r>
        <w:rPr>
          <w:w w:val="125"/>
          <w:sz w:val="24"/>
        </w:rPr>
        <w:t>pontjában meghatározott információkat 2015. január</w:t>
      </w:r>
      <w:r>
        <w:rPr>
          <w:spacing w:val="69"/>
          <w:w w:val="125"/>
          <w:sz w:val="24"/>
        </w:rPr>
        <w:t> </w:t>
      </w:r>
      <w:r>
        <w:rPr>
          <w:w w:val="125"/>
          <w:sz w:val="24"/>
        </w:rPr>
        <w:t>1-jétől.</w:t>
      </w:r>
    </w:p>
    <w:p>
      <w:pPr>
        <w:pStyle w:val="ListParagraph"/>
        <w:numPr>
          <w:ilvl w:val="0"/>
          <w:numId w:val="651"/>
        </w:numPr>
        <w:tabs>
          <w:tab w:pos="737" w:val="left" w:leader="none"/>
        </w:tabs>
        <w:spacing w:line="225" w:lineRule="auto" w:before="5" w:after="0"/>
        <w:ind w:left="113" w:right="125" w:firstLine="204"/>
        <w:jc w:val="both"/>
        <w:rPr>
          <w:sz w:val="24"/>
        </w:rPr>
      </w:pPr>
      <w:r>
        <w:rPr>
          <w:w w:val="125"/>
          <w:sz w:val="24"/>
        </w:rPr>
        <w:t>A globálisan rendszerszinten jelentős hitelintézet tájékoztatja 2014. július 1-jétől az Európai Bizottságot a 123. § (1) bekezdés </w:t>
      </w:r>
      <w:r>
        <w:rPr>
          <w:i/>
          <w:w w:val="125"/>
          <w:sz w:val="24"/>
        </w:rPr>
        <w:t>d)-f) </w:t>
      </w:r>
      <w:r>
        <w:rPr>
          <w:w w:val="125"/>
          <w:sz w:val="24"/>
        </w:rPr>
        <w:t>pontjában meghatározott információkról.</w:t>
      </w:r>
    </w:p>
    <w:p>
      <w:pPr>
        <w:pStyle w:val="ListParagraph"/>
        <w:numPr>
          <w:ilvl w:val="0"/>
          <w:numId w:val="643"/>
        </w:numPr>
        <w:tabs>
          <w:tab w:pos="1029" w:val="left" w:leader="none"/>
        </w:tabs>
        <w:spacing w:line="250" w:lineRule="exact" w:before="0" w:after="0"/>
        <w:ind w:left="1028" w:right="0" w:hanging="711"/>
        <w:jc w:val="left"/>
        <w:rPr>
          <w:sz w:val="24"/>
        </w:rPr>
      </w:pPr>
      <w:r>
        <w:rPr>
          <w:rFonts w:ascii="Arial" w:hAnsi="Arial"/>
          <w:b/>
          <w:w w:val="120"/>
          <w:sz w:val="24"/>
        </w:rPr>
        <w:t>§</w:t>
      </w:r>
      <w:r>
        <w:rPr>
          <w:i/>
          <w:w w:val="120"/>
          <w:position w:val="3"/>
          <w:sz w:val="18"/>
        </w:rPr>
        <w:t>2 </w:t>
      </w:r>
      <w:r>
        <w:rPr>
          <w:w w:val="120"/>
          <w:sz w:val="24"/>
        </w:rPr>
        <w:t>A Szantv. 161. § (9) bekezdésével megállapított 114. §-ban</w:t>
      </w:r>
      <w:r>
        <w:rPr>
          <w:spacing w:val="-15"/>
          <w:w w:val="120"/>
          <w:sz w:val="24"/>
        </w:rPr>
        <w:t> </w:t>
      </w:r>
      <w:r>
        <w:rPr>
          <w:w w:val="120"/>
          <w:sz w:val="24"/>
        </w:rPr>
        <w:t>foglalt</w:t>
      </w:r>
    </w:p>
    <w:p>
      <w:pPr>
        <w:pStyle w:val="BodyText"/>
        <w:spacing w:line="225" w:lineRule="auto" w:before="12"/>
        <w:ind w:right="127" w:firstLine="0"/>
        <w:jc w:val="both"/>
      </w:pPr>
      <w:r>
        <w:rPr>
          <w:w w:val="130"/>
        </w:rPr>
        <w:t>helyreállítási tervet valamint csoportszintű helyreállítási tervet a Szantv. hatálybalépésekor már működő vagy engedélyezési eljárás alatt lévő hitelintézet irányítási jogkörrel rendelkező vezető testülete első alkalommal legkésőbb 2014. december 31-ig köteles a Felügyeletnek benyújtani.</w:t>
      </w:r>
    </w:p>
    <w:p>
      <w:pPr>
        <w:pStyle w:val="BodyText"/>
        <w:spacing w:line="250" w:lineRule="exact"/>
        <w:ind w:left="317" w:firstLine="0"/>
      </w:pPr>
      <w:r>
        <w:rPr>
          <w:rFonts w:ascii="Arial" w:hAnsi="Arial"/>
          <w:b/>
          <w:w w:val="120"/>
        </w:rPr>
        <w:t>304/A. §</w:t>
      </w:r>
      <w:r>
        <w:rPr>
          <w:i/>
          <w:w w:val="120"/>
          <w:position w:val="3"/>
          <w:sz w:val="18"/>
        </w:rPr>
        <w:t>3 </w:t>
      </w:r>
      <w:r>
        <w:rPr>
          <w:w w:val="120"/>
        </w:rPr>
        <w:t>A 288/A. § szerinti intézmény a FATCA-törvény hatálybalépését</w:t>
      </w:r>
    </w:p>
    <w:p>
      <w:pPr>
        <w:pStyle w:val="BodyText"/>
        <w:spacing w:line="225" w:lineRule="auto" w:before="12"/>
        <w:ind w:right="130" w:firstLine="0"/>
        <w:jc w:val="both"/>
      </w:pPr>
      <w:r>
        <w:rPr>
          <w:w w:val="125"/>
        </w:rPr>
        <w:t>megelőzően létrejött pénzügyi számlák tekintetében a 288/B. § (1) bekezdés szerinti tájékoztatást írásban vagy - általános jelleggel, a számlatulajdonosok azonosítására alkalmatlan módon - a honlapján történő közzététellel legkésőbb 2015. június 30-ig teljesíti.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3"/>
        </w:rPr>
      </w:pPr>
      <w:r>
        <w:rPr/>
        <w:pict>
          <v:line style="position:absolute;mso-position-horizontal-relative:page;mso-position-vertical-relative:paragraph;z-index:2912;mso-wrap-distance-left:0;mso-wrap-distance-right:0" from="56.693001pt,15.735008pt" to="538.583001pt,15.735008pt" stroked="true" strokeweight=".5pt" strokecolor="#000000">
            <v:stroke dashstyle="solid"/>
            <w10:wrap type="topAndBottom"/>
          </v:line>
        </w:pict>
      </w:r>
    </w:p>
    <w:p>
      <w:pPr>
        <w:pStyle w:val="ListParagraph"/>
        <w:numPr>
          <w:ilvl w:val="0"/>
          <w:numId w:val="652"/>
        </w:numPr>
        <w:tabs>
          <w:tab w:pos="686" w:val="left" w:leader="none"/>
          <w:tab w:pos="687" w:val="left" w:leader="none"/>
        </w:tabs>
        <w:spacing w:line="203" w:lineRule="exact" w:before="44" w:after="0"/>
        <w:ind w:left="686" w:right="0" w:hanging="344"/>
        <w:jc w:val="left"/>
        <w:rPr>
          <w:i/>
          <w:sz w:val="18"/>
        </w:rPr>
      </w:pPr>
      <w:r>
        <w:rPr>
          <w:i/>
          <w:w w:val="120"/>
          <w:sz w:val="18"/>
        </w:rPr>
        <w:t>Beiktatta: 2015. évi CCXV. törvény 149. §. Hatályos: 2015. XII.</w:t>
      </w:r>
      <w:r>
        <w:rPr>
          <w:i/>
          <w:spacing w:val="44"/>
          <w:w w:val="120"/>
          <w:sz w:val="18"/>
        </w:rPr>
        <w:t> </w:t>
      </w:r>
      <w:r>
        <w:rPr>
          <w:i/>
          <w:w w:val="120"/>
          <w:sz w:val="18"/>
        </w:rPr>
        <w:t>31-től.</w:t>
      </w:r>
    </w:p>
    <w:p>
      <w:pPr>
        <w:pStyle w:val="ListParagraph"/>
        <w:numPr>
          <w:ilvl w:val="0"/>
          <w:numId w:val="652"/>
        </w:numPr>
        <w:tabs>
          <w:tab w:pos="686" w:val="left" w:leader="none"/>
          <w:tab w:pos="687" w:val="left" w:leader="none"/>
        </w:tabs>
        <w:spacing w:line="200" w:lineRule="exact" w:before="0" w:after="0"/>
        <w:ind w:left="686" w:right="0" w:hanging="344"/>
        <w:jc w:val="left"/>
        <w:rPr>
          <w:i/>
          <w:sz w:val="18"/>
        </w:rPr>
      </w:pPr>
      <w:r>
        <w:rPr>
          <w:i/>
          <w:w w:val="125"/>
          <w:sz w:val="18"/>
        </w:rPr>
        <w:t>Megállapította: 2014. évi XXXVII. törvény 161. § (24). Hatályos: 2014. VII.</w:t>
      </w:r>
      <w:r>
        <w:rPr>
          <w:i/>
          <w:spacing w:val="-34"/>
          <w:w w:val="125"/>
          <w:sz w:val="18"/>
        </w:rPr>
        <w:t> </w:t>
      </w:r>
      <w:r>
        <w:rPr>
          <w:i/>
          <w:w w:val="125"/>
          <w:sz w:val="18"/>
        </w:rPr>
        <w:t>21-től.</w:t>
      </w:r>
    </w:p>
    <w:p>
      <w:pPr>
        <w:pStyle w:val="ListParagraph"/>
        <w:numPr>
          <w:ilvl w:val="0"/>
          <w:numId w:val="652"/>
        </w:numPr>
        <w:tabs>
          <w:tab w:pos="686" w:val="left" w:leader="none"/>
          <w:tab w:pos="687" w:val="left" w:leader="none"/>
        </w:tabs>
        <w:spacing w:line="203" w:lineRule="exact" w:before="0" w:after="0"/>
        <w:ind w:left="686" w:right="0" w:hanging="344"/>
        <w:jc w:val="left"/>
        <w:rPr>
          <w:i/>
          <w:sz w:val="18"/>
        </w:rPr>
      </w:pPr>
      <w:r>
        <w:rPr>
          <w:i/>
          <w:w w:val="125"/>
          <w:sz w:val="18"/>
        </w:rPr>
        <w:t>Beiktatta: 2014. évi XIX. törvény 23. §. Hatályos: 2014. VII.</w:t>
      </w:r>
      <w:r>
        <w:rPr>
          <w:i/>
          <w:spacing w:val="-12"/>
          <w:w w:val="125"/>
          <w:sz w:val="18"/>
        </w:rPr>
        <w:t> </w:t>
      </w:r>
      <w:r>
        <w:rPr>
          <w:i/>
          <w:w w:val="125"/>
          <w:sz w:val="18"/>
        </w:rPr>
        <w:t>16-tól.</w:t>
      </w:r>
    </w:p>
    <w:p>
      <w:pPr>
        <w:spacing w:after="0" w:line="203" w:lineRule="exact"/>
        <w:jc w:val="left"/>
        <w:rPr>
          <w:sz w:val="18"/>
        </w:rPr>
        <w:sectPr>
          <w:pgSz w:w="11900" w:h="16820"/>
          <w:pgMar w:header="1104" w:footer="0" w:top="1840" w:bottom="280" w:left="1020" w:right="1000"/>
        </w:sectPr>
      </w:pPr>
    </w:p>
    <w:p>
      <w:pPr>
        <w:pStyle w:val="BodyText"/>
        <w:spacing w:line="262" w:lineRule="exact" w:before="158"/>
        <w:ind w:left="317" w:firstLine="0"/>
      </w:pPr>
      <w:r>
        <w:rPr>
          <w:rFonts w:ascii="Arial" w:hAnsi="Arial"/>
          <w:b/>
          <w:w w:val="125"/>
        </w:rPr>
        <w:t>304/B. </w:t>
      </w:r>
      <w:r>
        <w:rPr>
          <w:rFonts w:ascii="Arial" w:hAnsi="Arial"/>
          <w:b/>
          <w:spacing w:val="6"/>
          <w:w w:val="125"/>
        </w:rPr>
        <w:t>§</w:t>
      </w:r>
      <w:r>
        <w:rPr>
          <w:i/>
          <w:spacing w:val="6"/>
          <w:w w:val="125"/>
          <w:position w:val="3"/>
          <w:sz w:val="18"/>
        </w:rPr>
        <w:t>1 </w:t>
      </w:r>
      <w:r>
        <w:rPr>
          <w:w w:val="125"/>
        </w:rPr>
        <w:t>A hitelintézet 2015. március 31-éig tájékoztatja a közösségi</w:t>
      </w:r>
    </w:p>
    <w:p>
      <w:pPr>
        <w:pStyle w:val="BodyText"/>
        <w:spacing w:line="225" w:lineRule="auto" w:before="12"/>
        <w:ind w:right="125" w:firstLine="0"/>
        <w:jc w:val="both"/>
      </w:pPr>
      <w:r>
        <w:rPr>
          <w:w w:val="130"/>
        </w:rPr>
        <w:t>betéttel és a hitelintézet által kibocsátott hitelviszonyt megtestesítő értékpapírral rendelkező betéteseket a betétbiztosítás tekintetében 2015. július 3-án hatályba lépő változásokról.</w:t>
      </w:r>
    </w:p>
    <w:p>
      <w:pPr>
        <w:pStyle w:val="BodyText"/>
        <w:spacing w:line="250" w:lineRule="exact"/>
        <w:ind w:left="317" w:firstLine="0"/>
      </w:pPr>
      <w:r>
        <w:rPr>
          <w:rFonts w:ascii="Arial" w:hAnsi="Arial"/>
          <w:b/>
          <w:w w:val="125"/>
        </w:rPr>
        <w:t>304/C. §</w:t>
      </w:r>
      <w:r>
        <w:rPr>
          <w:i/>
          <w:w w:val="125"/>
          <w:position w:val="3"/>
          <w:sz w:val="18"/>
        </w:rPr>
        <w:t>2 </w:t>
      </w:r>
      <w:r>
        <w:rPr>
          <w:w w:val="125"/>
        </w:rPr>
        <w:t>(1) A 2015. július 2-át megelőzően hitelintézet által</w:t>
      </w:r>
      <w:r>
        <w:rPr>
          <w:spacing w:val="57"/>
          <w:w w:val="125"/>
        </w:rPr>
        <w:t> </w:t>
      </w:r>
      <w:r>
        <w:rPr>
          <w:w w:val="125"/>
        </w:rPr>
        <w:t>kibocsátott,</w:t>
      </w:r>
    </w:p>
    <w:p>
      <w:pPr>
        <w:pStyle w:val="BodyText"/>
        <w:spacing w:line="225" w:lineRule="auto" w:before="12"/>
        <w:ind w:right="110" w:firstLine="0"/>
        <w:jc w:val="both"/>
      </w:pPr>
      <w:r>
        <w:rPr>
          <w:w w:val="130"/>
        </w:rPr>
        <w:t>lejárattal rendelkező hitelviszonyt megtestesítő értékpapír betétbiztosítására lejáratáig a hitelintézetekről és pénzügyi vállalkozásokról szóló 2013. évi</w:t>
      </w:r>
      <w:r>
        <w:rPr>
          <w:spacing w:val="78"/>
          <w:w w:val="130"/>
        </w:rPr>
        <w:t> </w:t>
      </w:r>
      <w:r>
        <w:rPr>
          <w:w w:val="130"/>
        </w:rPr>
        <w:t>CCXXXVII.</w:t>
      </w:r>
      <w:r>
        <w:rPr>
          <w:spacing w:val="-49"/>
          <w:w w:val="130"/>
        </w:rPr>
        <w:t> </w:t>
      </w:r>
      <w:r>
        <w:rPr>
          <w:w w:val="130"/>
        </w:rPr>
        <w:t>törvény</w:t>
      </w:r>
      <w:r>
        <w:rPr>
          <w:spacing w:val="-50"/>
          <w:w w:val="130"/>
        </w:rPr>
        <w:t> </w:t>
      </w:r>
      <w:r>
        <w:rPr>
          <w:w w:val="130"/>
        </w:rPr>
        <w:t>2015.</w:t>
      </w:r>
      <w:r>
        <w:rPr>
          <w:spacing w:val="-49"/>
          <w:w w:val="130"/>
        </w:rPr>
        <w:t> </w:t>
      </w:r>
      <w:r>
        <w:rPr>
          <w:w w:val="130"/>
        </w:rPr>
        <w:t>július</w:t>
      </w:r>
      <w:r>
        <w:rPr>
          <w:spacing w:val="-49"/>
          <w:w w:val="130"/>
        </w:rPr>
        <w:t> </w:t>
      </w:r>
      <w:r>
        <w:rPr>
          <w:w w:val="130"/>
        </w:rPr>
        <w:t>2-án</w:t>
      </w:r>
      <w:r>
        <w:rPr>
          <w:spacing w:val="-49"/>
          <w:w w:val="130"/>
        </w:rPr>
        <w:t> </w:t>
      </w:r>
      <w:r>
        <w:rPr>
          <w:w w:val="130"/>
        </w:rPr>
        <w:t>érvényes</w:t>
      </w:r>
      <w:r>
        <w:rPr>
          <w:spacing w:val="-50"/>
          <w:w w:val="130"/>
        </w:rPr>
        <w:t> </w:t>
      </w:r>
      <w:r>
        <w:rPr>
          <w:w w:val="130"/>
        </w:rPr>
        <w:t>rendelkezéseit</w:t>
      </w:r>
      <w:r>
        <w:rPr>
          <w:spacing w:val="-48"/>
          <w:w w:val="130"/>
        </w:rPr>
        <w:t> </w:t>
      </w:r>
      <w:r>
        <w:rPr>
          <w:w w:val="130"/>
        </w:rPr>
        <w:t>kell</w:t>
      </w:r>
      <w:r>
        <w:rPr>
          <w:spacing w:val="-50"/>
          <w:w w:val="130"/>
        </w:rPr>
        <w:t> </w:t>
      </w:r>
      <w:r>
        <w:rPr>
          <w:w w:val="130"/>
        </w:rPr>
        <w:t>alkalmazni.</w:t>
      </w:r>
    </w:p>
    <w:p>
      <w:pPr>
        <w:pStyle w:val="ListParagraph"/>
        <w:numPr>
          <w:ilvl w:val="0"/>
          <w:numId w:val="653"/>
        </w:numPr>
        <w:tabs>
          <w:tab w:pos="883" w:val="left" w:leader="none"/>
        </w:tabs>
        <w:spacing w:line="225" w:lineRule="auto" w:before="2" w:after="0"/>
        <w:ind w:left="113" w:right="128" w:firstLine="204"/>
        <w:jc w:val="both"/>
        <w:rPr>
          <w:sz w:val="24"/>
        </w:rPr>
      </w:pPr>
      <w:r>
        <w:rPr>
          <w:w w:val="125"/>
          <w:sz w:val="24"/>
        </w:rPr>
        <w:t>A 2015. július 2-át megelőzően elhelyezett, lejárattal rendelkező közösségi betét betétbiztosítására lejáratáig a hitelintézetekről és pénzügyi vállalkozásokról</w:t>
      </w:r>
      <w:r>
        <w:rPr>
          <w:spacing w:val="-15"/>
          <w:w w:val="125"/>
          <w:sz w:val="24"/>
        </w:rPr>
        <w:t> </w:t>
      </w:r>
      <w:r>
        <w:rPr>
          <w:w w:val="125"/>
          <w:sz w:val="24"/>
        </w:rPr>
        <w:t>szóló</w:t>
      </w:r>
      <w:r>
        <w:rPr>
          <w:spacing w:val="-15"/>
          <w:w w:val="125"/>
          <w:sz w:val="24"/>
        </w:rPr>
        <w:t> </w:t>
      </w:r>
      <w:r>
        <w:rPr>
          <w:w w:val="125"/>
          <w:sz w:val="24"/>
        </w:rPr>
        <w:t>2013.</w:t>
      </w:r>
      <w:r>
        <w:rPr>
          <w:spacing w:val="-15"/>
          <w:w w:val="125"/>
          <w:sz w:val="24"/>
        </w:rPr>
        <w:t> </w:t>
      </w:r>
      <w:r>
        <w:rPr>
          <w:w w:val="125"/>
          <w:sz w:val="24"/>
        </w:rPr>
        <w:t>évi</w:t>
      </w:r>
      <w:r>
        <w:rPr>
          <w:spacing w:val="-14"/>
          <w:w w:val="125"/>
          <w:sz w:val="24"/>
        </w:rPr>
        <w:t> </w:t>
      </w:r>
      <w:r>
        <w:rPr>
          <w:w w:val="125"/>
          <w:sz w:val="24"/>
        </w:rPr>
        <w:t>CCXXXVII.</w:t>
      </w:r>
      <w:r>
        <w:rPr>
          <w:spacing w:val="-15"/>
          <w:w w:val="125"/>
          <w:sz w:val="24"/>
        </w:rPr>
        <w:t> </w:t>
      </w:r>
      <w:r>
        <w:rPr>
          <w:w w:val="125"/>
          <w:sz w:val="24"/>
        </w:rPr>
        <w:t>törvény</w:t>
      </w:r>
      <w:r>
        <w:rPr>
          <w:spacing w:val="-15"/>
          <w:w w:val="125"/>
          <w:sz w:val="24"/>
        </w:rPr>
        <w:t> </w:t>
      </w:r>
      <w:r>
        <w:rPr>
          <w:w w:val="125"/>
          <w:sz w:val="24"/>
        </w:rPr>
        <w:t>2015.</w:t>
      </w:r>
      <w:r>
        <w:rPr>
          <w:spacing w:val="-14"/>
          <w:w w:val="125"/>
          <w:sz w:val="24"/>
        </w:rPr>
        <w:t> </w:t>
      </w:r>
      <w:r>
        <w:rPr>
          <w:w w:val="125"/>
          <w:sz w:val="24"/>
        </w:rPr>
        <w:t>július</w:t>
      </w:r>
      <w:r>
        <w:rPr>
          <w:spacing w:val="-8"/>
          <w:w w:val="125"/>
          <w:sz w:val="24"/>
        </w:rPr>
        <w:t> </w:t>
      </w:r>
      <w:r>
        <w:rPr>
          <w:w w:val="125"/>
          <w:sz w:val="24"/>
        </w:rPr>
        <w:t>2-án</w:t>
      </w:r>
      <w:r>
        <w:rPr>
          <w:spacing w:val="-22"/>
          <w:w w:val="125"/>
          <w:sz w:val="24"/>
        </w:rPr>
        <w:t> </w:t>
      </w:r>
      <w:r>
        <w:rPr>
          <w:w w:val="125"/>
          <w:sz w:val="24"/>
        </w:rPr>
        <w:t>érvényes rendelkezéseit kell</w:t>
      </w:r>
      <w:r>
        <w:rPr>
          <w:spacing w:val="1"/>
          <w:w w:val="125"/>
          <w:sz w:val="24"/>
        </w:rPr>
        <w:t> </w:t>
      </w:r>
      <w:r>
        <w:rPr>
          <w:w w:val="125"/>
          <w:sz w:val="24"/>
        </w:rPr>
        <w:t>alkalmazni.</w:t>
      </w:r>
    </w:p>
    <w:p>
      <w:pPr>
        <w:pStyle w:val="ListParagraph"/>
        <w:numPr>
          <w:ilvl w:val="0"/>
          <w:numId w:val="653"/>
        </w:numPr>
        <w:tabs>
          <w:tab w:pos="800" w:val="left" w:leader="none"/>
        </w:tabs>
        <w:spacing w:line="225" w:lineRule="auto" w:before="2" w:after="0"/>
        <w:ind w:left="113" w:right="125" w:firstLine="204"/>
        <w:jc w:val="both"/>
        <w:rPr>
          <w:sz w:val="24"/>
        </w:rPr>
      </w:pPr>
      <w:r>
        <w:rPr>
          <w:w w:val="125"/>
          <w:sz w:val="24"/>
        </w:rPr>
        <w:t>A 2015. július 2-át megelőzően elhelyezett, lejárattal nem rendelkező közösségi betét betétbiztosítására 2015.  augusztus  31-éig  a  hitelintézetekről és pénzügyi vállalkozásokról szóló 2013. évi CCXXXVII. törvény 2015. július 2-án érvényes rendelkezéseit kell</w:t>
      </w:r>
      <w:r>
        <w:rPr>
          <w:spacing w:val="4"/>
          <w:w w:val="125"/>
          <w:sz w:val="24"/>
        </w:rPr>
        <w:t> </w:t>
      </w:r>
      <w:r>
        <w:rPr>
          <w:w w:val="125"/>
          <w:sz w:val="24"/>
        </w:rPr>
        <w:t>alkalmazni.</w:t>
      </w:r>
    </w:p>
    <w:p>
      <w:pPr>
        <w:pStyle w:val="ListParagraph"/>
        <w:numPr>
          <w:ilvl w:val="0"/>
          <w:numId w:val="653"/>
        </w:numPr>
        <w:tabs>
          <w:tab w:pos="797" w:val="left" w:leader="none"/>
        </w:tabs>
        <w:spacing w:line="225" w:lineRule="auto" w:before="2" w:after="0"/>
        <w:ind w:left="113" w:right="133" w:firstLine="204"/>
        <w:jc w:val="both"/>
        <w:rPr>
          <w:sz w:val="24"/>
        </w:rPr>
      </w:pPr>
      <w:r>
        <w:rPr>
          <w:w w:val="125"/>
          <w:sz w:val="24"/>
        </w:rPr>
        <w:t>Az egyes pénzügyi tárgyú törvényeknek a betétbiztosítást, valamint a pénzügyi közvetítőrendszert érintő módosításáról szóló 2014. évi CIV.</w:t>
      </w:r>
      <w:r>
        <w:rPr>
          <w:spacing w:val="24"/>
          <w:w w:val="125"/>
          <w:sz w:val="24"/>
        </w:rPr>
        <w:t> </w:t>
      </w:r>
      <w:r>
        <w:rPr>
          <w:w w:val="125"/>
          <w:sz w:val="24"/>
        </w:rPr>
        <w:t>törvény</w:t>
      </w:r>
    </w:p>
    <w:p>
      <w:pPr>
        <w:pStyle w:val="ListParagraph"/>
        <w:numPr>
          <w:ilvl w:val="0"/>
          <w:numId w:val="654"/>
        </w:numPr>
        <w:tabs>
          <w:tab w:pos="757" w:val="left" w:leader="none"/>
        </w:tabs>
        <w:spacing w:line="225" w:lineRule="auto" w:before="1" w:after="0"/>
        <w:ind w:left="113" w:right="123" w:firstLine="0"/>
        <w:jc w:val="both"/>
        <w:rPr>
          <w:sz w:val="24"/>
        </w:rPr>
      </w:pPr>
      <w:r>
        <w:rPr>
          <w:w w:val="125"/>
          <w:sz w:val="24"/>
        </w:rPr>
        <w:t>§-ával megállapított 213. § (2)-(3) bekezdését a hatálybalépését megelőzően elhelyezett betétekre is alkalmazni</w:t>
      </w:r>
      <w:r>
        <w:rPr>
          <w:spacing w:val="23"/>
          <w:w w:val="125"/>
          <w:sz w:val="24"/>
        </w:rPr>
        <w:t> </w:t>
      </w:r>
      <w:r>
        <w:rPr>
          <w:w w:val="125"/>
          <w:sz w:val="24"/>
        </w:rPr>
        <w:t>kell.</w:t>
      </w:r>
    </w:p>
    <w:p>
      <w:pPr>
        <w:pStyle w:val="ListParagraph"/>
        <w:numPr>
          <w:ilvl w:val="0"/>
          <w:numId w:val="653"/>
        </w:numPr>
        <w:tabs>
          <w:tab w:pos="797" w:val="left" w:leader="none"/>
        </w:tabs>
        <w:spacing w:line="225" w:lineRule="auto" w:before="2" w:after="0"/>
        <w:ind w:left="113" w:right="133" w:firstLine="204"/>
        <w:jc w:val="both"/>
        <w:rPr>
          <w:sz w:val="24"/>
        </w:rPr>
      </w:pPr>
      <w:r>
        <w:rPr>
          <w:w w:val="125"/>
          <w:sz w:val="24"/>
        </w:rPr>
        <w:t>Az egyes pénzügyi tárgyú törvényeknek a betétbiztosítást, valamint a pénzügyi közvetítőrendszert érintő módosításáról szóló 2014. évi CIV.</w:t>
      </w:r>
      <w:r>
        <w:rPr>
          <w:spacing w:val="24"/>
          <w:w w:val="125"/>
          <w:sz w:val="24"/>
        </w:rPr>
        <w:t> </w:t>
      </w:r>
      <w:r>
        <w:rPr>
          <w:w w:val="125"/>
          <w:sz w:val="24"/>
        </w:rPr>
        <w:t>törvény</w:t>
      </w:r>
    </w:p>
    <w:p>
      <w:pPr>
        <w:pStyle w:val="ListParagraph"/>
        <w:numPr>
          <w:ilvl w:val="0"/>
          <w:numId w:val="654"/>
        </w:numPr>
        <w:tabs>
          <w:tab w:pos="769" w:val="left" w:leader="none"/>
        </w:tabs>
        <w:spacing w:line="225" w:lineRule="auto" w:before="1" w:after="0"/>
        <w:ind w:left="113" w:right="122" w:firstLine="0"/>
        <w:jc w:val="both"/>
        <w:rPr>
          <w:sz w:val="24"/>
        </w:rPr>
      </w:pPr>
      <w:r>
        <w:rPr>
          <w:w w:val="125"/>
          <w:sz w:val="24"/>
        </w:rPr>
        <w:t>§-ával megállapított 214. § (9)-(10) bekezdését a hitelintézetek hatálybalépését követő egyesülése vagy fiókteleppé alakulása, valamint a hatálybalépését követő betétállomány átruházás esetén kell</w:t>
      </w:r>
      <w:r>
        <w:rPr>
          <w:spacing w:val="49"/>
          <w:w w:val="125"/>
          <w:sz w:val="24"/>
        </w:rPr>
        <w:t> </w:t>
      </w:r>
      <w:r>
        <w:rPr>
          <w:w w:val="125"/>
          <w:sz w:val="24"/>
        </w:rPr>
        <w:t>alkalmazni.</w:t>
      </w:r>
    </w:p>
    <w:p>
      <w:pPr>
        <w:pStyle w:val="ListParagraph"/>
        <w:numPr>
          <w:ilvl w:val="0"/>
          <w:numId w:val="653"/>
        </w:numPr>
        <w:tabs>
          <w:tab w:pos="659" w:val="left" w:leader="none"/>
        </w:tabs>
        <w:spacing w:line="250" w:lineRule="exact" w:before="0" w:after="0"/>
        <w:ind w:left="658" w:right="0" w:hanging="341"/>
        <w:jc w:val="left"/>
        <w:rPr>
          <w:sz w:val="24"/>
        </w:rPr>
      </w:pPr>
      <w:r>
        <w:rPr>
          <w:i/>
          <w:w w:val="125"/>
          <w:position w:val="3"/>
          <w:sz w:val="18"/>
        </w:rPr>
        <w:t>3 </w:t>
      </w:r>
      <w:r>
        <w:rPr>
          <w:w w:val="125"/>
          <w:sz w:val="24"/>
        </w:rPr>
        <w:t>Az egyes pénzügyi tárgyú törvényeknek a betétbiztosítást, valamint</w:t>
      </w:r>
      <w:r>
        <w:rPr>
          <w:spacing w:val="38"/>
          <w:w w:val="125"/>
          <w:sz w:val="24"/>
        </w:rPr>
        <w:t> </w:t>
      </w:r>
      <w:r>
        <w:rPr>
          <w:w w:val="125"/>
          <w:sz w:val="24"/>
        </w:rPr>
        <w:t>a</w:t>
      </w:r>
    </w:p>
    <w:p>
      <w:pPr>
        <w:pStyle w:val="BodyText"/>
        <w:spacing w:line="267" w:lineRule="exact"/>
        <w:ind w:firstLine="0"/>
      </w:pPr>
      <w:r>
        <w:rPr>
          <w:w w:val="125"/>
        </w:rPr>
        <w:t>pénzügyi közvetítőrendszert érintő módosításáról szóló 2014. évi CIV. törvény</w:t>
      </w:r>
    </w:p>
    <w:p>
      <w:pPr>
        <w:pStyle w:val="BodyText"/>
        <w:spacing w:line="225" w:lineRule="auto" w:before="5"/>
        <w:ind w:right="123" w:firstLine="0"/>
        <w:jc w:val="both"/>
      </w:pPr>
      <w:r>
        <w:rPr>
          <w:w w:val="130"/>
        </w:rPr>
        <w:t>87. § (2) bekezdésében megállapított 272. § (3) bekezdésében foglaltaknak a 2015.</w:t>
      </w:r>
      <w:r>
        <w:rPr>
          <w:spacing w:val="-21"/>
          <w:w w:val="130"/>
        </w:rPr>
        <w:t> </w:t>
      </w:r>
      <w:r>
        <w:rPr>
          <w:w w:val="130"/>
        </w:rPr>
        <w:t>július</w:t>
      </w:r>
      <w:r>
        <w:rPr>
          <w:spacing w:val="-20"/>
          <w:w w:val="130"/>
        </w:rPr>
        <w:t> </w:t>
      </w:r>
      <w:r>
        <w:rPr>
          <w:w w:val="130"/>
        </w:rPr>
        <w:t>3-án</w:t>
      </w:r>
      <w:r>
        <w:rPr>
          <w:spacing w:val="-20"/>
          <w:w w:val="130"/>
        </w:rPr>
        <w:t> </w:t>
      </w:r>
      <w:r>
        <w:rPr>
          <w:w w:val="130"/>
        </w:rPr>
        <w:t>már</w:t>
      </w:r>
      <w:r>
        <w:rPr>
          <w:spacing w:val="-21"/>
          <w:w w:val="130"/>
        </w:rPr>
        <w:t> </w:t>
      </w:r>
      <w:r>
        <w:rPr>
          <w:w w:val="130"/>
        </w:rPr>
        <w:t>fennálló</w:t>
      </w:r>
      <w:r>
        <w:rPr>
          <w:spacing w:val="-20"/>
          <w:w w:val="130"/>
        </w:rPr>
        <w:t> </w:t>
      </w:r>
      <w:r>
        <w:rPr>
          <w:w w:val="130"/>
        </w:rPr>
        <w:t>betétszerződés,</w:t>
      </w:r>
      <w:r>
        <w:rPr>
          <w:spacing w:val="-20"/>
          <w:w w:val="130"/>
        </w:rPr>
        <w:t> </w:t>
      </w:r>
      <w:r>
        <w:rPr>
          <w:w w:val="130"/>
        </w:rPr>
        <w:t>betét</w:t>
      </w:r>
      <w:r>
        <w:rPr>
          <w:spacing w:val="-21"/>
          <w:w w:val="130"/>
        </w:rPr>
        <w:t> </w:t>
      </w:r>
      <w:r>
        <w:rPr>
          <w:w w:val="130"/>
        </w:rPr>
        <w:t>elhelyezését</w:t>
      </w:r>
      <w:r>
        <w:rPr>
          <w:spacing w:val="-10"/>
          <w:w w:val="130"/>
        </w:rPr>
        <w:t> </w:t>
      </w:r>
      <w:r>
        <w:rPr>
          <w:w w:val="130"/>
        </w:rPr>
        <w:t>lehetővé</w:t>
      </w:r>
      <w:r>
        <w:rPr>
          <w:spacing w:val="-31"/>
          <w:w w:val="130"/>
        </w:rPr>
        <w:t> </w:t>
      </w:r>
      <w:r>
        <w:rPr>
          <w:w w:val="130"/>
        </w:rPr>
        <w:t>tevő szerződés vagy keretszerződés esetén a hitelintézet a 275. § (6) bekezdésben meghatározott, 2015. július 3-át követő első éves tájékoztatási kötelezettsége teljesítésével tesz eleget azzal, hogy ebben az esetben nem szükséges, hogy a betétes</w:t>
      </w:r>
      <w:r>
        <w:rPr>
          <w:spacing w:val="-11"/>
          <w:w w:val="130"/>
        </w:rPr>
        <w:t> </w:t>
      </w:r>
      <w:r>
        <w:rPr>
          <w:w w:val="130"/>
        </w:rPr>
        <w:t>a</w:t>
      </w:r>
      <w:r>
        <w:rPr>
          <w:spacing w:val="-11"/>
          <w:w w:val="130"/>
        </w:rPr>
        <w:t> </w:t>
      </w:r>
      <w:r>
        <w:rPr>
          <w:w w:val="130"/>
        </w:rPr>
        <w:t>6.</w:t>
      </w:r>
      <w:r>
        <w:rPr>
          <w:spacing w:val="-12"/>
          <w:w w:val="130"/>
        </w:rPr>
        <w:t> </w:t>
      </w:r>
      <w:r>
        <w:rPr>
          <w:w w:val="130"/>
        </w:rPr>
        <w:t>melléklet</w:t>
      </w:r>
      <w:r>
        <w:rPr>
          <w:spacing w:val="-11"/>
          <w:w w:val="130"/>
        </w:rPr>
        <w:t> </w:t>
      </w:r>
      <w:r>
        <w:rPr>
          <w:w w:val="130"/>
        </w:rPr>
        <w:t>szerinti</w:t>
      </w:r>
      <w:r>
        <w:rPr>
          <w:spacing w:val="-10"/>
          <w:w w:val="130"/>
        </w:rPr>
        <w:t> </w:t>
      </w:r>
      <w:r>
        <w:rPr>
          <w:w w:val="130"/>
        </w:rPr>
        <w:t>tájékoztatás</w:t>
      </w:r>
      <w:r>
        <w:rPr>
          <w:spacing w:val="-12"/>
          <w:w w:val="130"/>
        </w:rPr>
        <w:t> </w:t>
      </w:r>
      <w:r>
        <w:rPr>
          <w:w w:val="130"/>
        </w:rPr>
        <w:t>megtörténtét</w:t>
      </w:r>
      <w:r>
        <w:rPr>
          <w:spacing w:val="-11"/>
          <w:w w:val="130"/>
        </w:rPr>
        <w:t> </w:t>
      </w:r>
      <w:r>
        <w:rPr>
          <w:w w:val="130"/>
        </w:rPr>
        <w:t>aláírásával</w:t>
      </w:r>
      <w:r>
        <w:rPr>
          <w:spacing w:val="-11"/>
          <w:w w:val="130"/>
        </w:rPr>
        <w:t> </w:t>
      </w:r>
      <w:r>
        <w:rPr>
          <w:w w:val="130"/>
        </w:rPr>
        <w:t>igazolja.</w:t>
      </w:r>
    </w:p>
    <w:p>
      <w:pPr>
        <w:pStyle w:val="ListParagraph"/>
        <w:numPr>
          <w:ilvl w:val="0"/>
          <w:numId w:val="653"/>
        </w:numPr>
        <w:tabs>
          <w:tab w:pos="659" w:val="left" w:leader="none"/>
        </w:tabs>
        <w:spacing w:line="258" w:lineRule="exact" w:before="0" w:after="0"/>
        <w:ind w:left="658" w:right="0" w:hanging="341"/>
        <w:jc w:val="left"/>
        <w:rPr>
          <w:sz w:val="24"/>
        </w:rPr>
      </w:pPr>
      <w:r>
        <w:rPr>
          <w:i/>
          <w:w w:val="125"/>
          <w:position w:val="3"/>
          <w:sz w:val="18"/>
        </w:rPr>
        <w:t>4 </w:t>
      </w:r>
      <w:r>
        <w:rPr>
          <w:w w:val="125"/>
          <w:sz w:val="24"/>
        </w:rPr>
        <w:t>A jelzáloghitel közvetítői tevékenységet 2016. március</w:t>
      </w:r>
      <w:r>
        <w:rPr>
          <w:spacing w:val="-37"/>
          <w:w w:val="125"/>
          <w:sz w:val="24"/>
        </w:rPr>
        <w:t> </w:t>
      </w:r>
      <w:r>
        <w:rPr>
          <w:w w:val="125"/>
          <w:sz w:val="24"/>
        </w:rPr>
        <w:t>21-én</w:t>
      </w:r>
    </w:p>
    <w:p>
      <w:pPr>
        <w:pStyle w:val="ListParagraph"/>
        <w:numPr>
          <w:ilvl w:val="0"/>
          <w:numId w:val="655"/>
        </w:numPr>
        <w:tabs>
          <w:tab w:pos="635" w:val="left" w:leader="none"/>
        </w:tabs>
        <w:spacing w:line="225" w:lineRule="auto" w:before="6" w:after="0"/>
        <w:ind w:left="113" w:right="135" w:firstLine="204"/>
        <w:jc w:val="both"/>
        <w:rPr>
          <w:sz w:val="24"/>
        </w:rPr>
      </w:pPr>
      <w:r>
        <w:rPr>
          <w:w w:val="130"/>
          <w:sz w:val="24"/>
        </w:rPr>
        <w:t>a</w:t>
      </w:r>
      <w:r>
        <w:rPr>
          <w:spacing w:val="-24"/>
          <w:w w:val="130"/>
          <w:sz w:val="24"/>
        </w:rPr>
        <w:t> </w:t>
      </w:r>
      <w:r>
        <w:rPr>
          <w:w w:val="130"/>
          <w:sz w:val="24"/>
        </w:rPr>
        <w:t>Felügyelet</w:t>
      </w:r>
      <w:r>
        <w:rPr>
          <w:spacing w:val="-12"/>
          <w:w w:val="130"/>
          <w:sz w:val="24"/>
        </w:rPr>
        <w:t> </w:t>
      </w:r>
      <w:r>
        <w:rPr>
          <w:w w:val="130"/>
          <w:sz w:val="24"/>
        </w:rPr>
        <w:t>felé</w:t>
      </w:r>
      <w:r>
        <w:rPr>
          <w:spacing w:val="-36"/>
          <w:w w:val="130"/>
          <w:sz w:val="24"/>
        </w:rPr>
        <w:t> </w:t>
      </w:r>
      <w:r>
        <w:rPr>
          <w:w w:val="130"/>
          <w:sz w:val="24"/>
        </w:rPr>
        <w:t>történő</w:t>
      </w:r>
      <w:r>
        <w:rPr>
          <w:spacing w:val="-24"/>
          <w:w w:val="130"/>
          <w:sz w:val="24"/>
        </w:rPr>
        <w:t> </w:t>
      </w:r>
      <w:r>
        <w:rPr>
          <w:w w:val="130"/>
          <w:sz w:val="24"/>
        </w:rPr>
        <w:t>bejelentéssel</w:t>
      </w:r>
      <w:r>
        <w:rPr>
          <w:spacing w:val="-24"/>
          <w:w w:val="130"/>
          <w:sz w:val="24"/>
        </w:rPr>
        <w:t> </w:t>
      </w:r>
      <w:r>
        <w:rPr>
          <w:w w:val="130"/>
          <w:sz w:val="24"/>
        </w:rPr>
        <w:t>végző</w:t>
      </w:r>
      <w:r>
        <w:rPr>
          <w:spacing w:val="-24"/>
          <w:w w:val="130"/>
          <w:sz w:val="24"/>
        </w:rPr>
        <w:t> </w:t>
      </w:r>
      <w:r>
        <w:rPr>
          <w:w w:val="130"/>
          <w:sz w:val="24"/>
        </w:rPr>
        <w:t>közvetítő</w:t>
      </w:r>
      <w:r>
        <w:rPr>
          <w:spacing w:val="-24"/>
          <w:w w:val="130"/>
          <w:sz w:val="24"/>
        </w:rPr>
        <w:t> </w:t>
      </w:r>
      <w:r>
        <w:rPr>
          <w:w w:val="130"/>
          <w:sz w:val="24"/>
        </w:rPr>
        <w:t>ezen</w:t>
      </w:r>
      <w:r>
        <w:rPr>
          <w:spacing w:val="-24"/>
          <w:w w:val="130"/>
          <w:sz w:val="24"/>
        </w:rPr>
        <w:t> </w:t>
      </w:r>
      <w:r>
        <w:rPr>
          <w:w w:val="130"/>
          <w:sz w:val="24"/>
        </w:rPr>
        <w:t>tevékenységét a Felügyelet engedélye nélkül 2017. március</w:t>
      </w:r>
      <w:r>
        <w:rPr>
          <w:spacing w:val="-56"/>
          <w:w w:val="130"/>
          <w:sz w:val="24"/>
        </w:rPr>
        <w:t> </w:t>
      </w:r>
      <w:r>
        <w:rPr>
          <w:w w:val="130"/>
          <w:sz w:val="24"/>
        </w:rPr>
        <w:t>21-ig folytathatja,</w:t>
      </w:r>
    </w:p>
    <w:p>
      <w:pPr>
        <w:pStyle w:val="ListParagraph"/>
        <w:numPr>
          <w:ilvl w:val="0"/>
          <w:numId w:val="655"/>
        </w:numPr>
        <w:tabs>
          <w:tab w:pos="660" w:val="left" w:leader="none"/>
        </w:tabs>
        <w:spacing w:line="225" w:lineRule="auto" w:before="1" w:after="0"/>
        <w:ind w:left="113" w:right="132" w:firstLine="204"/>
        <w:jc w:val="both"/>
        <w:rPr>
          <w:sz w:val="24"/>
        </w:rPr>
      </w:pPr>
      <w:r>
        <w:rPr>
          <w:w w:val="130"/>
          <w:sz w:val="24"/>
        </w:rPr>
        <w:t>a</w:t>
      </w:r>
      <w:r>
        <w:rPr>
          <w:spacing w:val="-24"/>
          <w:w w:val="130"/>
          <w:sz w:val="24"/>
        </w:rPr>
        <w:t> </w:t>
      </w:r>
      <w:r>
        <w:rPr>
          <w:w w:val="130"/>
          <w:sz w:val="24"/>
        </w:rPr>
        <w:t>Felügyelet</w:t>
      </w:r>
      <w:r>
        <w:rPr>
          <w:spacing w:val="-23"/>
          <w:w w:val="130"/>
          <w:sz w:val="24"/>
        </w:rPr>
        <w:t> </w:t>
      </w:r>
      <w:r>
        <w:rPr>
          <w:w w:val="130"/>
          <w:sz w:val="24"/>
        </w:rPr>
        <w:t>engedélyével</w:t>
      </w:r>
      <w:r>
        <w:rPr>
          <w:spacing w:val="-23"/>
          <w:w w:val="130"/>
          <w:sz w:val="24"/>
        </w:rPr>
        <w:t> </w:t>
      </w:r>
      <w:r>
        <w:rPr>
          <w:w w:val="130"/>
          <w:sz w:val="24"/>
        </w:rPr>
        <w:t>végző</w:t>
      </w:r>
      <w:r>
        <w:rPr>
          <w:spacing w:val="-23"/>
          <w:w w:val="130"/>
          <w:sz w:val="24"/>
        </w:rPr>
        <w:t> </w:t>
      </w:r>
      <w:r>
        <w:rPr>
          <w:w w:val="130"/>
          <w:sz w:val="24"/>
        </w:rPr>
        <w:t>közvetítő</w:t>
      </w:r>
      <w:r>
        <w:rPr>
          <w:spacing w:val="-23"/>
          <w:w w:val="130"/>
          <w:sz w:val="24"/>
        </w:rPr>
        <w:t> </w:t>
      </w:r>
      <w:r>
        <w:rPr>
          <w:w w:val="130"/>
          <w:sz w:val="24"/>
        </w:rPr>
        <w:t>legkésőbb</w:t>
      </w:r>
      <w:r>
        <w:rPr>
          <w:spacing w:val="-23"/>
          <w:w w:val="130"/>
          <w:sz w:val="24"/>
        </w:rPr>
        <w:t> </w:t>
      </w:r>
      <w:r>
        <w:rPr>
          <w:w w:val="130"/>
          <w:sz w:val="24"/>
        </w:rPr>
        <w:t>2017.</w:t>
      </w:r>
      <w:r>
        <w:rPr>
          <w:spacing w:val="-24"/>
          <w:w w:val="130"/>
          <w:sz w:val="24"/>
        </w:rPr>
        <w:t> </w:t>
      </w:r>
      <w:r>
        <w:rPr>
          <w:w w:val="130"/>
          <w:sz w:val="24"/>
        </w:rPr>
        <w:t>március</w:t>
      </w:r>
      <w:r>
        <w:rPr>
          <w:spacing w:val="-23"/>
          <w:w w:val="130"/>
          <w:sz w:val="24"/>
        </w:rPr>
        <w:t> </w:t>
      </w:r>
      <w:r>
        <w:rPr>
          <w:w w:val="130"/>
          <w:sz w:val="24"/>
        </w:rPr>
        <w:t>21-ig végezheti ezen tevékenységét a 2016. március 20. napján hatályos engedélyezési</w:t>
      </w:r>
      <w:r>
        <w:rPr>
          <w:spacing w:val="-5"/>
          <w:w w:val="130"/>
          <w:sz w:val="24"/>
        </w:rPr>
        <w:t> </w:t>
      </w:r>
      <w:r>
        <w:rPr>
          <w:w w:val="130"/>
          <w:sz w:val="24"/>
        </w:rPr>
        <w:t>feltételekkel.</w:t>
      </w:r>
    </w:p>
    <w:p>
      <w:pPr>
        <w:pStyle w:val="BodyText"/>
        <w:tabs>
          <w:tab w:pos="1522" w:val="left" w:leader="none"/>
          <w:tab w:pos="2091" w:val="left" w:leader="none"/>
          <w:tab w:pos="2710" w:val="left" w:leader="none"/>
          <w:tab w:pos="3724" w:val="left" w:leader="none"/>
          <w:tab w:pos="5691" w:val="left" w:leader="none"/>
          <w:tab w:pos="6154" w:val="left" w:leader="none"/>
          <w:tab w:pos="7570" w:val="left" w:leader="none"/>
        </w:tabs>
        <w:spacing w:line="250" w:lineRule="exact"/>
        <w:ind w:left="317" w:firstLine="0"/>
      </w:pPr>
      <w:r>
        <w:rPr>
          <w:rFonts w:ascii="Arial" w:hAnsi="Arial"/>
          <w:b/>
          <w:w w:val="125"/>
        </w:rPr>
        <w:t>304/D.</w:t>
        <w:tab/>
        <w:t>§</w:t>
      </w:r>
      <w:r>
        <w:rPr>
          <w:i/>
          <w:w w:val="125"/>
          <w:position w:val="3"/>
          <w:sz w:val="18"/>
        </w:rPr>
        <w:t>5</w:t>
        <w:tab/>
      </w:r>
      <w:r>
        <w:rPr>
          <w:w w:val="125"/>
        </w:rPr>
        <w:t>Az</w:t>
        <w:tab/>
        <w:t>egyes</w:t>
        <w:tab/>
        <w:t>törvényeknek</w:t>
        <w:tab/>
        <w:t>a</w:t>
        <w:tab/>
        <w:t>pénzügyi</w:t>
        <w:tab/>
        <w:t>közvetítőrendszer</w:t>
      </w:r>
    </w:p>
    <w:p>
      <w:pPr>
        <w:pStyle w:val="BodyText"/>
        <w:spacing w:line="225" w:lineRule="auto" w:before="12"/>
        <w:ind w:right="125" w:firstLine="0"/>
        <w:jc w:val="both"/>
      </w:pPr>
      <w:r>
        <w:rPr>
          <w:w w:val="125"/>
        </w:rPr>
        <w:t>fejlesztésének előmozdítása érdekében történő módosításáról szóló 2015. LXXXV. évi törvény 195. §-ával megállapított 67/A. §-t a szövetkezeti hitelintézetek tekintetében 2018. január 1-től kell alkalmazni.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6"/>
        </w:rPr>
      </w:pPr>
      <w:r>
        <w:rPr/>
        <w:pict>
          <v:line style="position:absolute;mso-position-horizontal-relative:page;mso-position-vertical-relative:paragraph;z-index:2936;mso-wrap-distance-left:0;mso-wrap-distance-right:0" from="56.693001pt,11.707859pt" to="538.583001pt,11.707859pt" stroked="true" strokeweight=".5pt" strokecolor="#000000">
            <v:stroke dashstyle="solid"/>
            <w10:wrap type="topAndBottom"/>
          </v:line>
        </w:pict>
      </w:r>
    </w:p>
    <w:p>
      <w:pPr>
        <w:pStyle w:val="ListParagraph"/>
        <w:numPr>
          <w:ilvl w:val="0"/>
          <w:numId w:val="656"/>
        </w:numPr>
        <w:tabs>
          <w:tab w:pos="686" w:val="left" w:leader="none"/>
          <w:tab w:pos="687" w:val="left" w:leader="none"/>
        </w:tabs>
        <w:spacing w:line="203" w:lineRule="exact" w:before="44" w:after="0"/>
        <w:ind w:left="686" w:right="0" w:hanging="344"/>
        <w:jc w:val="left"/>
        <w:rPr>
          <w:i/>
          <w:sz w:val="18"/>
        </w:rPr>
      </w:pPr>
      <w:r>
        <w:rPr>
          <w:i/>
          <w:w w:val="125"/>
          <w:sz w:val="18"/>
        </w:rPr>
        <w:t>Beiktatta: 2014. évi CIV. törvény 92. §. Hatályos: 2015. I.</w:t>
      </w:r>
      <w:r>
        <w:rPr>
          <w:i/>
          <w:spacing w:val="-9"/>
          <w:w w:val="125"/>
          <w:sz w:val="18"/>
        </w:rPr>
        <w:t> </w:t>
      </w:r>
      <w:r>
        <w:rPr>
          <w:i/>
          <w:w w:val="125"/>
          <w:sz w:val="18"/>
        </w:rPr>
        <w:t>1-től.</w:t>
      </w:r>
    </w:p>
    <w:p>
      <w:pPr>
        <w:pStyle w:val="ListParagraph"/>
        <w:numPr>
          <w:ilvl w:val="0"/>
          <w:numId w:val="656"/>
        </w:numPr>
        <w:tabs>
          <w:tab w:pos="686" w:val="left" w:leader="none"/>
          <w:tab w:pos="687" w:val="left" w:leader="none"/>
        </w:tabs>
        <w:spacing w:line="200" w:lineRule="exact" w:before="0" w:after="0"/>
        <w:ind w:left="686" w:right="0" w:hanging="344"/>
        <w:jc w:val="left"/>
        <w:rPr>
          <w:i/>
          <w:sz w:val="18"/>
        </w:rPr>
      </w:pPr>
      <w:r>
        <w:rPr>
          <w:i/>
          <w:w w:val="125"/>
          <w:sz w:val="18"/>
        </w:rPr>
        <w:t>Beiktatta: 2014. évi CIV. törvény 93. §. Hatályos: 2015. VII.</w:t>
      </w:r>
      <w:r>
        <w:rPr>
          <w:i/>
          <w:spacing w:val="-11"/>
          <w:w w:val="125"/>
          <w:sz w:val="18"/>
        </w:rPr>
        <w:t> </w:t>
      </w:r>
      <w:r>
        <w:rPr>
          <w:i/>
          <w:w w:val="125"/>
          <w:sz w:val="18"/>
        </w:rPr>
        <w:t>3-tól.</w:t>
      </w:r>
    </w:p>
    <w:p>
      <w:pPr>
        <w:pStyle w:val="ListParagraph"/>
        <w:numPr>
          <w:ilvl w:val="0"/>
          <w:numId w:val="656"/>
        </w:numPr>
        <w:tabs>
          <w:tab w:pos="686" w:val="left" w:leader="none"/>
          <w:tab w:pos="687" w:val="left" w:leader="none"/>
        </w:tabs>
        <w:spacing w:line="200" w:lineRule="exact" w:before="0" w:after="0"/>
        <w:ind w:left="686" w:right="0" w:hanging="344"/>
        <w:jc w:val="left"/>
        <w:rPr>
          <w:i/>
          <w:sz w:val="18"/>
        </w:rPr>
      </w:pPr>
      <w:r>
        <w:rPr>
          <w:i/>
          <w:w w:val="120"/>
          <w:sz w:val="18"/>
        </w:rPr>
        <w:t>Beiktatta: 2015. évi LXXXV. törvény 235. §. Hatályos: 2015. VII.</w:t>
      </w:r>
      <w:r>
        <w:rPr>
          <w:i/>
          <w:spacing w:val="45"/>
          <w:w w:val="120"/>
          <w:sz w:val="18"/>
        </w:rPr>
        <w:t> </w:t>
      </w:r>
      <w:r>
        <w:rPr>
          <w:i/>
          <w:w w:val="120"/>
          <w:sz w:val="18"/>
        </w:rPr>
        <w:t>3-tól.</w:t>
      </w:r>
    </w:p>
    <w:p>
      <w:pPr>
        <w:pStyle w:val="ListParagraph"/>
        <w:numPr>
          <w:ilvl w:val="0"/>
          <w:numId w:val="656"/>
        </w:numPr>
        <w:tabs>
          <w:tab w:pos="686" w:val="left" w:leader="none"/>
          <w:tab w:pos="687" w:val="left" w:leader="none"/>
        </w:tabs>
        <w:spacing w:line="200" w:lineRule="exact" w:before="0" w:after="0"/>
        <w:ind w:left="686" w:right="0" w:hanging="344"/>
        <w:jc w:val="left"/>
        <w:rPr>
          <w:i/>
          <w:sz w:val="18"/>
        </w:rPr>
      </w:pPr>
      <w:r>
        <w:rPr>
          <w:i/>
          <w:w w:val="120"/>
          <w:sz w:val="18"/>
        </w:rPr>
        <w:t>Beiktatta: 2015. évi CCXV. törvény 150. §. Hatályos: 2016. III.</w:t>
      </w:r>
      <w:r>
        <w:rPr>
          <w:i/>
          <w:spacing w:val="46"/>
          <w:w w:val="120"/>
          <w:sz w:val="18"/>
        </w:rPr>
        <w:t> </w:t>
      </w:r>
      <w:r>
        <w:rPr>
          <w:i/>
          <w:w w:val="120"/>
          <w:sz w:val="18"/>
        </w:rPr>
        <w:t>21-től.</w:t>
      </w:r>
    </w:p>
    <w:p>
      <w:pPr>
        <w:pStyle w:val="ListParagraph"/>
        <w:numPr>
          <w:ilvl w:val="0"/>
          <w:numId w:val="656"/>
        </w:numPr>
        <w:tabs>
          <w:tab w:pos="686" w:val="left" w:leader="none"/>
          <w:tab w:pos="687" w:val="left" w:leader="none"/>
        </w:tabs>
        <w:spacing w:line="203" w:lineRule="exact" w:before="0" w:after="0"/>
        <w:ind w:left="686" w:right="0" w:hanging="344"/>
        <w:jc w:val="left"/>
        <w:rPr>
          <w:i/>
          <w:sz w:val="18"/>
        </w:rPr>
      </w:pPr>
      <w:r>
        <w:rPr>
          <w:i/>
          <w:w w:val="125"/>
          <w:sz w:val="18"/>
        </w:rPr>
        <w:t>Beiktatta: 2015. évi LXXXV. törvény 236. §. Hatályos: 2016. 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tabs>
          <w:tab w:pos="1402" w:val="left" w:leader="none"/>
          <w:tab w:pos="1875" w:val="left" w:leader="none"/>
          <w:tab w:pos="2442" w:val="left" w:leader="none"/>
          <w:tab w:pos="2837" w:val="left" w:leader="none"/>
          <w:tab w:pos="3995" w:val="left" w:leader="none"/>
          <w:tab w:pos="6025" w:val="left" w:leader="none"/>
          <w:tab w:pos="7612" w:val="left" w:leader="none"/>
          <w:tab w:pos="7990" w:val="left" w:leader="none"/>
        </w:tabs>
        <w:spacing w:line="262" w:lineRule="exact" w:before="158"/>
        <w:ind w:left="317" w:firstLine="0"/>
      </w:pPr>
      <w:r>
        <w:rPr>
          <w:rFonts w:ascii="Arial" w:hAnsi="Arial"/>
          <w:b/>
          <w:w w:val="120"/>
        </w:rPr>
        <w:t>304/E.</w:t>
        <w:tab/>
        <w:t>§</w:t>
      </w:r>
      <w:r>
        <w:rPr>
          <w:i/>
          <w:w w:val="120"/>
          <w:position w:val="3"/>
          <w:sz w:val="18"/>
        </w:rPr>
        <w:t>1</w:t>
        <w:tab/>
      </w:r>
      <w:r>
        <w:rPr>
          <w:w w:val="120"/>
        </w:rPr>
        <w:t>(1)</w:t>
        <w:tab/>
        <w:t>A</w:t>
        <w:tab/>
        <w:t>Magyar</w:t>
        <w:tab/>
        <w:t>Könyvvizsgálói</w:t>
        <w:tab/>
        <w:t>Kamaráról,</w:t>
        <w:tab/>
        <w:t>a</w:t>
        <w:tab/>
        <w:t>könyvvizsgálói</w:t>
      </w:r>
    </w:p>
    <w:p>
      <w:pPr>
        <w:pStyle w:val="BodyText"/>
        <w:spacing w:line="225" w:lineRule="auto" w:before="12"/>
        <w:ind w:right="130" w:firstLine="0"/>
        <w:jc w:val="both"/>
      </w:pPr>
      <w:r>
        <w:rPr>
          <w:w w:val="125"/>
        </w:rPr>
        <w:t>tevékenységről, valamint a könyvvizsgálói közfelügyeletről szóló 2007. évi LXXV. törvény és egyes pénzügyi tárgyú törvények módosításáról szóló 2016. évi XLIV. törvénnyel megállapított 157. §-ban foglaltakat 2017. január 1-jétől kell alkalmazni.</w:t>
      </w:r>
    </w:p>
    <w:p>
      <w:pPr>
        <w:pStyle w:val="BodyText"/>
        <w:spacing w:line="225" w:lineRule="auto" w:before="3"/>
        <w:ind w:right="127"/>
        <w:jc w:val="both"/>
      </w:pPr>
      <w:r>
        <w:rPr>
          <w:w w:val="125"/>
        </w:rPr>
        <w:t>(2) A Magyar Könyvvizsgálói Kamaráról, a könyvvizsgálói tevékenységről, valamint a könyvvizsgálói közfelügyeletről szóló 2007. évi LXXV. törvény és egyes pénzügyi tárgyú törvények módosításáról szóló 2016. évi XLIV. törvénnyel hatályon kívül helyezett 260. § (3) bekezdését a 2016. június 17-ét megelőzően induló üzleti évre vonatkozó jogszabályi kötelezettségen alapuló könyvvizsgálói tevékenységre még alkalmazni kell.</w:t>
      </w:r>
    </w:p>
    <w:p>
      <w:pPr>
        <w:pStyle w:val="BodyText"/>
        <w:spacing w:line="251" w:lineRule="exact"/>
        <w:ind w:left="317" w:firstLine="0"/>
      </w:pPr>
      <w:r>
        <w:rPr>
          <w:rFonts w:ascii="Arial" w:hAnsi="Arial"/>
          <w:b/>
          <w:w w:val="125"/>
        </w:rPr>
        <w:t>304/F. §</w:t>
      </w:r>
      <w:r>
        <w:rPr>
          <w:i/>
          <w:w w:val="125"/>
          <w:position w:val="3"/>
          <w:sz w:val="18"/>
        </w:rPr>
        <w:t>2 </w:t>
      </w:r>
      <w:r>
        <w:rPr>
          <w:w w:val="125"/>
        </w:rPr>
        <w:t>(1) Az egyes törvények biztosítási, illetve pénzforgalmi tárgyú</w:t>
      </w:r>
    </w:p>
    <w:p>
      <w:pPr>
        <w:pStyle w:val="BodyText"/>
        <w:spacing w:line="225" w:lineRule="auto" w:before="12"/>
        <w:ind w:right="126" w:firstLine="0"/>
        <w:jc w:val="both"/>
      </w:pPr>
      <w:r>
        <w:rPr>
          <w:w w:val="125"/>
        </w:rPr>
        <w:t>jogharmonizációjával kapcsolatos módosításáról szóló 2017. évi CXLV. törvénnyel megállapított 159. § (10) bekezdését, 164. § </w:t>
      </w:r>
      <w:r>
        <w:rPr>
          <w:i/>
          <w:w w:val="125"/>
        </w:rPr>
        <w:t>zs) </w:t>
      </w:r>
      <w:r>
        <w:rPr>
          <w:w w:val="125"/>
        </w:rPr>
        <w:t>pontját és 164/B. §-t az egyes törvények biztosítási, illetve pénzforgalmi tárgyú jogharmonizációjával</w:t>
      </w:r>
      <w:r>
        <w:rPr>
          <w:spacing w:val="-8"/>
          <w:w w:val="125"/>
        </w:rPr>
        <w:t> </w:t>
      </w:r>
      <w:r>
        <w:rPr>
          <w:w w:val="125"/>
        </w:rPr>
        <w:t>kapcsolatos</w:t>
      </w:r>
      <w:r>
        <w:rPr>
          <w:spacing w:val="-21"/>
          <w:w w:val="125"/>
        </w:rPr>
        <w:t> </w:t>
      </w:r>
      <w:r>
        <w:rPr>
          <w:w w:val="125"/>
        </w:rPr>
        <w:t>módosításáról</w:t>
      </w:r>
      <w:r>
        <w:rPr>
          <w:spacing w:val="-14"/>
          <w:w w:val="125"/>
        </w:rPr>
        <w:t> </w:t>
      </w:r>
      <w:r>
        <w:rPr>
          <w:w w:val="125"/>
        </w:rPr>
        <w:t>szóló</w:t>
      </w:r>
      <w:r>
        <w:rPr>
          <w:spacing w:val="-14"/>
          <w:w w:val="125"/>
        </w:rPr>
        <w:t> </w:t>
      </w:r>
      <w:r>
        <w:rPr>
          <w:w w:val="125"/>
        </w:rPr>
        <w:t>2017.</w:t>
      </w:r>
      <w:r>
        <w:rPr>
          <w:spacing w:val="-14"/>
          <w:w w:val="125"/>
        </w:rPr>
        <w:t> </w:t>
      </w:r>
      <w:r>
        <w:rPr>
          <w:w w:val="125"/>
        </w:rPr>
        <w:t>évi</w:t>
      </w:r>
      <w:r>
        <w:rPr>
          <w:spacing w:val="-14"/>
          <w:w w:val="125"/>
        </w:rPr>
        <w:t> </w:t>
      </w:r>
      <w:r>
        <w:rPr>
          <w:w w:val="125"/>
        </w:rPr>
        <w:t>CXLV.</w:t>
      </w:r>
      <w:r>
        <w:rPr>
          <w:spacing w:val="-14"/>
          <w:w w:val="125"/>
        </w:rPr>
        <w:t> </w:t>
      </w:r>
      <w:r>
        <w:rPr>
          <w:w w:val="125"/>
        </w:rPr>
        <w:t>törvény hatálybalépésekor fennálló szerződésekre is alkalmazni</w:t>
      </w:r>
      <w:r>
        <w:rPr>
          <w:spacing w:val="11"/>
          <w:w w:val="125"/>
        </w:rPr>
        <w:t> </w:t>
      </w:r>
      <w:r>
        <w:rPr>
          <w:w w:val="125"/>
        </w:rPr>
        <w:t>kell.</w:t>
      </w:r>
    </w:p>
    <w:p>
      <w:pPr>
        <w:pStyle w:val="BodyText"/>
        <w:spacing w:line="225" w:lineRule="auto" w:before="3"/>
        <w:ind w:right="119"/>
        <w:jc w:val="both"/>
      </w:pPr>
      <w:r>
        <w:rPr>
          <w:w w:val="125"/>
        </w:rPr>
        <w:t>(2) A 164/B. § (4) bekezdésében foglalt nyilatkozattételi lehetőségről a hitelintézet és az ellenőrző befolyása alatt működő pénzügyi intézmény, valamint a 164/B. § (5) bekezdésében meghatározott tevékenységet folytató, a hitelintézet ellenőrző befolyása alatt működő pénzügyi intézménynek, pénzforgalmi intézménynek, elektronikuspénz-kibocsátó intézménynek, befektetési vállalkozásnak, biztosítónak, ABAK-nak és ÁÉKBV-alapkezelőnek nem minősülő vállalkozás az egyes törvények biztosítási, illetve pénzforgalmi tárgyú jogharmonizációjával kapcsolatos módosításáról szóló 2017. évi CXLV. törvény hatálybalépésekor fennálló szerződéssel rendelkező ügyfeleit  legkésőbb harminc nappal a 164/B. § szerinti adattovábbítást megelőzően írásban értesíti. A fennálló szerződéssel rendelkező ügyfelek tájékoztatását követően az általuk működtetett honlapon a figyelem felkeltésére alkalmas módon erre vonatkozó tájékoztatást tesznek közzé. A 164/B. § szerinti adatátadás a honlapon történő közzétételtől számított harmincadik nap után kezdődhet meg.</w:t>
      </w:r>
    </w:p>
    <w:p>
      <w:pPr>
        <w:pStyle w:val="BodyText"/>
        <w:spacing w:before="10"/>
        <w:ind w:left="0" w:firstLine="0"/>
        <w:rPr>
          <w:sz w:val="11"/>
        </w:rPr>
      </w:pPr>
    </w:p>
    <w:p>
      <w:pPr>
        <w:pStyle w:val="BodyText"/>
        <w:spacing w:before="99"/>
        <w:ind w:left="2132" w:firstLine="0"/>
      </w:pPr>
      <w:r>
        <w:rPr>
          <w:w w:val="120"/>
        </w:rPr>
        <w:t>131. Az Európai Unió jogának való megfelelés</w:t>
      </w:r>
    </w:p>
    <w:p>
      <w:pPr>
        <w:pStyle w:val="BodyText"/>
        <w:spacing w:line="225" w:lineRule="auto" w:before="236"/>
      </w:pPr>
      <w:r>
        <w:rPr>
          <w:rFonts w:ascii="Arial" w:hAnsi="Arial"/>
          <w:b/>
          <w:w w:val="125"/>
        </w:rPr>
        <w:t>305. § </w:t>
      </w:r>
      <w:r>
        <w:rPr>
          <w:w w:val="125"/>
        </w:rPr>
        <w:t>Ez a törvény a 5. mellékletben felsorolt uniós jogi aktusoknak való megfelelést szolgálja.</w:t>
      </w:r>
    </w:p>
    <w:p>
      <w:pPr>
        <w:pStyle w:val="BodyText"/>
        <w:spacing w:before="2"/>
        <w:ind w:left="0" w:firstLine="0"/>
        <w:rPr>
          <w:sz w:val="11"/>
        </w:rPr>
      </w:pPr>
    </w:p>
    <w:p>
      <w:pPr>
        <w:pStyle w:val="BodyText"/>
        <w:spacing w:before="99"/>
        <w:ind w:left="3151" w:firstLine="0"/>
      </w:pPr>
      <w:r>
        <w:rPr>
          <w:w w:val="125"/>
        </w:rPr>
        <w:t>132. Módosító rendelkezések</w:t>
      </w:r>
    </w:p>
    <w:p>
      <w:pPr>
        <w:pStyle w:val="Heading1"/>
        <w:spacing w:line="268" w:lineRule="exact" w:before="223"/>
        <w:rPr>
          <w:rFonts w:ascii="Times New Roman" w:hAnsi="Times New Roman"/>
          <w:b w:val="0"/>
          <w:i/>
          <w:sz w:val="18"/>
        </w:rPr>
      </w:pPr>
      <w:r>
        <w:rPr>
          <w:w w:val="120"/>
        </w:rPr>
        <w:t>306. §</w:t>
      </w:r>
      <w:r>
        <w:rPr>
          <w:rFonts w:ascii="Times New Roman" w:hAnsi="Times New Roman"/>
          <w:b w:val="0"/>
          <w:i/>
          <w:w w:val="120"/>
          <w:position w:val="3"/>
          <w:sz w:val="18"/>
        </w:rPr>
        <w:t>3</w:t>
      </w:r>
    </w:p>
    <w:p>
      <w:pPr>
        <w:spacing w:line="225" w:lineRule="auto" w:before="6"/>
        <w:ind w:left="317" w:right="8218" w:firstLine="0"/>
        <w:jc w:val="left"/>
        <w:rPr>
          <w:i/>
          <w:sz w:val="18"/>
        </w:rPr>
      </w:pPr>
      <w:r>
        <w:rPr>
          <w:rFonts w:ascii="Arial" w:hAnsi="Arial"/>
          <w:b/>
          <w:w w:val="120"/>
          <w:sz w:val="24"/>
        </w:rPr>
        <w:t>307. §</w:t>
      </w:r>
      <w:r>
        <w:rPr>
          <w:i/>
          <w:w w:val="120"/>
          <w:position w:val="3"/>
          <w:sz w:val="18"/>
        </w:rPr>
        <w:t>4 </w:t>
      </w:r>
      <w:r>
        <w:rPr>
          <w:rFonts w:ascii="Arial" w:hAnsi="Arial"/>
          <w:b/>
          <w:w w:val="120"/>
          <w:sz w:val="24"/>
        </w:rPr>
        <w:t>308. § </w:t>
      </w:r>
      <w:r>
        <w:rPr>
          <w:w w:val="120"/>
          <w:sz w:val="24"/>
        </w:rPr>
        <w:t>(1)</w:t>
      </w:r>
      <w:r>
        <w:rPr>
          <w:i/>
          <w:w w:val="120"/>
          <w:position w:val="3"/>
          <w:sz w:val="18"/>
        </w:rPr>
        <w:t>5 </w:t>
      </w:r>
      <w:r>
        <w:rPr>
          <w:w w:val="120"/>
          <w:sz w:val="24"/>
        </w:rPr>
        <w:t>(2)</w:t>
      </w:r>
      <w:r>
        <w:rPr>
          <w:i/>
          <w:w w:val="120"/>
          <w:position w:val="3"/>
          <w:sz w:val="18"/>
        </w:rPr>
        <w:t>6</w:t>
      </w:r>
    </w:p>
    <w:p>
      <w:pPr>
        <w:pStyle w:val="BodyText"/>
        <w:spacing w:before="3"/>
        <w:ind w:left="0" w:firstLine="0"/>
        <w:rPr>
          <w:i/>
          <w:sz w:val="11"/>
        </w:rPr>
      </w:pPr>
    </w:p>
    <w:p>
      <w:pPr>
        <w:pStyle w:val="ListParagraph"/>
        <w:numPr>
          <w:ilvl w:val="0"/>
          <w:numId w:val="657"/>
        </w:numPr>
        <w:tabs>
          <w:tab w:pos="419" w:val="left" w:leader="none"/>
        </w:tabs>
        <w:spacing w:line="240" w:lineRule="auto" w:before="98"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BodyText"/>
        <w:spacing w:before="7"/>
        <w:ind w:left="0" w:firstLine="0"/>
        <w:rPr>
          <w:i/>
          <w:sz w:val="19"/>
        </w:rPr>
      </w:pPr>
      <w:r>
        <w:rPr/>
        <w:pict>
          <v:line style="position:absolute;mso-position-horizontal-relative:page;mso-position-vertical-relative:paragraph;z-index:2960;mso-wrap-distance-left:0;mso-wrap-distance-right:0" from="56.693001pt,13.519432pt" to="538.583001pt,13.519432pt" stroked="true" strokeweight=".5pt" strokecolor="#000000">
            <v:stroke dashstyle="solid"/>
            <w10:wrap type="topAndBottom"/>
          </v:line>
        </w:pict>
      </w:r>
    </w:p>
    <w:p>
      <w:pPr>
        <w:pStyle w:val="ListParagraph"/>
        <w:numPr>
          <w:ilvl w:val="1"/>
          <w:numId w:val="657"/>
        </w:numPr>
        <w:tabs>
          <w:tab w:pos="686" w:val="left" w:leader="none"/>
          <w:tab w:pos="687" w:val="left" w:leader="none"/>
        </w:tabs>
        <w:spacing w:line="203" w:lineRule="exact" w:before="44" w:after="0"/>
        <w:ind w:left="686" w:right="0" w:hanging="344"/>
        <w:jc w:val="left"/>
        <w:rPr>
          <w:i/>
          <w:sz w:val="18"/>
        </w:rPr>
      </w:pPr>
      <w:r>
        <w:rPr>
          <w:i/>
          <w:w w:val="125"/>
          <w:sz w:val="18"/>
        </w:rPr>
        <w:t>Beiktatta: 2016. évi XLIV. törvény 65. §. Hatályos: 2016. VI.</w:t>
      </w:r>
      <w:r>
        <w:rPr>
          <w:i/>
          <w:spacing w:val="-12"/>
          <w:w w:val="125"/>
          <w:sz w:val="18"/>
        </w:rPr>
        <w:t> </w:t>
      </w:r>
      <w:r>
        <w:rPr>
          <w:i/>
          <w:w w:val="125"/>
          <w:sz w:val="18"/>
        </w:rPr>
        <w:t>4-től.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Beiktatta: 2017. évi CXLV. törvény 132. §. Hatályos: 2017. XI.</w:t>
      </w:r>
      <w:r>
        <w:rPr>
          <w:i/>
          <w:spacing w:val="45"/>
          <w:w w:val="120"/>
          <w:sz w:val="18"/>
        </w:rPr>
        <w:t> </w:t>
      </w:r>
      <w:r>
        <w:rPr>
          <w:i/>
          <w:w w:val="120"/>
          <w:sz w:val="18"/>
        </w:rPr>
        <w:t>21-től.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9"/>
          <w:w w:val="120"/>
          <w:sz w:val="18"/>
        </w:rPr>
        <w:t> </w:t>
      </w:r>
      <w:r>
        <w:rPr>
          <w:i/>
          <w:w w:val="120"/>
          <w:sz w:val="18"/>
        </w:rPr>
        <w:t>helyezve:</w:t>
      </w:r>
      <w:r>
        <w:rPr>
          <w:i/>
          <w:spacing w:val="10"/>
          <w:w w:val="120"/>
          <w:sz w:val="18"/>
        </w:rPr>
        <w:t> </w:t>
      </w:r>
      <w:r>
        <w:rPr>
          <w:i/>
          <w:w w:val="120"/>
          <w:sz w:val="18"/>
        </w:rPr>
        <w:t>2010.</w:t>
      </w:r>
      <w:r>
        <w:rPr>
          <w:i/>
          <w:spacing w:val="8"/>
          <w:w w:val="120"/>
          <w:sz w:val="18"/>
        </w:rPr>
        <w:t> </w:t>
      </w:r>
      <w:r>
        <w:rPr>
          <w:i/>
          <w:w w:val="120"/>
          <w:sz w:val="18"/>
        </w:rPr>
        <w:t>évi</w:t>
      </w:r>
      <w:r>
        <w:rPr>
          <w:i/>
          <w:spacing w:val="9"/>
          <w:w w:val="120"/>
          <w:sz w:val="18"/>
        </w:rPr>
        <w:t> </w:t>
      </w:r>
      <w:r>
        <w:rPr>
          <w:i/>
          <w:w w:val="120"/>
          <w:sz w:val="18"/>
        </w:rPr>
        <w:t>CXXX.</w:t>
      </w:r>
      <w:r>
        <w:rPr>
          <w:i/>
          <w:spacing w:val="9"/>
          <w:w w:val="120"/>
          <w:sz w:val="18"/>
        </w:rPr>
        <w:t> </w:t>
      </w:r>
      <w:r>
        <w:rPr>
          <w:i/>
          <w:w w:val="120"/>
          <w:sz w:val="18"/>
        </w:rPr>
        <w:t>törvény</w:t>
      </w:r>
      <w:r>
        <w:rPr>
          <w:i/>
          <w:spacing w:val="9"/>
          <w:w w:val="120"/>
          <w:sz w:val="18"/>
        </w:rPr>
        <w:t> </w:t>
      </w:r>
      <w:r>
        <w:rPr>
          <w:i/>
          <w:w w:val="120"/>
          <w:sz w:val="18"/>
        </w:rPr>
        <w:t>12.</w:t>
      </w:r>
      <w:r>
        <w:rPr>
          <w:i/>
          <w:spacing w:val="9"/>
          <w:w w:val="120"/>
          <w:sz w:val="18"/>
        </w:rPr>
        <w:t> </w:t>
      </w:r>
      <w:r>
        <w:rPr>
          <w:i/>
          <w:w w:val="120"/>
          <w:sz w:val="18"/>
        </w:rPr>
        <w:t>§</w:t>
      </w:r>
      <w:r>
        <w:rPr>
          <w:i/>
          <w:spacing w:val="9"/>
          <w:w w:val="120"/>
          <w:sz w:val="18"/>
        </w:rPr>
        <w:t> </w:t>
      </w:r>
      <w:r>
        <w:rPr>
          <w:i/>
          <w:w w:val="120"/>
          <w:sz w:val="18"/>
        </w:rPr>
        <w:t>alapján.</w:t>
      </w:r>
      <w:r>
        <w:rPr>
          <w:i/>
          <w:spacing w:val="10"/>
          <w:w w:val="120"/>
          <w:sz w:val="18"/>
        </w:rPr>
        <w:t> </w:t>
      </w:r>
      <w:r>
        <w:rPr>
          <w:i/>
          <w:w w:val="120"/>
          <w:sz w:val="18"/>
        </w:rPr>
        <w:t>Hatálytalan:</w:t>
      </w:r>
      <w:r>
        <w:rPr>
          <w:i/>
          <w:spacing w:val="10"/>
          <w:w w:val="120"/>
          <w:sz w:val="18"/>
        </w:rPr>
        <w:t> </w:t>
      </w:r>
      <w:r>
        <w:rPr>
          <w:i/>
          <w:w w:val="120"/>
          <w:sz w:val="18"/>
        </w:rPr>
        <w:t>2014.</w:t>
      </w:r>
      <w:r>
        <w:rPr>
          <w:i/>
          <w:spacing w:val="8"/>
          <w:w w:val="120"/>
          <w:sz w:val="18"/>
        </w:rPr>
        <w:t> </w:t>
      </w:r>
      <w:r>
        <w:rPr>
          <w:i/>
          <w:w w:val="120"/>
          <w:sz w:val="18"/>
        </w:rPr>
        <w:t>III.</w:t>
      </w:r>
      <w:r>
        <w:rPr>
          <w:i/>
          <w:spacing w:val="10"/>
          <w:w w:val="120"/>
          <w:sz w:val="18"/>
        </w:rPr>
        <w:t> </w:t>
      </w:r>
      <w:r>
        <w:rPr>
          <w:i/>
          <w:w w:val="120"/>
          <w:sz w:val="18"/>
        </w:rPr>
        <w:t>16-tól.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ugyane</w:t>
      </w:r>
      <w:r>
        <w:rPr>
          <w:i/>
          <w:spacing w:val="8"/>
          <w:w w:val="120"/>
          <w:sz w:val="18"/>
        </w:rPr>
        <w:t> </w:t>
      </w:r>
      <w:r>
        <w:rPr>
          <w:i/>
          <w:w w:val="120"/>
          <w:sz w:val="18"/>
        </w:rPr>
        <w:t>törvény</w:t>
      </w:r>
      <w:r>
        <w:rPr>
          <w:i/>
          <w:spacing w:val="7"/>
          <w:w w:val="120"/>
          <w:sz w:val="18"/>
        </w:rPr>
        <w:t> </w:t>
      </w:r>
      <w:r>
        <w:rPr>
          <w:i/>
          <w:w w:val="120"/>
          <w:sz w:val="18"/>
        </w:rPr>
        <w:t>308.</w:t>
      </w:r>
      <w:r>
        <w:rPr>
          <w:i/>
          <w:spacing w:val="7"/>
          <w:w w:val="120"/>
          <w:sz w:val="18"/>
        </w:rPr>
        <w:t> </w:t>
      </w:r>
      <w:r>
        <w:rPr>
          <w:i/>
          <w:w w:val="120"/>
          <w:sz w:val="18"/>
        </w:rPr>
        <w:t>§</w:t>
      </w:r>
      <w:r>
        <w:rPr>
          <w:i/>
          <w:spacing w:val="8"/>
          <w:w w:val="120"/>
          <w:sz w:val="18"/>
        </w:rPr>
        <w:t> </w:t>
      </w:r>
      <w:r>
        <w:rPr>
          <w:i/>
          <w:w w:val="120"/>
          <w:sz w:val="18"/>
        </w:rPr>
        <w:t>(2)</w:t>
      </w:r>
      <w:r>
        <w:rPr>
          <w:i/>
          <w:spacing w:val="8"/>
          <w:w w:val="120"/>
          <w:sz w:val="18"/>
        </w:rPr>
        <w:t> </w:t>
      </w:r>
      <w:r>
        <w:rPr>
          <w:i/>
          <w:w w:val="120"/>
          <w:sz w:val="18"/>
        </w:rPr>
        <w:t>f).</w:t>
      </w:r>
      <w:r>
        <w:rPr>
          <w:i/>
          <w:spacing w:val="8"/>
          <w:w w:val="120"/>
          <w:sz w:val="18"/>
        </w:rPr>
        <w:t> </w:t>
      </w:r>
      <w:r>
        <w:rPr>
          <w:i/>
          <w:w w:val="120"/>
          <w:sz w:val="18"/>
        </w:rPr>
        <w:t>Hatálytalan:</w:t>
      </w:r>
      <w:r>
        <w:rPr>
          <w:i/>
          <w:spacing w:val="8"/>
          <w:w w:val="120"/>
          <w:sz w:val="18"/>
        </w:rPr>
        <w:t> </w:t>
      </w:r>
      <w:r>
        <w:rPr>
          <w:i/>
          <w:w w:val="120"/>
          <w:sz w:val="18"/>
        </w:rPr>
        <w:t>2014.</w:t>
      </w:r>
      <w:r>
        <w:rPr>
          <w:i/>
          <w:spacing w:val="7"/>
          <w:w w:val="120"/>
          <w:sz w:val="18"/>
        </w:rPr>
        <w:t> </w:t>
      </w:r>
      <w:r>
        <w:rPr>
          <w:i/>
          <w:w w:val="120"/>
          <w:sz w:val="18"/>
        </w:rPr>
        <w:t>III.</w:t>
      </w:r>
      <w:r>
        <w:rPr>
          <w:i/>
          <w:spacing w:val="8"/>
          <w:w w:val="120"/>
          <w:sz w:val="18"/>
        </w:rPr>
        <w:t> </w:t>
      </w:r>
      <w:r>
        <w:rPr>
          <w:i/>
          <w:w w:val="120"/>
          <w:sz w:val="18"/>
        </w:rPr>
        <w:t>15-től.</w:t>
      </w:r>
    </w:p>
    <w:p>
      <w:pPr>
        <w:pStyle w:val="ListParagraph"/>
        <w:numPr>
          <w:ilvl w:val="1"/>
          <w:numId w:val="65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8"/>
          <w:w w:val="120"/>
          <w:sz w:val="18"/>
        </w:rPr>
        <w:t> </w:t>
      </w:r>
      <w:r>
        <w:rPr>
          <w:i/>
          <w:w w:val="120"/>
          <w:sz w:val="18"/>
        </w:rPr>
        <w:t>helyezve:</w:t>
      </w:r>
      <w:r>
        <w:rPr>
          <w:i/>
          <w:spacing w:val="8"/>
          <w:w w:val="120"/>
          <w:sz w:val="18"/>
        </w:rPr>
        <w:t> </w:t>
      </w:r>
      <w:r>
        <w:rPr>
          <w:i/>
          <w:w w:val="120"/>
          <w:sz w:val="18"/>
        </w:rPr>
        <w:t>2010.</w:t>
      </w:r>
      <w:r>
        <w:rPr>
          <w:i/>
          <w:spacing w:val="8"/>
          <w:w w:val="120"/>
          <w:sz w:val="18"/>
        </w:rPr>
        <w:t> </w:t>
      </w:r>
      <w:r>
        <w:rPr>
          <w:i/>
          <w:w w:val="120"/>
          <w:sz w:val="18"/>
        </w:rPr>
        <w:t>évi</w:t>
      </w:r>
      <w:r>
        <w:rPr>
          <w:i/>
          <w:spacing w:val="7"/>
          <w:w w:val="120"/>
          <w:sz w:val="18"/>
        </w:rPr>
        <w:t> </w:t>
      </w:r>
      <w:r>
        <w:rPr>
          <w:i/>
          <w:w w:val="120"/>
          <w:sz w:val="18"/>
        </w:rPr>
        <w:t>CXXX.</w:t>
      </w:r>
      <w:r>
        <w:rPr>
          <w:i/>
          <w:spacing w:val="9"/>
          <w:w w:val="120"/>
          <w:sz w:val="18"/>
        </w:rPr>
        <w:t> </w:t>
      </w:r>
      <w:r>
        <w:rPr>
          <w:i/>
          <w:w w:val="120"/>
          <w:sz w:val="18"/>
        </w:rPr>
        <w:t>törvény</w:t>
      </w:r>
      <w:r>
        <w:rPr>
          <w:i/>
          <w:spacing w:val="7"/>
          <w:w w:val="120"/>
          <w:sz w:val="18"/>
        </w:rPr>
        <w:t> </w:t>
      </w:r>
      <w:r>
        <w:rPr>
          <w:i/>
          <w:w w:val="120"/>
          <w:sz w:val="18"/>
        </w:rPr>
        <w:t>12.</w:t>
      </w:r>
      <w:r>
        <w:rPr>
          <w:i/>
          <w:spacing w:val="8"/>
          <w:w w:val="120"/>
          <w:sz w:val="18"/>
        </w:rPr>
        <w:t> </w:t>
      </w:r>
      <w:r>
        <w:rPr>
          <w:i/>
          <w:w w:val="120"/>
          <w:sz w:val="18"/>
        </w:rPr>
        <w:t>§</w:t>
      </w:r>
      <w:r>
        <w:rPr>
          <w:i/>
          <w:spacing w:val="9"/>
          <w:w w:val="120"/>
          <w:sz w:val="18"/>
        </w:rPr>
        <w:t> </w:t>
      </w:r>
      <w:r>
        <w:rPr>
          <w:i/>
          <w:w w:val="120"/>
          <w:sz w:val="18"/>
        </w:rPr>
        <w:t>alapján.</w:t>
      </w:r>
      <w:r>
        <w:rPr>
          <w:i/>
          <w:spacing w:val="8"/>
          <w:w w:val="120"/>
          <w:sz w:val="18"/>
        </w:rPr>
        <w:t> </w:t>
      </w:r>
      <w:r>
        <w:rPr>
          <w:i/>
          <w:w w:val="120"/>
          <w:sz w:val="18"/>
        </w:rPr>
        <w:t>Hatálytalan:</w:t>
      </w:r>
      <w:r>
        <w:rPr>
          <w:i/>
          <w:spacing w:val="9"/>
          <w:w w:val="120"/>
          <w:sz w:val="18"/>
        </w:rPr>
        <w:t> </w:t>
      </w:r>
      <w:r>
        <w:rPr>
          <w:i/>
          <w:w w:val="120"/>
          <w:sz w:val="18"/>
        </w:rPr>
        <w:t>2014.</w:t>
      </w:r>
      <w:r>
        <w:rPr>
          <w:i/>
          <w:spacing w:val="7"/>
          <w:w w:val="120"/>
          <w:sz w:val="18"/>
        </w:rPr>
        <w:t> </w:t>
      </w:r>
      <w:r>
        <w:rPr>
          <w:i/>
          <w:w w:val="120"/>
          <w:sz w:val="18"/>
        </w:rPr>
        <w:t>I.</w:t>
      </w:r>
      <w:r>
        <w:rPr>
          <w:i/>
          <w:spacing w:val="9"/>
          <w:w w:val="120"/>
          <w:sz w:val="18"/>
        </w:rPr>
        <w:t> </w:t>
      </w:r>
      <w:r>
        <w:rPr>
          <w:i/>
          <w:w w:val="120"/>
          <w:sz w:val="18"/>
        </w:rPr>
        <w:t>2-től.</w:t>
      </w:r>
    </w:p>
    <w:p>
      <w:pPr>
        <w:pStyle w:val="ListParagraph"/>
        <w:numPr>
          <w:ilvl w:val="1"/>
          <w:numId w:val="657"/>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9"/>
          <w:w w:val="120"/>
          <w:sz w:val="18"/>
        </w:rPr>
        <w:t> </w:t>
      </w:r>
      <w:r>
        <w:rPr>
          <w:i/>
          <w:w w:val="120"/>
          <w:sz w:val="18"/>
        </w:rPr>
        <w:t>kívül</w:t>
      </w:r>
      <w:r>
        <w:rPr>
          <w:i/>
          <w:spacing w:val="9"/>
          <w:w w:val="120"/>
          <w:sz w:val="18"/>
        </w:rPr>
        <w:t> </w:t>
      </w:r>
      <w:r>
        <w:rPr>
          <w:i/>
          <w:w w:val="120"/>
          <w:sz w:val="18"/>
        </w:rPr>
        <w:t>helyezve:</w:t>
      </w:r>
      <w:r>
        <w:rPr>
          <w:i/>
          <w:spacing w:val="10"/>
          <w:w w:val="120"/>
          <w:sz w:val="18"/>
        </w:rPr>
        <w:t> </w:t>
      </w:r>
      <w:r>
        <w:rPr>
          <w:i/>
          <w:w w:val="120"/>
          <w:sz w:val="18"/>
        </w:rPr>
        <w:t>2010.</w:t>
      </w:r>
      <w:r>
        <w:rPr>
          <w:i/>
          <w:spacing w:val="8"/>
          <w:w w:val="120"/>
          <w:sz w:val="18"/>
        </w:rPr>
        <w:t> </w:t>
      </w:r>
      <w:r>
        <w:rPr>
          <w:i/>
          <w:w w:val="120"/>
          <w:sz w:val="18"/>
        </w:rPr>
        <w:t>évi</w:t>
      </w:r>
      <w:r>
        <w:rPr>
          <w:i/>
          <w:spacing w:val="9"/>
          <w:w w:val="120"/>
          <w:sz w:val="18"/>
        </w:rPr>
        <w:t> </w:t>
      </w:r>
      <w:r>
        <w:rPr>
          <w:i/>
          <w:w w:val="120"/>
          <w:sz w:val="18"/>
        </w:rPr>
        <w:t>CXXX.</w:t>
      </w:r>
      <w:r>
        <w:rPr>
          <w:i/>
          <w:spacing w:val="9"/>
          <w:w w:val="120"/>
          <w:sz w:val="18"/>
        </w:rPr>
        <w:t> </w:t>
      </w:r>
      <w:r>
        <w:rPr>
          <w:i/>
          <w:w w:val="120"/>
          <w:sz w:val="18"/>
        </w:rPr>
        <w:t>törvény</w:t>
      </w:r>
      <w:r>
        <w:rPr>
          <w:i/>
          <w:spacing w:val="9"/>
          <w:w w:val="120"/>
          <w:sz w:val="18"/>
        </w:rPr>
        <w:t> </w:t>
      </w:r>
      <w:r>
        <w:rPr>
          <w:i/>
          <w:w w:val="120"/>
          <w:sz w:val="18"/>
        </w:rPr>
        <w:t>12.</w:t>
      </w:r>
      <w:r>
        <w:rPr>
          <w:i/>
          <w:spacing w:val="9"/>
          <w:w w:val="120"/>
          <w:sz w:val="18"/>
        </w:rPr>
        <w:t> </w:t>
      </w:r>
      <w:r>
        <w:rPr>
          <w:i/>
          <w:w w:val="120"/>
          <w:sz w:val="18"/>
        </w:rPr>
        <w:t>§</w:t>
      </w:r>
      <w:r>
        <w:rPr>
          <w:i/>
          <w:spacing w:val="9"/>
          <w:w w:val="120"/>
          <w:sz w:val="18"/>
        </w:rPr>
        <w:t> </w:t>
      </w:r>
      <w:r>
        <w:rPr>
          <w:i/>
          <w:w w:val="120"/>
          <w:sz w:val="18"/>
        </w:rPr>
        <w:t>alapján.</w:t>
      </w:r>
      <w:r>
        <w:rPr>
          <w:i/>
          <w:spacing w:val="10"/>
          <w:w w:val="120"/>
          <w:sz w:val="18"/>
        </w:rPr>
        <w:t> </w:t>
      </w:r>
      <w:r>
        <w:rPr>
          <w:i/>
          <w:w w:val="120"/>
          <w:sz w:val="18"/>
        </w:rPr>
        <w:t>Hatálytalan:</w:t>
      </w:r>
      <w:r>
        <w:rPr>
          <w:i/>
          <w:spacing w:val="10"/>
          <w:w w:val="120"/>
          <w:sz w:val="18"/>
        </w:rPr>
        <w:t> </w:t>
      </w:r>
      <w:r>
        <w:rPr>
          <w:i/>
          <w:w w:val="120"/>
          <w:sz w:val="18"/>
        </w:rPr>
        <w:t>2014.</w:t>
      </w:r>
      <w:r>
        <w:rPr>
          <w:i/>
          <w:spacing w:val="8"/>
          <w:w w:val="120"/>
          <w:sz w:val="18"/>
        </w:rPr>
        <w:t> </w:t>
      </w:r>
      <w:r>
        <w:rPr>
          <w:i/>
          <w:w w:val="120"/>
          <w:sz w:val="18"/>
        </w:rPr>
        <w:t>III.</w:t>
      </w:r>
      <w:r>
        <w:rPr>
          <w:i/>
          <w:spacing w:val="10"/>
          <w:w w:val="120"/>
          <w:sz w:val="18"/>
        </w:rPr>
        <w:t> </w:t>
      </w:r>
      <w:r>
        <w:rPr>
          <w:i/>
          <w:w w:val="120"/>
          <w:sz w:val="18"/>
        </w:rPr>
        <w:t>16-tól.</w:t>
      </w:r>
    </w:p>
    <w:p>
      <w:pPr>
        <w:spacing w:after="0" w:line="203" w:lineRule="exact"/>
        <w:jc w:val="left"/>
        <w:rPr>
          <w:sz w:val="18"/>
        </w:rPr>
        <w:sectPr>
          <w:pgSz w:w="11900" w:h="16820"/>
          <w:pgMar w:header="1104" w:footer="0" w:top="1840" w:bottom="280" w:left="1020" w:right="1000"/>
        </w:sectPr>
      </w:pPr>
    </w:p>
    <w:p>
      <w:pPr>
        <w:pStyle w:val="BodyText"/>
        <w:spacing w:before="10"/>
        <w:ind w:left="0" w:firstLine="0"/>
        <w:rPr>
          <w:i/>
          <w:sz w:val="25"/>
        </w:rPr>
      </w:pPr>
    </w:p>
    <w:p>
      <w:pPr>
        <w:pStyle w:val="Heading2"/>
        <w:spacing w:before="106"/>
        <w:ind w:left="711"/>
      </w:pPr>
      <w:r>
        <w:rPr>
          <w:w w:val="105"/>
        </w:rPr>
        <w:t>A törvény hatálya alól kivett nemzetközi pénzügyi intézmények</w:t>
      </w:r>
    </w:p>
    <w:p>
      <w:pPr>
        <w:pStyle w:val="ListParagraph"/>
        <w:numPr>
          <w:ilvl w:val="0"/>
          <w:numId w:val="658"/>
        </w:numPr>
        <w:tabs>
          <w:tab w:pos="623" w:val="left" w:leader="none"/>
        </w:tabs>
        <w:spacing w:line="268" w:lineRule="exact" w:before="223" w:after="0"/>
        <w:ind w:left="622" w:right="0" w:hanging="305"/>
        <w:jc w:val="left"/>
        <w:rPr>
          <w:sz w:val="24"/>
        </w:rPr>
      </w:pPr>
      <w:r>
        <w:rPr>
          <w:w w:val="125"/>
          <w:sz w:val="24"/>
        </w:rPr>
        <w:t>Afrikai Fejlesztési</w:t>
      </w:r>
      <w:r>
        <w:rPr>
          <w:spacing w:val="9"/>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0"/>
          <w:sz w:val="24"/>
        </w:rPr>
        <w:t>Amerika-közi Fejlesztési</w:t>
      </w:r>
      <w:r>
        <w:rPr>
          <w:spacing w:val="8"/>
          <w:w w:val="120"/>
          <w:sz w:val="24"/>
        </w:rPr>
        <w:t> </w:t>
      </w:r>
      <w:r>
        <w:rPr>
          <w:w w:val="120"/>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Amerika-közi Befektetési</w:t>
      </w:r>
      <w:r>
        <w:rPr>
          <w:spacing w:val="9"/>
          <w:w w:val="125"/>
          <w:sz w:val="24"/>
        </w:rPr>
        <w:t> </w:t>
      </w:r>
      <w:r>
        <w:rPr>
          <w:w w:val="125"/>
          <w:sz w:val="24"/>
        </w:rPr>
        <w:t>Társaság</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Ázsiai Fejlesztési</w:t>
      </w:r>
      <w:r>
        <w:rPr>
          <w:spacing w:val="15"/>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Európai Beruházási Alap</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Európai Beruházási</w:t>
      </w:r>
      <w:r>
        <w:rPr>
          <w:spacing w:val="1"/>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 Tanács Fejlesztési Bankja</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Európai Újjáépítési és Fejlesztési</w:t>
      </w:r>
      <w:r>
        <w:rPr>
          <w:spacing w:val="1"/>
          <w:w w:val="125"/>
          <w:sz w:val="24"/>
        </w:rPr>
        <w:t> </w:t>
      </w:r>
      <w:r>
        <w:rPr>
          <w:w w:val="125"/>
          <w:sz w:val="24"/>
        </w:rPr>
        <w:t>Bank</w:t>
      </w:r>
    </w:p>
    <w:p>
      <w:pPr>
        <w:pStyle w:val="ListParagraph"/>
        <w:numPr>
          <w:ilvl w:val="0"/>
          <w:numId w:val="658"/>
        </w:numPr>
        <w:tabs>
          <w:tab w:pos="623" w:val="left" w:leader="none"/>
        </w:tabs>
        <w:spacing w:line="260" w:lineRule="exact" w:before="0" w:after="0"/>
        <w:ind w:left="622" w:right="0" w:hanging="305"/>
        <w:jc w:val="left"/>
        <w:rPr>
          <w:sz w:val="24"/>
        </w:rPr>
      </w:pPr>
      <w:r>
        <w:rPr>
          <w:w w:val="125"/>
          <w:sz w:val="24"/>
        </w:rPr>
        <w:t>Északi Beruházási</w:t>
      </w:r>
      <w:r>
        <w:rPr>
          <w:spacing w:val="-1"/>
          <w:w w:val="125"/>
          <w:sz w:val="24"/>
        </w:rPr>
        <w:t> </w:t>
      </w:r>
      <w:r>
        <w:rPr>
          <w:w w:val="125"/>
          <w:sz w:val="24"/>
        </w:rPr>
        <w:t>Bank</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Karibi Fejlesztési Bank</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Nemzetközi Beruházás-biztosítási Ügynökség</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Nemzetközi Pénzügyi</w:t>
      </w:r>
      <w:r>
        <w:rPr>
          <w:spacing w:val="1"/>
          <w:w w:val="125"/>
          <w:sz w:val="24"/>
        </w:rPr>
        <w:t> </w:t>
      </w:r>
      <w:r>
        <w:rPr>
          <w:w w:val="125"/>
          <w:sz w:val="24"/>
        </w:rPr>
        <w:t>Társaság</w:t>
      </w:r>
    </w:p>
    <w:p>
      <w:pPr>
        <w:pStyle w:val="ListParagraph"/>
        <w:numPr>
          <w:ilvl w:val="0"/>
          <w:numId w:val="658"/>
        </w:numPr>
        <w:tabs>
          <w:tab w:pos="776" w:val="left" w:leader="none"/>
        </w:tabs>
        <w:spacing w:line="260" w:lineRule="exact" w:before="0" w:after="0"/>
        <w:ind w:left="775" w:right="0" w:hanging="458"/>
        <w:jc w:val="left"/>
        <w:rPr>
          <w:sz w:val="24"/>
        </w:rPr>
      </w:pPr>
      <w:r>
        <w:rPr>
          <w:w w:val="125"/>
          <w:sz w:val="24"/>
        </w:rPr>
        <w:t>Nemzetközi Újjáépítési és Fejlesztési Bank</w:t>
      </w:r>
    </w:p>
    <w:p>
      <w:pPr>
        <w:pStyle w:val="ListParagraph"/>
        <w:numPr>
          <w:ilvl w:val="0"/>
          <w:numId w:val="658"/>
        </w:numPr>
        <w:tabs>
          <w:tab w:pos="776" w:val="left" w:leader="none"/>
        </w:tabs>
        <w:spacing w:line="260" w:lineRule="exact" w:before="0" w:after="0"/>
        <w:ind w:left="775" w:right="0" w:hanging="458"/>
        <w:jc w:val="left"/>
        <w:rPr>
          <w:sz w:val="24"/>
        </w:rPr>
      </w:pPr>
      <w:r>
        <w:rPr>
          <w:w w:val="120"/>
          <w:sz w:val="24"/>
        </w:rPr>
        <w:t>Nemzetközi  Valuta</w:t>
      </w:r>
      <w:r>
        <w:rPr>
          <w:spacing w:val="-21"/>
          <w:w w:val="120"/>
          <w:sz w:val="24"/>
        </w:rPr>
        <w:t> </w:t>
      </w:r>
      <w:r>
        <w:rPr>
          <w:w w:val="120"/>
          <w:sz w:val="24"/>
        </w:rPr>
        <w:t>Alap</w:t>
      </w:r>
    </w:p>
    <w:p>
      <w:pPr>
        <w:pStyle w:val="BodyText"/>
        <w:spacing w:line="260" w:lineRule="exact"/>
        <w:ind w:left="317" w:firstLine="0"/>
      </w:pPr>
      <w:r>
        <w:rPr>
          <w:w w:val="125"/>
        </w:rPr>
        <w:t>15.</w:t>
      </w:r>
      <w:r>
        <w:rPr>
          <w:i/>
          <w:w w:val="125"/>
          <w:position w:val="3"/>
          <w:sz w:val="18"/>
        </w:rPr>
        <w:t>1 </w:t>
      </w:r>
      <w:r>
        <w:rPr>
          <w:w w:val="125"/>
        </w:rPr>
        <w:t>Nemzetközi Beruházási</w:t>
      </w:r>
      <w:r>
        <w:rPr>
          <w:spacing w:val="10"/>
          <w:w w:val="125"/>
        </w:rPr>
        <w:t> </w:t>
      </w:r>
      <w:r>
        <w:rPr>
          <w:w w:val="125"/>
        </w:rPr>
        <w:t>Bank</w:t>
      </w:r>
    </w:p>
    <w:p>
      <w:pPr>
        <w:pStyle w:val="BodyText"/>
        <w:spacing w:line="268" w:lineRule="exact"/>
        <w:ind w:left="317" w:firstLine="0"/>
      </w:pPr>
      <w:r>
        <w:rPr>
          <w:w w:val="130"/>
        </w:rPr>
        <w:t>16.</w:t>
      </w:r>
      <w:r>
        <w:rPr>
          <w:i/>
          <w:w w:val="130"/>
          <w:position w:val="3"/>
          <w:sz w:val="18"/>
        </w:rPr>
        <w:t>2 </w:t>
      </w:r>
      <w:r>
        <w:rPr>
          <w:w w:val="130"/>
        </w:rPr>
        <w:t>Ázsiai Infrastrukturális Beruházási Bank</w:t>
      </w:r>
    </w:p>
    <w:p>
      <w:pPr>
        <w:pStyle w:val="ListParagraph"/>
        <w:numPr>
          <w:ilvl w:val="0"/>
          <w:numId w:val="659"/>
        </w:numPr>
        <w:tabs>
          <w:tab w:pos="419" w:val="left" w:leader="none"/>
        </w:tabs>
        <w:spacing w:line="240" w:lineRule="auto" w:before="224"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Heading2"/>
        <w:spacing w:before="238"/>
        <w:ind w:left="3589"/>
      </w:pPr>
      <w:r>
        <w:rPr>
          <w:w w:val="105"/>
        </w:rPr>
        <w:t>Az azonosító adatok</w:t>
      </w:r>
    </w:p>
    <w:p>
      <w:pPr>
        <w:pStyle w:val="ListParagraph"/>
        <w:numPr>
          <w:ilvl w:val="1"/>
          <w:numId w:val="659"/>
        </w:numPr>
        <w:tabs>
          <w:tab w:pos="704" w:val="left" w:leader="none"/>
        </w:tabs>
        <w:spacing w:line="225" w:lineRule="auto" w:before="237" w:after="0"/>
        <w:ind w:left="113" w:right="126" w:firstLine="204"/>
        <w:jc w:val="both"/>
        <w:rPr>
          <w:sz w:val="24"/>
        </w:rPr>
      </w:pPr>
      <w:r>
        <w:rPr>
          <w:w w:val="125"/>
          <w:sz w:val="24"/>
        </w:rPr>
        <w:t>Természetes személy személyazonosító és lakcímadatai: név, születési név, anyja neve, születési hely, idő, állampolgárság,  lakcím,  postacím, személyi igazolvány (útlevél) száma, egyéb, a személyazonosság igazolására a polgárok személyi adatainak és lakcímének nyilvántartásáról szóló 1992. évi LXVI. törvény szerint alkalmas igazolvány</w:t>
      </w:r>
      <w:r>
        <w:rPr>
          <w:spacing w:val="-9"/>
          <w:w w:val="125"/>
          <w:sz w:val="24"/>
        </w:rPr>
        <w:t> </w:t>
      </w:r>
      <w:r>
        <w:rPr>
          <w:w w:val="125"/>
          <w:sz w:val="24"/>
        </w:rPr>
        <w:t>száma.</w:t>
      </w:r>
    </w:p>
    <w:p>
      <w:pPr>
        <w:pStyle w:val="ListParagraph"/>
        <w:numPr>
          <w:ilvl w:val="1"/>
          <w:numId w:val="659"/>
        </w:numPr>
        <w:tabs>
          <w:tab w:pos="650" w:val="left" w:leader="none"/>
        </w:tabs>
        <w:spacing w:line="225" w:lineRule="auto" w:before="3" w:after="0"/>
        <w:ind w:left="113" w:right="128" w:firstLine="204"/>
        <w:jc w:val="both"/>
        <w:rPr>
          <w:sz w:val="24"/>
        </w:rPr>
      </w:pPr>
      <w:r>
        <w:rPr>
          <w:w w:val="130"/>
          <w:sz w:val="24"/>
        </w:rPr>
        <w:t>A</w:t>
      </w:r>
      <w:r>
        <w:rPr>
          <w:spacing w:val="-11"/>
          <w:w w:val="130"/>
          <w:sz w:val="24"/>
        </w:rPr>
        <w:t> </w:t>
      </w:r>
      <w:r>
        <w:rPr>
          <w:w w:val="130"/>
          <w:sz w:val="24"/>
        </w:rPr>
        <w:t>pénzügyi</w:t>
      </w:r>
      <w:r>
        <w:rPr>
          <w:spacing w:val="-10"/>
          <w:w w:val="130"/>
          <w:sz w:val="24"/>
        </w:rPr>
        <w:t> </w:t>
      </w:r>
      <w:r>
        <w:rPr>
          <w:w w:val="130"/>
          <w:sz w:val="24"/>
        </w:rPr>
        <w:t>intézményt,</w:t>
      </w:r>
      <w:r>
        <w:rPr>
          <w:spacing w:val="-11"/>
          <w:w w:val="130"/>
          <w:sz w:val="24"/>
        </w:rPr>
        <w:t> </w:t>
      </w:r>
      <w:r>
        <w:rPr>
          <w:w w:val="130"/>
          <w:sz w:val="24"/>
        </w:rPr>
        <w:t>céget,</w:t>
      </w:r>
      <w:r>
        <w:rPr>
          <w:spacing w:val="-10"/>
          <w:w w:val="130"/>
          <w:sz w:val="24"/>
        </w:rPr>
        <w:t> </w:t>
      </w:r>
      <w:r>
        <w:rPr>
          <w:w w:val="130"/>
          <w:sz w:val="24"/>
        </w:rPr>
        <w:t>elfogadót</w:t>
      </w:r>
      <w:r>
        <w:rPr>
          <w:spacing w:val="-11"/>
          <w:w w:val="130"/>
          <w:sz w:val="24"/>
        </w:rPr>
        <w:t> </w:t>
      </w:r>
      <w:r>
        <w:rPr>
          <w:w w:val="130"/>
          <w:sz w:val="24"/>
        </w:rPr>
        <w:t>azonosító</w:t>
      </w:r>
      <w:r>
        <w:rPr>
          <w:spacing w:val="-6"/>
          <w:w w:val="130"/>
          <w:sz w:val="24"/>
        </w:rPr>
        <w:t> </w:t>
      </w:r>
      <w:r>
        <w:rPr>
          <w:w w:val="130"/>
          <w:sz w:val="24"/>
        </w:rPr>
        <w:t>adatok:</w:t>
      </w:r>
      <w:r>
        <w:rPr>
          <w:spacing w:val="-15"/>
          <w:w w:val="130"/>
          <w:sz w:val="24"/>
        </w:rPr>
        <w:t> </w:t>
      </w:r>
      <w:r>
        <w:rPr>
          <w:w w:val="130"/>
          <w:sz w:val="24"/>
        </w:rPr>
        <w:t>név,</w:t>
      </w:r>
      <w:r>
        <w:rPr>
          <w:spacing w:val="-10"/>
          <w:w w:val="130"/>
          <w:sz w:val="24"/>
        </w:rPr>
        <w:t> </w:t>
      </w:r>
      <w:r>
        <w:rPr>
          <w:w w:val="130"/>
          <w:sz w:val="24"/>
        </w:rPr>
        <w:t>rövidített név,</w:t>
      </w:r>
      <w:r>
        <w:rPr>
          <w:spacing w:val="-13"/>
          <w:w w:val="130"/>
          <w:sz w:val="24"/>
        </w:rPr>
        <w:t> </w:t>
      </w:r>
      <w:r>
        <w:rPr>
          <w:w w:val="130"/>
          <w:sz w:val="24"/>
        </w:rPr>
        <w:t>székhely,</w:t>
      </w:r>
      <w:r>
        <w:rPr>
          <w:spacing w:val="-13"/>
          <w:w w:val="130"/>
          <w:sz w:val="24"/>
        </w:rPr>
        <w:t> </w:t>
      </w:r>
      <w:r>
        <w:rPr>
          <w:w w:val="130"/>
          <w:sz w:val="24"/>
        </w:rPr>
        <w:t>telephely</w:t>
      </w:r>
      <w:r>
        <w:rPr>
          <w:spacing w:val="-12"/>
          <w:w w:val="130"/>
          <w:sz w:val="24"/>
        </w:rPr>
        <w:t> </w:t>
      </w:r>
      <w:r>
        <w:rPr>
          <w:w w:val="130"/>
          <w:sz w:val="24"/>
        </w:rPr>
        <w:t>és</w:t>
      </w:r>
      <w:r>
        <w:rPr>
          <w:spacing w:val="-13"/>
          <w:w w:val="130"/>
          <w:sz w:val="24"/>
        </w:rPr>
        <w:t> </w:t>
      </w:r>
      <w:r>
        <w:rPr>
          <w:w w:val="130"/>
          <w:sz w:val="24"/>
        </w:rPr>
        <w:t>fióktelep</w:t>
      </w:r>
      <w:r>
        <w:rPr>
          <w:spacing w:val="-12"/>
          <w:w w:val="130"/>
          <w:sz w:val="24"/>
        </w:rPr>
        <w:t> </w:t>
      </w:r>
      <w:r>
        <w:rPr>
          <w:w w:val="130"/>
          <w:sz w:val="24"/>
        </w:rPr>
        <w:t>címe,</w:t>
      </w:r>
      <w:r>
        <w:rPr>
          <w:spacing w:val="-13"/>
          <w:w w:val="130"/>
          <w:sz w:val="24"/>
        </w:rPr>
        <w:t> </w:t>
      </w:r>
      <w:r>
        <w:rPr>
          <w:w w:val="130"/>
          <w:sz w:val="24"/>
        </w:rPr>
        <w:t>adószám,</w:t>
      </w:r>
      <w:r>
        <w:rPr>
          <w:spacing w:val="-12"/>
          <w:w w:val="130"/>
          <w:sz w:val="24"/>
        </w:rPr>
        <w:t> </w:t>
      </w:r>
      <w:r>
        <w:rPr>
          <w:w w:val="130"/>
          <w:sz w:val="24"/>
        </w:rPr>
        <w:t>a</w:t>
      </w:r>
      <w:r>
        <w:rPr>
          <w:spacing w:val="-13"/>
          <w:w w:val="130"/>
          <w:sz w:val="24"/>
        </w:rPr>
        <w:t> </w:t>
      </w:r>
      <w:r>
        <w:rPr>
          <w:w w:val="130"/>
          <w:sz w:val="24"/>
        </w:rPr>
        <w:t>képviseletre</w:t>
      </w:r>
      <w:r>
        <w:rPr>
          <w:spacing w:val="-12"/>
          <w:w w:val="130"/>
          <w:sz w:val="24"/>
        </w:rPr>
        <w:t> </w:t>
      </w:r>
      <w:r>
        <w:rPr>
          <w:w w:val="130"/>
          <w:sz w:val="24"/>
        </w:rPr>
        <w:t>jogosultak neve és</w:t>
      </w:r>
      <w:r>
        <w:rPr>
          <w:spacing w:val="-6"/>
          <w:w w:val="130"/>
          <w:sz w:val="24"/>
        </w:rPr>
        <w:t> </w:t>
      </w:r>
      <w:r>
        <w:rPr>
          <w:w w:val="130"/>
          <w:sz w:val="24"/>
        </w:rPr>
        <w:t>beosztása.</w:t>
      </w:r>
    </w:p>
    <w:p>
      <w:pPr>
        <w:pStyle w:val="ListParagraph"/>
        <w:numPr>
          <w:ilvl w:val="1"/>
          <w:numId w:val="659"/>
        </w:numPr>
        <w:tabs>
          <w:tab w:pos="419" w:val="left" w:leader="none"/>
        </w:tabs>
        <w:spacing w:line="240" w:lineRule="auto" w:before="228"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Heading2"/>
        <w:spacing w:before="238"/>
        <w:ind w:left="2743"/>
      </w:pPr>
      <w:r>
        <w:rPr>
          <w:w w:val="105"/>
        </w:rPr>
        <w:t>A közvetett tulajdon</w:t>
      </w:r>
      <w:r>
        <w:rPr>
          <w:spacing w:val="56"/>
          <w:w w:val="105"/>
        </w:rPr>
        <w:t> </w:t>
      </w:r>
      <w:r>
        <w:rPr>
          <w:w w:val="105"/>
        </w:rPr>
        <w:t>kiszámítása</w:t>
      </w:r>
    </w:p>
    <w:p>
      <w:pPr>
        <w:pStyle w:val="BodyText"/>
        <w:spacing w:line="268" w:lineRule="exact" w:before="223"/>
        <w:ind w:left="317" w:firstLine="0"/>
      </w:pPr>
      <w:r>
        <w:rPr>
          <w:w w:val="130"/>
        </w:rPr>
        <w:t>E törvény alkalmazásában a közvetett tulajdon számításának szabályai:</w:t>
      </w:r>
    </w:p>
    <w:p>
      <w:pPr>
        <w:pStyle w:val="ListParagraph"/>
        <w:numPr>
          <w:ilvl w:val="2"/>
          <w:numId w:val="659"/>
        </w:numPr>
        <w:tabs>
          <w:tab w:pos="656" w:val="left" w:leader="none"/>
        </w:tabs>
        <w:spacing w:line="225" w:lineRule="auto" w:before="6" w:after="0"/>
        <w:ind w:left="113" w:right="130" w:firstLine="204"/>
        <w:jc w:val="both"/>
        <w:rPr>
          <w:sz w:val="24"/>
        </w:rPr>
      </w:pPr>
      <w:r>
        <w:rPr>
          <w:w w:val="125"/>
          <w:sz w:val="24"/>
        </w:rPr>
        <w:t>A közvetett tulajdon arányának megállapításához a közvetett tulajdonnal rendelkezőnek a köztes vállalkozásban fennálló szavazati jogát vagy tulajdoni hányadát meg kell szorozni a köztes vállalkozásnak a vállalkozásban fennálló szavazati vagy tulajdoni hányada közül azzal, amelyik a nagyobb. Ha a köztes vállalkozásban fennálló szavazati vagy tulajdoni hányad az ötven százalékot meghaladja, akkor azt egy egészként kell figyelembe</w:t>
      </w:r>
      <w:r>
        <w:rPr>
          <w:spacing w:val="6"/>
          <w:w w:val="125"/>
          <w:sz w:val="24"/>
        </w:rPr>
        <w:t> </w:t>
      </w:r>
      <w:r>
        <w:rPr>
          <w:w w:val="125"/>
          <w:sz w:val="24"/>
        </w:rPr>
        <w:t>venni.</w:t>
      </w:r>
    </w:p>
    <w:p>
      <w:pPr>
        <w:pStyle w:val="ListParagraph"/>
        <w:numPr>
          <w:ilvl w:val="2"/>
          <w:numId w:val="659"/>
        </w:numPr>
        <w:tabs>
          <w:tab w:pos="770" w:val="left" w:leader="none"/>
        </w:tabs>
        <w:spacing w:line="225" w:lineRule="auto" w:before="3" w:after="0"/>
        <w:ind w:left="113" w:right="127" w:firstLine="204"/>
        <w:jc w:val="both"/>
        <w:rPr>
          <w:sz w:val="24"/>
        </w:rPr>
      </w:pPr>
      <w:r>
        <w:rPr>
          <w:w w:val="125"/>
          <w:sz w:val="24"/>
        </w:rPr>
        <w:t>Természetes személy esetében a természetes személynek a közeli hozzátartozóival együtt birtokolt, illetve gyakorolt tulajdoni vagy szavazati hányadokat egybe kell</w:t>
      </w:r>
      <w:r>
        <w:rPr>
          <w:spacing w:val="17"/>
          <w:w w:val="125"/>
          <w:sz w:val="24"/>
        </w:rPr>
        <w:t> </w:t>
      </w:r>
      <w:r>
        <w:rPr>
          <w:w w:val="125"/>
          <w:sz w:val="24"/>
        </w:rPr>
        <w:t>számítani.</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2984;mso-wrap-distance-left:0;mso-wrap-distance-right:0" from="56.693001pt,8.228628pt" to="538.583001pt,8.228628pt" stroked="true" strokeweight=".5pt" strokecolor="#000000">
            <v:stroke dashstyle="solid"/>
            <w10:wrap type="topAndBottom"/>
          </v:line>
        </w:pict>
      </w:r>
    </w:p>
    <w:p>
      <w:pPr>
        <w:pStyle w:val="ListParagraph"/>
        <w:numPr>
          <w:ilvl w:val="0"/>
          <w:numId w:val="660"/>
        </w:numPr>
        <w:tabs>
          <w:tab w:pos="686" w:val="left" w:leader="none"/>
          <w:tab w:pos="687" w:val="left" w:leader="none"/>
        </w:tabs>
        <w:spacing w:line="203" w:lineRule="exact" w:before="44" w:after="0"/>
        <w:ind w:left="686" w:right="0" w:hanging="344"/>
        <w:jc w:val="left"/>
        <w:rPr>
          <w:i/>
          <w:sz w:val="18"/>
        </w:rPr>
      </w:pPr>
      <w:r>
        <w:rPr>
          <w:i/>
          <w:w w:val="125"/>
          <w:sz w:val="18"/>
        </w:rPr>
        <w:t>Beiktatta: 2017. évi LXIX. törvény 177. §, 3. melléklet. Hatályos: 2017. VII.</w:t>
      </w:r>
      <w:r>
        <w:rPr>
          <w:i/>
          <w:spacing w:val="-16"/>
          <w:w w:val="125"/>
          <w:sz w:val="18"/>
        </w:rPr>
        <w:t> </w:t>
      </w:r>
      <w:r>
        <w:rPr>
          <w:i/>
          <w:w w:val="125"/>
          <w:sz w:val="18"/>
        </w:rPr>
        <w:t>1-től.</w:t>
      </w:r>
    </w:p>
    <w:p>
      <w:pPr>
        <w:pStyle w:val="ListParagraph"/>
        <w:numPr>
          <w:ilvl w:val="0"/>
          <w:numId w:val="660"/>
        </w:numPr>
        <w:tabs>
          <w:tab w:pos="686" w:val="left" w:leader="none"/>
          <w:tab w:pos="687" w:val="left" w:leader="none"/>
        </w:tabs>
        <w:spacing w:line="203" w:lineRule="exact" w:before="0" w:after="0"/>
        <w:ind w:left="686" w:right="0" w:hanging="344"/>
        <w:jc w:val="left"/>
        <w:rPr>
          <w:i/>
          <w:sz w:val="18"/>
        </w:rPr>
      </w:pPr>
      <w:r>
        <w:rPr>
          <w:i/>
          <w:w w:val="125"/>
          <w:sz w:val="18"/>
        </w:rPr>
        <w:t>Beiktatta: 2017. évi CXLV. törvény 133. §, 2. melléklet 1. Hatályos: 2018. I.</w:t>
      </w:r>
      <w:r>
        <w:rPr>
          <w:i/>
          <w:spacing w:val="-15"/>
          <w:w w:val="125"/>
          <w:sz w:val="18"/>
        </w:rPr>
        <w:t> </w:t>
      </w:r>
      <w:r>
        <w:rPr>
          <w:i/>
          <w:w w:val="125"/>
          <w:sz w:val="18"/>
        </w:rPr>
        <w:t>13-tól.</w:t>
      </w:r>
    </w:p>
    <w:p>
      <w:pPr>
        <w:spacing w:after="0" w:line="203" w:lineRule="exact"/>
        <w:jc w:val="left"/>
        <w:rPr>
          <w:sz w:val="18"/>
        </w:rPr>
        <w:sectPr>
          <w:pgSz w:w="11900" w:h="16820"/>
          <w:pgMar w:header="1104" w:footer="0" w:top="1840" w:bottom="280" w:left="1020" w:right="1000"/>
        </w:sectPr>
      </w:pPr>
    </w:p>
    <w:p>
      <w:pPr>
        <w:pStyle w:val="ListParagraph"/>
        <w:numPr>
          <w:ilvl w:val="2"/>
          <w:numId w:val="659"/>
        </w:numPr>
        <w:tabs>
          <w:tab w:pos="685" w:val="left" w:leader="none"/>
        </w:tabs>
        <w:spacing w:line="225" w:lineRule="auto" w:before="173" w:after="0"/>
        <w:ind w:left="113" w:right="129" w:firstLine="204"/>
        <w:jc w:val="left"/>
        <w:rPr>
          <w:sz w:val="24"/>
        </w:rPr>
      </w:pPr>
      <w:r>
        <w:rPr>
          <w:w w:val="125"/>
          <w:sz w:val="24"/>
        </w:rPr>
        <w:t>A szavazati jogot a tulajdoni hányaddal azonos módon kell számításba venni.</w:t>
      </w:r>
    </w:p>
    <w:p>
      <w:pPr>
        <w:pStyle w:val="ListParagraph"/>
        <w:numPr>
          <w:ilvl w:val="2"/>
          <w:numId w:val="659"/>
        </w:numPr>
        <w:tabs>
          <w:tab w:pos="419" w:val="left" w:leader="none"/>
        </w:tabs>
        <w:spacing w:line="240" w:lineRule="auto" w:before="227" w:after="0"/>
        <w:ind w:left="418" w:right="0" w:hanging="305"/>
        <w:jc w:val="left"/>
        <w:rPr>
          <w:i/>
          <w:sz w:val="24"/>
        </w:rPr>
      </w:pPr>
      <w:r>
        <w:rPr>
          <w:i/>
          <w:w w:val="125"/>
          <w:sz w:val="24"/>
          <w:u w:val="single"/>
        </w:rPr>
        <w:t>melléklet a 2013. évi CCXXXVII. törvényhez</w:t>
      </w:r>
    </w:p>
    <w:p>
      <w:pPr>
        <w:pStyle w:val="BodyText"/>
        <w:ind w:left="0" w:firstLine="0"/>
        <w:rPr>
          <w:i/>
          <w:sz w:val="20"/>
        </w:rPr>
      </w:pPr>
    </w:p>
    <w:p>
      <w:pPr>
        <w:pStyle w:val="Heading2"/>
        <w:spacing w:before="238"/>
        <w:ind w:left="3315"/>
      </w:pPr>
      <w:r>
        <w:rPr>
          <w:w w:val="110"/>
        </w:rPr>
        <w:t>Kifizetési szorzótényező</w:t>
      </w:r>
    </w:p>
    <w:p>
      <w:pPr>
        <w:pStyle w:val="BodyText"/>
        <w:spacing w:line="225" w:lineRule="auto" w:before="237"/>
        <w:ind w:right="132"/>
        <w:jc w:val="both"/>
      </w:pPr>
      <w:r>
        <w:rPr>
          <w:w w:val="125"/>
        </w:rPr>
        <w:t>A 94. § (6) bekezdése szerinti szorzó tényezőt a következőképpen kell meghatározni:</w:t>
      </w:r>
    </w:p>
    <w:p>
      <w:pPr>
        <w:pStyle w:val="ListParagraph"/>
        <w:numPr>
          <w:ilvl w:val="0"/>
          <w:numId w:val="661"/>
        </w:numPr>
        <w:tabs>
          <w:tab w:pos="716" w:val="left" w:leader="none"/>
        </w:tabs>
        <w:spacing w:line="225" w:lineRule="auto" w:before="1"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első (azaz legalacsonyabb) kvartilisén belül van, a tényező</w:t>
      </w:r>
      <w:r>
        <w:rPr>
          <w:spacing w:val="7"/>
          <w:w w:val="125"/>
          <w:sz w:val="24"/>
        </w:rPr>
        <w:t> </w:t>
      </w:r>
      <w:r>
        <w:rPr>
          <w:w w:val="125"/>
          <w:sz w:val="24"/>
        </w:rPr>
        <w:t>0;</w:t>
      </w:r>
    </w:p>
    <w:p>
      <w:pPr>
        <w:pStyle w:val="ListParagraph"/>
        <w:numPr>
          <w:ilvl w:val="0"/>
          <w:numId w:val="661"/>
        </w:numPr>
        <w:tabs>
          <w:tab w:pos="726" w:val="left" w:leader="none"/>
        </w:tabs>
        <w:spacing w:line="225" w:lineRule="auto" w:before="3"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második  kvartilisén belül van, a tényező</w:t>
      </w:r>
      <w:r>
        <w:rPr>
          <w:spacing w:val="2"/>
          <w:w w:val="125"/>
          <w:sz w:val="24"/>
        </w:rPr>
        <w:t> </w:t>
      </w:r>
      <w:r>
        <w:rPr>
          <w:w w:val="125"/>
          <w:sz w:val="24"/>
        </w:rPr>
        <w:t>0,2;</w:t>
      </w:r>
    </w:p>
    <w:p>
      <w:pPr>
        <w:pStyle w:val="ListParagraph"/>
        <w:numPr>
          <w:ilvl w:val="0"/>
          <w:numId w:val="661"/>
        </w:numPr>
        <w:tabs>
          <w:tab w:pos="709" w:val="left" w:leader="none"/>
        </w:tabs>
        <w:spacing w:line="225" w:lineRule="auto" w:before="2"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harmadik kvartilisén belül van, a tényező</w:t>
      </w:r>
      <w:r>
        <w:rPr>
          <w:spacing w:val="2"/>
          <w:w w:val="125"/>
          <w:sz w:val="24"/>
        </w:rPr>
        <w:t> </w:t>
      </w:r>
      <w:r>
        <w:rPr>
          <w:w w:val="125"/>
          <w:sz w:val="24"/>
        </w:rPr>
        <w:t>0,4;</w:t>
      </w:r>
    </w:p>
    <w:p>
      <w:pPr>
        <w:pStyle w:val="ListParagraph"/>
        <w:numPr>
          <w:ilvl w:val="0"/>
          <w:numId w:val="661"/>
        </w:numPr>
        <w:tabs>
          <w:tab w:pos="726" w:val="left" w:leader="none"/>
        </w:tabs>
        <w:spacing w:line="225" w:lineRule="auto" w:before="2" w:after="0"/>
        <w:ind w:left="113" w:right="124" w:firstLine="204"/>
        <w:jc w:val="both"/>
        <w:rPr>
          <w:sz w:val="24"/>
        </w:rPr>
      </w:pPr>
      <w:r>
        <w:rPr>
          <w:w w:val="125"/>
          <w:sz w:val="24"/>
        </w:rPr>
        <w:t>ha a hitelintézet által fenntartott elsődleges alapvető tőke szintje az 575/2013/EU rendelet 92. cikkében meghatározott minimális tőkekövetelményszint felett a kombinált pufferkövetelmény negyedik (azaz legmagasabb) kvartilisén belül van, a tényező</w:t>
      </w:r>
      <w:r>
        <w:rPr>
          <w:spacing w:val="7"/>
          <w:w w:val="125"/>
          <w:sz w:val="24"/>
        </w:rPr>
        <w:t> </w:t>
      </w:r>
      <w:r>
        <w:rPr>
          <w:w w:val="125"/>
          <w:sz w:val="24"/>
        </w:rPr>
        <w:t>0,6.</w:t>
      </w:r>
    </w:p>
    <w:p>
      <w:pPr>
        <w:pStyle w:val="BodyText"/>
        <w:spacing w:line="225" w:lineRule="auto" w:before="3"/>
        <w:ind w:right="134"/>
        <w:jc w:val="both"/>
      </w:pPr>
      <w:r>
        <w:rPr/>
        <w:drawing>
          <wp:anchor distT="0" distB="0" distL="0" distR="0" allowOverlap="1" layoutInCell="1" locked="0" behindDoc="0" simplePos="0" relativeHeight="168">
            <wp:simplePos x="0" y="0"/>
            <wp:positionH relativeFrom="page">
              <wp:posOffset>1351127</wp:posOffset>
            </wp:positionH>
            <wp:positionV relativeFrom="paragraph">
              <wp:posOffset>384224</wp:posOffset>
            </wp:positionV>
            <wp:extent cx="4862893" cy="1448657"/>
            <wp:effectExtent l="0" t="0" r="0" b="0"/>
            <wp:wrapTopAndBottom/>
            <wp:docPr id="15" name="image3.png" descr=""/>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4862893" cy="1448657"/>
                    </a:xfrm>
                    <a:prstGeom prst="rect">
                      <a:avLst/>
                    </a:prstGeom>
                  </pic:spPr>
                </pic:pic>
              </a:graphicData>
            </a:graphic>
          </wp:anchor>
        </w:drawing>
      </w:r>
      <w:r>
        <w:rPr>
          <w:w w:val="125"/>
        </w:rPr>
        <w:t>A kombinált pufferkövetelmény egyes kvartiliseinek alsó és felső határát a következőképpen kell kiszámítani:</w:t>
      </w:r>
    </w:p>
    <w:p>
      <w:pPr>
        <w:pStyle w:val="BodyText"/>
        <w:spacing w:before="194"/>
        <w:ind w:left="317" w:firstLine="0"/>
      </w:pPr>
      <w:r>
        <w:rPr>
          <w:w w:val="125"/>
        </w:rPr>
        <w:t>„Q </w:t>
      </w:r>
      <w:r>
        <w:rPr>
          <w:w w:val="125"/>
          <w:position w:val="-11"/>
        </w:rPr>
        <w:t>n</w:t>
      </w:r>
      <w:r>
        <w:rPr>
          <w:w w:val="125"/>
        </w:rPr>
        <w:t>” az érintett kvartilis sorszáma.</w:t>
      </w:r>
    </w:p>
    <w:p>
      <w:pPr>
        <w:pStyle w:val="ListParagraph"/>
        <w:numPr>
          <w:ilvl w:val="2"/>
          <w:numId w:val="659"/>
        </w:numPr>
        <w:tabs>
          <w:tab w:pos="419" w:val="left" w:leader="none"/>
        </w:tabs>
        <w:spacing w:line="240" w:lineRule="auto" w:before="224" w:after="0"/>
        <w:ind w:left="418" w:right="0" w:hanging="305"/>
        <w:jc w:val="left"/>
        <w:rPr>
          <w:i/>
          <w:sz w:val="24"/>
        </w:rPr>
      </w:pPr>
      <w:r>
        <w:rPr>
          <w:i/>
          <w:w w:val="125"/>
          <w:sz w:val="24"/>
          <w:u w:val="single"/>
        </w:rPr>
        <w:t>melléklet a 2013. évi CCXXXVII. törvényhez</w:t>
      </w:r>
      <w:r>
        <w:rPr>
          <w:i/>
          <w:w w:val="125"/>
          <w:position w:val="3"/>
          <w:sz w:val="18"/>
        </w:rPr>
        <w:t>1</w:t>
      </w:r>
    </w:p>
    <w:p>
      <w:pPr>
        <w:pStyle w:val="BodyText"/>
        <w:ind w:left="0" w:firstLine="0"/>
        <w:rPr>
          <w:i/>
          <w:sz w:val="20"/>
        </w:rPr>
      </w:pPr>
    </w:p>
    <w:p>
      <w:pPr>
        <w:pStyle w:val="Heading2"/>
        <w:spacing w:before="238"/>
        <w:ind w:left="2185"/>
      </w:pPr>
      <w:r>
        <w:rPr>
          <w:w w:val="105"/>
        </w:rPr>
        <w:t>Az Európai Unió jogának való megfelelés</w:t>
      </w:r>
    </w:p>
    <w:p>
      <w:pPr>
        <w:pStyle w:val="ListParagraph"/>
        <w:numPr>
          <w:ilvl w:val="3"/>
          <w:numId w:val="659"/>
        </w:numPr>
        <w:tabs>
          <w:tab w:pos="623" w:val="left" w:leader="none"/>
        </w:tabs>
        <w:spacing w:line="261" w:lineRule="exact" w:before="223" w:after="0"/>
        <w:ind w:left="622" w:right="0" w:hanging="305"/>
        <w:jc w:val="left"/>
        <w:rPr>
          <w:sz w:val="24"/>
        </w:rPr>
      </w:pPr>
      <w:r>
        <w:rPr>
          <w:w w:val="125"/>
          <w:sz w:val="24"/>
        </w:rPr>
        <w:t>Ez a törvény</w:t>
      </w:r>
    </w:p>
    <w:p>
      <w:pPr>
        <w:pStyle w:val="ListParagraph"/>
        <w:numPr>
          <w:ilvl w:val="0"/>
          <w:numId w:val="662"/>
        </w:numPr>
        <w:tabs>
          <w:tab w:pos="763" w:val="left" w:leader="none"/>
          <w:tab w:pos="764" w:val="left" w:leader="none"/>
          <w:tab w:pos="1115" w:val="left" w:leader="none"/>
          <w:tab w:pos="2211" w:val="left" w:leader="none"/>
          <w:tab w:pos="2684" w:val="left" w:leader="none"/>
          <w:tab w:pos="3387" w:val="left" w:leader="none"/>
          <w:tab w:pos="5294" w:val="left" w:leader="none"/>
          <w:tab w:pos="6044" w:val="left" w:leader="none"/>
          <w:tab w:pos="8087" w:val="left" w:leader="none"/>
          <w:tab w:pos="8561" w:val="left" w:leader="none"/>
        </w:tabs>
        <w:spacing w:line="225" w:lineRule="auto" w:before="12" w:after="0"/>
        <w:ind w:left="113" w:right="126" w:firstLine="204"/>
        <w:jc w:val="left"/>
        <w:rPr>
          <w:sz w:val="24"/>
        </w:rPr>
      </w:pPr>
      <w:r>
        <w:rPr>
          <w:w w:val="125"/>
          <w:sz w:val="24"/>
        </w:rPr>
        <w:t>a</w:t>
        <w:tab/>
        <w:t>bankok</w:t>
        <w:tab/>
        <w:t>és</w:t>
        <w:tab/>
        <w:t>más</w:t>
        <w:tab/>
        <w:t>pénzintézetek</w:t>
        <w:tab/>
        <w:t>éves</w:t>
        <w:tab/>
        <w:t>beszámolójáról</w:t>
        <w:tab/>
        <w:t>és</w:t>
        <w:tab/>
      </w:r>
      <w:r>
        <w:rPr>
          <w:spacing w:val="-1"/>
          <w:w w:val="125"/>
          <w:sz w:val="24"/>
        </w:rPr>
        <w:t>összevont </w:t>
      </w:r>
      <w:r>
        <w:rPr>
          <w:w w:val="125"/>
          <w:sz w:val="24"/>
        </w:rPr>
        <w:t>beszámolójáról szóló 1986. december 8-i 86/635/EGK tanácsi</w:t>
      </w:r>
      <w:r>
        <w:rPr>
          <w:spacing w:val="-22"/>
          <w:w w:val="125"/>
          <w:sz w:val="24"/>
        </w:rPr>
        <w:t> </w:t>
      </w:r>
      <w:r>
        <w:rPr>
          <w:w w:val="125"/>
          <w:sz w:val="24"/>
        </w:rPr>
        <w:t>irányelvnek,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6"/>
        </w:rPr>
      </w:pPr>
      <w:r>
        <w:rPr/>
        <w:pict>
          <v:line style="position:absolute;mso-position-horizontal-relative:page;mso-position-vertical-relative:paragraph;z-index:3032;mso-wrap-distance-left:0;mso-wrap-distance-right:0" from="56.693001pt,11.70173pt" to="538.583001pt,11.7017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2014. évi CIV. törvény 94. §, 3. melléklet. Hatályos: 2015. VII.</w:t>
      </w:r>
      <w:r>
        <w:rPr>
          <w:i/>
          <w:spacing w:val="-24"/>
          <w:w w:val="125"/>
          <w:sz w:val="18"/>
        </w:rPr>
        <w:t> </w:t>
      </w:r>
      <w:r>
        <w:rPr>
          <w:i/>
          <w:w w:val="125"/>
          <w:sz w:val="18"/>
        </w:rPr>
        <w:t>3-tól.</w:t>
      </w:r>
    </w:p>
    <w:p>
      <w:pPr>
        <w:spacing w:after="0"/>
        <w:jc w:val="left"/>
        <w:rPr>
          <w:sz w:val="18"/>
        </w:rPr>
        <w:sectPr>
          <w:pgSz w:w="11900" w:h="16820"/>
          <w:pgMar w:header="1104" w:footer="0" w:top="1840" w:bottom="280" w:left="1020" w:right="1000"/>
        </w:sectPr>
      </w:pPr>
    </w:p>
    <w:p>
      <w:pPr>
        <w:pStyle w:val="ListParagraph"/>
        <w:numPr>
          <w:ilvl w:val="0"/>
          <w:numId w:val="662"/>
        </w:numPr>
        <w:tabs>
          <w:tab w:pos="808" w:val="left" w:leader="none"/>
        </w:tabs>
        <w:spacing w:line="225" w:lineRule="auto" w:before="173" w:after="0"/>
        <w:ind w:left="113" w:right="116" w:firstLine="204"/>
        <w:jc w:val="both"/>
        <w:rPr>
          <w:sz w:val="24"/>
        </w:rPr>
      </w:pPr>
      <w:r>
        <w:rPr>
          <w:w w:val="130"/>
          <w:sz w:val="24"/>
        </w:rPr>
        <w:t>a hitelintézetek vonatkozásában a 77/780/EGK és a 89/646/EGK irányelvnek,</w:t>
      </w:r>
      <w:r>
        <w:rPr>
          <w:spacing w:val="-21"/>
          <w:w w:val="130"/>
          <w:sz w:val="24"/>
        </w:rPr>
        <w:t> </w:t>
      </w:r>
      <w:r>
        <w:rPr>
          <w:w w:val="130"/>
          <w:sz w:val="24"/>
        </w:rPr>
        <w:t>a</w:t>
      </w:r>
      <w:r>
        <w:rPr>
          <w:spacing w:val="-21"/>
          <w:w w:val="130"/>
          <w:sz w:val="24"/>
        </w:rPr>
        <w:t> </w:t>
      </w:r>
      <w:r>
        <w:rPr>
          <w:w w:val="130"/>
          <w:sz w:val="24"/>
        </w:rPr>
        <w:t>nem</w:t>
      </w:r>
      <w:r>
        <w:rPr>
          <w:spacing w:val="-19"/>
          <w:w w:val="130"/>
          <w:sz w:val="24"/>
        </w:rPr>
        <w:t> </w:t>
      </w:r>
      <w:r>
        <w:rPr>
          <w:w w:val="130"/>
          <w:sz w:val="24"/>
        </w:rPr>
        <w:t>életbiztosítási</w:t>
      </w:r>
      <w:r>
        <w:rPr>
          <w:spacing w:val="-22"/>
          <w:w w:val="130"/>
          <w:sz w:val="24"/>
        </w:rPr>
        <w:t> </w:t>
      </w:r>
      <w:r>
        <w:rPr>
          <w:w w:val="130"/>
          <w:sz w:val="24"/>
        </w:rPr>
        <w:t>tevékenység</w:t>
      </w:r>
      <w:r>
        <w:rPr>
          <w:spacing w:val="-21"/>
          <w:w w:val="130"/>
          <w:sz w:val="24"/>
        </w:rPr>
        <w:t> </w:t>
      </w:r>
      <w:r>
        <w:rPr>
          <w:w w:val="130"/>
          <w:sz w:val="24"/>
        </w:rPr>
        <w:t>vonatkozásában</w:t>
      </w:r>
      <w:r>
        <w:rPr>
          <w:spacing w:val="-21"/>
          <w:w w:val="130"/>
          <w:sz w:val="24"/>
        </w:rPr>
        <w:t> </w:t>
      </w:r>
      <w:r>
        <w:rPr>
          <w:w w:val="130"/>
          <w:sz w:val="24"/>
        </w:rPr>
        <w:t>a</w:t>
      </w:r>
      <w:r>
        <w:rPr>
          <w:spacing w:val="-13"/>
          <w:w w:val="130"/>
          <w:sz w:val="24"/>
        </w:rPr>
        <w:t> </w:t>
      </w:r>
      <w:r>
        <w:rPr>
          <w:w w:val="130"/>
          <w:sz w:val="24"/>
        </w:rPr>
        <w:t>73/239/EGK és</w:t>
      </w:r>
      <w:r>
        <w:rPr>
          <w:spacing w:val="-42"/>
          <w:w w:val="130"/>
          <w:sz w:val="24"/>
        </w:rPr>
        <w:t> </w:t>
      </w:r>
      <w:r>
        <w:rPr>
          <w:w w:val="130"/>
          <w:sz w:val="24"/>
        </w:rPr>
        <w:t>a</w:t>
      </w:r>
      <w:r>
        <w:rPr>
          <w:spacing w:val="-42"/>
          <w:w w:val="130"/>
          <w:sz w:val="24"/>
        </w:rPr>
        <w:t> </w:t>
      </w:r>
      <w:r>
        <w:rPr>
          <w:w w:val="130"/>
          <w:sz w:val="24"/>
        </w:rPr>
        <w:t>92/49/EGK</w:t>
      </w:r>
      <w:r>
        <w:rPr>
          <w:spacing w:val="-42"/>
          <w:w w:val="130"/>
          <w:sz w:val="24"/>
        </w:rPr>
        <w:t> </w:t>
      </w:r>
      <w:r>
        <w:rPr>
          <w:w w:val="130"/>
          <w:sz w:val="24"/>
        </w:rPr>
        <w:t>irányelvnek,</w:t>
      </w:r>
      <w:r>
        <w:rPr>
          <w:spacing w:val="-42"/>
          <w:w w:val="130"/>
          <w:sz w:val="24"/>
        </w:rPr>
        <w:t> </w:t>
      </w:r>
      <w:r>
        <w:rPr>
          <w:w w:val="130"/>
          <w:sz w:val="24"/>
        </w:rPr>
        <w:t>az</w:t>
      </w:r>
      <w:r>
        <w:rPr>
          <w:spacing w:val="-42"/>
          <w:w w:val="130"/>
          <w:sz w:val="24"/>
        </w:rPr>
        <w:t> </w:t>
      </w:r>
      <w:r>
        <w:rPr>
          <w:w w:val="130"/>
          <w:sz w:val="24"/>
        </w:rPr>
        <w:t>életbiztosítások</w:t>
      </w:r>
      <w:r>
        <w:rPr>
          <w:spacing w:val="-41"/>
          <w:w w:val="130"/>
          <w:sz w:val="24"/>
        </w:rPr>
        <w:t> </w:t>
      </w:r>
      <w:r>
        <w:rPr>
          <w:w w:val="130"/>
          <w:sz w:val="24"/>
        </w:rPr>
        <w:t>vonatkozásában</w:t>
      </w:r>
      <w:r>
        <w:rPr>
          <w:spacing w:val="-42"/>
          <w:w w:val="130"/>
          <w:sz w:val="24"/>
        </w:rPr>
        <w:t> </w:t>
      </w:r>
      <w:r>
        <w:rPr>
          <w:w w:val="130"/>
          <w:sz w:val="24"/>
        </w:rPr>
        <w:t>a</w:t>
      </w:r>
      <w:r>
        <w:rPr>
          <w:spacing w:val="-36"/>
          <w:w w:val="130"/>
          <w:sz w:val="24"/>
        </w:rPr>
        <w:t> </w:t>
      </w:r>
      <w:r>
        <w:rPr>
          <w:w w:val="130"/>
          <w:sz w:val="24"/>
        </w:rPr>
        <w:t>79/267/EGK és a 92/96/EGK irányelvnek, a befektetési vállalkozások vonatkozásában a 93/22/EGK irányelvnek, valamint az átruházható értékpapírokkal foglalkozó kollektív befektetési vállalkozások (ÁÉKBV) vonatkozásában a</w:t>
      </w:r>
      <w:r>
        <w:rPr>
          <w:spacing w:val="-26"/>
          <w:w w:val="130"/>
          <w:sz w:val="24"/>
        </w:rPr>
        <w:t> </w:t>
      </w:r>
      <w:r>
        <w:rPr>
          <w:w w:val="130"/>
          <w:sz w:val="24"/>
        </w:rPr>
        <w:t>85/611/EGK irányelvnek a prudenciális felügyelet megerősítése érdekében történő módosításáról szóló 1995. július 18-i 95/26/EK európai parlamenti és tanácsi irányelvnek,</w:t>
      </w:r>
    </w:p>
    <w:p>
      <w:pPr>
        <w:pStyle w:val="ListParagraph"/>
        <w:numPr>
          <w:ilvl w:val="0"/>
          <w:numId w:val="662"/>
        </w:numPr>
        <w:tabs>
          <w:tab w:pos="665" w:val="left" w:leader="none"/>
        </w:tabs>
        <w:spacing w:line="225" w:lineRule="auto" w:before="5" w:after="0"/>
        <w:ind w:left="113" w:right="122" w:firstLine="204"/>
        <w:jc w:val="both"/>
        <w:rPr>
          <w:sz w:val="24"/>
        </w:rPr>
      </w:pPr>
      <w:r>
        <w:rPr>
          <w:w w:val="125"/>
          <w:sz w:val="24"/>
        </w:rPr>
        <w:t>a hitelintézetek reorganizációjáról és felszámolásáról szóló 2001. április  4-i 2001/24/EK európai parlamenti és tanácsi</w:t>
      </w:r>
      <w:r>
        <w:rPr>
          <w:spacing w:val="6"/>
          <w:w w:val="125"/>
          <w:sz w:val="24"/>
        </w:rPr>
        <w:t> </w:t>
      </w:r>
      <w:r>
        <w:rPr>
          <w:w w:val="125"/>
          <w:sz w:val="24"/>
        </w:rPr>
        <w:t>irányelvnek,</w:t>
      </w:r>
    </w:p>
    <w:p>
      <w:pPr>
        <w:pStyle w:val="ListParagraph"/>
        <w:numPr>
          <w:ilvl w:val="0"/>
          <w:numId w:val="662"/>
        </w:numPr>
        <w:tabs>
          <w:tab w:pos="567" w:val="left" w:leader="none"/>
          <w:tab w:pos="2755" w:val="left" w:leader="none"/>
        </w:tabs>
        <w:spacing w:line="249" w:lineRule="exact" w:before="0" w:after="0"/>
        <w:ind w:left="566" w:right="0" w:hanging="249"/>
        <w:jc w:val="left"/>
        <w:rPr>
          <w:sz w:val="24"/>
        </w:rPr>
      </w:pPr>
      <w:r>
        <w:rPr>
          <w:i/>
          <w:w w:val="130"/>
          <w:position w:val="3"/>
          <w:sz w:val="18"/>
        </w:rPr>
        <w:t>1  </w:t>
      </w:r>
      <w:r>
        <w:rPr>
          <w:i/>
          <w:spacing w:val="11"/>
          <w:w w:val="130"/>
          <w:position w:val="3"/>
          <w:sz w:val="18"/>
        </w:rPr>
        <w:t> </w:t>
      </w:r>
      <w:r>
        <w:rPr>
          <w:w w:val="130"/>
          <w:sz w:val="24"/>
        </w:rPr>
        <w:t>a </w:t>
      </w:r>
      <w:r>
        <w:rPr>
          <w:spacing w:val="31"/>
          <w:w w:val="130"/>
          <w:sz w:val="24"/>
        </w:rPr>
        <w:t> </w:t>
      </w:r>
      <w:r>
        <w:rPr>
          <w:w w:val="130"/>
          <w:sz w:val="24"/>
        </w:rPr>
        <w:t>rendszerek</w:t>
        <w:tab/>
        <w:t>pénzmosás vagy terrorizmusfinanszírozás céljára</w:t>
      </w:r>
      <w:r>
        <w:rPr>
          <w:spacing w:val="19"/>
          <w:w w:val="130"/>
          <w:sz w:val="24"/>
        </w:rPr>
        <w:t> </w:t>
      </w:r>
      <w:r>
        <w:rPr>
          <w:w w:val="130"/>
          <w:sz w:val="24"/>
        </w:rPr>
        <w:t>való</w:t>
      </w:r>
    </w:p>
    <w:p>
      <w:pPr>
        <w:pStyle w:val="BodyText"/>
        <w:spacing w:line="225" w:lineRule="auto" w:before="12"/>
        <w:ind w:right="122" w:firstLine="0"/>
        <w:jc w:val="both"/>
      </w:pPr>
      <w:r>
        <w:rPr>
          <w:w w:val="130"/>
        </w:rPr>
        <w:t>felhasználásának</w:t>
      </w:r>
      <w:r>
        <w:rPr>
          <w:spacing w:val="-22"/>
          <w:w w:val="130"/>
        </w:rPr>
        <w:t> </w:t>
      </w:r>
      <w:r>
        <w:rPr>
          <w:w w:val="130"/>
        </w:rPr>
        <w:t>megelőzéséről,</w:t>
      </w:r>
      <w:r>
        <w:rPr>
          <w:spacing w:val="-22"/>
          <w:w w:val="130"/>
        </w:rPr>
        <w:t> </w:t>
      </w:r>
      <w:r>
        <w:rPr>
          <w:w w:val="130"/>
        </w:rPr>
        <w:t>a</w:t>
      </w:r>
      <w:r>
        <w:rPr>
          <w:spacing w:val="-22"/>
          <w:w w:val="130"/>
        </w:rPr>
        <w:t> </w:t>
      </w:r>
      <w:r>
        <w:rPr>
          <w:w w:val="130"/>
        </w:rPr>
        <w:t>648/2012/EU</w:t>
      </w:r>
      <w:r>
        <w:rPr>
          <w:spacing w:val="-22"/>
          <w:w w:val="130"/>
        </w:rPr>
        <w:t> </w:t>
      </w:r>
      <w:r>
        <w:rPr>
          <w:w w:val="130"/>
        </w:rPr>
        <w:t>európai</w:t>
      </w:r>
      <w:r>
        <w:rPr>
          <w:spacing w:val="-16"/>
          <w:w w:val="130"/>
        </w:rPr>
        <w:t> </w:t>
      </w:r>
      <w:r>
        <w:rPr>
          <w:w w:val="130"/>
        </w:rPr>
        <w:t>parlamenti</w:t>
      </w:r>
      <w:r>
        <w:rPr>
          <w:spacing w:val="-29"/>
          <w:w w:val="130"/>
        </w:rPr>
        <w:t> </w:t>
      </w:r>
      <w:r>
        <w:rPr>
          <w:w w:val="130"/>
        </w:rPr>
        <w:t>és</w:t>
      </w:r>
      <w:r>
        <w:rPr>
          <w:spacing w:val="-18"/>
          <w:w w:val="130"/>
        </w:rPr>
        <w:t> </w:t>
      </w:r>
      <w:r>
        <w:rPr>
          <w:w w:val="130"/>
        </w:rPr>
        <w:t>tanácsi rendelet módosításáról, valamint a 2005/60/EK európai parlamenti és tanácsi irányelv</w:t>
      </w:r>
      <w:r>
        <w:rPr>
          <w:spacing w:val="-24"/>
          <w:w w:val="130"/>
        </w:rPr>
        <w:t> </w:t>
      </w:r>
      <w:r>
        <w:rPr>
          <w:w w:val="130"/>
        </w:rPr>
        <w:t>és</w:t>
      </w:r>
      <w:r>
        <w:rPr>
          <w:spacing w:val="-23"/>
          <w:w w:val="130"/>
        </w:rPr>
        <w:t> </w:t>
      </w:r>
      <w:r>
        <w:rPr>
          <w:w w:val="130"/>
        </w:rPr>
        <w:t>a</w:t>
      </w:r>
      <w:r>
        <w:rPr>
          <w:spacing w:val="-23"/>
          <w:w w:val="130"/>
        </w:rPr>
        <w:t> </w:t>
      </w:r>
      <w:r>
        <w:rPr>
          <w:w w:val="130"/>
        </w:rPr>
        <w:t>2006/70/EK</w:t>
      </w:r>
      <w:r>
        <w:rPr>
          <w:spacing w:val="-23"/>
          <w:w w:val="130"/>
        </w:rPr>
        <w:t> </w:t>
      </w:r>
      <w:r>
        <w:rPr>
          <w:w w:val="130"/>
        </w:rPr>
        <w:t>bizottsági</w:t>
      </w:r>
      <w:r>
        <w:rPr>
          <w:spacing w:val="-23"/>
          <w:w w:val="130"/>
        </w:rPr>
        <w:t> </w:t>
      </w:r>
      <w:r>
        <w:rPr>
          <w:w w:val="130"/>
        </w:rPr>
        <w:t>irányelv</w:t>
      </w:r>
      <w:r>
        <w:rPr>
          <w:spacing w:val="-24"/>
          <w:w w:val="130"/>
        </w:rPr>
        <w:t> </w:t>
      </w:r>
      <w:r>
        <w:rPr>
          <w:w w:val="130"/>
        </w:rPr>
        <w:t>hatályon</w:t>
      </w:r>
      <w:r>
        <w:rPr>
          <w:spacing w:val="-22"/>
          <w:w w:val="130"/>
        </w:rPr>
        <w:t> </w:t>
      </w:r>
      <w:r>
        <w:rPr>
          <w:w w:val="130"/>
        </w:rPr>
        <w:t>kívül</w:t>
      </w:r>
      <w:r>
        <w:rPr>
          <w:spacing w:val="-24"/>
          <w:w w:val="130"/>
        </w:rPr>
        <w:t> </w:t>
      </w:r>
      <w:r>
        <w:rPr>
          <w:w w:val="130"/>
        </w:rPr>
        <w:t>helyezéséről</w:t>
      </w:r>
      <w:r>
        <w:rPr>
          <w:spacing w:val="-22"/>
          <w:w w:val="130"/>
        </w:rPr>
        <w:t> </w:t>
      </w:r>
      <w:r>
        <w:rPr>
          <w:w w:val="130"/>
        </w:rPr>
        <w:t>szóló 2015.</w:t>
      </w:r>
      <w:r>
        <w:rPr>
          <w:spacing w:val="-20"/>
          <w:w w:val="130"/>
        </w:rPr>
        <w:t> </w:t>
      </w:r>
      <w:r>
        <w:rPr>
          <w:w w:val="130"/>
        </w:rPr>
        <w:t>május</w:t>
      </w:r>
      <w:r>
        <w:rPr>
          <w:spacing w:val="-20"/>
          <w:w w:val="130"/>
        </w:rPr>
        <w:t> </w:t>
      </w:r>
      <w:r>
        <w:rPr>
          <w:w w:val="130"/>
        </w:rPr>
        <w:t>20-i</w:t>
      </w:r>
      <w:r>
        <w:rPr>
          <w:spacing w:val="-20"/>
          <w:w w:val="130"/>
        </w:rPr>
        <w:t> </w:t>
      </w:r>
      <w:r>
        <w:rPr>
          <w:w w:val="130"/>
        </w:rPr>
        <w:t>európai</w:t>
      </w:r>
      <w:r>
        <w:rPr>
          <w:spacing w:val="-20"/>
          <w:w w:val="130"/>
        </w:rPr>
        <w:t> </w:t>
      </w:r>
      <w:r>
        <w:rPr>
          <w:w w:val="130"/>
        </w:rPr>
        <w:t>parlamenti</w:t>
      </w:r>
      <w:r>
        <w:rPr>
          <w:spacing w:val="-19"/>
          <w:w w:val="130"/>
        </w:rPr>
        <w:t> </w:t>
      </w:r>
      <w:r>
        <w:rPr>
          <w:w w:val="130"/>
        </w:rPr>
        <w:t>és</w:t>
      </w:r>
      <w:r>
        <w:rPr>
          <w:spacing w:val="-20"/>
          <w:w w:val="130"/>
        </w:rPr>
        <w:t> </w:t>
      </w:r>
      <w:r>
        <w:rPr>
          <w:w w:val="130"/>
        </w:rPr>
        <w:t>tanácsi</w:t>
      </w:r>
      <w:r>
        <w:rPr>
          <w:spacing w:val="-20"/>
          <w:w w:val="130"/>
        </w:rPr>
        <w:t> </w:t>
      </w:r>
      <w:r>
        <w:rPr>
          <w:w w:val="130"/>
        </w:rPr>
        <w:t>(EU)</w:t>
      </w:r>
      <w:r>
        <w:rPr>
          <w:spacing w:val="-19"/>
          <w:w w:val="130"/>
        </w:rPr>
        <w:t> </w:t>
      </w:r>
      <w:r>
        <w:rPr>
          <w:w w:val="130"/>
        </w:rPr>
        <w:t>2015/849</w:t>
      </w:r>
      <w:r>
        <w:rPr>
          <w:spacing w:val="-19"/>
          <w:w w:val="130"/>
        </w:rPr>
        <w:t> </w:t>
      </w:r>
      <w:r>
        <w:rPr>
          <w:w w:val="130"/>
        </w:rPr>
        <w:t>irányelvnek,</w:t>
      </w:r>
    </w:p>
    <w:p>
      <w:pPr>
        <w:pStyle w:val="ListParagraph"/>
        <w:numPr>
          <w:ilvl w:val="0"/>
          <w:numId w:val="662"/>
        </w:numPr>
        <w:tabs>
          <w:tab w:pos="750" w:val="left" w:leader="none"/>
        </w:tabs>
        <w:spacing w:line="225" w:lineRule="auto" w:before="2" w:after="0"/>
        <w:ind w:left="113" w:right="128" w:firstLine="204"/>
        <w:jc w:val="both"/>
        <w:rPr>
          <w:sz w:val="24"/>
        </w:rPr>
      </w:pPr>
      <w:r>
        <w:rPr>
          <w:w w:val="130"/>
          <w:sz w:val="24"/>
        </w:rPr>
        <w:t>a 185. § (1) bekezdés </w:t>
      </w:r>
      <w:r>
        <w:rPr>
          <w:i/>
          <w:w w:val="130"/>
          <w:sz w:val="24"/>
        </w:rPr>
        <w:t>f) </w:t>
      </w:r>
      <w:r>
        <w:rPr>
          <w:w w:val="130"/>
          <w:sz w:val="24"/>
        </w:rPr>
        <w:t>pontjában a fogyasztói érdekek védelme érdekében a jogsértés megszüntetésére irányuló eljárásokról szóló 2009. április</w:t>
      </w:r>
      <w:r>
        <w:rPr>
          <w:spacing w:val="-12"/>
          <w:w w:val="130"/>
          <w:sz w:val="24"/>
        </w:rPr>
        <w:t> </w:t>
      </w:r>
      <w:r>
        <w:rPr>
          <w:w w:val="130"/>
          <w:sz w:val="24"/>
        </w:rPr>
        <w:t>23-i</w:t>
      </w:r>
      <w:r>
        <w:rPr>
          <w:spacing w:val="-12"/>
          <w:w w:val="130"/>
          <w:sz w:val="24"/>
        </w:rPr>
        <w:t> </w:t>
      </w:r>
      <w:r>
        <w:rPr>
          <w:w w:val="130"/>
          <w:sz w:val="24"/>
        </w:rPr>
        <w:t>2009/22/EK</w:t>
      </w:r>
      <w:r>
        <w:rPr>
          <w:spacing w:val="-9"/>
          <w:w w:val="130"/>
          <w:sz w:val="24"/>
        </w:rPr>
        <w:t> </w:t>
      </w:r>
      <w:r>
        <w:rPr>
          <w:w w:val="130"/>
          <w:sz w:val="24"/>
        </w:rPr>
        <w:t>európai</w:t>
      </w:r>
      <w:r>
        <w:rPr>
          <w:spacing w:val="-14"/>
          <w:w w:val="130"/>
          <w:sz w:val="24"/>
        </w:rPr>
        <w:t> </w:t>
      </w:r>
      <w:r>
        <w:rPr>
          <w:w w:val="130"/>
          <w:sz w:val="24"/>
        </w:rPr>
        <w:t>parlamenti</w:t>
      </w:r>
      <w:r>
        <w:rPr>
          <w:spacing w:val="-11"/>
          <w:w w:val="130"/>
          <w:sz w:val="24"/>
        </w:rPr>
        <w:t> </w:t>
      </w:r>
      <w:r>
        <w:rPr>
          <w:w w:val="130"/>
          <w:sz w:val="24"/>
        </w:rPr>
        <w:t>és</w:t>
      </w:r>
      <w:r>
        <w:rPr>
          <w:spacing w:val="-12"/>
          <w:w w:val="130"/>
          <w:sz w:val="24"/>
        </w:rPr>
        <w:t> </w:t>
      </w:r>
      <w:r>
        <w:rPr>
          <w:w w:val="130"/>
          <w:sz w:val="24"/>
        </w:rPr>
        <w:t>tanácsi</w:t>
      </w:r>
      <w:r>
        <w:rPr>
          <w:spacing w:val="-12"/>
          <w:w w:val="130"/>
          <w:sz w:val="24"/>
        </w:rPr>
        <w:t> </w:t>
      </w:r>
      <w:r>
        <w:rPr>
          <w:w w:val="130"/>
          <w:sz w:val="24"/>
        </w:rPr>
        <w:t>irányelvnek,</w:t>
      </w:r>
    </w:p>
    <w:p>
      <w:pPr>
        <w:pStyle w:val="BodyText"/>
        <w:spacing w:line="225" w:lineRule="auto" w:before="2"/>
        <w:ind w:right="125"/>
        <w:jc w:val="both"/>
      </w:pPr>
      <w:r>
        <w:rPr>
          <w:i/>
          <w:w w:val="125"/>
        </w:rPr>
        <w:t>f) </w:t>
      </w:r>
      <w:r>
        <w:rPr>
          <w:w w:val="125"/>
        </w:rPr>
        <w:t>a 98/26/EK, 2002/87/EK, 2003/6/EK, 2003/41/EK, 2003/71/EK, 2004/39/EK, 2004/109/EK, 2005/60/EK, 2006/48/EK, 2006/49/EK és</w:t>
      </w:r>
    </w:p>
    <w:p>
      <w:pPr>
        <w:pStyle w:val="BodyText"/>
        <w:spacing w:line="225" w:lineRule="auto" w:before="1"/>
        <w:ind w:right="130" w:firstLine="0"/>
        <w:jc w:val="both"/>
      </w:pPr>
      <w:r>
        <w:rPr>
          <w:w w:val="125"/>
        </w:rPr>
        <w:t>2009/65/EK irányelvnek az európai felügyeleti hatóság (Európai Bankhatóság), az európai felügyeleti hatóság (Európai Biztosítás- és Foglalkoztatóinyugdíj-hatóság) és az európai felügyeleti hatóság (Európai Értékpapír-piaci Hatóság) hatásköre tekintetében történő módosításáról szóló 2010. november 24-i 2010/78/EU európai parlamenti és tanácsi irányelvnek,</w:t>
      </w:r>
    </w:p>
    <w:p>
      <w:pPr>
        <w:pStyle w:val="ListParagraph"/>
        <w:numPr>
          <w:ilvl w:val="0"/>
          <w:numId w:val="663"/>
        </w:numPr>
        <w:tabs>
          <w:tab w:pos="657" w:val="left" w:leader="none"/>
        </w:tabs>
        <w:spacing w:line="225" w:lineRule="auto" w:before="3" w:after="0"/>
        <w:ind w:left="113" w:right="121" w:firstLine="204"/>
        <w:jc w:val="both"/>
        <w:rPr>
          <w:sz w:val="24"/>
        </w:rPr>
      </w:pPr>
      <w:r>
        <w:rPr>
          <w:w w:val="130"/>
          <w:sz w:val="24"/>
        </w:rPr>
        <w:t>a</w:t>
      </w:r>
      <w:r>
        <w:rPr>
          <w:spacing w:val="-8"/>
          <w:w w:val="130"/>
          <w:sz w:val="24"/>
        </w:rPr>
        <w:t> </w:t>
      </w:r>
      <w:r>
        <w:rPr>
          <w:w w:val="130"/>
          <w:sz w:val="24"/>
        </w:rPr>
        <w:t>hitelintézetek</w:t>
      </w:r>
      <w:r>
        <w:rPr>
          <w:spacing w:val="-7"/>
          <w:w w:val="130"/>
          <w:sz w:val="24"/>
        </w:rPr>
        <w:t> </w:t>
      </w:r>
      <w:r>
        <w:rPr>
          <w:w w:val="130"/>
          <w:sz w:val="24"/>
        </w:rPr>
        <w:t>tevékenységéhez</w:t>
      </w:r>
      <w:r>
        <w:rPr>
          <w:spacing w:val="-7"/>
          <w:w w:val="130"/>
          <w:sz w:val="24"/>
        </w:rPr>
        <w:t> </w:t>
      </w:r>
      <w:r>
        <w:rPr>
          <w:w w:val="130"/>
          <w:sz w:val="24"/>
        </w:rPr>
        <w:t>való</w:t>
      </w:r>
      <w:r>
        <w:rPr>
          <w:spacing w:val="-8"/>
          <w:w w:val="130"/>
          <w:sz w:val="24"/>
        </w:rPr>
        <w:t> </w:t>
      </w:r>
      <w:r>
        <w:rPr>
          <w:w w:val="130"/>
          <w:sz w:val="24"/>
        </w:rPr>
        <w:t>hozzáférésről</w:t>
      </w:r>
      <w:r>
        <w:rPr>
          <w:spacing w:val="-7"/>
          <w:w w:val="130"/>
          <w:sz w:val="24"/>
        </w:rPr>
        <w:t> </w:t>
      </w:r>
      <w:r>
        <w:rPr>
          <w:w w:val="130"/>
          <w:sz w:val="24"/>
        </w:rPr>
        <w:t>és</w:t>
      </w:r>
      <w:r>
        <w:rPr>
          <w:spacing w:val="-7"/>
          <w:w w:val="130"/>
          <w:sz w:val="24"/>
        </w:rPr>
        <w:t> </w:t>
      </w:r>
      <w:r>
        <w:rPr>
          <w:w w:val="130"/>
          <w:sz w:val="24"/>
        </w:rPr>
        <w:t>a</w:t>
      </w:r>
      <w:r>
        <w:rPr>
          <w:spacing w:val="-7"/>
          <w:w w:val="130"/>
          <w:sz w:val="24"/>
        </w:rPr>
        <w:t> </w:t>
      </w:r>
      <w:r>
        <w:rPr>
          <w:w w:val="130"/>
          <w:sz w:val="24"/>
        </w:rPr>
        <w:t>hitelintézetek</w:t>
      </w:r>
      <w:r>
        <w:rPr>
          <w:spacing w:val="-7"/>
          <w:w w:val="130"/>
          <w:sz w:val="24"/>
        </w:rPr>
        <w:t> </w:t>
      </w:r>
      <w:r>
        <w:rPr>
          <w:w w:val="130"/>
          <w:sz w:val="24"/>
        </w:rPr>
        <w:t>és befektetési vállalkozások prudenciális felügyeletéről, a 2002/87/EK irányelv módosításáról, a 2006/48/EK és a 2006/49/EK irányelv hatályon kívül helyezéséről</w:t>
      </w:r>
      <w:r>
        <w:rPr>
          <w:spacing w:val="-23"/>
          <w:w w:val="130"/>
          <w:sz w:val="24"/>
        </w:rPr>
        <w:t> </w:t>
      </w:r>
      <w:r>
        <w:rPr>
          <w:w w:val="130"/>
          <w:sz w:val="24"/>
        </w:rPr>
        <w:t>szóló</w:t>
      </w:r>
      <w:r>
        <w:rPr>
          <w:spacing w:val="-23"/>
          <w:w w:val="130"/>
          <w:sz w:val="24"/>
        </w:rPr>
        <w:t> </w:t>
      </w:r>
      <w:r>
        <w:rPr>
          <w:w w:val="130"/>
          <w:sz w:val="24"/>
        </w:rPr>
        <w:t>2013.</w:t>
      </w:r>
      <w:r>
        <w:rPr>
          <w:spacing w:val="-23"/>
          <w:w w:val="130"/>
          <w:sz w:val="24"/>
        </w:rPr>
        <w:t> </w:t>
      </w:r>
      <w:r>
        <w:rPr>
          <w:w w:val="130"/>
          <w:sz w:val="24"/>
        </w:rPr>
        <w:t>június</w:t>
      </w:r>
      <w:r>
        <w:rPr>
          <w:spacing w:val="-22"/>
          <w:w w:val="130"/>
          <w:sz w:val="24"/>
        </w:rPr>
        <w:t> </w:t>
      </w:r>
      <w:r>
        <w:rPr>
          <w:w w:val="130"/>
          <w:sz w:val="24"/>
        </w:rPr>
        <w:t>26-i</w:t>
      </w:r>
      <w:r>
        <w:rPr>
          <w:spacing w:val="-23"/>
          <w:w w:val="130"/>
          <w:sz w:val="24"/>
        </w:rPr>
        <w:t> </w:t>
      </w:r>
      <w:r>
        <w:rPr>
          <w:w w:val="130"/>
          <w:sz w:val="24"/>
        </w:rPr>
        <w:t>2013/36/EU</w:t>
      </w:r>
      <w:r>
        <w:rPr>
          <w:spacing w:val="-23"/>
          <w:w w:val="130"/>
          <w:sz w:val="24"/>
        </w:rPr>
        <w:t> </w:t>
      </w:r>
      <w:r>
        <w:rPr>
          <w:w w:val="130"/>
          <w:sz w:val="24"/>
        </w:rPr>
        <w:t>európai</w:t>
      </w:r>
      <w:r>
        <w:rPr>
          <w:spacing w:val="-23"/>
          <w:w w:val="130"/>
          <w:sz w:val="24"/>
        </w:rPr>
        <w:t> </w:t>
      </w:r>
      <w:r>
        <w:rPr>
          <w:w w:val="130"/>
          <w:sz w:val="24"/>
        </w:rPr>
        <w:t>parlamenti</w:t>
      </w:r>
      <w:r>
        <w:rPr>
          <w:spacing w:val="-22"/>
          <w:w w:val="130"/>
          <w:sz w:val="24"/>
        </w:rPr>
        <w:t> </w:t>
      </w:r>
      <w:r>
        <w:rPr>
          <w:w w:val="130"/>
          <w:sz w:val="24"/>
        </w:rPr>
        <w:t>és</w:t>
      </w:r>
      <w:r>
        <w:rPr>
          <w:spacing w:val="-19"/>
          <w:w w:val="130"/>
          <w:sz w:val="24"/>
        </w:rPr>
        <w:t> </w:t>
      </w:r>
      <w:r>
        <w:rPr>
          <w:w w:val="130"/>
          <w:sz w:val="24"/>
        </w:rPr>
        <w:t>tanácsi irányelvnek,</w:t>
      </w:r>
    </w:p>
    <w:p>
      <w:pPr>
        <w:pStyle w:val="ListParagraph"/>
        <w:numPr>
          <w:ilvl w:val="0"/>
          <w:numId w:val="663"/>
        </w:numPr>
        <w:tabs>
          <w:tab w:pos="754" w:val="left" w:leader="none"/>
        </w:tabs>
        <w:spacing w:line="225" w:lineRule="auto" w:before="3" w:after="0"/>
        <w:ind w:left="113" w:right="123" w:firstLine="204"/>
        <w:jc w:val="both"/>
        <w:rPr>
          <w:sz w:val="24"/>
        </w:rPr>
      </w:pPr>
      <w:r>
        <w:rPr>
          <w:w w:val="130"/>
          <w:sz w:val="24"/>
        </w:rPr>
        <w:t>a betétbiztosítási rendszerekről szóló 2014. április 16-i 2014/49/EU európai parlamenti és tanácsi</w:t>
      </w:r>
      <w:r>
        <w:rPr>
          <w:spacing w:val="-17"/>
          <w:w w:val="130"/>
          <w:sz w:val="24"/>
        </w:rPr>
        <w:t> </w:t>
      </w:r>
      <w:r>
        <w:rPr>
          <w:w w:val="130"/>
          <w:sz w:val="24"/>
        </w:rPr>
        <w:t>irányelvnek,</w:t>
      </w:r>
    </w:p>
    <w:p>
      <w:pPr>
        <w:pStyle w:val="ListParagraph"/>
        <w:numPr>
          <w:ilvl w:val="0"/>
          <w:numId w:val="663"/>
        </w:numPr>
        <w:tabs>
          <w:tab w:pos="490" w:val="left" w:leader="none"/>
        </w:tabs>
        <w:spacing w:line="225" w:lineRule="auto" w:before="1" w:after="0"/>
        <w:ind w:left="113" w:right="136" w:firstLine="204"/>
        <w:jc w:val="both"/>
        <w:rPr>
          <w:sz w:val="24"/>
        </w:rPr>
      </w:pPr>
      <w:r>
        <w:rPr>
          <w:i/>
          <w:w w:val="125"/>
          <w:position w:val="3"/>
          <w:sz w:val="18"/>
        </w:rPr>
        <w:t>2 </w:t>
      </w:r>
      <w:r>
        <w:rPr>
          <w:w w:val="125"/>
          <w:sz w:val="24"/>
        </w:rPr>
        <w:t>a 2011/16/EU tanácsi irányelvnek az adózás területére vonatkozó kötelező automatikus információcsere tekintetében történő módosításáról szóló 2014. december 9-i 2014/107/EU tanácsi</w:t>
      </w:r>
      <w:r>
        <w:rPr>
          <w:spacing w:val="2"/>
          <w:w w:val="125"/>
          <w:sz w:val="24"/>
        </w:rPr>
        <w:t> </w:t>
      </w:r>
      <w:r>
        <w:rPr>
          <w:w w:val="125"/>
          <w:sz w:val="24"/>
        </w:rPr>
        <w:t>irányelvnek,</w:t>
      </w:r>
    </w:p>
    <w:p>
      <w:pPr>
        <w:pStyle w:val="ListParagraph"/>
        <w:numPr>
          <w:ilvl w:val="0"/>
          <w:numId w:val="663"/>
        </w:numPr>
        <w:tabs>
          <w:tab w:pos="487" w:val="left" w:leader="none"/>
          <w:tab w:pos="853" w:val="left" w:leader="none"/>
          <w:tab w:pos="1248" w:val="left" w:leader="none"/>
          <w:tab w:pos="3718" w:val="left" w:leader="none"/>
          <w:tab w:pos="5330" w:val="left" w:leader="none"/>
          <w:tab w:pos="6815" w:val="left" w:leader="none"/>
        </w:tabs>
        <w:spacing w:line="250" w:lineRule="exact" w:before="0" w:after="0"/>
        <w:ind w:left="486" w:right="0" w:hanging="169"/>
        <w:jc w:val="left"/>
        <w:rPr>
          <w:sz w:val="24"/>
        </w:rPr>
      </w:pPr>
      <w:r>
        <w:rPr>
          <w:i/>
          <w:w w:val="125"/>
          <w:position w:val="3"/>
          <w:sz w:val="18"/>
        </w:rPr>
        <w:t>3</w:t>
        <w:tab/>
      </w:r>
      <w:r>
        <w:rPr>
          <w:w w:val="125"/>
          <w:sz w:val="24"/>
        </w:rPr>
        <w:t>a</w:t>
        <w:tab/>
        <w:t>lakóingatlanokhoz</w:t>
        <w:tab/>
        <w:t>kapcsolódó</w:t>
        <w:tab/>
        <w:t>fogyasztói</w:t>
        <w:tab/>
        <w:t>hitelmegállapodásokról,</w:t>
      </w:r>
    </w:p>
    <w:p>
      <w:pPr>
        <w:pStyle w:val="BodyText"/>
        <w:spacing w:line="225" w:lineRule="auto" w:before="12"/>
        <w:ind w:right="128" w:firstLine="0"/>
        <w:jc w:val="both"/>
      </w:pPr>
      <w:r>
        <w:rPr>
          <w:w w:val="125"/>
        </w:rPr>
        <w:t>valamint a 2008/48/EK és a 2013/36/EU irányelv és az 1093/2010/EU rendelet módosításáról szóló 2014. február 4-i 2014/17/EU európai parlamenti és  tanácsi</w:t>
      </w:r>
      <w:r>
        <w:rPr>
          <w:spacing w:val="8"/>
          <w:w w:val="125"/>
        </w:rPr>
        <w:t> </w:t>
      </w:r>
      <w:r>
        <w:rPr>
          <w:w w:val="125"/>
        </w:rPr>
        <w:t>irányelvnek,</w:t>
      </w:r>
    </w:p>
    <w:p>
      <w:pPr>
        <w:pStyle w:val="ListParagraph"/>
        <w:numPr>
          <w:ilvl w:val="0"/>
          <w:numId w:val="663"/>
        </w:numPr>
        <w:tabs>
          <w:tab w:pos="558" w:val="left" w:leader="none"/>
          <w:tab w:pos="884" w:val="left" w:leader="none"/>
          <w:tab w:pos="1366" w:val="left" w:leader="none"/>
          <w:tab w:pos="2133" w:val="left" w:leader="none"/>
          <w:tab w:pos="4015" w:val="left" w:leader="none"/>
          <w:tab w:pos="6616" w:val="left" w:leader="none"/>
          <w:tab w:pos="8255" w:val="left" w:leader="none"/>
          <w:tab w:pos="8857" w:val="left" w:leader="none"/>
        </w:tabs>
        <w:spacing w:line="250" w:lineRule="exact" w:before="0" w:after="0"/>
        <w:ind w:left="557" w:right="0" w:hanging="240"/>
        <w:jc w:val="left"/>
        <w:rPr>
          <w:sz w:val="24"/>
        </w:rPr>
      </w:pPr>
      <w:r>
        <w:rPr>
          <w:i/>
          <w:w w:val="125"/>
          <w:position w:val="3"/>
          <w:sz w:val="18"/>
        </w:rPr>
        <w:t>4</w:t>
        <w:tab/>
      </w:r>
      <w:r>
        <w:rPr>
          <w:w w:val="125"/>
          <w:sz w:val="24"/>
        </w:rPr>
        <w:t>az</w:t>
        <w:tab/>
        <w:t>éves</w:t>
        <w:tab/>
        <w:t>és </w:t>
      </w:r>
      <w:r>
        <w:rPr>
          <w:spacing w:val="57"/>
          <w:w w:val="125"/>
          <w:sz w:val="24"/>
        </w:rPr>
        <w:t> </w:t>
      </w:r>
      <w:r>
        <w:rPr>
          <w:w w:val="125"/>
          <w:sz w:val="24"/>
        </w:rPr>
        <w:t>összevont</w:t>
        <w:tab/>
        <w:t>(konszolidált) </w:t>
      </w:r>
      <w:r>
        <w:rPr>
          <w:spacing w:val="33"/>
          <w:w w:val="125"/>
          <w:sz w:val="24"/>
        </w:rPr>
        <w:t> </w:t>
      </w:r>
      <w:r>
        <w:rPr>
          <w:w w:val="125"/>
          <w:sz w:val="24"/>
        </w:rPr>
        <w:t>éves</w:t>
        <w:tab/>
        <w:t>beszámolók</w:t>
        <w:tab/>
        <w:t>jog</w:t>
        <w:tab/>
        <w:t>szerinti</w:t>
      </w:r>
    </w:p>
    <w:p>
      <w:pPr>
        <w:pStyle w:val="BodyText"/>
        <w:tabs>
          <w:tab w:pos="2584" w:val="left" w:leader="none"/>
          <w:tab w:pos="3409" w:val="left" w:leader="none"/>
          <w:tab w:pos="5050" w:val="left" w:leader="none"/>
          <w:tab w:pos="6235" w:val="left" w:leader="none"/>
          <w:tab w:pos="8155" w:val="left" w:leader="none"/>
          <w:tab w:pos="9056" w:val="left" w:leader="none"/>
        </w:tabs>
        <w:spacing w:line="225" w:lineRule="auto" w:before="12"/>
        <w:ind w:right="134" w:firstLine="0"/>
      </w:pPr>
      <w:r>
        <w:rPr>
          <w:w w:val="125"/>
        </w:rPr>
        <w:t>könyvvizsgálatáról</w:t>
        <w:tab/>
        <w:t>szóló</w:t>
        <w:tab/>
        <w:t>2006/43/EK</w:t>
        <w:tab/>
        <w:t>irányelv</w:t>
        <w:tab/>
        <w:t>módosításáról</w:t>
        <w:tab/>
        <w:t>szóló,</w:t>
        <w:tab/>
      </w:r>
      <w:r>
        <w:rPr>
          <w:spacing w:val="-4"/>
          <w:w w:val="125"/>
        </w:rPr>
        <w:t>2014. </w:t>
      </w:r>
      <w:r>
        <w:rPr>
          <w:w w:val="125"/>
        </w:rPr>
        <w:t>április 16-i 2014/56/EU európai parlamenti és tanácsi</w:t>
      </w:r>
      <w:r>
        <w:rPr>
          <w:spacing w:val="17"/>
          <w:w w:val="125"/>
        </w:rPr>
        <w:t> </w:t>
      </w:r>
      <w:r>
        <w:rPr>
          <w:w w:val="125"/>
        </w:rPr>
        <w:t>irányelvnek,</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0"/>
        <w:ind w:left="0" w:firstLine="0"/>
        <w:rPr>
          <w:sz w:val="13"/>
        </w:rPr>
      </w:pPr>
      <w:r>
        <w:rPr/>
        <w:pict>
          <v:line style="position:absolute;mso-position-horizontal-relative:page;mso-position-vertical-relative:paragraph;z-index:3056;mso-wrap-distance-left:0;mso-wrap-distance-right:0" from="56.693001pt,10.179734pt" to="538.583001pt,10.179734pt" stroked="true" strokeweight=".5pt" strokecolor="#000000">
            <v:stroke dashstyle="solid"/>
            <w10:wrap type="topAndBottom"/>
          </v:line>
        </w:pict>
      </w:r>
    </w:p>
    <w:p>
      <w:pPr>
        <w:pStyle w:val="ListParagraph"/>
        <w:numPr>
          <w:ilvl w:val="0"/>
          <w:numId w:val="664"/>
        </w:numPr>
        <w:tabs>
          <w:tab w:pos="686" w:val="left" w:leader="none"/>
          <w:tab w:pos="687" w:val="left" w:leader="none"/>
        </w:tabs>
        <w:spacing w:line="203" w:lineRule="exact" w:before="44" w:after="0"/>
        <w:ind w:left="686" w:right="0" w:hanging="344"/>
        <w:jc w:val="left"/>
        <w:rPr>
          <w:i/>
          <w:sz w:val="18"/>
        </w:rPr>
      </w:pPr>
      <w:r>
        <w:rPr>
          <w:i/>
          <w:w w:val="125"/>
          <w:sz w:val="18"/>
        </w:rPr>
        <w:t>Megállapította: 2017. évi LIII. törvény 91. § (3). Hatályos: 2017. VI.</w:t>
      </w:r>
      <w:r>
        <w:rPr>
          <w:i/>
          <w:spacing w:val="-20"/>
          <w:w w:val="125"/>
          <w:sz w:val="18"/>
        </w:rPr>
        <w:t> </w:t>
      </w:r>
      <w:r>
        <w:rPr>
          <w:i/>
          <w:w w:val="125"/>
          <w:sz w:val="18"/>
        </w:rPr>
        <w:t>26-tól.</w:t>
      </w:r>
    </w:p>
    <w:p>
      <w:pPr>
        <w:pStyle w:val="ListParagraph"/>
        <w:numPr>
          <w:ilvl w:val="0"/>
          <w:numId w:val="664"/>
        </w:numPr>
        <w:tabs>
          <w:tab w:pos="686" w:val="left" w:leader="none"/>
          <w:tab w:pos="687" w:val="left" w:leader="none"/>
        </w:tabs>
        <w:spacing w:line="200" w:lineRule="exact" w:before="0" w:after="0"/>
        <w:ind w:left="686" w:right="0" w:hanging="344"/>
        <w:jc w:val="left"/>
        <w:rPr>
          <w:i/>
          <w:sz w:val="18"/>
        </w:rPr>
      </w:pPr>
      <w:r>
        <w:rPr>
          <w:i/>
          <w:w w:val="125"/>
          <w:sz w:val="18"/>
        </w:rPr>
        <w:t>Beiktatta: 2015. évi CXCII. törvény 19. §, 4. melléklet. Hatályos: 2016. I.</w:t>
      </w:r>
      <w:r>
        <w:rPr>
          <w:i/>
          <w:spacing w:val="-15"/>
          <w:w w:val="125"/>
          <w:sz w:val="18"/>
        </w:rPr>
        <w:t> </w:t>
      </w:r>
      <w:r>
        <w:rPr>
          <w:i/>
          <w:w w:val="125"/>
          <w:sz w:val="18"/>
        </w:rPr>
        <w:t>1-től.</w:t>
      </w:r>
    </w:p>
    <w:p>
      <w:pPr>
        <w:pStyle w:val="ListParagraph"/>
        <w:numPr>
          <w:ilvl w:val="0"/>
          <w:numId w:val="664"/>
        </w:numPr>
        <w:tabs>
          <w:tab w:pos="686" w:val="left" w:leader="none"/>
          <w:tab w:pos="687" w:val="left" w:leader="none"/>
        </w:tabs>
        <w:spacing w:line="200" w:lineRule="exact" w:before="0" w:after="0"/>
        <w:ind w:left="686" w:right="0" w:hanging="344"/>
        <w:jc w:val="left"/>
        <w:rPr>
          <w:i/>
          <w:sz w:val="18"/>
        </w:rPr>
      </w:pPr>
      <w:r>
        <w:rPr>
          <w:i/>
          <w:w w:val="125"/>
          <w:sz w:val="18"/>
        </w:rPr>
        <w:t>Beiktatta: 2015. évi CCXV. törvény 151. §, 1. melléklet. Hatályos: 2016. III.</w:t>
      </w:r>
      <w:r>
        <w:rPr>
          <w:i/>
          <w:spacing w:val="-18"/>
          <w:w w:val="125"/>
          <w:sz w:val="18"/>
        </w:rPr>
        <w:t> </w:t>
      </w:r>
      <w:r>
        <w:rPr>
          <w:i/>
          <w:w w:val="125"/>
          <w:sz w:val="18"/>
        </w:rPr>
        <w:t>21-től.</w:t>
      </w:r>
    </w:p>
    <w:p>
      <w:pPr>
        <w:pStyle w:val="ListParagraph"/>
        <w:numPr>
          <w:ilvl w:val="0"/>
          <w:numId w:val="664"/>
        </w:numPr>
        <w:tabs>
          <w:tab w:pos="686" w:val="left" w:leader="none"/>
          <w:tab w:pos="687" w:val="left" w:leader="none"/>
        </w:tabs>
        <w:spacing w:line="203" w:lineRule="exact" w:before="0" w:after="0"/>
        <w:ind w:left="686" w:right="0" w:hanging="344"/>
        <w:jc w:val="left"/>
        <w:rPr>
          <w:i/>
          <w:sz w:val="18"/>
        </w:rPr>
      </w:pPr>
      <w:r>
        <w:rPr>
          <w:i/>
          <w:w w:val="125"/>
          <w:sz w:val="18"/>
        </w:rPr>
        <w:t>Beiktatta: 2016. évi XLIV. törvény 66. §, 1. melléklet. Hatályos: 2016. VI.</w:t>
      </w:r>
      <w:r>
        <w:rPr>
          <w:i/>
          <w:spacing w:val="-14"/>
          <w:w w:val="125"/>
          <w:sz w:val="18"/>
        </w:rPr>
        <w:t> </w:t>
      </w:r>
      <w:r>
        <w:rPr>
          <w:i/>
          <w:w w:val="125"/>
          <w:sz w:val="18"/>
        </w:rPr>
        <w:t>4-től.</w:t>
      </w:r>
    </w:p>
    <w:p>
      <w:pPr>
        <w:spacing w:after="0" w:line="203" w:lineRule="exact"/>
        <w:jc w:val="left"/>
        <w:rPr>
          <w:sz w:val="18"/>
        </w:rPr>
        <w:sectPr>
          <w:pgSz w:w="11900" w:h="16820"/>
          <w:pgMar w:header="1104" w:footer="0" w:top="1840" w:bottom="280" w:left="1020" w:right="1000"/>
        </w:sectPr>
      </w:pPr>
    </w:p>
    <w:p>
      <w:pPr>
        <w:pStyle w:val="ListParagraph"/>
        <w:numPr>
          <w:ilvl w:val="0"/>
          <w:numId w:val="663"/>
        </w:numPr>
        <w:tabs>
          <w:tab w:pos="490" w:val="left" w:leader="none"/>
          <w:tab w:pos="830" w:val="left" w:leader="none"/>
          <w:tab w:pos="1215" w:val="left" w:leader="none"/>
          <w:tab w:pos="2069" w:val="left" w:leader="none"/>
          <w:tab w:pos="2892" w:val="left" w:leader="none"/>
          <w:tab w:pos="4711" w:val="left" w:leader="none"/>
          <w:tab w:pos="7010" w:val="left" w:leader="none"/>
          <w:tab w:pos="7502" w:val="left" w:leader="none"/>
          <w:tab w:pos="7873" w:val="left" w:leader="none"/>
          <w:tab w:pos="9608" w:val="left" w:leader="none"/>
        </w:tabs>
        <w:spacing w:line="261" w:lineRule="exact" w:before="159" w:after="0"/>
        <w:ind w:left="489" w:right="0" w:hanging="172"/>
        <w:jc w:val="left"/>
        <w:rPr>
          <w:sz w:val="24"/>
        </w:rPr>
      </w:pPr>
      <w:r>
        <w:rPr>
          <w:i/>
          <w:w w:val="130"/>
          <w:position w:val="3"/>
          <w:sz w:val="18"/>
        </w:rPr>
        <w:t>1</w:t>
        <w:tab/>
      </w:r>
      <w:r>
        <w:rPr>
          <w:w w:val="130"/>
          <w:sz w:val="24"/>
        </w:rPr>
        <w:t>a</w:t>
        <w:tab/>
        <w:t>belső</w:t>
        <w:tab/>
        <w:t>piaci</w:t>
        <w:tab/>
        <w:t>pénzforgalmi</w:t>
        <w:tab/>
        <w:t>szolgáltatásokról</w:t>
        <w:tab/>
        <w:t>és</w:t>
        <w:tab/>
        <w:t>a</w:t>
        <w:tab/>
      </w:r>
      <w:r>
        <w:rPr>
          <w:w w:val="125"/>
          <w:sz w:val="24"/>
        </w:rPr>
        <w:t>2002/65/EK,</w:t>
        <w:tab/>
      </w:r>
      <w:r>
        <w:rPr>
          <w:w w:val="130"/>
          <w:sz w:val="24"/>
        </w:rPr>
        <w:t>a</w:t>
      </w:r>
    </w:p>
    <w:p>
      <w:pPr>
        <w:pStyle w:val="BodyText"/>
        <w:spacing w:line="225" w:lineRule="auto" w:before="12"/>
        <w:ind w:right="122" w:firstLine="0"/>
        <w:jc w:val="both"/>
      </w:pPr>
      <w:r>
        <w:rPr>
          <w:w w:val="125"/>
        </w:rPr>
        <w:t>2009/110/EK és a 2013/36/EU irányelv és a 1093/2010/EU rendelet módosításáról, valamint a 2007/64/EK irányelv hatályon kívül helyezéséről szóló 2015. november 25-i (EU) 2015/2366 európai parlamenti és tanácsi irányelvnek,</w:t>
      </w:r>
    </w:p>
    <w:p>
      <w:pPr>
        <w:pStyle w:val="ListParagraph"/>
        <w:numPr>
          <w:ilvl w:val="0"/>
          <w:numId w:val="663"/>
        </w:numPr>
        <w:tabs>
          <w:tab w:pos="641" w:val="left" w:leader="none"/>
        </w:tabs>
        <w:spacing w:line="251" w:lineRule="exact" w:before="0" w:after="0"/>
        <w:ind w:left="640" w:right="0" w:hanging="323"/>
        <w:jc w:val="left"/>
        <w:rPr>
          <w:sz w:val="24"/>
        </w:rPr>
      </w:pPr>
      <w:r>
        <w:rPr>
          <w:i/>
          <w:w w:val="130"/>
          <w:position w:val="3"/>
          <w:sz w:val="18"/>
        </w:rPr>
        <w:t>2 </w:t>
      </w:r>
      <w:r>
        <w:rPr>
          <w:w w:val="130"/>
          <w:sz w:val="24"/>
        </w:rPr>
        <w:t>a 2014/59/EU irányelvnek a fedezetlen, hitelviszonyt</w:t>
      </w:r>
      <w:r>
        <w:rPr>
          <w:spacing w:val="56"/>
          <w:w w:val="130"/>
          <w:sz w:val="24"/>
        </w:rPr>
        <w:t> </w:t>
      </w:r>
      <w:r>
        <w:rPr>
          <w:w w:val="130"/>
          <w:sz w:val="24"/>
        </w:rPr>
        <w:t>megtestesítő</w:t>
      </w:r>
    </w:p>
    <w:p>
      <w:pPr>
        <w:pStyle w:val="BodyText"/>
        <w:spacing w:line="225" w:lineRule="auto" w:before="12"/>
        <w:ind w:right="128" w:firstLine="0"/>
        <w:jc w:val="both"/>
      </w:pPr>
      <w:r>
        <w:rPr>
          <w:w w:val="130"/>
        </w:rPr>
        <w:t>instrumentumok kielégítési sorrendben elfoglalt helye tekintetében történő módosításáról</w:t>
      </w:r>
      <w:r>
        <w:rPr>
          <w:spacing w:val="-20"/>
          <w:w w:val="130"/>
        </w:rPr>
        <w:t> </w:t>
      </w:r>
      <w:r>
        <w:rPr>
          <w:w w:val="130"/>
        </w:rPr>
        <w:t>szóló,</w:t>
      </w:r>
      <w:r>
        <w:rPr>
          <w:spacing w:val="-19"/>
          <w:w w:val="130"/>
        </w:rPr>
        <w:t> </w:t>
      </w:r>
      <w:r>
        <w:rPr>
          <w:w w:val="130"/>
        </w:rPr>
        <w:t>2017.</w:t>
      </w:r>
      <w:r>
        <w:rPr>
          <w:spacing w:val="-19"/>
          <w:w w:val="130"/>
        </w:rPr>
        <w:t> </w:t>
      </w:r>
      <w:r>
        <w:rPr>
          <w:w w:val="130"/>
        </w:rPr>
        <w:t>december</w:t>
      </w:r>
      <w:r>
        <w:rPr>
          <w:spacing w:val="-19"/>
          <w:w w:val="130"/>
        </w:rPr>
        <w:t> </w:t>
      </w:r>
      <w:r>
        <w:rPr>
          <w:w w:val="130"/>
        </w:rPr>
        <w:t>12-i</w:t>
      </w:r>
      <w:r>
        <w:rPr>
          <w:spacing w:val="-19"/>
          <w:w w:val="130"/>
        </w:rPr>
        <w:t> </w:t>
      </w:r>
      <w:r>
        <w:rPr>
          <w:w w:val="130"/>
        </w:rPr>
        <w:t>(EU)</w:t>
      </w:r>
      <w:r>
        <w:rPr>
          <w:spacing w:val="-19"/>
          <w:w w:val="130"/>
        </w:rPr>
        <w:t> </w:t>
      </w:r>
      <w:r>
        <w:rPr>
          <w:w w:val="130"/>
        </w:rPr>
        <w:t>2017/2399</w:t>
      </w:r>
      <w:r>
        <w:rPr>
          <w:spacing w:val="-14"/>
          <w:w w:val="130"/>
        </w:rPr>
        <w:t> </w:t>
      </w:r>
      <w:r>
        <w:rPr>
          <w:w w:val="130"/>
        </w:rPr>
        <w:t>európai</w:t>
      </w:r>
      <w:r>
        <w:rPr>
          <w:spacing w:val="-24"/>
          <w:w w:val="130"/>
        </w:rPr>
        <w:t> </w:t>
      </w:r>
      <w:r>
        <w:rPr>
          <w:w w:val="130"/>
        </w:rPr>
        <w:t>parlamenti és tanácsi</w:t>
      </w:r>
      <w:r>
        <w:rPr>
          <w:spacing w:val="10"/>
          <w:w w:val="130"/>
        </w:rPr>
        <w:t> </w:t>
      </w:r>
      <w:r>
        <w:rPr>
          <w:w w:val="130"/>
        </w:rPr>
        <w:t>irányelvnek</w:t>
      </w:r>
    </w:p>
    <w:p>
      <w:pPr>
        <w:pStyle w:val="BodyText"/>
        <w:spacing w:line="264" w:lineRule="exact"/>
        <w:ind w:firstLine="0"/>
      </w:pPr>
      <w:r>
        <w:rPr>
          <w:w w:val="125"/>
        </w:rPr>
        <w:t>való megfelelést szolgálja.</w:t>
      </w:r>
    </w:p>
    <w:p>
      <w:pPr>
        <w:pStyle w:val="ListParagraph"/>
        <w:numPr>
          <w:ilvl w:val="3"/>
          <w:numId w:val="659"/>
        </w:numPr>
        <w:tabs>
          <w:tab w:pos="653" w:val="left" w:leader="none"/>
        </w:tabs>
        <w:spacing w:line="225" w:lineRule="auto" w:before="237" w:after="0"/>
        <w:ind w:left="113" w:right="126" w:firstLine="204"/>
        <w:jc w:val="both"/>
        <w:rPr>
          <w:sz w:val="24"/>
        </w:rPr>
      </w:pPr>
      <w:r>
        <w:rPr>
          <w:w w:val="125"/>
          <w:sz w:val="24"/>
        </w:rPr>
        <w:t>Ez a törvény a 185. § (1) bekezdésében a fogyasztóvédelmi jogszabályok alkalmazásáért felelős nemzeti hatóságok közötti együttműködésről szóló  2004. október 27-i 2006/2004/EK európai parlamenti és tanácsi  rendelet  4. cikk (6) bekezdés </w:t>
      </w:r>
      <w:r>
        <w:rPr>
          <w:i/>
          <w:w w:val="125"/>
          <w:sz w:val="24"/>
        </w:rPr>
        <w:t>f) </w:t>
      </w:r>
      <w:r>
        <w:rPr>
          <w:w w:val="125"/>
          <w:sz w:val="24"/>
        </w:rPr>
        <w:t>pontjának végrehajtásához szükséges rendelkezéseket állapít meg a Felügyelet</w:t>
      </w:r>
      <w:r>
        <w:rPr>
          <w:spacing w:val="4"/>
          <w:w w:val="125"/>
          <w:sz w:val="24"/>
        </w:rPr>
        <w:t> </w:t>
      </w:r>
      <w:r>
        <w:rPr>
          <w:w w:val="125"/>
          <w:sz w:val="24"/>
        </w:rPr>
        <w:t>eljárásában.</w:t>
      </w:r>
    </w:p>
    <w:p>
      <w:pPr>
        <w:pStyle w:val="ListParagraph"/>
        <w:numPr>
          <w:ilvl w:val="3"/>
          <w:numId w:val="659"/>
        </w:numPr>
        <w:tabs>
          <w:tab w:pos="663" w:val="left" w:leader="none"/>
        </w:tabs>
        <w:spacing w:line="225" w:lineRule="auto" w:before="243" w:after="0"/>
        <w:ind w:left="113" w:right="129" w:firstLine="204"/>
        <w:jc w:val="both"/>
        <w:rPr>
          <w:sz w:val="24"/>
        </w:rPr>
      </w:pPr>
      <w:r>
        <w:rPr>
          <w:w w:val="130"/>
          <w:sz w:val="24"/>
        </w:rPr>
        <w:t>Ez a törvény a hitelintézetekre és befektetési vállalkozásokra vonatkozó prudenciális</w:t>
      </w:r>
      <w:r>
        <w:rPr>
          <w:spacing w:val="-31"/>
          <w:w w:val="130"/>
          <w:sz w:val="24"/>
        </w:rPr>
        <w:t> </w:t>
      </w:r>
      <w:r>
        <w:rPr>
          <w:w w:val="130"/>
          <w:sz w:val="24"/>
        </w:rPr>
        <w:t>követelményekről</w:t>
      </w:r>
      <w:r>
        <w:rPr>
          <w:spacing w:val="-30"/>
          <w:w w:val="130"/>
          <w:sz w:val="24"/>
        </w:rPr>
        <w:t> </w:t>
      </w:r>
      <w:r>
        <w:rPr>
          <w:w w:val="130"/>
          <w:sz w:val="24"/>
        </w:rPr>
        <w:t>és</w:t>
      </w:r>
      <w:r>
        <w:rPr>
          <w:spacing w:val="-31"/>
          <w:w w:val="130"/>
          <w:sz w:val="24"/>
        </w:rPr>
        <w:t> </w:t>
      </w:r>
      <w:r>
        <w:rPr>
          <w:w w:val="130"/>
          <w:sz w:val="24"/>
        </w:rPr>
        <w:t>a</w:t>
      </w:r>
      <w:r>
        <w:rPr>
          <w:spacing w:val="-30"/>
          <w:w w:val="130"/>
          <w:sz w:val="24"/>
        </w:rPr>
        <w:t> </w:t>
      </w:r>
      <w:r>
        <w:rPr>
          <w:w w:val="130"/>
          <w:sz w:val="24"/>
        </w:rPr>
        <w:t>648/2012/EU</w:t>
      </w:r>
      <w:r>
        <w:rPr>
          <w:spacing w:val="-30"/>
          <w:w w:val="130"/>
          <w:sz w:val="24"/>
        </w:rPr>
        <w:t> </w:t>
      </w:r>
      <w:r>
        <w:rPr>
          <w:w w:val="130"/>
          <w:sz w:val="24"/>
        </w:rPr>
        <w:t>rendelet</w:t>
      </w:r>
      <w:r>
        <w:rPr>
          <w:spacing w:val="-30"/>
          <w:w w:val="130"/>
          <w:sz w:val="24"/>
        </w:rPr>
        <w:t> </w:t>
      </w:r>
      <w:r>
        <w:rPr>
          <w:w w:val="130"/>
          <w:sz w:val="24"/>
        </w:rPr>
        <w:t>módosításáról</w:t>
      </w:r>
      <w:r>
        <w:rPr>
          <w:spacing w:val="-31"/>
          <w:w w:val="130"/>
          <w:sz w:val="24"/>
        </w:rPr>
        <w:t> </w:t>
      </w:r>
      <w:r>
        <w:rPr>
          <w:w w:val="130"/>
          <w:sz w:val="24"/>
        </w:rPr>
        <w:t>szóló 2013. június 26-i 575/2013/EU európai parlamenti és tanácsi rendelet végrehajtásához szükséges rendelkezéseket állapít</w:t>
      </w:r>
      <w:r>
        <w:rPr>
          <w:spacing w:val="-21"/>
          <w:w w:val="130"/>
          <w:sz w:val="24"/>
        </w:rPr>
        <w:t> </w:t>
      </w:r>
      <w:r>
        <w:rPr>
          <w:w w:val="130"/>
          <w:sz w:val="24"/>
        </w:rPr>
        <w:t>meg.</w:t>
      </w:r>
    </w:p>
    <w:p>
      <w:pPr>
        <w:pStyle w:val="ListParagraph"/>
        <w:numPr>
          <w:ilvl w:val="2"/>
          <w:numId w:val="659"/>
        </w:numPr>
        <w:tabs>
          <w:tab w:pos="419" w:val="left" w:leader="none"/>
        </w:tabs>
        <w:spacing w:line="240" w:lineRule="auto" w:before="229" w:after="0"/>
        <w:ind w:left="418" w:right="0" w:hanging="305"/>
        <w:jc w:val="both"/>
        <w:rPr>
          <w:i/>
          <w:sz w:val="24"/>
        </w:rPr>
      </w:pPr>
      <w:r>
        <w:rPr>
          <w:i/>
          <w:w w:val="125"/>
          <w:sz w:val="24"/>
          <w:u w:val="single"/>
        </w:rPr>
        <w:t>melléklet a 2013. évi CCXXXVII. törvényhez</w:t>
      </w:r>
      <w:r>
        <w:rPr>
          <w:i/>
          <w:w w:val="125"/>
          <w:position w:val="3"/>
          <w:sz w:val="18"/>
        </w:rPr>
        <w:t>3</w:t>
      </w:r>
    </w:p>
    <w:p>
      <w:pPr>
        <w:pStyle w:val="BodyText"/>
        <w:ind w:left="0" w:firstLine="0"/>
        <w:rPr>
          <w:i/>
          <w:sz w:val="20"/>
        </w:rPr>
      </w:pPr>
    </w:p>
    <w:p>
      <w:pPr>
        <w:pStyle w:val="Heading2"/>
        <w:spacing w:before="238"/>
        <w:ind w:left="3088"/>
      </w:pPr>
      <w:r>
        <w:rPr>
          <w:w w:val="105"/>
        </w:rPr>
        <w:t>Tájékoztató a betéteseknek</w:t>
      </w:r>
    </w:p>
    <w:p>
      <w:pPr>
        <w:pStyle w:val="BodyText"/>
        <w:spacing w:before="223" w:after="15"/>
        <w:ind w:left="317" w:firstLine="0"/>
      </w:pPr>
      <w:r>
        <w:rPr>
          <w:w w:val="130"/>
        </w:rPr>
        <w:t>Alapvető információk a betétbiztosításról</w:t>
      </w:r>
    </w:p>
    <w:tbl>
      <w:tblPr>
        <w:tblW w:w="0" w:type="auto"/>
        <w:jc w:val="left"/>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2"/>
        <w:gridCol w:w="4020"/>
      </w:tblGrid>
      <w:tr>
        <w:trPr>
          <w:trHeight w:val="670" w:hRule="atLeast"/>
        </w:trPr>
        <w:tc>
          <w:tcPr>
            <w:tcW w:w="4012" w:type="dxa"/>
          </w:tcPr>
          <w:p>
            <w:pPr>
              <w:pStyle w:val="TableParagraph"/>
              <w:spacing w:before="11"/>
              <w:ind w:left="40" w:right="20" w:firstLine="264"/>
              <w:jc w:val="both"/>
              <w:rPr>
                <w:sz w:val="20"/>
              </w:rPr>
            </w:pPr>
            <w:r>
              <w:rPr>
                <w:w w:val="125"/>
                <w:sz w:val="20"/>
              </w:rPr>
              <w:t>A ... [hitelintézet neve]-nál/nél elhelyezett betéteket biztosító betétbiztosítási rendszer:</w:t>
            </w:r>
          </w:p>
        </w:tc>
        <w:tc>
          <w:tcPr>
            <w:tcW w:w="4020" w:type="dxa"/>
          </w:tcPr>
          <w:p>
            <w:pPr>
              <w:pStyle w:val="TableParagraph"/>
              <w:spacing w:line="240" w:lineRule="auto"/>
              <w:rPr>
                <w:sz w:val="20"/>
              </w:rPr>
            </w:pPr>
            <w:r>
              <w:rPr>
                <w:w w:val="125"/>
                <w:sz w:val="20"/>
              </w:rPr>
              <w:t>Országos Betétbiztosítási Alap </w:t>
            </w:r>
            <w:r>
              <w:rPr>
                <w:w w:val="125"/>
                <w:position w:val="10"/>
                <w:sz w:val="20"/>
              </w:rPr>
              <w:t>1</w:t>
            </w:r>
          </w:p>
        </w:tc>
      </w:tr>
      <w:tr>
        <w:trPr>
          <w:trHeight w:val="549" w:hRule="atLeast"/>
        </w:trPr>
        <w:tc>
          <w:tcPr>
            <w:tcW w:w="4012" w:type="dxa"/>
          </w:tcPr>
          <w:p>
            <w:pPr>
              <w:pStyle w:val="TableParagraph"/>
              <w:spacing w:line="229" w:lineRule="exact"/>
              <w:rPr>
                <w:sz w:val="20"/>
              </w:rPr>
            </w:pPr>
            <w:r>
              <w:rPr>
                <w:w w:val="125"/>
                <w:sz w:val="20"/>
              </w:rPr>
              <w:t>A betétbiztosítás összeghatára:</w:t>
            </w:r>
          </w:p>
        </w:tc>
        <w:tc>
          <w:tcPr>
            <w:tcW w:w="4020" w:type="dxa"/>
          </w:tcPr>
          <w:p>
            <w:pPr>
              <w:pStyle w:val="TableParagraph"/>
              <w:tabs>
                <w:tab w:pos="841" w:val="left" w:leader="none"/>
                <w:tab w:pos="1432" w:val="left" w:leader="none"/>
                <w:tab w:pos="2103" w:val="left" w:leader="none"/>
                <w:tab w:pos="3754" w:val="left" w:leader="none"/>
              </w:tabs>
              <w:spacing w:line="224" w:lineRule="exact"/>
              <w:ind w:left="250"/>
              <w:rPr>
                <w:sz w:val="20"/>
              </w:rPr>
            </w:pPr>
            <w:r>
              <w:rPr>
                <w:w w:val="130"/>
                <w:sz w:val="20"/>
              </w:rPr>
              <w:t>100</w:t>
              <w:tab/>
              <w:t>000</w:t>
              <w:tab/>
              <w:t>euró</w:t>
              <w:tab/>
              <w:t>betétesenként</w:t>
              <w:tab/>
              <w:t>és</w:t>
            </w:r>
          </w:p>
          <w:p>
            <w:pPr>
              <w:pStyle w:val="TableParagraph"/>
              <w:spacing w:line="305" w:lineRule="exact"/>
              <w:ind w:left="39"/>
              <w:rPr>
                <w:sz w:val="20"/>
              </w:rPr>
            </w:pPr>
            <w:r>
              <w:rPr>
                <w:w w:val="130"/>
                <w:sz w:val="20"/>
              </w:rPr>
              <w:t>hitelintézetenként</w:t>
            </w:r>
            <w:r>
              <w:rPr>
                <w:w w:val="130"/>
                <w:position w:val="10"/>
                <w:sz w:val="20"/>
              </w:rPr>
              <w:t>2</w:t>
            </w:r>
          </w:p>
        </w:tc>
      </w:tr>
      <w:tr>
        <w:trPr>
          <w:trHeight w:val="890" w:hRule="atLeast"/>
        </w:trPr>
        <w:tc>
          <w:tcPr>
            <w:tcW w:w="4012" w:type="dxa"/>
          </w:tcPr>
          <w:p>
            <w:pPr>
              <w:pStyle w:val="TableParagraph"/>
              <w:spacing w:line="230" w:lineRule="auto" w:before="7"/>
              <w:ind w:left="40" w:firstLine="117"/>
              <w:rPr>
                <w:sz w:val="20"/>
              </w:rPr>
            </w:pPr>
            <w:r>
              <w:rPr>
                <w:w w:val="130"/>
                <w:sz w:val="20"/>
              </w:rPr>
              <w:t>Ha Ön ugyanannál a hitelintézetnél több betéttel is rendelkezik:</w:t>
            </w:r>
          </w:p>
        </w:tc>
        <w:tc>
          <w:tcPr>
            <w:tcW w:w="4020" w:type="dxa"/>
          </w:tcPr>
          <w:p>
            <w:pPr>
              <w:pStyle w:val="TableParagraph"/>
              <w:spacing w:before="11"/>
              <w:ind w:left="39" w:right="31" w:firstLine="105"/>
              <w:jc w:val="both"/>
              <w:rPr>
                <w:sz w:val="20"/>
              </w:rPr>
            </w:pPr>
            <w:r>
              <w:rPr>
                <w:w w:val="130"/>
                <w:sz w:val="20"/>
              </w:rPr>
              <w:t>Az azonos hitelintézetnél elhelyezett betéteket</w:t>
            </w:r>
            <w:r>
              <w:rPr>
                <w:spacing w:val="-23"/>
                <w:w w:val="130"/>
                <w:sz w:val="20"/>
              </w:rPr>
              <w:t> </w:t>
            </w:r>
            <w:r>
              <w:rPr>
                <w:w w:val="130"/>
                <w:sz w:val="20"/>
              </w:rPr>
              <w:t>összevonják,</w:t>
            </w:r>
            <w:r>
              <w:rPr>
                <w:spacing w:val="-23"/>
                <w:w w:val="130"/>
                <w:sz w:val="20"/>
              </w:rPr>
              <w:t> </w:t>
            </w:r>
            <w:r>
              <w:rPr>
                <w:w w:val="130"/>
                <w:sz w:val="20"/>
              </w:rPr>
              <w:t>és</w:t>
            </w:r>
            <w:r>
              <w:rPr>
                <w:spacing w:val="-21"/>
                <w:w w:val="130"/>
                <w:sz w:val="20"/>
              </w:rPr>
              <w:t> </w:t>
            </w:r>
            <w:r>
              <w:rPr>
                <w:w w:val="130"/>
                <w:sz w:val="20"/>
              </w:rPr>
              <w:t>az</w:t>
            </w:r>
            <w:r>
              <w:rPr>
                <w:spacing w:val="-24"/>
                <w:w w:val="130"/>
                <w:sz w:val="20"/>
              </w:rPr>
              <w:t> </w:t>
            </w:r>
            <w:r>
              <w:rPr>
                <w:w w:val="130"/>
                <w:sz w:val="20"/>
              </w:rPr>
              <w:t>összevont összegre alkalmazzák a 100 000 euró összeghatárt</w:t>
            </w:r>
          </w:p>
        </w:tc>
      </w:tr>
      <w:tr>
        <w:trPr>
          <w:trHeight w:val="769" w:hRule="atLeast"/>
        </w:trPr>
        <w:tc>
          <w:tcPr>
            <w:tcW w:w="4012" w:type="dxa"/>
          </w:tcPr>
          <w:p>
            <w:pPr>
              <w:pStyle w:val="TableParagraph"/>
              <w:spacing w:line="230" w:lineRule="auto" w:before="6"/>
              <w:ind w:left="40" w:firstLine="91"/>
              <w:rPr>
                <w:sz w:val="20"/>
              </w:rPr>
            </w:pPr>
            <w:r>
              <w:rPr>
                <w:w w:val="125"/>
                <w:sz w:val="20"/>
              </w:rPr>
              <w:t>Ha Ön más betétessel közös betéttel rendelkezik:</w:t>
            </w:r>
          </w:p>
        </w:tc>
        <w:tc>
          <w:tcPr>
            <w:tcW w:w="4020" w:type="dxa"/>
          </w:tcPr>
          <w:p>
            <w:pPr>
              <w:pStyle w:val="TableParagraph"/>
              <w:tabs>
                <w:tab w:pos="721" w:val="left" w:leader="none"/>
                <w:tab w:pos="1372" w:val="left" w:leader="none"/>
                <w:tab w:pos="1512" w:val="left" w:leader="none"/>
                <w:tab w:pos="2022" w:val="left" w:leader="none"/>
                <w:tab w:pos="2757" w:val="left" w:leader="none"/>
                <w:tab w:pos="2882" w:val="left" w:leader="none"/>
                <w:tab w:pos="3395" w:val="left" w:leader="none"/>
              </w:tabs>
              <w:spacing w:line="230" w:lineRule="auto" w:before="6"/>
              <w:ind w:left="39" w:right="29" w:firstLine="268"/>
              <w:rPr>
                <w:sz w:val="20"/>
              </w:rPr>
            </w:pPr>
            <w:r>
              <w:rPr>
                <w:w w:val="120"/>
                <w:sz w:val="20"/>
              </w:rPr>
              <w:t>A</w:t>
              <w:tab/>
              <w:t>100</w:t>
              <w:tab/>
              <w:t>000</w:t>
              <w:tab/>
              <w:t>euró</w:t>
              <w:tab/>
            </w:r>
            <w:r>
              <w:rPr>
                <w:spacing w:val="-1"/>
                <w:w w:val="120"/>
                <w:sz w:val="20"/>
              </w:rPr>
              <w:t>összeghatár </w:t>
            </w:r>
            <w:r>
              <w:rPr>
                <w:w w:val="120"/>
                <w:sz w:val="20"/>
              </w:rPr>
              <w:t>külön-külön</w:t>
              <w:tab/>
              <w:tab/>
              <w:t>vonatkozik</w:t>
              <w:tab/>
              <w:tab/>
              <w:t>az</w:t>
              <w:tab/>
              <w:t>egyes</w:t>
            </w:r>
          </w:p>
          <w:p>
            <w:pPr>
              <w:pStyle w:val="TableParagraph"/>
              <w:spacing w:line="301" w:lineRule="exact"/>
              <w:ind w:left="39"/>
              <w:rPr>
                <w:sz w:val="20"/>
              </w:rPr>
            </w:pPr>
            <w:r>
              <w:rPr>
                <w:w w:val="135"/>
                <w:sz w:val="20"/>
              </w:rPr>
              <w:t>betétesekre</w:t>
            </w:r>
            <w:r>
              <w:rPr>
                <w:w w:val="135"/>
                <w:position w:val="10"/>
                <w:sz w:val="20"/>
              </w:rPr>
              <w:t>3</w:t>
            </w:r>
          </w:p>
        </w:tc>
      </w:tr>
      <w:tr>
        <w:trPr>
          <w:trHeight w:val="450" w:hRule="atLeast"/>
        </w:trPr>
        <w:tc>
          <w:tcPr>
            <w:tcW w:w="4012" w:type="dxa"/>
          </w:tcPr>
          <w:p>
            <w:pPr>
              <w:pStyle w:val="TableParagraph"/>
              <w:spacing w:before="11"/>
              <w:ind w:left="40" w:firstLine="125"/>
              <w:rPr>
                <w:sz w:val="20"/>
              </w:rPr>
            </w:pPr>
            <w:r>
              <w:rPr>
                <w:w w:val="130"/>
                <w:sz w:val="20"/>
              </w:rPr>
              <w:t>Kártalanítási határidő a hitelintézet fizetésképtelensége esetén:</w:t>
            </w:r>
          </w:p>
        </w:tc>
        <w:tc>
          <w:tcPr>
            <w:tcW w:w="4020" w:type="dxa"/>
          </w:tcPr>
          <w:p>
            <w:pPr>
              <w:pStyle w:val="TableParagraph"/>
              <w:spacing w:line="240" w:lineRule="auto"/>
              <w:rPr>
                <w:sz w:val="20"/>
              </w:rPr>
            </w:pPr>
            <w:r>
              <w:rPr>
                <w:w w:val="125"/>
                <w:sz w:val="20"/>
              </w:rPr>
              <w:t>20 munkanap</w:t>
            </w:r>
            <w:r>
              <w:rPr>
                <w:w w:val="125"/>
                <w:position w:val="10"/>
                <w:sz w:val="20"/>
              </w:rPr>
              <w:t>4</w:t>
            </w:r>
          </w:p>
        </w:tc>
      </w:tr>
      <w:tr>
        <w:trPr>
          <w:trHeight w:val="449" w:hRule="atLeast"/>
        </w:trPr>
        <w:tc>
          <w:tcPr>
            <w:tcW w:w="4012" w:type="dxa"/>
          </w:tcPr>
          <w:p>
            <w:pPr>
              <w:pStyle w:val="TableParagraph"/>
              <w:spacing w:line="229" w:lineRule="exact"/>
              <w:rPr>
                <w:sz w:val="20"/>
              </w:rPr>
            </w:pPr>
            <w:r>
              <w:rPr>
                <w:w w:val="125"/>
                <w:sz w:val="20"/>
              </w:rPr>
              <w:t>A kártalanítás pénzneme:</w:t>
            </w:r>
          </w:p>
        </w:tc>
        <w:tc>
          <w:tcPr>
            <w:tcW w:w="4020" w:type="dxa"/>
          </w:tcPr>
          <w:p>
            <w:pPr>
              <w:pStyle w:val="TableParagraph"/>
              <w:spacing w:before="10"/>
              <w:ind w:left="39" w:firstLine="71"/>
              <w:rPr>
                <w:sz w:val="20"/>
              </w:rPr>
            </w:pPr>
            <w:r>
              <w:rPr>
                <w:w w:val="125"/>
                <w:sz w:val="20"/>
              </w:rPr>
              <w:t>forint [illetve külföldi fióktelep esetén más pénznem]</w:t>
            </w:r>
          </w:p>
        </w:tc>
      </w:tr>
      <w:tr>
        <w:trPr>
          <w:trHeight w:val="449" w:hRule="atLeast"/>
        </w:trPr>
        <w:tc>
          <w:tcPr>
            <w:tcW w:w="4012" w:type="dxa"/>
          </w:tcPr>
          <w:p>
            <w:pPr>
              <w:pStyle w:val="TableParagraph"/>
              <w:spacing w:line="229" w:lineRule="exact"/>
              <w:rPr>
                <w:sz w:val="20"/>
              </w:rPr>
            </w:pPr>
            <w:r>
              <w:rPr>
                <w:w w:val="130"/>
                <w:sz w:val="20"/>
              </w:rPr>
              <w:t>Kapcsolattartó:</w:t>
            </w:r>
          </w:p>
        </w:tc>
        <w:tc>
          <w:tcPr>
            <w:tcW w:w="4020" w:type="dxa"/>
          </w:tcPr>
          <w:p>
            <w:pPr>
              <w:pStyle w:val="TableParagraph"/>
              <w:spacing w:before="10"/>
              <w:ind w:left="39" w:firstLine="124"/>
              <w:rPr>
                <w:sz w:val="20"/>
              </w:rPr>
            </w:pPr>
            <w:r>
              <w:rPr>
                <w:w w:val="125"/>
                <w:sz w:val="20"/>
              </w:rPr>
              <w:t>Országos Betétbiztosítási Alap (cím, telefonszám, e-mail cím)</w:t>
            </w:r>
          </w:p>
        </w:tc>
      </w:tr>
      <w:tr>
        <w:trPr>
          <w:trHeight w:val="229" w:hRule="atLeast"/>
        </w:trPr>
        <w:tc>
          <w:tcPr>
            <w:tcW w:w="4012" w:type="dxa"/>
          </w:tcPr>
          <w:p>
            <w:pPr>
              <w:pStyle w:val="TableParagraph"/>
              <w:spacing w:line="209" w:lineRule="exact"/>
              <w:rPr>
                <w:sz w:val="20"/>
              </w:rPr>
            </w:pPr>
            <w:r>
              <w:rPr>
                <w:w w:val="120"/>
                <w:sz w:val="20"/>
              </w:rPr>
              <w:t>További információk:</w:t>
            </w:r>
          </w:p>
        </w:tc>
        <w:tc>
          <w:tcPr>
            <w:tcW w:w="4020" w:type="dxa"/>
          </w:tcPr>
          <w:p>
            <w:pPr>
              <w:pStyle w:val="TableParagraph"/>
              <w:spacing w:line="209" w:lineRule="exact"/>
              <w:rPr>
                <w:sz w:val="20"/>
              </w:rPr>
            </w:pPr>
            <w:hyperlink r:id="rId9">
              <w:r>
                <w:rPr>
                  <w:w w:val="125"/>
                  <w:sz w:val="20"/>
                </w:rPr>
                <w:t>www.oba.hu</w:t>
              </w:r>
            </w:hyperlink>
          </w:p>
        </w:tc>
      </w:tr>
      <w:tr>
        <w:trPr>
          <w:trHeight w:val="230" w:hRule="atLeast"/>
        </w:trPr>
        <w:tc>
          <w:tcPr>
            <w:tcW w:w="4012" w:type="dxa"/>
          </w:tcPr>
          <w:p>
            <w:pPr>
              <w:pStyle w:val="TableParagraph"/>
              <w:spacing w:line="210" w:lineRule="exact"/>
              <w:rPr>
                <w:sz w:val="20"/>
              </w:rPr>
            </w:pPr>
            <w:r>
              <w:rPr>
                <w:w w:val="130"/>
                <w:sz w:val="20"/>
              </w:rPr>
              <w:t>Átvétel elismerése a betétes által:</w:t>
            </w:r>
          </w:p>
        </w:tc>
        <w:tc>
          <w:tcPr>
            <w:tcW w:w="4020" w:type="dxa"/>
          </w:tcPr>
          <w:p>
            <w:pPr>
              <w:pStyle w:val="TableParagraph"/>
              <w:spacing w:line="240" w:lineRule="auto"/>
              <w:ind w:left="0"/>
              <w:rPr>
                <w:sz w:val="16"/>
              </w:rPr>
            </w:pPr>
          </w:p>
        </w:tc>
      </w:tr>
    </w:tbl>
    <w:p>
      <w:pPr>
        <w:pStyle w:val="BodyText"/>
        <w:spacing w:line="268" w:lineRule="exact" w:before="199"/>
        <w:ind w:left="317" w:firstLine="0"/>
      </w:pPr>
      <w:r>
        <w:rPr>
          <w:w w:val="120"/>
        </w:rPr>
        <w:t>További információk:</w:t>
      </w:r>
    </w:p>
    <w:p>
      <w:pPr>
        <w:pStyle w:val="BodyText"/>
        <w:spacing w:line="368" w:lineRule="exact"/>
        <w:ind w:left="317" w:firstLine="0"/>
      </w:pPr>
      <w:r>
        <w:rPr>
          <w:w w:val="125"/>
          <w:position w:val="10"/>
        </w:rPr>
        <w:t>1 </w:t>
      </w:r>
      <w:r>
        <w:rPr>
          <w:w w:val="125"/>
        </w:rPr>
        <w:t>Az Ön betétjét biztosító rendszer</w:t>
      </w:r>
    </w:p>
    <w:p>
      <w:pPr>
        <w:pStyle w:val="BodyText"/>
        <w:spacing w:before="1"/>
        <w:ind w:left="0" w:firstLine="0"/>
        <w:rPr>
          <w:sz w:val="10"/>
        </w:rPr>
      </w:pPr>
      <w:r>
        <w:rPr/>
        <w:pict>
          <v:line style="position:absolute;mso-position-horizontal-relative:page;mso-position-vertical-relative:paragraph;z-index:3080;mso-wrap-distance-left:0;mso-wrap-distance-right:0" from="56.693001pt,8.005172pt" to="538.583001pt,8.005172pt" stroked="true" strokeweight=".5pt" strokecolor="#000000">
            <v:stroke dashstyle="solid"/>
            <w10:wrap type="topAndBottom"/>
          </v:line>
        </w:pict>
      </w:r>
    </w:p>
    <w:p>
      <w:pPr>
        <w:pStyle w:val="ListParagraph"/>
        <w:numPr>
          <w:ilvl w:val="0"/>
          <w:numId w:val="665"/>
        </w:numPr>
        <w:tabs>
          <w:tab w:pos="686" w:val="left" w:leader="none"/>
          <w:tab w:pos="687" w:val="left" w:leader="none"/>
        </w:tabs>
        <w:spacing w:line="203" w:lineRule="exact" w:before="44" w:after="0"/>
        <w:ind w:left="686" w:right="0" w:hanging="344"/>
        <w:jc w:val="left"/>
        <w:rPr>
          <w:i/>
          <w:sz w:val="18"/>
        </w:rPr>
      </w:pPr>
      <w:r>
        <w:rPr>
          <w:i/>
          <w:w w:val="125"/>
          <w:sz w:val="18"/>
        </w:rPr>
        <w:t>Beiktatta: 2017. évi CXLV. törvény 133. §, 2. melléklet 2. Hatályos: 2018. I.</w:t>
      </w:r>
      <w:r>
        <w:rPr>
          <w:i/>
          <w:spacing w:val="-15"/>
          <w:w w:val="125"/>
          <w:sz w:val="18"/>
        </w:rPr>
        <w:t> </w:t>
      </w:r>
      <w:r>
        <w:rPr>
          <w:i/>
          <w:w w:val="125"/>
          <w:sz w:val="18"/>
        </w:rPr>
        <w:t>13-tól.</w:t>
      </w:r>
    </w:p>
    <w:p>
      <w:pPr>
        <w:pStyle w:val="ListParagraph"/>
        <w:numPr>
          <w:ilvl w:val="0"/>
          <w:numId w:val="665"/>
        </w:numPr>
        <w:tabs>
          <w:tab w:pos="686" w:val="left" w:leader="none"/>
          <w:tab w:pos="687" w:val="left" w:leader="none"/>
        </w:tabs>
        <w:spacing w:line="200" w:lineRule="exact" w:before="0" w:after="0"/>
        <w:ind w:left="686" w:right="0" w:hanging="344"/>
        <w:jc w:val="left"/>
        <w:rPr>
          <w:i/>
          <w:sz w:val="18"/>
        </w:rPr>
      </w:pPr>
      <w:r>
        <w:rPr>
          <w:i/>
          <w:w w:val="125"/>
          <w:sz w:val="18"/>
        </w:rPr>
        <w:t>Beiktatta: 2018. évi CXXVI. törvény 119. §, 3. melléklet. Hatályos: 2018. XII.</w:t>
      </w:r>
      <w:r>
        <w:rPr>
          <w:i/>
          <w:spacing w:val="-23"/>
          <w:w w:val="125"/>
          <w:sz w:val="18"/>
        </w:rPr>
        <w:t> </w:t>
      </w:r>
      <w:r>
        <w:rPr>
          <w:i/>
          <w:w w:val="125"/>
          <w:sz w:val="18"/>
        </w:rPr>
        <w:t>29-től.</w:t>
      </w:r>
    </w:p>
    <w:p>
      <w:pPr>
        <w:pStyle w:val="ListParagraph"/>
        <w:numPr>
          <w:ilvl w:val="0"/>
          <w:numId w:val="665"/>
        </w:numPr>
        <w:tabs>
          <w:tab w:pos="686" w:val="left" w:leader="none"/>
          <w:tab w:pos="687" w:val="left" w:leader="none"/>
        </w:tabs>
        <w:spacing w:line="203" w:lineRule="exact" w:before="0" w:after="0"/>
        <w:ind w:left="686" w:right="0" w:hanging="344"/>
        <w:jc w:val="left"/>
        <w:rPr>
          <w:i/>
          <w:sz w:val="18"/>
        </w:rPr>
      </w:pPr>
      <w:r>
        <w:rPr>
          <w:i/>
          <w:w w:val="125"/>
          <w:sz w:val="18"/>
        </w:rPr>
        <w:t>Beiktatta: 2014. évi CIV. törvény 95. §, 4. melléklet. Hatályos: 2015. VII.</w:t>
      </w:r>
      <w:r>
        <w:rPr>
          <w:i/>
          <w:spacing w:val="-13"/>
          <w:w w:val="125"/>
          <w:sz w:val="18"/>
        </w:rPr>
        <w:t> </w:t>
      </w:r>
      <w:r>
        <w:rPr>
          <w:i/>
          <w:w w:val="125"/>
          <w:sz w:val="18"/>
        </w:rPr>
        <w:t>3-tól.</w:t>
      </w:r>
    </w:p>
    <w:p>
      <w:pPr>
        <w:spacing w:after="0" w:line="203" w:lineRule="exact"/>
        <w:jc w:val="left"/>
        <w:rPr>
          <w:sz w:val="18"/>
        </w:rPr>
        <w:sectPr>
          <w:pgSz w:w="11900" w:h="16820"/>
          <w:pgMar w:header="1104" w:footer="0" w:top="1840" w:bottom="280" w:left="1020" w:right="1000"/>
        </w:sectPr>
      </w:pPr>
    </w:p>
    <w:p>
      <w:pPr>
        <w:pStyle w:val="BodyText"/>
        <w:spacing w:line="225" w:lineRule="auto" w:before="173"/>
        <w:ind w:right="117"/>
        <w:jc w:val="both"/>
      </w:pPr>
      <w:r>
        <w:rPr>
          <w:w w:val="130"/>
        </w:rPr>
        <w:t>[Adott esetben:] Az Ön betétje kötelező betétbiztosítási rendszer védelme alatt</w:t>
      </w:r>
      <w:r>
        <w:rPr>
          <w:spacing w:val="-13"/>
          <w:w w:val="130"/>
        </w:rPr>
        <w:t> </w:t>
      </w:r>
      <w:r>
        <w:rPr>
          <w:w w:val="130"/>
        </w:rPr>
        <w:t>áll.</w:t>
      </w:r>
      <w:r>
        <w:rPr>
          <w:spacing w:val="-13"/>
          <w:w w:val="130"/>
        </w:rPr>
        <w:t> </w:t>
      </w:r>
      <w:r>
        <w:rPr>
          <w:w w:val="130"/>
        </w:rPr>
        <w:t>Ezenfelül</w:t>
      </w:r>
      <w:r>
        <w:rPr>
          <w:spacing w:val="-14"/>
          <w:w w:val="130"/>
        </w:rPr>
        <w:t> </w:t>
      </w:r>
      <w:r>
        <w:rPr>
          <w:w w:val="130"/>
        </w:rPr>
        <w:t>az</w:t>
      </w:r>
      <w:r>
        <w:rPr>
          <w:spacing w:val="-13"/>
          <w:w w:val="130"/>
        </w:rPr>
        <w:t> </w:t>
      </w:r>
      <w:r>
        <w:rPr>
          <w:w w:val="130"/>
        </w:rPr>
        <w:t>Ön</w:t>
      </w:r>
      <w:r>
        <w:rPr>
          <w:spacing w:val="-12"/>
          <w:w w:val="130"/>
        </w:rPr>
        <w:t> </w:t>
      </w:r>
      <w:r>
        <w:rPr>
          <w:w w:val="130"/>
        </w:rPr>
        <w:t>hitelintézete</w:t>
      </w:r>
      <w:r>
        <w:rPr>
          <w:spacing w:val="-13"/>
          <w:w w:val="130"/>
        </w:rPr>
        <w:t> </w:t>
      </w:r>
      <w:r>
        <w:rPr>
          <w:w w:val="130"/>
        </w:rPr>
        <w:t>olyan</w:t>
      </w:r>
      <w:r>
        <w:rPr>
          <w:spacing w:val="-8"/>
          <w:w w:val="130"/>
        </w:rPr>
        <w:t> </w:t>
      </w:r>
      <w:r>
        <w:rPr>
          <w:w w:val="130"/>
        </w:rPr>
        <w:t>intézményvédelmi</w:t>
      </w:r>
      <w:r>
        <w:rPr>
          <w:spacing w:val="-18"/>
          <w:w w:val="130"/>
        </w:rPr>
        <w:t> </w:t>
      </w:r>
      <w:r>
        <w:rPr>
          <w:w w:val="130"/>
        </w:rPr>
        <w:t>rendszernek</w:t>
      </w:r>
      <w:r>
        <w:rPr>
          <w:spacing w:val="-13"/>
          <w:w w:val="130"/>
        </w:rPr>
        <w:t> </w:t>
      </w:r>
      <w:r>
        <w:rPr>
          <w:w w:val="130"/>
        </w:rPr>
        <w:t>is tagja, amelyben a részt vevő intézmények a fizetésképtelenség elkerülése céljából kölcsönösen segítséget nyújtanak egymásnak. Fizetésképtelenség esetén az Ön betétjeire 100 000 euró összeghatárig a betétbiztosítási rendszer kártalanítást</w:t>
      </w:r>
      <w:r>
        <w:rPr>
          <w:spacing w:val="10"/>
          <w:w w:val="130"/>
        </w:rPr>
        <w:t> </w:t>
      </w:r>
      <w:r>
        <w:rPr>
          <w:w w:val="130"/>
        </w:rPr>
        <w:t>fizet.</w:t>
      </w:r>
    </w:p>
    <w:p>
      <w:pPr>
        <w:pStyle w:val="BodyText"/>
        <w:spacing w:line="358" w:lineRule="exact"/>
        <w:ind w:left="317" w:firstLine="0"/>
      </w:pPr>
      <w:r>
        <w:rPr>
          <w:w w:val="125"/>
          <w:position w:val="10"/>
        </w:rPr>
        <w:t>2 </w:t>
      </w:r>
      <w:r>
        <w:rPr>
          <w:w w:val="125"/>
        </w:rPr>
        <w:t>A betétbiztosítás összeghatára</w:t>
      </w:r>
    </w:p>
    <w:p>
      <w:pPr>
        <w:pStyle w:val="BodyText"/>
        <w:spacing w:line="225" w:lineRule="auto" w:before="5"/>
        <w:ind w:right="129"/>
        <w:jc w:val="both"/>
      </w:pPr>
      <w:r>
        <w:rPr>
          <w:w w:val="130"/>
        </w:rPr>
        <w:t>Ha egy betétet azért nem tudnak kifizetni, mert a hitelintézet nem képes eleget tenni pénzügyi kötelezettségeinek, a betéteseket a betétbiztosítási rendszerből</w:t>
      </w:r>
      <w:r>
        <w:rPr>
          <w:spacing w:val="-11"/>
          <w:w w:val="130"/>
        </w:rPr>
        <w:t> </w:t>
      </w:r>
      <w:r>
        <w:rPr>
          <w:w w:val="130"/>
        </w:rPr>
        <w:t>kártalanítják.</w:t>
      </w:r>
      <w:r>
        <w:rPr>
          <w:spacing w:val="-12"/>
          <w:w w:val="130"/>
        </w:rPr>
        <w:t> </w:t>
      </w:r>
      <w:r>
        <w:rPr>
          <w:w w:val="130"/>
        </w:rPr>
        <w:t>A</w:t>
      </w:r>
      <w:r>
        <w:rPr>
          <w:spacing w:val="-10"/>
          <w:w w:val="130"/>
        </w:rPr>
        <w:t> </w:t>
      </w:r>
      <w:r>
        <w:rPr>
          <w:w w:val="130"/>
        </w:rPr>
        <w:t>kártalanítás</w:t>
      </w:r>
      <w:r>
        <w:rPr>
          <w:spacing w:val="-12"/>
          <w:w w:val="130"/>
        </w:rPr>
        <w:t> </w:t>
      </w:r>
      <w:r>
        <w:rPr>
          <w:w w:val="130"/>
        </w:rPr>
        <w:t>összege</w:t>
      </w:r>
      <w:r>
        <w:rPr>
          <w:spacing w:val="-3"/>
          <w:w w:val="130"/>
        </w:rPr>
        <w:t> </w:t>
      </w:r>
      <w:r>
        <w:rPr>
          <w:w w:val="130"/>
        </w:rPr>
        <w:t>hitelintézetenként</w:t>
      </w:r>
      <w:r>
        <w:rPr>
          <w:spacing w:val="-18"/>
          <w:w w:val="130"/>
        </w:rPr>
        <w:t> </w:t>
      </w:r>
      <w:r>
        <w:rPr>
          <w:w w:val="130"/>
        </w:rPr>
        <w:t>legfeljebb</w:t>
      </w:r>
    </w:p>
    <w:p>
      <w:pPr>
        <w:pStyle w:val="BodyText"/>
        <w:spacing w:line="225" w:lineRule="auto" w:before="2"/>
        <w:ind w:right="124" w:firstLine="0"/>
        <w:jc w:val="both"/>
      </w:pPr>
      <w:r>
        <w:rPr>
          <w:w w:val="130"/>
        </w:rPr>
        <w:t>100 000 euró lehet. A kártalanítás forint összegét a kártalanítás kezdő időpontját megelőző napon érvényes, MNB által közzétett hivatalos devizaárfolyam alapján kell meghatározni. A kártalanítás összegének megállapításakor az adott hitelintézetnél tartott betéteket összevontan veszik figyelembe. Így például, ha a betétes megtakarítási számláján 90 000 EUR, fizetési számláján pedig 20 000 EUR található, akkor is csak 100 000 EUR összegű kártalanításra jogosult.</w:t>
      </w:r>
    </w:p>
    <w:p>
      <w:pPr>
        <w:pStyle w:val="ListParagraph"/>
        <w:numPr>
          <w:ilvl w:val="0"/>
          <w:numId w:val="666"/>
        </w:numPr>
        <w:tabs>
          <w:tab w:pos="547" w:val="left" w:leader="none"/>
        </w:tabs>
        <w:spacing w:line="359" w:lineRule="exact" w:before="0" w:after="0"/>
        <w:ind w:left="546" w:right="0" w:hanging="229"/>
        <w:jc w:val="left"/>
        <w:rPr>
          <w:sz w:val="24"/>
        </w:rPr>
      </w:pPr>
      <w:r>
        <w:rPr>
          <w:w w:val="125"/>
          <w:sz w:val="24"/>
        </w:rPr>
        <w:t>A közös betétekre vonatkozó védelem felső</w:t>
      </w:r>
      <w:r>
        <w:rPr>
          <w:spacing w:val="17"/>
          <w:w w:val="125"/>
          <w:sz w:val="24"/>
        </w:rPr>
        <w:t> </w:t>
      </w:r>
      <w:r>
        <w:rPr>
          <w:w w:val="125"/>
          <w:sz w:val="24"/>
        </w:rPr>
        <w:t>értékhatára</w:t>
      </w:r>
    </w:p>
    <w:p>
      <w:pPr>
        <w:pStyle w:val="BodyText"/>
        <w:spacing w:line="225" w:lineRule="auto" w:before="5"/>
        <w:ind w:right="126"/>
        <w:jc w:val="both"/>
      </w:pPr>
      <w:r>
        <w:rPr>
          <w:w w:val="130"/>
        </w:rPr>
        <w:t>Közös betét esetében a 100 000 euró összegű kártalanítás minden betétest külön-külön megillet.</w:t>
      </w:r>
    </w:p>
    <w:p>
      <w:pPr>
        <w:pStyle w:val="BodyText"/>
        <w:spacing w:line="225" w:lineRule="auto" w:before="1"/>
        <w:ind w:right="128"/>
        <w:jc w:val="both"/>
      </w:pPr>
      <w:r>
        <w:rPr>
          <w:w w:val="125"/>
        </w:rPr>
        <w:t>A 100 000 euró összegű kártalanítási összeghatár kiszámításakor az olyan számlán elhelyezett betéteket, amely tekintetében jogi személyiség nélküli gazdasági társaság, egyesület vagy hasonló természetű csoport tagjaként két vagy több személy jogosult, összevontan és úgy kezelik, mintha egyetlen betétes betétjéről lenne</w:t>
      </w:r>
      <w:r>
        <w:rPr>
          <w:spacing w:val="5"/>
          <w:w w:val="125"/>
        </w:rPr>
        <w:t> </w:t>
      </w:r>
      <w:r>
        <w:rPr>
          <w:w w:val="125"/>
        </w:rPr>
        <w:t>szó.</w:t>
      </w:r>
    </w:p>
    <w:p>
      <w:pPr>
        <w:pStyle w:val="BodyText"/>
        <w:spacing w:line="225" w:lineRule="auto" w:before="3"/>
        <w:ind w:right="130"/>
        <w:jc w:val="both"/>
      </w:pPr>
      <w:r>
        <w:rPr>
          <w:w w:val="130"/>
        </w:rPr>
        <w:t>Egyes esetekben a betéteseket három hónapig 100 000 eurót meghaladó</w:t>
      </w:r>
      <w:r>
        <w:rPr>
          <w:spacing w:val="78"/>
          <w:w w:val="130"/>
        </w:rPr>
        <w:t> </w:t>
      </w:r>
      <w:r>
        <w:rPr>
          <w:w w:val="130"/>
        </w:rPr>
        <w:t>védelem is megillet. További tájékoztatásért látogasson el a következő weboldalra: </w:t>
      </w:r>
      <w:hyperlink r:id="rId9">
        <w:r>
          <w:rPr>
            <w:w w:val="130"/>
          </w:rPr>
          <w:t>www.oba.hu.</w:t>
        </w:r>
      </w:hyperlink>
    </w:p>
    <w:p>
      <w:pPr>
        <w:pStyle w:val="ListParagraph"/>
        <w:numPr>
          <w:ilvl w:val="0"/>
          <w:numId w:val="666"/>
        </w:numPr>
        <w:tabs>
          <w:tab w:pos="547" w:val="left" w:leader="none"/>
        </w:tabs>
        <w:spacing w:line="356" w:lineRule="exact" w:before="0" w:after="0"/>
        <w:ind w:left="546" w:right="0" w:hanging="229"/>
        <w:jc w:val="left"/>
        <w:rPr>
          <w:sz w:val="24"/>
        </w:rPr>
      </w:pPr>
      <w:r>
        <w:rPr>
          <w:w w:val="130"/>
          <w:sz w:val="24"/>
        </w:rPr>
        <w:t>Kártalanítás</w:t>
      </w:r>
    </w:p>
    <w:p>
      <w:pPr>
        <w:pStyle w:val="BodyText"/>
        <w:spacing w:line="225" w:lineRule="auto" w:before="6"/>
        <w:ind w:right="127"/>
        <w:jc w:val="both"/>
      </w:pPr>
      <w:r>
        <w:rPr>
          <w:w w:val="130"/>
        </w:rPr>
        <w:t>A betétbiztosítási rendszer az Országos Betétbiztosítási Alap [cím, telefonszám,</w:t>
      </w:r>
      <w:r>
        <w:rPr>
          <w:spacing w:val="-10"/>
          <w:w w:val="130"/>
        </w:rPr>
        <w:t> </w:t>
      </w:r>
      <w:r>
        <w:rPr>
          <w:w w:val="130"/>
        </w:rPr>
        <w:t>e-mail</w:t>
      </w:r>
      <w:r>
        <w:rPr>
          <w:spacing w:val="-9"/>
          <w:w w:val="130"/>
        </w:rPr>
        <w:t> </w:t>
      </w:r>
      <w:r>
        <w:rPr>
          <w:w w:val="130"/>
        </w:rPr>
        <w:t>cím</w:t>
      </w:r>
      <w:r>
        <w:rPr>
          <w:spacing w:val="-9"/>
          <w:w w:val="130"/>
        </w:rPr>
        <w:t> </w:t>
      </w:r>
      <w:r>
        <w:rPr>
          <w:w w:val="130"/>
        </w:rPr>
        <w:t>és</w:t>
      </w:r>
      <w:r>
        <w:rPr>
          <w:spacing w:val="-9"/>
          <w:w w:val="130"/>
        </w:rPr>
        <w:t> </w:t>
      </w:r>
      <w:r>
        <w:rPr>
          <w:w w:val="130"/>
        </w:rPr>
        <w:t>weboldal].</w:t>
      </w:r>
      <w:r>
        <w:rPr>
          <w:spacing w:val="-10"/>
          <w:w w:val="130"/>
        </w:rPr>
        <w:t> </w:t>
      </w:r>
      <w:r>
        <w:rPr>
          <w:w w:val="130"/>
        </w:rPr>
        <w:t>Ez</w:t>
      </w:r>
      <w:r>
        <w:rPr>
          <w:spacing w:val="-9"/>
          <w:w w:val="130"/>
        </w:rPr>
        <w:t> </w:t>
      </w:r>
      <w:r>
        <w:rPr>
          <w:w w:val="130"/>
        </w:rPr>
        <w:t>a rendszer</w:t>
      </w:r>
      <w:r>
        <w:rPr>
          <w:spacing w:val="-18"/>
          <w:w w:val="130"/>
        </w:rPr>
        <w:t> </w:t>
      </w:r>
      <w:r>
        <w:rPr>
          <w:w w:val="130"/>
        </w:rPr>
        <w:t>2018.</w:t>
      </w:r>
      <w:r>
        <w:rPr>
          <w:spacing w:val="-10"/>
          <w:w w:val="130"/>
        </w:rPr>
        <w:t> </w:t>
      </w:r>
      <w:r>
        <w:rPr>
          <w:w w:val="130"/>
        </w:rPr>
        <w:t>december</w:t>
      </w:r>
      <w:r>
        <w:rPr>
          <w:spacing w:val="-9"/>
          <w:w w:val="130"/>
        </w:rPr>
        <w:t> </w:t>
      </w:r>
      <w:r>
        <w:rPr>
          <w:w w:val="130"/>
        </w:rPr>
        <w:t>31-ig</w:t>
      </w:r>
      <w:r>
        <w:rPr>
          <w:spacing w:val="-9"/>
          <w:w w:val="130"/>
        </w:rPr>
        <w:t> </w:t>
      </w:r>
      <w:r>
        <w:rPr>
          <w:w w:val="130"/>
        </w:rPr>
        <w:t>20 munkanapon,</w:t>
      </w:r>
      <w:r>
        <w:rPr>
          <w:spacing w:val="-16"/>
          <w:w w:val="130"/>
        </w:rPr>
        <w:t> </w:t>
      </w:r>
      <w:r>
        <w:rPr>
          <w:w w:val="130"/>
        </w:rPr>
        <w:t>2019.</w:t>
      </w:r>
      <w:r>
        <w:rPr>
          <w:spacing w:val="-16"/>
          <w:w w:val="130"/>
        </w:rPr>
        <w:t> </w:t>
      </w:r>
      <w:r>
        <w:rPr>
          <w:w w:val="130"/>
        </w:rPr>
        <w:t>január</w:t>
      </w:r>
      <w:r>
        <w:rPr>
          <w:spacing w:val="-16"/>
          <w:w w:val="130"/>
        </w:rPr>
        <w:t> </w:t>
      </w:r>
      <w:r>
        <w:rPr>
          <w:w w:val="130"/>
        </w:rPr>
        <w:t>1-től</w:t>
      </w:r>
      <w:r>
        <w:rPr>
          <w:spacing w:val="-15"/>
          <w:w w:val="130"/>
        </w:rPr>
        <w:t> </w:t>
      </w:r>
      <w:r>
        <w:rPr>
          <w:w w:val="130"/>
        </w:rPr>
        <w:t>2020.</w:t>
      </w:r>
      <w:r>
        <w:rPr>
          <w:spacing w:val="-16"/>
          <w:w w:val="130"/>
        </w:rPr>
        <w:t> </w:t>
      </w:r>
      <w:r>
        <w:rPr>
          <w:w w:val="130"/>
        </w:rPr>
        <w:t>december</w:t>
      </w:r>
      <w:r>
        <w:rPr>
          <w:spacing w:val="-16"/>
          <w:w w:val="130"/>
        </w:rPr>
        <w:t> </w:t>
      </w:r>
      <w:r>
        <w:rPr>
          <w:w w:val="130"/>
        </w:rPr>
        <w:t>31-ig</w:t>
      </w:r>
      <w:r>
        <w:rPr>
          <w:spacing w:val="-15"/>
          <w:w w:val="130"/>
        </w:rPr>
        <w:t> </w:t>
      </w:r>
      <w:r>
        <w:rPr>
          <w:w w:val="130"/>
        </w:rPr>
        <w:t>15</w:t>
      </w:r>
      <w:r>
        <w:rPr>
          <w:spacing w:val="-16"/>
          <w:w w:val="130"/>
        </w:rPr>
        <w:t> </w:t>
      </w:r>
      <w:r>
        <w:rPr>
          <w:w w:val="130"/>
        </w:rPr>
        <w:t>munkanapon,</w:t>
      </w:r>
      <w:r>
        <w:rPr>
          <w:spacing w:val="-16"/>
          <w:w w:val="130"/>
        </w:rPr>
        <w:t> </w:t>
      </w:r>
      <w:r>
        <w:rPr>
          <w:w w:val="130"/>
        </w:rPr>
        <w:t>2021.</w:t>
      </w:r>
    </w:p>
    <w:p>
      <w:pPr>
        <w:pStyle w:val="BodyText"/>
        <w:spacing w:line="225" w:lineRule="auto" w:before="2"/>
        <w:ind w:right="126" w:firstLine="0"/>
        <w:jc w:val="both"/>
      </w:pPr>
      <w:r>
        <w:rPr>
          <w:w w:val="130"/>
        </w:rPr>
        <w:t>január 1-től 2023. december 31-ig 10 munkanapon, 2024. január 1-től 7 munkanapon</w:t>
      </w:r>
      <w:r>
        <w:rPr>
          <w:spacing w:val="-6"/>
          <w:w w:val="130"/>
        </w:rPr>
        <w:t> </w:t>
      </w:r>
      <w:r>
        <w:rPr>
          <w:w w:val="130"/>
        </w:rPr>
        <w:t>belül</w:t>
      </w:r>
      <w:r>
        <w:rPr>
          <w:spacing w:val="-6"/>
          <w:w w:val="130"/>
        </w:rPr>
        <w:t> </w:t>
      </w:r>
      <w:r>
        <w:rPr>
          <w:w w:val="130"/>
        </w:rPr>
        <w:t>kártalanítást</w:t>
      </w:r>
      <w:r>
        <w:rPr>
          <w:spacing w:val="-5"/>
          <w:w w:val="130"/>
        </w:rPr>
        <w:t> </w:t>
      </w:r>
      <w:r>
        <w:rPr>
          <w:w w:val="130"/>
        </w:rPr>
        <w:t>fizet</w:t>
      </w:r>
      <w:r>
        <w:rPr>
          <w:spacing w:val="-6"/>
          <w:w w:val="130"/>
        </w:rPr>
        <w:t> </w:t>
      </w:r>
      <w:r>
        <w:rPr>
          <w:w w:val="130"/>
        </w:rPr>
        <w:t>az</w:t>
      </w:r>
      <w:r>
        <w:rPr>
          <w:spacing w:val="-6"/>
          <w:w w:val="130"/>
        </w:rPr>
        <w:t> </w:t>
      </w:r>
      <w:r>
        <w:rPr>
          <w:w w:val="130"/>
        </w:rPr>
        <w:t>Ön</w:t>
      </w:r>
      <w:r>
        <w:rPr>
          <w:spacing w:val="-5"/>
          <w:w w:val="130"/>
        </w:rPr>
        <w:t> </w:t>
      </w:r>
      <w:r>
        <w:rPr>
          <w:w w:val="130"/>
        </w:rPr>
        <w:t>betétjeire</w:t>
      </w:r>
      <w:r>
        <w:rPr>
          <w:spacing w:val="-6"/>
          <w:w w:val="130"/>
        </w:rPr>
        <w:t> </w:t>
      </w:r>
      <w:r>
        <w:rPr>
          <w:w w:val="130"/>
        </w:rPr>
        <w:t>legfeljebb</w:t>
      </w:r>
      <w:r>
        <w:rPr>
          <w:spacing w:val="-6"/>
          <w:w w:val="130"/>
        </w:rPr>
        <w:t> </w:t>
      </w:r>
      <w:r>
        <w:rPr>
          <w:w w:val="130"/>
        </w:rPr>
        <w:t>100</w:t>
      </w:r>
      <w:r>
        <w:rPr>
          <w:spacing w:val="-5"/>
          <w:w w:val="130"/>
        </w:rPr>
        <w:t> </w:t>
      </w:r>
      <w:r>
        <w:rPr>
          <w:w w:val="130"/>
        </w:rPr>
        <w:t>000</w:t>
      </w:r>
      <w:r>
        <w:rPr>
          <w:spacing w:val="-6"/>
          <w:w w:val="130"/>
        </w:rPr>
        <w:t> </w:t>
      </w:r>
      <w:r>
        <w:rPr>
          <w:w w:val="130"/>
        </w:rPr>
        <w:t>euró összeghatárig.</w:t>
      </w:r>
    </w:p>
    <w:p>
      <w:pPr>
        <w:pStyle w:val="BodyText"/>
        <w:spacing w:line="225" w:lineRule="auto" w:before="241"/>
        <w:ind w:right="132"/>
        <w:jc w:val="both"/>
      </w:pPr>
      <w:r>
        <w:rPr>
          <w:w w:val="130"/>
        </w:rPr>
        <w:t>Amennyiben</w:t>
      </w:r>
      <w:r>
        <w:rPr>
          <w:spacing w:val="-8"/>
          <w:w w:val="130"/>
        </w:rPr>
        <w:t> </w:t>
      </w:r>
      <w:r>
        <w:rPr>
          <w:w w:val="130"/>
        </w:rPr>
        <w:t>ezeken</w:t>
      </w:r>
      <w:r>
        <w:rPr>
          <w:spacing w:val="-8"/>
          <w:w w:val="130"/>
        </w:rPr>
        <w:t> </w:t>
      </w:r>
      <w:r>
        <w:rPr>
          <w:w w:val="130"/>
        </w:rPr>
        <w:t>a</w:t>
      </w:r>
      <w:r>
        <w:rPr>
          <w:spacing w:val="-7"/>
          <w:w w:val="130"/>
        </w:rPr>
        <w:t> </w:t>
      </w:r>
      <w:r>
        <w:rPr>
          <w:w w:val="130"/>
        </w:rPr>
        <w:t>határidőkön</w:t>
      </w:r>
      <w:r>
        <w:rPr>
          <w:spacing w:val="-7"/>
          <w:w w:val="130"/>
        </w:rPr>
        <w:t> </w:t>
      </w:r>
      <w:r>
        <w:rPr>
          <w:w w:val="130"/>
        </w:rPr>
        <w:t>belül</w:t>
      </w:r>
      <w:r>
        <w:rPr>
          <w:spacing w:val="-7"/>
          <w:w w:val="130"/>
        </w:rPr>
        <w:t> </w:t>
      </w:r>
      <w:r>
        <w:rPr>
          <w:w w:val="130"/>
        </w:rPr>
        <w:t>nem</w:t>
      </w:r>
      <w:r>
        <w:rPr>
          <w:spacing w:val="-7"/>
          <w:w w:val="130"/>
        </w:rPr>
        <w:t> </w:t>
      </w:r>
      <w:r>
        <w:rPr>
          <w:w w:val="130"/>
        </w:rPr>
        <w:t>kapja</w:t>
      </w:r>
      <w:r>
        <w:rPr>
          <w:spacing w:val="-8"/>
          <w:w w:val="130"/>
        </w:rPr>
        <w:t> </w:t>
      </w:r>
      <w:r>
        <w:rPr>
          <w:w w:val="130"/>
        </w:rPr>
        <w:t>meg</w:t>
      </w:r>
      <w:r>
        <w:rPr>
          <w:spacing w:val="-8"/>
          <w:w w:val="130"/>
        </w:rPr>
        <w:t> </w:t>
      </w:r>
      <w:r>
        <w:rPr>
          <w:w w:val="130"/>
        </w:rPr>
        <w:t>a</w:t>
      </w:r>
      <w:r>
        <w:rPr>
          <w:spacing w:val="-7"/>
          <w:w w:val="130"/>
        </w:rPr>
        <w:t> </w:t>
      </w:r>
      <w:r>
        <w:rPr>
          <w:w w:val="130"/>
        </w:rPr>
        <w:t>kártalanítást,</w:t>
      </w:r>
      <w:r>
        <w:rPr>
          <w:spacing w:val="-8"/>
          <w:w w:val="130"/>
        </w:rPr>
        <w:t> </w:t>
      </w:r>
      <w:r>
        <w:rPr>
          <w:w w:val="130"/>
        </w:rPr>
        <w:t>úgy vegye fel a kapcsolatot a betétbiztosítási</w:t>
      </w:r>
      <w:r>
        <w:rPr>
          <w:spacing w:val="-26"/>
          <w:w w:val="130"/>
        </w:rPr>
        <w:t> </w:t>
      </w:r>
      <w:r>
        <w:rPr>
          <w:w w:val="130"/>
        </w:rPr>
        <w:t>rendszerrel.</w:t>
      </w:r>
    </w:p>
    <w:p>
      <w:pPr>
        <w:pStyle w:val="BodyText"/>
        <w:spacing w:line="500" w:lineRule="atLeast" w:before="4"/>
        <w:ind w:left="317" w:firstLine="0"/>
      </w:pPr>
      <w:r>
        <w:rPr>
          <w:w w:val="125"/>
        </w:rPr>
        <w:t>További tájékoztatásért látogasson el a következő weboldalra: </w:t>
      </w:r>
      <w:hyperlink r:id="rId9">
        <w:r>
          <w:rPr>
            <w:w w:val="125"/>
          </w:rPr>
          <w:t>www.oba.hu</w:t>
        </w:r>
      </w:hyperlink>
      <w:r>
        <w:rPr>
          <w:w w:val="125"/>
        </w:rPr>
        <w:t> Egyéb fontos információk</w:t>
      </w:r>
    </w:p>
    <w:p>
      <w:pPr>
        <w:pStyle w:val="BodyText"/>
        <w:spacing w:line="225" w:lineRule="auto"/>
        <w:ind w:right="126"/>
        <w:jc w:val="both"/>
      </w:pPr>
      <w:r>
        <w:rPr>
          <w:w w:val="125"/>
        </w:rPr>
        <w:t>A betétbiztosítási rendszerek általában minden lakossági betétes és  vállalkozás számára védelmet nyújtanak. A kivételek, amelyek meghatározott betétekre vonatkoznak, megtalálhatók a betétbiztosítási rendszer weboldalán. Kérésre a hitelintézet is tájékoztatja Önt arról, hogy a védelem kiterjed-e bizonyos termékekre vagy sem. A hitelintézet a számlakivonaton is feltünteti, hogy a betétek védelem alá</w:t>
      </w:r>
      <w:r>
        <w:rPr>
          <w:spacing w:val="5"/>
          <w:w w:val="125"/>
        </w:rPr>
        <w:t> </w:t>
      </w:r>
      <w:r>
        <w:rPr>
          <w:w w:val="125"/>
        </w:rPr>
        <w:t>esnek-e.</w:t>
      </w:r>
    </w:p>
    <w:p>
      <w:pPr>
        <w:pStyle w:val="BodyText"/>
        <w:ind w:left="0" w:firstLine="0"/>
        <w:rPr>
          <w:sz w:val="20"/>
        </w:rPr>
      </w:pPr>
    </w:p>
    <w:p>
      <w:pPr>
        <w:pStyle w:val="BodyText"/>
        <w:spacing w:before="6"/>
        <w:ind w:left="0" w:firstLine="0"/>
        <w:rPr>
          <w:sz w:val="12"/>
        </w:rPr>
      </w:pPr>
      <w:r>
        <w:rPr/>
        <w:pict>
          <v:line style="position:absolute;mso-position-horizontal-relative:page;mso-position-vertical-relative:paragraph;z-index:3104;mso-wrap-distance-left:0;mso-wrap-distance-right:0" from="272.638pt,9.667704pt" to="322.638pt,9.667704pt" stroked="true" strokeweight="1pt" strokecolor="#000000">
            <v:stroke dashstyle="solid"/>
            <w10:wrap type="topAndBottom"/>
          </v:line>
        </w:pict>
      </w:r>
    </w:p>
    <w:p>
      <w:pPr>
        <w:spacing w:after="0"/>
        <w:rPr>
          <w:sz w:val="12"/>
        </w:rPr>
        <w:sectPr>
          <w:pgSz w:w="11900" w:h="16820"/>
          <w:pgMar w:header="1104" w:footer="0" w:top="1840" w:bottom="280" w:left="1020" w:right="1000"/>
        </w:sectPr>
      </w:pPr>
    </w:p>
    <w:p>
      <w:pPr>
        <w:pStyle w:val="BodyText"/>
        <w:spacing w:before="4"/>
        <w:ind w:left="0" w:firstLine="0"/>
      </w:pPr>
    </w:p>
    <w:p>
      <w:pPr>
        <w:pStyle w:val="BodyText"/>
        <w:spacing w:before="99"/>
        <w:ind w:left="513" w:right="526" w:firstLine="0"/>
        <w:jc w:val="center"/>
      </w:pPr>
      <w:r>
        <w:rPr>
          <w:w w:val="110"/>
        </w:rPr>
        <w:t>TARTALOMJEGYZÉK</w:t>
      </w:r>
    </w:p>
    <w:p>
      <w:pPr>
        <w:pStyle w:val="BodyText"/>
        <w:tabs>
          <w:tab w:pos="8806" w:val="left" w:leader="none"/>
          <w:tab w:pos="9198" w:val="left" w:leader="none"/>
        </w:tabs>
        <w:spacing w:line="261" w:lineRule="auto" w:before="204"/>
        <w:ind w:left="513" w:right="526" w:firstLine="0"/>
        <w:jc w:val="center"/>
      </w:pPr>
      <w:r>
        <w:rPr>
          <w:w w:val="125"/>
        </w:rPr>
        <w:t>2013.</w:t>
      </w:r>
      <w:r>
        <w:rPr>
          <w:spacing w:val="-49"/>
          <w:w w:val="125"/>
        </w:rPr>
        <w:t> </w:t>
      </w:r>
      <w:r>
        <w:rPr>
          <w:w w:val="125"/>
        </w:rPr>
        <w:t>évi</w:t>
      </w:r>
      <w:r>
        <w:rPr>
          <w:spacing w:val="-49"/>
          <w:w w:val="125"/>
        </w:rPr>
        <w:t> </w:t>
      </w:r>
      <w:r>
        <w:rPr>
          <w:w w:val="125"/>
        </w:rPr>
        <w:t>CCXXXVII.</w:t>
      </w:r>
      <w:r>
        <w:rPr>
          <w:spacing w:val="-48"/>
          <w:w w:val="125"/>
        </w:rPr>
        <w:t> </w:t>
      </w:r>
      <w:r>
        <w:rPr>
          <w:w w:val="125"/>
        </w:rPr>
        <w:t>törvény</w:t>
      </w:r>
      <w:r>
        <w:rPr>
          <w:w w:val="125"/>
          <w:u w:val="dotted"/>
        </w:rPr>
        <w:t> </w:t>
        <w:tab/>
      </w:r>
      <w:r>
        <w:rPr>
          <w:w w:val="125"/>
        </w:rPr>
        <w:tab/>
      </w:r>
      <w:r>
        <w:rPr>
          <w:spacing w:val="-17"/>
          <w:w w:val="130"/>
        </w:rPr>
        <w:t>1 </w:t>
      </w:r>
      <w:r>
        <w:rPr>
          <w:w w:val="130"/>
        </w:rPr>
        <w:t>a</w:t>
      </w:r>
      <w:r>
        <w:rPr>
          <w:spacing w:val="-32"/>
          <w:w w:val="130"/>
        </w:rPr>
        <w:t> </w:t>
      </w:r>
      <w:r>
        <w:rPr>
          <w:w w:val="130"/>
        </w:rPr>
        <w:t>hitelintézetekről</w:t>
      </w:r>
      <w:r>
        <w:rPr>
          <w:spacing w:val="-31"/>
          <w:w w:val="130"/>
        </w:rPr>
        <w:t> </w:t>
      </w:r>
      <w:r>
        <w:rPr>
          <w:w w:val="130"/>
        </w:rPr>
        <w:t>és</w:t>
      </w:r>
      <w:r>
        <w:rPr>
          <w:spacing w:val="-31"/>
          <w:w w:val="130"/>
        </w:rPr>
        <w:t> </w:t>
      </w:r>
      <w:r>
        <w:rPr>
          <w:w w:val="130"/>
        </w:rPr>
        <w:t>a</w:t>
      </w:r>
      <w:r>
        <w:rPr>
          <w:spacing w:val="-31"/>
          <w:w w:val="130"/>
        </w:rPr>
        <w:t> </w:t>
      </w:r>
      <w:r>
        <w:rPr>
          <w:w w:val="130"/>
        </w:rPr>
        <w:t>pénzügyi</w:t>
      </w:r>
      <w:r>
        <w:rPr>
          <w:spacing w:val="-31"/>
          <w:w w:val="130"/>
        </w:rPr>
        <w:t> </w:t>
      </w:r>
      <w:r>
        <w:rPr>
          <w:w w:val="130"/>
        </w:rPr>
        <w:t>vállalkozásokról</w:t>
      </w:r>
      <w:r>
        <w:rPr>
          <w:w w:val="130"/>
          <w:u w:val="dotted"/>
        </w:rPr>
        <w:t> </w:t>
        <w:tab/>
      </w:r>
      <w:r>
        <w:rPr>
          <w:w w:val="130"/>
        </w:rPr>
        <w:tab/>
      </w:r>
      <w:r>
        <w:rPr>
          <w:spacing w:val="-17"/>
          <w:w w:val="130"/>
        </w:rPr>
        <w:t>1</w:t>
      </w:r>
    </w:p>
    <w:p>
      <w:pPr>
        <w:pStyle w:val="ListParagraph"/>
        <w:numPr>
          <w:ilvl w:val="0"/>
          <w:numId w:val="667"/>
        </w:numPr>
        <w:tabs>
          <w:tab w:pos="1162" w:val="left" w:leader="none"/>
          <w:tab w:pos="8806" w:val="left" w:leader="none"/>
          <w:tab w:pos="9198" w:val="left" w:leader="none"/>
        </w:tabs>
        <w:spacing w:line="261" w:lineRule="auto" w:before="0" w:after="0"/>
        <w:ind w:left="913" w:right="526" w:firstLine="0"/>
        <w:jc w:val="left"/>
        <w:rPr>
          <w:sz w:val="24"/>
        </w:rPr>
      </w:pPr>
      <w:r>
        <w:rPr>
          <w:w w:val="125"/>
          <w:sz w:val="24"/>
        </w:rPr>
        <w:t>Fejezet</w:t>
      </w:r>
      <w:r>
        <w:rPr>
          <w:w w:val="125"/>
          <w:sz w:val="24"/>
          <w:u w:val="dotted"/>
        </w:rPr>
        <w:t> </w:t>
        <w:tab/>
      </w:r>
      <w:r>
        <w:rPr>
          <w:w w:val="125"/>
          <w:sz w:val="24"/>
        </w:rPr>
        <w:tab/>
      </w:r>
      <w:r>
        <w:rPr>
          <w:spacing w:val="-17"/>
          <w:w w:val="125"/>
          <w:sz w:val="24"/>
        </w:rPr>
        <w:t>1 </w:t>
      </w:r>
      <w:r>
        <w:rPr>
          <w:w w:val="125"/>
          <w:sz w:val="24"/>
        </w:rPr>
        <w:t>Általános</w:t>
      </w:r>
      <w:r>
        <w:rPr>
          <w:spacing w:val="25"/>
          <w:w w:val="125"/>
          <w:sz w:val="24"/>
        </w:rPr>
        <w:t> </w:t>
      </w:r>
      <w:r>
        <w:rPr>
          <w:w w:val="125"/>
          <w:sz w:val="24"/>
        </w:rPr>
        <w:t>rendelkezések</w:t>
      </w:r>
      <w:r>
        <w:rPr>
          <w:w w:val="125"/>
          <w:sz w:val="24"/>
          <w:u w:val="dotted"/>
        </w:rPr>
        <w:t> </w:t>
        <w:tab/>
      </w:r>
      <w:r>
        <w:rPr>
          <w:w w:val="125"/>
          <w:sz w:val="24"/>
        </w:rPr>
        <w:tab/>
      </w:r>
      <w:r>
        <w:rPr>
          <w:spacing w:val="-17"/>
          <w:w w:val="125"/>
          <w:sz w:val="24"/>
        </w:rPr>
        <w:t>1</w:t>
      </w:r>
    </w:p>
    <w:p>
      <w:pPr>
        <w:pStyle w:val="ListParagraph"/>
        <w:numPr>
          <w:ilvl w:val="1"/>
          <w:numId w:val="667"/>
        </w:numPr>
        <w:tabs>
          <w:tab w:pos="1619" w:val="left" w:leader="none"/>
          <w:tab w:pos="8806" w:val="left" w:leader="none"/>
          <w:tab w:pos="9198" w:val="left" w:leader="none"/>
        </w:tabs>
        <w:spacing w:line="274" w:lineRule="exact" w:before="0" w:after="0"/>
        <w:ind w:left="1618" w:right="0" w:hanging="305"/>
        <w:jc w:val="left"/>
        <w:rPr>
          <w:sz w:val="24"/>
        </w:rPr>
      </w:pPr>
      <w:r>
        <w:rPr>
          <w:w w:val="120"/>
          <w:sz w:val="24"/>
        </w:rPr>
        <w:t>A</w:t>
      </w:r>
      <w:r>
        <w:rPr>
          <w:spacing w:val="32"/>
          <w:w w:val="120"/>
          <w:sz w:val="24"/>
        </w:rPr>
        <w:t> </w:t>
      </w:r>
      <w:r>
        <w:rPr>
          <w:w w:val="120"/>
          <w:sz w:val="24"/>
        </w:rPr>
        <w:t>törvény</w:t>
      </w:r>
      <w:r>
        <w:rPr>
          <w:spacing w:val="32"/>
          <w:w w:val="120"/>
          <w:sz w:val="24"/>
        </w:rPr>
        <w:t> </w:t>
      </w:r>
      <w:r>
        <w:rPr>
          <w:w w:val="120"/>
          <w:sz w:val="24"/>
        </w:rPr>
        <w:t>hatálya</w:t>
      </w:r>
      <w:r>
        <w:rPr>
          <w:w w:val="120"/>
          <w:sz w:val="24"/>
          <w:u w:val="dotted"/>
        </w:rPr>
        <w:t> </w:t>
        <w:tab/>
      </w:r>
      <w:r>
        <w:rPr>
          <w:w w:val="120"/>
          <w:sz w:val="24"/>
        </w:rPr>
        <w:tab/>
        <w:t>1</w:t>
      </w:r>
    </w:p>
    <w:p>
      <w:pPr>
        <w:pStyle w:val="ListParagraph"/>
        <w:numPr>
          <w:ilvl w:val="1"/>
          <w:numId w:val="667"/>
        </w:numPr>
        <w:tabs>
          <w:tab w:pos="1619" w:val="left" w:leader="none"/>
        </w:tabs>
        <w:spacing w:line="258" w:lineRule="exact" w:before="23" w:after="0"/>
        <w:ind w:left="1618" w:right="0" w:hanging="305"/>
        <w:jc w:val="left"/>
        <w:rPr>
          <w:sz w:val="24"/>
        </w:rPr>
      </w:pPr>
      <w:r>
        <w:rPr>
          <w:w w:val="125"/>
          <w:sz w:val="24"/>
        </w:rPr>
        <w:t>A pénzügyi szolgáltatás és kiegészítő</w:t>
      </w:r>
      <w:r>
        <w:rPr>
          <w:spacing w:val="1"/>
          <w:w w:val="125"/>
          <w:sz w:val="24"/>
        </w:rPr>
        <w:t> </w:t>
      </w:r>
      <w:r>
        <w:rPr>
          <w:w w:val="125"/>
          <w:sz w:val="24"/>
        </w:rPr>
        <w:t>pénzügyi</w:t>
      </w:r>
    </w:p>
    <w:p>
      <w:pPr>
        <w:pStyle w:val="BodyText"/>
        <w:tabs>
          <w:tab w:pos="8806" w:val="left" w:leader="none"/>
          <w:tab w:pos="9198" w:val="left" w:leader="none"/>
        </w:tabs>
        <w:spacing w:line="258" w:lineRule="exact"/>
        <w:ind w:left="1313" w:firstLine="0"/>
      </w:pPr>
      <w:r>
        <w:rPr>
          <w:w w:val="130"/>
        </w:rPr>
        <w:t>szolgáltatás</w:t>
      </w:r>
      <w:r>
        <w:rPr>
          <w:w w:val="130"/>
          <w:u w:val="dotted"/>
        </w:rPr>
        <w:t> </w:t>
        <w:tab/>
      </w:r>
      <w:r>
        <w:rPr>
          <w:w w:val="130"/>
        </w:rPr>
        <w:tab/>
        <w:t>2</w:t>
      </w:r>
    </w:p>
    <w:p>
      <w:pPr>
        <w:pStyle w:val="ListParagraph"/>
        <w:numPr>
          <w:ilvl w:val="1"/>
          <w:numId w:val="667"/>
        </w:numPr>
        <w:tabs>
          <w:tab w:pos="1619" w:val="left" w:leader="none"/>
          <w:tab w:pos="8806" w:val="left" w:leader="none"/>
          <w:tab w:pos="9198" w:val="left" w:leader="none"/>
        </w:tabs>
        <w:spacing w:line="240" w:lineRule="auto" w:before="24" w:after="0"/>
        <w:ind w:left="1618" w:right="0" w:hanging="305"/>
        <w:jc w:val="left"/>
        <w:rPr>
          <w:sz w:val="24"/>
        </w:rPr>
      </w:pPr>
      <w:r>
        <w:rPr>
          <w:w w:val="125"/>
          <w:sz w:val="24"/>
        </w:rPr>
        <w:t>Értelmező</w:t>
      </w:r>
      <w:r>
        <w:rPr>
          <w:spacing w:val="55"/>
          <w:w w:val="125"/>
          <w:sz w:val="24"/>
        </w:rPr>
        <w:t> </w:t>
      </w:r>
      <w:r>
        <w:rPr>
          <w:w w:val="125"/>
          <w:sz w:val="24"/>
        </w:rPr>
        <w:t>rendelkezések</w:t>
      </w:r>
      <w:r>
        <w:rPr>
          <w:w w:val="125"/>
          <w:sz w:val="24"/>
          <w:u w:val="dotted"/>
        </w:rPr>
        <w:t> </w:t>
        <w:tab/>
      </w:r>
      <w:r>
        <w:rPr>
          <w:w w:val="125"/>
          <w:sz w:val="24"/>
        </w:rPr>
        <w:tab/>
        <w:t>4</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0"/>
          <w:sz w:val="24"/>
        </w:rPr>
        <w:t>A</w:t>
      </w:r>
      <w:r>
        <w:rPr>
          <w:spacing w:val="27"/>
          <w:w w:val="120"/>
          <w:sz w:val="24"/>
        </w:rPr>
        <w:t> </w:t>
      </w:r>
      <w:r>
        <w:rPr>
          <w:w w:val="120"/>
          <w:sz w:val="24"/>
        </w:rPr>
        <w:t>pénzügyi</w:t>
      </w:r>
      <w:r>
        <w:rPr>
          <w:spacing w:val="28"/>
          <w:w w:val="120"/>
          <w:sz w:val="24"/>
        </w:rPr>
        <w:t> </w:t>
      </w:r>
      <w:r>
        <w:rPr>
          <w:w w:val="120"/>
          <w:sz w:val="24"/>
        </w:rPr>
        <w:t>intézmény</w:t>
      </w:r>
      <w:r>
        <w:rPr>
          <w:w w:val="120"/>
          <w:sz w:val="24"/>
          <w:u w:val="dotted"/>
        </w:rPr>
        <w:t> </w:t>
        <w:tab/>
      </w:r>
      <w:r>
        <w:rPr>
          <w:w w:val="120"/>
          <w:sz w:val="24"/>
        </w:rPr>
        <w:tab/>
        <w:t>18</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5"/>
          <w:sz w:val="24"/>
        </w:rPr>
        <w:t>A hitelintézet és</w:t>
      </w:r>
      <w:r>
        <w:rPr>
          <w:spacing w:val="13"/>
          <w:w w:val="125"/>
          <w:sz w:val="24"/>
        </w:rPr>
        <w:t> </w:t>
      </w:r>
      <w:r>
        <w:rPr>
          <w:w w:val="125"/>
          <w:sz w:val="24"/>
        </w:rPr>
        <w:t>szervezeti</w:t>
      </w:r>
      <w:r>
        <w:rPr>
          <w:spacing w:val="5"/>
          <w:w w:val="125"/>
          <w:sz w:val="24"/>
        </w:rPr>
        <w:t> </w:t>
      </w:r>
      <w:r>
        <w:rPr>
          <w:w w:val="125"/>
          <w:sz w:val="24"/>
        </w:rPr>
        <w:t>formái</w:t>
      </w:r>
      <w:r>
        <w:rPr>
          <w:w w:val="125"/>
          <w:sz w:val="24"/>
          <w:u w:val="dotted"/>
        </w:rPr>
        <w:t> </w:t>
        <w:tab/>
      </w:r>
      <w:r>
        <w:rPr>
          <w:w w:val="125"/>
          <w:sz w:val="24"/>
        </w:rPr>
        <w:tab/>
        <w:t>19</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0"/>
          <w:sz w:val="24"/>
        </w:rPr>
        <w:t>A</w:t>
      </w:r>
      <w:r>
        <w:rPr>
          <w:spacing w:val="18"/>
          <w:w w:val="120"/>
          <w:sz w:val="24"/>
        </w:rPr>
        <w:t> </w:t>
      </w:r>
      <w:r>
        <w:rPr>
          <w:w w:val="120"/>
          <w:sz w:val="24"/>
        </w:rPr>
        <w:t>pénzügyi</w:t>
      </w:r>
      <w:r>
        <w:rPr>
          <w:spacing w:val="18"/>
          <w:w w:val="120"/>
          <w:sz w:val="24"/>
        </w:rPr>
        <w:t> </w:t>
      </w:r>
      <w:r>
        <w:rPr>
          <w:w w:val="120"/>
          <w:sz w:val="24"/>
        </w:rPr>
        <w:t>vállalkozás</w:t>
      </w:r>
      <w:r>
        <w:rPr>
          <w:w w:val="120"/>
          <w:sz w:val="24"/>
          <w:u w:val="dotted"/>
        </w:rPr>
        <w:t> </w:t>
        <w:tab/>
      </w:r>
      <w:r>
        <w:rPr>
          <w:w w:val="120"/>
          <w:sz w:val="24"/>
        </w:rPr>
        <w:tab/>
        <w:t>20</w:t>
      </w:r>
    </w:p>
    <w:p>
      <w:pPr>
        <w:pStyle w:val="ListParagraph"/>
        <w:numPr>
          <w:ilvl w:val="1"/>
          <w:numId w:val="667"/>
        </w:numPr>
        <w:tabs>
          <w:tab w:pos="1619" w:val="left" w:leader="none"/>
          <w:tab w:pos="8806" w:val="left" w:leader="none"/>
          <w:tab w:pos="9046" w:val="left" w:leader="none"/>
        </w:tabs>
        <w:spacing w:line="240" w:lineRule="auto" w:before="24" w:after="0"/>
        <w:ind w:left="1618" w:right="0" w:hanging="305"/>
        <w:jc w:val="left"/>
        <w:rPr>
          <w:sz w:val="24"/>
        </w:rPr>
      </w:pPr>
      <w:r>
        <w:rPr>
          <w:w w:val="125"/>
          <w:sz w:val="24"/>
        </w:rPr>
        <w:t>Közvetítő</w:t>
      </w:r>
      <w:r>
        <w:rPr>
          <w:w w:val="125"/>
          <w:sz w:val="24"/>
          <w:u w:val="dotted"/>
        </w:rPr>
        <w:t> </w:t>
        <w:tab/>
      </w:r>
      <w:r>
        <w:rPr>
          <w:w w:val="125"/>
          <w:sz w:val="24"/>
        </w:rPr>
        <w:tab/>
        <w:t>21</w:t>
      </w:r>
    </w:p>
    <w:p>
      <w:pPr>
        <w:pStyle w:val="ListParagraph"/>
        <w:numPr>
          <w:ilvl w:val="0"/>
          <w:numId w:val="667"/>
        </w:numPr>
        <w:tabs>
          <w:tab w:pos="1256"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22 </w:t>
      </w:r>
      <w:r>
        <w:rPr>
          <w:w w:val="125"/>
          <w:sz w:val="24"/>
        </w:rPr>
        <w:t>Engedélyezés</w:t>
      </w:r>
      <w:r>
        <w:rPr>
          <w:spacing w:val="15"/>
          <w:w w:val="125"/>
          <w:sz w:val="24"/>
        </w:rPr>
        <w:t> </w:t>
      </w:r>
      <w:r>
        <w:rPr>
          <w:w w:val="125"/>
          <w:sz w:val="24"/>
        </w:rPr>
        <w:t>általános</w:t>
      </w:r>
      <w:r>
        <w:rPr>
          <w:spacing w:val="15"/>
          <w:w w:val="125"/>
          <w:sz w:val="24"/>
        </w:rPr>
        <w:t> </w:t>
      </w:r>
      <w:r>
        <w:rPr>
          <w:w w:val="125"/>
          <w:sz w:val="24"/>
        </w:rPr>
        <w:t>szabályai</w:t>
      </w:r>
      <w:r>
        <w:rPr>
          <w:w w:val="125"/>
          <w:sz w:val="24"/>
          <w:u w:val="dotted"/>
        </w:rPr>
        <w:t> </w:t>
        <w:tab/>
      </w:r>
      <w:r>
        <w:rPr>
          <w:w w:val="125"/>
          <w:sz w:val="24"/>
        </w:rPr>
        <w:tab/>
      </w:r>
      <w:r>
        <w:rPr>
          <w:spacing w:val="-9"/>
          <w:w w:val="125"/>
          <w:sz w:val="24"/>
        </w:rPr>
        <w:t>22</w:t>
      </w:r>
    </w:p>
    <w:p>
      <w:pPr>
        <w:pStyle w:val="ListParagraph"/>
        <w:numPr>
          <w:ilvl w:val="0"/>
          <w:numId w:val="668"/>
        </w:numPr>
        <w:tabs>
          <w:tab w:pos="1619" w:val="left" w:leader="none"/>
          <w:tab w:pos="8806" w:val="left" w:leader="none"/>
          <w:tab w:pos="9046" w:val="left" w:leader="none"/>
        </w:tabs>
        <w:spacing w:line="274" w:lineRule="exact" w:before="0" w:after="0"/>
        <w:ind w:left="1618" w:right="0" w:hanging="305"/>
        <w:jc w:val="left"/>
        <w:rPr>
          <w:sz w:val="24"/>
        </w:rPr>
      </w:pPr>
      <w:r>
        <w:rPr>
          <w:w w:val="125"/>
          <w:sz w:val="24"/>
        </w:rPr>
        <w:t>Szervezeti</w:t>
      </w:r>
      <w:r>
        <w:rPr>
          <w:spacing w:val="-2"/>
          <w:w w:val="125"/>
          <w:sz w:val="24"/>
        </w:rPr>
        <w:t> </w:t>
      </w:r>
      <w:r>
        <w:rPr>
          <w:w w:val="125"/>
          <w:sz w:val="24"/>
        </w:rPr>
        <w:t>szabályok</w:t>
      </w:r>
      <w:r>
        <w:rPr>
          <w:w w:val="125"/>
          <w:sz w:val="24"/>
          <w:u w:val="dotted"/>
        </w:rPr>
        <w:t> </w:t>
        <w:tab/>
      </w:r>
      <w:r>
        <w:rPr>
          <w:w w:val="125"/>
          <w:sz w:val="24"/>
        </w:rPr>
        <w:tab/>
        <w:t>22</w:t>
      </w:r>
    </w:p>
    <w:p>
      <w:pPr>
        <w:pStyle w:val="ListParagraph"/>
        <w:numPr>
          <w:ilvl w:val="0"/>
          <w:numId w:val="668"/>
        </w:numPr>
        <w:tabs>
          <w:tab w:pos="1619" w:val="left" w:leader="none"/>
          <w:tab w:pos="8806" w:val="left" w:leader="none"/>
          <w:tab w:pos="9046" w:val="left" w:leader="none"/>
        </w:tabs>
        <w:spacing w:line="240" w:lineRule="auto" w:before="24" w:after="0"/>
        <w:ind w:left="1618" w:right="0" w:hanging="305"/>
        <w:jc w:val="left"/>
        <w:rPr>
          <w:sz w:val="24"/>
        </w:rPr>
      </w:pPr>
      <w:r>
        <w:rPr>
          <w:w w:val="125"/>
          <w:sz w:val="24"/>
        </w:rPr>
        <w:t>Az induló tőke</w:t>
      </w:r>
      <w:r>
        <w:rPr>
          <w:spacing w:val="-14"/>
          <w:w w:val="125"/>
          <w:sz w:val="24"/>
        </w:rPr>
        <w:t> </w:t>
      </w:r>
      <w:r>
        <w:rPr>
          <w:w w:val="125"/>
          <w:sz w:val="24"/>
        </w:rPr>
        <w:t>legkisebb</w:t>
      </w:r>
      <w:r>
        <w:rPr>
          <w:spacing w:val="-5"/>
          <w:w w:val="125"/>
          <w:sz w:val="24"/>
        </w:rPr>
        <w:t> </w:t>
      </w:r>
      <w:r>
        <w:rPr>
          <w:w w:val="125"/>
          <w:sz w:val="24"/>
        </w:rPr>
        <w:t>összege</w:t>
      </w:r>
      <w:r>
        <w:rPr>
          <w:w w:val="125"/>
          <w:sz w:val="24"/>
          <w:u w:val="dotted"/>
        </w:rPr>
        <w:t> </w:t>
        <w:tab/>
      </w:r>
      <w:r>
        <w:rPr>
          <w:w w:val="125"/>
          <w:sz w:val="24"/>
        </w:rPr>
        <w:tab/>
        <w:t>22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Engedélyezési</w:t>
      </w:r>
      <w:r>
        <w:rPr>
          <w:spacing w:val="-29"/>
          <w:w w:val="130"/>
          <w:sz w:val="24"/>
        </w:rPr>
        <w:t> </w:t>
      </w:r>
      <w:r>
        <w:rPr>
          <w:w w:val="130"/>
          <w:sz w:val="24"/>
        </w:rPr>
        <w:t>eljárás</w:t>
      </w:r>
      <w:r>
        <w:rPr>
          <w:w w:val="130"/>
          <w:sz w:val="24"/>
          <w:u w:val="dotted"/>
        </w:rPr>
        <w:t> </w:t>
        <w:tab/>
      </w:r>
      <w:r>
        <w:rPr>
          <w:w w:val="130"/>
          <w:sz w:val="24"/>
        </w:rPr>
        <w:tab/>
        <w:t>23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alapítási engedély</w:t>
      </w:r>
      <w:r>
        <w:rPr>
          <w:spacing w:val="20"/>
          <w:w w:val="125"/>
          <w:sz w:val="24"/>
        </w:rPr>
        <w:t> </w:t>
      </w:r>
      <w:r>
        <w:rPr>
          <w:w w:val="125"/>
          <w:sz w:val="24"/>
        </w:rPr>
        <w:t>iránti</w:t>
      </w:r>
      <w:r>
        <w:rPr>
          <w:spacing w:val="6"/>
          <w:w w:val="125"/>
          <w:sz w:val="24"/>
        </w:rPr>
        <w:t> </w:t>
      </w:r>
      <w:r>
        <w:rPr>
          <w:w w:val="125"/>
          <w:sz w:val="24"/>
        </w:rPr>
        <w:t>kérelem</w:t>
      </w:r>
      <w:r>
        <w:rPr>
          <w:w w:val="125"/>
          <w:sz w:val="24"/>
          <w:u w:val="dotted"/>
        </w:rPr>
        <w:t> </w:t>
        <w:tab/>
      </w:r>
      <w:r>
        <w:rPr>
          <w:w w:val="125"/>
          <w:sz w:val="24"/>
        </w:rPr>
        <w:tab/>
        <w:t>28</w:t>
      </w:r>
    </w:p>
    <w:p>
      <w:pPr>
        <w:pStyle w:val="ListParagraph"/>
        <w:numPr>
          <w:ilvl w:val="0"/>
          <w:numId w:val="668"/>
        </w:numPr>
        <w:tabs>
          <w:tab w:pos="1772" w:val="left" w:leader="none"/>
        </w:tabs>
        <w:spacing w:line="258" w:lineRule="exact" w:before="24" w:after="0"/>
        <w:ind w:left="1771" w:right="0" w:hanging="458"/>
        <w:jc w:val="left"/>
        <w:rPr>
          <w:sz w:val="24"/>
        </w:rPr>
      </w:pPr>
      <w:r>
        <w:rPr>
          <w:w w:val="120"/>
          <w:sz w:val="24"/>
        </w:rPr>
        <w:t>A tevékenységi (működési) engedély</w:t>
      </w:r>
      <w:r>
        <w:rPr>
          <w:spacing w:val="30"/>
          <w:w w:val="120"/>
          <w:sz w:val="24"/>
        </w:rPr>
        <w:t> </w:t>
      </w:r>
      <w:r>
        <w:rPr>
          <w:w w:val="120"/>
          <w:sz w:val="24"/>
        </w:rPr>
        <w:t>iránti</w:t>
      </w:r>
    </w:p>
    <w:p>
      <w:pPr>
        <w:pStyle w:val="BodyText"/>
        <w:tabs>
          <w:tab w:pos="8806" w:val="left" w:leader="none"/>
          <w:tab w:pos="9046" w:val="left" w:leader="none"/>
        </w:tabs>
        <w:spacing w:line="258" w:lineRule="exact"/>
        <w:ind w:left="1313" w:firstLine="0"/>
      </w:pPr>
      <w:r>
        <w:rPr>
          <w:w w:val="130"/>
        </w:rPr>
        <w:t>kérelem</w:t>
      </w:r>
      <w:r>
        <w:rPr>
          <w:w w:val="130"/>
          <w:u w:val="dotted"/>
        </w:rPr>
        <w:t> </w:t>
        <w:tab/>
      </w:r>
      <w:r>
        <w:rPr>
          <w:w w:val="130"/>
        </w:rPr>
        <w:tab/>
        <w:t>31</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Függő és független közvetítő</w:t>
      </w:r>
      <w:r>
        <w:rPr>
          <w:spacing w:val="-27"/>
          <w:w w:val="130"/>
          <w:sz w:val="24"/>
        </w:rPr>
        <w:t> </w:t>
      </w:r>
      <w:r>
        <w:rPr>
          <w:w w:val="130"/>
          <w:sz w:val="24"/>
        </w:rPr>
        <w:t>engedélyezése,</w:t>
      </w:r>
    </w:p>
    <w:p>
      <w:pPr>
        <w:pStyle w:val="BodyText"/>
        <w:tabs>
          <w:tab w:pos="8806" w:val="left" w:leader="none"/>
          <w:tab w:pos="9046" w:val="left" w:leader="none"/>
        </w:tabs>
        <w:spacing w:line="258" w:lineRule="exact"/>
        <w:ind w:left="1313" w:firstLine="0"/>
      </w:pPr>
      <w:r>
        <w:rPr>
          <w:w w:val="130"/>
        </w:rPr>
        <w:t>bejelentése</w:t>
      </w:r>
      <w:r>
        <w:rPr>
          <w:w w:val="130"/>
          <w:u w:val="dotted"/>
        </w:rPr>
        <w:t> </w:t>
        <w:tab/>
      </w:r>
      <w:r>
        <w:rPr>
          <w:w w:val="130"/>
        </w:rPr>
        <w:tab/>
        <w:t>33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alapszabály</w:t>
      </w:r>
      <w:r>
        <w:rPr>
          <w:spacing w:val="9"/>
          <w:w w:val="125"/>
          <w:sz w:val="24"/>
        </w:rPr>
        <w:t> </w:t>
      </w:r>
      <w:r>
        <w:rPr>
          <w:w w:val="125"/>
          <w:sz w:val="24"/>
        </w:rPr>
        <w:t>módosításának</w:t>
      </w:r>
      <w:r>
        <w:rPr>
          <w:spacing w:val="4"/>
          <w:w w:val="125"/>
          <w:sz w:val="24"/>
        </w:rPr>
        <w:t> </w:t>
      </w:r>
      <w:r>
        <w:rPr>
          <w:w w:val="125"/>
          <w:sz w:val="24"/>
        </w:rPr>
        <w:t>engedélyezése</w:t>
      </w:r>
      <w:r>
        <w:rPr>
          <w:w w:val="125"/>
          <w:sz w:val="24"/>
          <w:u w:val="dotted"/>
        </w:rPr>
        <w:t> </w:t>
        <w:tab/>
      </w:r>
      <w:r>
        <w:rPr>
          <w:w w:val="125"/>
          <w:sz w:val="24"/>
        </w:rPr>
        <w:tab/>
        <w:t>35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Átalakítás,</w:t>
      </w:r>
      <w:r>
        <w:rPr>
          <w:spacing w:val="-27"/>
          <w:w w:val="130"/>
          <w:sz w:val="24"/>
        </w:rPr>
        <w:t> </w:t>
      </w:r>
      <w:r>
        <w:rPr>
          <w:w w:val="130"/>
          <w:sz w:val="24"/>
        </w:rPr>
        <w:t>egyesülés</w:t>
      </w:r>
      <w:r>
        <w:rPr>
          <w:spacing w:val="-28"/>
          <w:w w:val="130"/>
          <w:sz w:val="24"/>
        </w:rPr>
        <w:t> </w:t>
      </w:r>
      <w:r>
        <w:rPr>
          <w:w w:val="130"/>
          <w:sz w:val="24"/>
        </w:rPr>
        <w:t>és</w:t>
      </w:r>
      <w:r>
        <w:rPr>
          <w:spacing w:val="-28"/>
          <w:w w:val="130"/>
          <w:sz w:val="24"/>
        </w:rPr>
        <w:t> </w:t>
      </w:r>
      <w:r>
        <w:rPr>
          <w:w w:val="130"/>
          <w:sz w:val="24"/>
        </w:rPr>
        <w:t>szétválás</w:t>
      </w:r>
      <w:r>
        <w:rPr>
          <w:spacing w:val="-27"/>
          <w:w w:val="130"/>
          <w:sz w:val="24"/>
        </w:rPr>
        <w:t> </w:t>
      </w:r>
      <w:r>
        <w:rPr>
          <w:w w:val="130"/>
          <w:sz w:val="24"/>
        </w:rPr>
        <w:t>engedélyezése</w:t>
      </w:r>
      <w:r>
        <w:rPr>
          <w:w w:val="130"/>
          <w:sz w:val="24"/>
          <w:u w:val="dotted"/>
        </w:rPr>
        <w:t> </w:t>
        <w:tab/>
      </w:r>
      <w:r>
        <w:rPr>
          <w:w w:val="130"/>
          <w:sz w:val="24"/>
        </w:rPr>
        <w:tab/>
        <w:t>35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engedély megadásának</w:t>
      </w:r>
      <w:r>
        <w:rPr>
          <w:spacing w:val="22"/>
          <w:w w:val="125"/>
          <w:sz w:val="24"/>
        </w:rPr>
        <w:t> </w:t>
      </w:r>
      <w:r>
        <w:rPr>
          <w:w w:val="125"/>
          <w:sz w:val="24"/>
        </w:rPr>
        <w:t>általános</w:t>
      </w:r>
      <w:r>
        <w:rPr>
          <w:spacing w:val="8"/>
          <w:w w:val="125"/>
          <w:sz w:val="24"/>
        </w:rPr>
        <w:t> </w:t>
      </w:r>
      <w:r>
        <w:rPr>
          <w:w w:val="125"/>
          <w:sz w:val="24"/>
        </w:rPr>
        <w:t>szabályai</w:t>
      </w:r>
      <w:r>
        <w:rPr>
          <w:w w:val="125"/>
          <w:sz w:val="24"/>
          <w:u w:val="dotted"/>
        </w:rPr>
        <w:t> </w:t>
        <w:tab/>
      </w:r>
      <w:r>
        <w:rPr>
          <w:w w:val="125"/>
          <w:sz w:val="24"/>
        </w:rPr>
        <w:tab/>
        <w:t>36</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A hitelintézet alapítási</w:t>
      </w:r>
      <w:r>
        <w:rPr>
          <w:spacing w:val="3"/>
          <w:w w:val="125"/>
          <w:sz w:val="24"/>
        </w:rPr>
        <w:t> </w:t>
      </w:r>
      <w:r>
        <w:rPr>
          <w:w w:val="125"/>
          <w:sz w:val="24"/>
        </w:rPr>
        <w:t>engedélye</w:t>
      </w:r>
    </w:p>
    <w:p>
      <w:pPr>
        <w:pStyle w:val="BodyText"/>
        <w:tabs>
          <w:tab w:pos="8806" w:val="left" w:leader="none"/>
          <w:tab w:pos="9046" w:val="left" w:leader="none"/>
        </w:tabs>
        <w:spacing w:line="258" w:lineRule="exact"/>
        <w:ind w:left="1313" w:firstLine="0"/>
      </w:pPr>
      <w:r>
        <w:rPr>
          <w:w w:val="130"/>
        </w:rPr>
        <w:t>érvényességének</w:t>
      </w:r>
      <w:r>
        <w:rPr>
          <w:spacing w:val="-15"/>
          <w:w w:val="130"/>
        </w:rPr>
        <w:t> </w:t>
      </w:r>
      <w:r>
        <w:rPr>
          <w:w w:val="130"/>
        </w:rPr>
        <w:t>határideje</w:t>
      </w:r>
      <w:r>
        <w:rPr>
          <w:w w:val="130"/>
          <w:u w:val="dotted"/>
        </w:rPr>
        <w:t> </w:t>
        <w:tab/>
      </w:r>
      <w:r>
        <w:rPr>
          <w:w w:val="130"/>
        </w:rPr>
        <w:tab/>
        <w:t>37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Az engedély visszavonása</w:t>
      </w:r>
      <w:r>
        <w:rPr>
          <w:spacing w:val="-3"/>
          <w:w w:val="125"/>
          <w:sz w:val="24"/>
        </w:rPr>
        <w:t> </w:t>
      </w:r>
      <w:r>
        <w:rPr>
          <w:w w:val="125"/>
          <w:sz w:val="24"/>
        </w:rPr>
        <w:t>és</w:t>
      </w:r>
      <w:r>
        <w:rPr>
          <w:spacing w:val="-1"/>
          <w:w w:val="125"/>
          <w:sz w:val="24"/>
        </w:rPr>
        <w:t> </w:t>
      </w:r>
      <w:r>
        <w:rPr>
          <w:w w:val="125"/>
          <w:sz w:val="24"/>
        </w:rPr>
        <w:t>visszaadása</w:t>
      </w:r>
      <w:r>
        <w:rPr>
          <w:w w:val="125"/>
          <w:sz w:val="24"/>
          <w:u w:val="dotted"/>
        </w:rPr>
        <w:t> </w:t>
        <w:tab/>
      </w:r>
      <w:r>
        <w:rPr>
          <w:w w:val="125"/>
          <w:sz w:val="24"/>
        </w:rPr>
        <w:tab/>
        <w:t>37</w:t>
      </w:r>
    </w:p>
    <w:p>
      <w:pPr>
        <w:pStyle w:val="ListParagraph"/>
        <w:numPr>
          <w:ilvl w:val="0"/>
          <w:numId w:val="667"/>
        </w:numPr>
        <w:tabs>
          <w:tab w:pos="1351" w:val="left" w:leader="none"/>
          <w:tab w:pos="8806" w:val="left" w:leader="none"/>
          <w:tab w:pos="9046" w:val="left" w:leader="none"/>
        </w:tabs>
        <w:spacing w:line="261" w:lineRule="auto" w:before="24" w:after="0"/>
        <w:ind w:left="913" w:right="526" w:firstLine="0"/>
        <w:jc w:val="left"/>
        <w:rPr>
          <w:sz w:val="24"/>
        </w:rPr>
      </w:pPr>
      <w:r>
        <w:rPr>
          <w:w w:val="130"/>
          <w:sz w:val="24"/>
        </w:rPr>
        <w:t>Fejezet</w:t>
      </w:r>
      <w:r>
        <w:rPr>
          <w:w w:val="130"/>
          <w:sz w:val="24"/>
          <w:u w:val="dotted"/>
        </w:rPr>
        <w:t> </w:t>
        <w:tab/>
      </w:r>
      <w:r>
        <w:rPr>
          <w:w w:val="130"/>
          <w:sz w:val="24"/>
        </w:rPr>
        <w:tab/>
      </w:r>
      <w:r>
        <w:rPr>
          <w:spacing w:val="-9"/>
          <w:w w:val="130"/>
          <w:sz w:val="24"/>
        </w:rPr>
        <w:t>39 </w:t>
      </w:r>
      <w:r>
        <w:rPr>
          <w:w w:val="130"/>
          <w:sz w:val="24"/>
        </w:rPr>
        <w:t>Szolgáltatás</w:t>
      </w:r>
      <w:r>
        <w:rPr>
          <w:spacing w:val="-21"/>
          <w:w w:val="130"/>
          <w:sz w:val="24"/>
        </w:rPr>
        <w:t> </w:t>
      </w:r>
      <w:r>
        <w:rPr>
          <w:w w:val="130"/>
          <w:sz w:val="24"/>
        </w:rPr>
        <w:t>nyújtásának</w:t>
      </w:r>
      <w:r>
        <w:rPr>
          <w:spacing w:val="-20"/>
          <w:w w:val="130"/>
          <w:sz w:val="24"/>
        </w:rPr>
        <w:t> </w:t>
      </w:r>
      <w:r>
        <w:rPr>
          <w:w w:val="130"/>
          <w:sz w:val="24"/>
        </w:rPr>
        <w:t>szabadsága</w:t>
      </w:r>
      <w:r>
        <w:rPr>
          <w:w w:val="130"/>
          <w:sz w:val="24"/>
          <w:u w:val="dotted"/>
        </w:rPr>
        <w:t> </w:t>
        <w:tab/>
      </w:r>
      <w:r>
        <w:rPr>
          <w:w w:val="130"/>
          <w:sz w:val="24"/>
        </w:rPr>
        <w:tab/>
      </w:r>
      <w:r>
        <w:rPr>
          <w:spacing w:val="-9"/>
          <w:w w:val="130"/>
          <w:sz w:val="24"/>
        </w:rPr>
        <w:t>39</w:t>
      </w:r>
    </w:p>
    <w:p>
      <w:pPr>
        <w:pStyle w:val="ListParagraph"/>
        <w:numPr>
          <w:ilvl w:val="0"/>
          <w:numId w:val="668"/>
        </w:numPr>
        <w:tabs>
          <w:tab w:pos="1772" w:val="left" w:leader="none"/>
        </w:tabs>
        <w:spacing w:line="256" w:lineRule="exact" w:before="0" w:after="0"/>
        <w:ind w:left="1771" w:right="0" w:hanging="458"/>
        <w:jc w:val="left"/>
        <w:rPr>
          <w:sz w:val="24"/>
        </w:rPr>
      </w:pPr>
      <w:r>
        <w:rPr>
          <w:w w:val="125"/>
          <w:sz w:val="24"/>
        </w:rPr>
        <w:t>Másik EGT-államban történő fióktelep</w:t>
      </w:r>
      <w:r>
        <w:rPr>
          <w:spacing w:val="-1"/>
          <w:w w:val="125"/>
          <w:sz w:val="24"/>
        </w:rPr>
        <w:t> </w:t>
      </w:r>
      <w:r>
        <w:rPr>
          <w:w w:val="125"/>
          <w:sz w:val="24"/>
        </w:rPr>
        <w:t>létesítés</w:t>
      </w:r>
    </w:p>
    <w:p>
      <w:pPr>
        <w:pStyle w:val="BodyText"/>
        <w:tabs>
          <w:tab w:pos="8806" w:val="left" w:leader="none"/>
          <w:tab w:pos="9046" w:val="left" w:leader="none"/>
        </w:tabs>
        <w:spacing w:line="258" w:lineRule="exact"/>
        <w:ind w:left="1313" w:firstLine="0"/>
      </w:pPr>
      <w:r>
        <w:rPr>
          <w:w w:val="125"/>
        </w:rPr>
        <w:t>szabályai</w:t>
      </w:r>
      <w:r>
        <w:rPr>
          <w:w w:val="125"/>
          <w:u w:val="dotted"/>
        </w:rPr>
        <w:t> </w:t>
        <w:tab/>
      </w:r>
      <w:r>
        <w:rPr>
          <w:w w:val="125"/>
        </w:rPr>
        <w:tab/>
        <w:t>39</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Rendszerszinten</w:t>
      </w:r>
      <w:r>
        <w:rPr>
          <w:spacing w:val="17"/>
          <w:w w:val="125"/>
          <w:sz w:val="24"/>
        </w:rPr>
        <w:t> </w:t>
      </w:r>
      <w:r>
        <w:rPr>
          <w:w w:val="125"/>
          <w:sz w:val="24"/>
        </w:rPr>
        <w:t>jelentős</w:t>
      </w:r>
      <w:r>
        <w:rPr>
          <w:spacing w:val="19"/>
          <w:w w:val="125"/>
          <w:sz w:val="24"/>
        </w:rPr>
        <w:t> </w:t>
      </w:r>
      <w:r>
        <w:rPr>
          <w:w w:val="125"/>
          <w:sz w:val="24"/>
        </w:rPr>
        <w:t>fióktelep</w:t>
      </w:r>
      <w:r>
        <w:rPr>
          <w:w w:val="125"/>
          <w:sz w:val="24"/>
          <w:u w:val="dotted"/>
        </w:rPr>
        <w:t> </w:t>
        <w:tab/>
      </w:r>
      <w:r>
        <w:rPr>
          <w:w w:val="125"/>
          <w:sz w:val="24"/>
        </w:rPr>
        <w:tab/>
        <w:t>41</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Határon átnyúló szolgáltatás</w:t>
      </w:r>
      <w:r>
        <w:rPr>
          <w:spacing w:val="-14"/>
          <w:w w:val="130"/>
          <w:sz w:val="24"/>
        </w:rPr>
        <w:t> </w:t>
      </w:r>
      <w:r>
        <w:rPr>
          <w:w w:val="130"/>
          <w:sz w:val="24"/>
        </w:rPr>
        <w:t>nyújtásának</w:t>
      </w:r>
    </w:p>
    <w:p>
      <w:pPr>
        <w:pStyle w:val="BodyText"/>
        <w:tabs>
          <w:tab w:pos="8806" w:val="left" w:leader="none"/>
          <w:tab w:pos="9046" w:val="left" w:leader="none"/>
        </w:tabs>
        <w:spacing w:line="258" w:lineRule="exact"/>
        <w:ind w:left="1313" w:firstLine="0"/>
      </w:pPr>
      <w:r>
        <w:rPr>
          <w:w w:val="125"/>
        </w:rPr>
        <w:t>szabályai</w:t>
      </w:r>
      <w:r>
        <w:rPr>
          <w:w w:val="125"/>
          <w:u w:val="dotted"/>
        </w:rPr>
        <w:t> </w:t>
        <w:tab/>
      </w:r>
      <w:r>
        <w:rPr>
          <w:w w:val="125"/>
        </w:rPr>
        <w:tab/>
        <w:t>42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bankképviseletre  vonatkozó</w:t>
      </w:r>
      <w:r>
        <w:rPr>
          <w:spacing w:val="18"/>
          <w:w w:val="120"/>
          <w:sz w:val="24"/>
        </w:rPr>
        <w:t> </w:t>
      </w:r>
      <w:r>
        <w:rPr>
          <w:w w:val="120"/>
          <w:sz w:val="24"/>
        </w:rPr>
        <w:t>sajátos</w:t>
      </w:r>
      <w:r>
        <w:rPr>
          <w:spacing w:val="55"/>
          <w:w w:val="120"/>
          <w:sz w:val="24"/>
        </w:rPr>
        <w:t> </w:t>
      </w:r>
      <w:r>
        <w:rPr>
          <w:w w:val="120"/>
          <w:sz w:val="24"/>
        </w:rPr>
        <w:t>szabályok</w:t>
      </w:r>
      <w:r>
        <w:rPr>
          <w:w w:val="120"/>
          <w:sz w:val="24"/>
          <w:u w:val="dotted"/>
        </w:rPr>
        <w:t> </w:t>
        <w:tab/>
      </w:r>
      <w:r>
        <w:rPr>
          <w:w w:val="120"/>
          <w:sz w:val="24"/>
        </w:rPr>
        <w:tab/>
        <w:t>43</w:t>
      </w:r>
    </w:p>
    <w:p>
      <w:pPr>
        <w:pStyle w:val="ListParagraph"/>
        <w:numPr>
          <w:ilvl w:val="0"/>
          <w:numId w:val="667"/>
        </w:numPr>
        <w:tabs>
          <w:tab w:pos="1335"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44 </w:t>
      </w:r>
      <w:r>
        <w:rPr>
          <w:w w:val="125"/>
          <w:sz w:val="24"/>
        </w:rPr>
        <w:t>Pénzügyi intézmény jogutód</w:t>
      </w:r>
      <w:r>
        <w:rPr>
          <w:spacing w:val="-1"/>
          <w:w w:val="125"/>
          <w:sz w:val="24"/>
        </w:rPr>
        <w:t> </w:t>
      </w:r>
      <w:r>
        <w:rPr>
          <w:w w:val="125"/>
          <w:sz w:val="24"/>
        </w:rPr>
        <w:t>nélküli</w:t>
      </w:r>
      <w:r>
        <w:rPr>
          <w:spacing w:val="1"/>
          <w:w w:val="125"/>
          <w:sz w:val="24"/>
        </w:rPr>
        <w:t> </w:t>
      </w:r>
      <w:r>
        <w:rPr>
          <w:w w:val="125"/>
          <w:sz w:val="24"/>
        </w:rPr>
        <w:t>megszűnése</w:t>
      </w:r>
      <w:r>
        <w:rPr>
          <w:w w:val="125"/>
          <w:sz w:val="24"/>
          <w:u w:val="dotted"/>
        </w:rPr>
        <w:t> </w:t>
        <w:tab/>
      </w:r>
      <w:r>
        <w:rPr>
          <w:w w:val="125"/>
          <w:sz w:val="24"/>
        </w:rPr>
        <w:tab/>
      </w:r>
      <w:r>
        <w:rPr>
          <w:spacing w:val="-9"/>
          <w:w w:val="125"/>
          <w:sz w:val="24"/>
        </w:rPr>
        <w:t>44</w:t>
      </w:r>
    </w:p>
    <w:p>
      <w:pPr>
        <w:pStyle w:val="ListParagraph"/>
        <w:numPr>
          <w:ilvl w:val="0"/>
          <w:numId w:val="668"/>
        </w:numPr>
        <w:tabs>
          <w:tab w:pos="1772" w:val="left" w:leader="none"/>
          <w:tab w:pos="8806" w:val="left" w:leader="none"/>
          <w:tab w:pos="9046" w:val="left" w:leader="none"/>
        </w:tabs>
        <w:spacing w:line="274" w:lineRule="exact" w:before="0" w:after="0"/>
        <w:ind w:left="1771" w:right="0" w:hanging="458"/>
        <w:jc w:val="left"/>
        <w:rPr>
          <w:sz w:val="24"/>
        </w:rPr>
      </w:pPr>
      <w:r>
        <w:rPr>
          <w:w w:val="125"/>
          <w:sz w:val="24"/>
        </w:rPr>
        <w:t>Általános</w:t>
      </w:r>
      <w:r>
        <w:rPr>
          <w:spacing w:val="25"/>
          <w:w w:val="125"/>
          <w:sz w:val="24"/>
        </w:rPr>
        <w:t> </w:t>
      </w:r>
      <w:r>
        <w:rPr>
          <w:w w:val="125"/>
          <w:sz w:val="24"/>
        </w:rPr>
        <w:t>rendelkezések</w:t>
      </w:r>
      <w:r>
        <w:rPr>
          <w:w w:val="125"/>
          <w:sz w:val="24"/>
          <w:u w:val="dotted"/>
        </w:rPr>
        <w:t> </w:t>
        <w:tab/>
      </w:r>
      <w:r>
        <w:rPr>
          <w:w w:val="125"/>
          <w:sz w:val="24"/>
        </w:rPr>
        <w:tab/>
        <w:t>44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Végelszámolás</w:t>
      </w:r>
      <w:r>
        <w:rPr>
          <w:w w:val="125"/>
          <w:sz w:val="24"/>
          <w:u w:val="dotted"/>
        </w:rPr>
        <w:t> </w:t>
        <w:tab/>
      </w:r>
      <w:r>
        <w:rPr>
          <w:w w:val="125"/>
          <w:sz w:val="24"/>
        </w:rPr>
        <w:tab/>
        <w:t>45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Felszámolási</w:t>
      </w:r>
      <w:r>
        <w:rPr>
          <w:spacing w:val="-29"/>
          <w:w w:val="130"/>
          <w:sz w:val="24"/>
        </w:rPr>
        <w:t> </w:t>
      </w:r>
      <w:r>
        <w:rPr>
          <w:w w:val="130"/>
          <w:sz w:val="24"/>
        </w:rPr>
        <w:t>eljárás</w:t>
      </w:r>
      <w:r>
        <w:rPr>
          <w:w w:val="130"/>
          <w:sz w:val="24"/>
          <w:u w:val="dotted"/>
        </w:rPr>
        <w:t> </w:t>
        <w:tab/>
      </w:r>
      <w:r>
        <w:rPr>
          <w:w w:val="130"/>
          <w:sz w:val="24"/>
        </w:rPr>
        <w:tab/>
        <w:t>46</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Hitelintézet végelszámolásának</w:t>
      </w:r>
      <w:r>
        <w:rPr>
          <w:spacing w:val="1"/>
          <w:w w:val="125"/>
          <w:sz w:val="24"/>
        </w:rPr>
        <w:t> </w:t>
      </w:r>
      <w:r>
        <w:rPr>
          <w:w w:val="125"/>
          <w:sz w:val="24"/>
        </w:rPr>
        <w:t>vagy</w:t>
      </w:r>
    </w:p>
    <w:p>
      <w:pPr>
        <w:pStyle w:val="BodyText"/>
        <w:tabs>
          <w:tab w:pos="8806" w:val="left" w:leader="none"/>
          <w:tab w:pos="9046" w:val="left" w:leader="none"/>
        </w:tabs>
        <w:spacing w:line="258" w:lineRule="exact"/>
        <w:ind w:left="1313" w:firstLine="0"/>
      </w:pPr>
      <w:r>
        <w:rPr>
          <w:w w:val="125"/>
        </w:rPr>
        <w:t>felszámolásának</w:t>
      </w:r>
      <w:r>
        <w:rPr>
          <w:spacing w:val="2"/>
          <w:w w:val="125"/>
        </w:rPr>
        <w:t> </w:t>
      </w:r>
      <w:r>
        <w:rPr>
          <w:w w:val="125"/>
        </w:rPr>
        <w:t>különleges</w:t>
      </w:r>
      <w:r>
        <w:rPr>
          <w:spacing w:val="2"/>
          <w:w w:val="125"/>
        </w:rPr>
        <w:t> </w:t>
      </w:r>
      <w:r>
        <w:rPr>
          <w:w w:val="125"/>
        </w:rPr>
        <w:t>szabályai</w:t>
      </w:r>
      <w:r>
        <w:rPr>
          <w:w w:val="125"/>
          <w:u w:val="dotted"/>
        </w:rPr>
        <w:t> </w:t>
        <w:tab/>
      </w:r>
      <w:r>
        <w:rPr>
          <w:w w:val="125"/>
        </w:rPr>
        <w:tab/>
        <w:t>49</w:t>
      </w:r>
    </w:p>
    <w:p>
      <w:pPr>
        <w:pStyle w:val="ListParagraph"/>
        <w:numPr>
          <w:ilvl w:val="0"/>
          <w:numId w:val="667"/>
        </w:numPr>
        <w:tabs>
          <w:tab w:pos="1240" w:val="left" w:leader="none"/>
          <w:tab w:pos="8806" w:val="left" w:leader="none"/>
          <w:tab w:pos="9046" w:val="left" w:leader="none"/>
        </w:tabs>
        <w:spacing w:line="240" w:lineRule="auto" w:before="24" w:after="0"/>
        <w:ind w:left="1239" w:right="0" w:hanging="326"/>
        <w:jc w:val="left"/>
        <w:rPr>
          <w:sz w:val="24"/>
        </w:rPr>
      </w:pPr>
      <w:r>
        <w:rPr>
          <w:w w:val="130"/>
          <w:sz w:val="24"/>
        </w:rPr>
        <w:t>Fejezet</w:t>
      </w:r>
      <w:r>
        <w:rPr>
          <w:w w:val="130"/>
          <w:sz w:val="24"/>
          <w:u w:val="dotted"/>
        </w:rPr>
        <w:t> </w:t>
        <w:tab/>
      </w:r>
      <w:r>
        <w:rPr>
          <w:w w:val="130"/>
          <w:sz w:val="24"/>
        </w:rPr>
        <w:tab/>
        <w:t>51</w:t>
      </w:r>
    </w:p>
    <w:p>
      <w:pPr>
        <w:spacing w:after="0" w:line="240" w:lineRule="auto"/>
        <w:jc w:val="left"/>
        <w:rPr>
          <w:sz w:val="24"/>
        </w:rPr>
        <w:sectPr>
          <w:pgSz w:w="11900" w:h="16820"/>
          <w:pgMar w:header="1104" w:footer="0" w:top="1840" w:bottom="280" w:left="1020" w:right="1000"/>
        </w:sectPr>
      </w:pPr>
    </w:p>
    <w:p>
      <w:pPr>
        <w:pStyle w:val="BodyText"/>
        <w:tabs>
          <w:tab w:pos="8806" w:val="left" w:leader="none"/>
          <w:tab w:pos="9046" w:val="left" w:leader="none"/>
        </w:tabs>
        <w:spacing w:before="139"/>
        <w:ind w:left="913" w:firstLine="0"/>
      </w:pPr>
      <w:r>
        <w:rPr>
          <w:w w:val="125"/>
        </w:rPr>
        <w:t>Egyes tevékenységi,</w:t>
      </w:r>
      <w:r>
        <w:rPr>
          <w:spacing w:val="-7"/>
          <w:w w:val="125"/>
        </w:rPr>
        <w:t> </w:t>
      </w:r>
      <w:r>
        <w:rPr>
          <w:w w:val="125"/>
        </w:rPr>
        <w:t>működési</w:t>
      </w:r>
      <w:r>
        <w:rPr>
          <w:spacing w:val="-4"/>
          <w:w w:val="125"/>
        </w:rPr>
        <w:t> </w:t>
      </w:r>
      <w:r>
        <w:rPr>
          <w:w w:val="125"/>
        </w:rPr>
        <w:t>szabályok</w:t>
      </w:r>
      <w:r>
        <w:rPr>
          <w:w w:val="125"/>
          <w:u w:val="dotted"/>
        </w:rPr>
        <w:t> </w:t>
        <w:tab/>
      </w:r>
      <w:r>
        <w:rPr>
          <w:w w:val="125"/>
        </w:rPr>
        <w:tab/>
        <w:t>51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Személyi és</w:t>
      </w:r>
      <w:r>
        <w:rPr>
          <w:spacing w:val="-49"/>
          <w:w w:val="130"/>
          <w:sz w:val="24"/>
        </w:rPr>
        <w:t> </w:t>
      </w:r>
      <w:r>
        <w:rPr>
          <w:w w:val="130"/>
          <w:sz w:val="24"/>
        </w:rPr>
        <w:t>tárgyi</w:t>
      </w:r>
      <w:r>
        <w:rPr>
          <w:spacing w:val="-25"/>
          <w:w w:val="130"/>
          <w:sz w:val="24"/>
        </w:rPr>
        <w:t> </w:t>
      </w:r>
      <w:r>
        <w:rPr>
          <w:w w:val="130"/>
          <w:sz w:val="24"/>
        </w:rPr>
        <w:t>feltételek</w:t>
      </w:r>
      <w:r>
        <w:rPr>
          <w:w w:val="130"/>
          <w:sz w:val="24"/>
          <w:u w:val="dotted"/>
        </w:rPr>
        <w:t> </w:t>
        <w:tab/>
      </w:r>
      <w:r>
        <w:rPr>
          <w:w w:val="130"/>
          <w:sz w:val="24"/>
        </w:rPr>
        <w:tab/>
        <w:t>51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Kiszervezés</w:t>
      </w:r>
      <w:r>
        <w:rPr>
          <w:w w:val="125"/>
          <w:sz w:val="24"/>
          <w:u w:val="dotted"/>
        </w:rPr>
        <w:t> </w:t>
        <w:tab/>
      </w:r>
      <w:r>
        <w:rPr>
          <w:w w:val="125"/>
          <w:sz w:val="24"/>
        </w:rPr>
        <w:tab/>
        <w:t>52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Független</w:t>
      </w:r>
      <w:r>
        <w:rPr>
          <w:spacing w:val="14"/>
          <w:w w:val="125"/>
          <w:sz w:val="24"/>
        </w:rPr>
        <w:t> </w:t>
      </w:r>
      <w:r>
        <w:rPr>
          <w:w w:val="125"/>
          <w:sz w:val="24"/>
        </w:rPr>
        <w:t>közvetítő</w:t>
      </w:r>
      <w:r>
        <w:rPr>
          <w:w w:val="125"/>
          <w:sz w:val="24"/>
          <w:u w:val="dotted"/>
        </w:rPr>
        <w:t> </w:t>
        <w:tab/>
      </w:r>
      <w:r>
        <w:rPr>
          <w:w w:val="125"/>
          <w:sz w:val="24"/>
        </w:rPr>
        <w:tab/>
        <w:t>53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Függő</w:t>
      </w:r>
      <w:r>
        <w:rPr>
          <w:spacing w:val="-6"/>
          <w:w w:val="125"/>
          <w:sz w:val="24"/>
        </w:rPr>
        <w:t> </w:t>
      </w:r>
      <w:r>
        <w:rPr>
          <w:w w:val="125"/>
          <w:sz w:val="24"/>
        </w:rPr>
        <w:t>közvetítő</w:t>
      </w:r>
      <w:r>
        <w:rPr>
          <w:w w:val="125"/>
          <w:sz w:val="24"/>
          <w:u w:val="dotted"/>
        </w:rPr>
        <w:t> </w:t>
        <w:tab/>
      </w:r>
      <w:r>
        <w:rPr>
          <w:w w:val="125"/>
          <w:sz w:val="24"/>
        </w:rPr>
        <w:tab/>
        <w:t>55</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Függő és független közvetítő</w:t>
      </w:r>
      <w:r>
        <w:rPr>
          <w:spacing w:val="-23"/>
          <w:w w:val="130"/>
          <w:sz w:val="24"/>
        </w:rPr>
        <w:t> </w:t>
      </w:r>
      <w:r>
        <w:rPr>
          <w:w w:val="130"/>
          <w:sz w:val="24"/>
        </w:rPr>
        <w:t>szakmai</w:t>
      </w:r>
    </w:p>
    <w:p>
      <w:pPr>
        <w:pStyle w:val="BodyText"/>
        <w:tabs>
          <w:tab w:pos="8806" w:val="left" w:leader="none"/>
          <w:tab w:pos="9046" w:val="left" w:leader="none"/>
        </w:tabs>
        <w:spacing w:line="258" w:lineRule="exact"/>
        <w:ind w:left="1313" w:firstLine="0"/>
      </w:pPr>
      <w:r>
        <w:rPr>
          <w:w w:val="125"/>
        </w:rPr>
        <w:t>követelményei</w:t>
      </w:r>
      <w:r>
        <w:rPr>
          <w:w w:val="125"/>
          <w:u w:val="dotted"/>
        </w:rPr>
        <w:t> </w:t>
        <w:tab/>
      </w:r>
      <w:r>
        <w:rPr>
          <w:w w:val="125"/>
        </w:rPr>
        <w:tab/>
        <w:t>56</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Egyes kiegészítő pénzügyi</w:t>
      </w:r>
      <w:r>
        <w:rPr>
          <w:spacing w:val="3"/>
          <w:w w:val="125"/>
          <w:sz w:val="24"/>
        </w:rPr>
        <w:t> </w:t>
      </w:r>
      <w:r>
        <w:rPr>
          <w:w w:val="125"/>
          <w:sz w:val="24"/>
        </w:rPr>
        <w:t>szolgáltatásokra</w:t>
      </w:r>
    </w:p>
    <w:p>
      <w:pPr>
        <w:pStyle w:val="BodyText"/>
        <w:tabs>
          <w:tab w:pos="8806" w:val="left" w:leader="none"/>
          <w:tab w:pos="9046" w:val="left" w:leader="none"/>
        </w:tabs>
        <w:spacing w:line="258" w:lineRule="exact"/>
        <w:ind w:left="1313" w:firstLine="0"/>
      </w:pPr>
      <w:r>
        <w:rPr>
          <w:w w:val="125"/>
        </w:rPr>
        <w:t>vonatkozó</w:t>
      </w:r>
      <w:r>
        <w:rPr>
          <w:spacing w:val="4"/>
          <w:w w:val="125"/>
        </w:rPr>
        <w:t> </w:t>
      </w:r>
      <w:r>
        <w:rPr>
          <w:w w:val="125"/>
        </w:rPr>
        <w:t>különös</w:t>
      </w:r>
      <w:r>
        <w:rPr>
          <w:spacing w:val="4"/>
          <w:w w:val="125"/>
        </w:rPr>
        <w:t> </w:t>
      </w:r>
      <w:r>
        <w:rPr>
          <w:w w:val="125"/>
        </w:rPr>
        <w:t>rendelkezések</w:t>
      </w:r>
      <w:r>
        <w:rPr>
          <w:w w:val="125"/>
          <w:u w:val="dotted"/>
        </w:rPr>
        <w:t> </w:t>
        <w:tab/>
      </w:r>
      <w:r>
        <w:rPr>
          <w:w w:val="125"/>
        </w:rPr>
        <w:tab/>
        <w:t>58</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Fizetési rendszerhez</w:t>
      </w:r>
      <w:r>
        <w:rPr>
          <w:spacing w:val="-33"/>
          <w:w w:val="130"/>
          <w:sz w:val="24"/>
        </w:rPr>
        <w:t> </w:t>
      </w:r>
      <w:r>
        <w:rPr>
          <w:w w:val="130"/>
          <w:sz w:val="24"/>
        </w:rPr>
        <w:t>történő</w:t>
      </w:r>
      <w:r>
        <w:rPr>
          <w:spacing w:val="-16"/>
          <w:w w:val="130"/>
          <w:sz w:val="24"/>
        </w:rPr>
        <w:t> </w:t>
      </w:r>
      <w:r>
        <w:rPr>
          <w:w w:val="130"/>
          <w:sz w:val="24"/>
        </w:rPr>
        <w:t>hozzáférés</w:t>
      </w:r>
      <w:r>
        <w:rPr>
          <w:w w:val="130"/>
          <w:sz w:val="24"/>
          <w:u w:val="dotted"/>
        </w:rPr>
        <w:t> </w:t>
        <w:tab/>
      </w:r>
      <w:r>
        <w:rPr>
          <w:w w:val="130"/>
          <w:sz w:val="24"/>
        </w:rPr>
        <w:tab/>
        <w:t>59</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Pénzfeldolgozási</w:t>
      </w:r>
      <w:r>
        <w:rPr>
          <w:spacing w:val="-4"/>
          <w:w w:val="125"/>
          <w:sz w:val="24"/>
        </w:rPr>
        <w:t> </w:t>
      </w:r>
      <w:r>
        <w:rPr>
          <w:w w:val="125"/>
          <w:sz w:val="24"/>
        </w:rPr>
        <w:t>tevékenység</w:t>
      </w:r>
      <w:r>
        <w:rPr>
          <w:w w:val="125"/>
          <w:sz w:val="24"/>
          <w:u w:val="dotted"/>
        </w:rPr>
        <w:t> </w:t>
        <w:tab/>
      </w:r>
      <w:r>
        <w:rPr>
          <w:w w:val="125"/>
          <w:sz w:val="24"/>
        </w:rPr>
        <w:tab/>
        <w:t>60</w:t>
      </w:r>
    </w:p>
    <w:p>
      <w:pPr>
        <w:pStyle w:val="ListParagraph"/>
        <w:numPr>
          <w:ilvl w:val="0"/>
          <w:numId w:val="667"/>
        </w:numPr>
        <w:tabs>
          <w:tab w:pos="1335"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60 </w:t>
      </w:r>
      <w:r>
        <w:rPr>
          <w:w w:val="125"/>
          <w:sz w:val="24"/>
        </w:rPr>
        <w:t>Prudens működésre</w:t>
      </w:r>
      <w:r>
        <w:rPr>
          <w:spacing w:val="10"/>
          <w:w w:val="125"/>
          <w:sz w:val="24"/>
        </w:rPr>
        <w:t> </w:t>
      </w:r>
      <w:r>
        <w:rPr>
          <w:w w:val="125"/>
          <w:sz w:val="24"/>
        </w:rPr>
        <w:t>vonatkozó</w:t>
      </w:r>
      <w:r>
        <w:rPr>
          <w:spacing w:val="6"/>
          <w:w w:val="125"/>
          <w:sz w:val="24"/>
        </w:rPr>
        <w:t> </w:t>
      </w:r>
      <w:r>
        <w:rPr>
          <w:w w:val="125"/>
          <w:sz w:val="24"/>
        </w:rPr>
        <w:t>követelmények</w:t>
      </w:r>
      <w:r>
        <w:rPr>
          <w:w w:val="125"/>
          <w:sz w:val="24"/>
          <w:u w:val="dotted"/>
        </w:rPr>
        <w:t> </w:t>
        <w:tab/>
      </w:r>
      <w:r>
        <w:rPr>
          <w:w w:val="125"/>
          <w:sz w:val="24"/>
        </w:rPr>
        <w:tab/>
      </w:r>
      <w:r>
        <w:rPr>
          <w:spacing w:val="-9"/>
          <w:w w:val="125"/>
          <w:sz w:val="24"/>
        </w:rPr>
        <w:t>60</w:t>
      </w:r>
    </w:p>
    <w:p>
      <w:pPr>
        <w:pStyle w:val="ListParagraph"/>
        <w:numPr>
          <w:ilvl w:val="0"/>
          <w:numId w:val="668"/>
        </w:numPr>
        <w:tabs>
          <w:tab w:pos="1772" w:val="left" w:leader="none"/>
          <w:tab w:pos="8806" w:val="left" w:leader="none"/>
          <w:tab w:pos="9046" w:val="left" w:leader="none"/>
        </w:tabs>
        <w:spacing w:line="274" w:lineRule="exact" w:before="0" w:after="0"/>
        <w:ind w:left="1771" w:right="0" w:hanging="458"/>
        <w:jc w:val="left"/>
        <w:rPr>
          <w:sz w:val="24"/>
        </w:rPr>
      </w:pPr>
      <w:r>
        <w:rPr>
          <w:w w:val="125"/>
          <w:sz w:val="24"/>
        </w:rPr>
        <w:t>Általános</w:t>
      </w:r>
      <w:r>
        <w:rPr>
          <w:spacing w:val="-14"/>
          <w:w w:val="125"/>
          <w:sz w:val="24"/>
        </w:rPr>
        <w:t> </w:t>
      </w:r>
      <w:r>
        <w:rPr>
          <w:w w:val="125"/>
          <w:sz w:val="24"/>
        </w:rPr>
        <w:t>szabályok</w:t>
      </w:r>
      <w:r>
        <w:rPr>
          <w:w w:val="125"/>
          <w:sz w:val="24"/>
          <w:u w:val="dotted"/>
        </w:rPr>
        <w:t> </w:t>
        <w:tab/>
      </w:r>
      <w:r>
        <w:rPr>
          <w:w w:val="125"/>
          <w:sz w:val="24"/>
        </w:rPr>
        <w:tab/>
        <w:t>60</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Saját</w:t>
      </w:r>
      <w:r>
        <w:rPr>
          <w:spacing w:val="-9"/>
          <w:w w:val="130"/>
          <w:sz w:val="24"/>
        </w:rPr>
        <w:t> </w:t>
      </w:r>
      <w:r>
        <w:rPr>
          <w:w w:val="130"/>
          <w:sz w:val="24"/>
        </w:rPr>
        <w:t>tőke</w:t>
      </w:r>
      <w:r>
        <w:rPr>
          <w:w w:val="130"/>
          <w:sz w:val="24"/>
          <w:u w:val="dotted"/>
        </w:rPr>
        <w:t> </w:t>
        <w:tab/>
      </w:r>
      <w:r>
        <w:rPr>
          <w:w w:val="130"/>
          <w:sz w:val="24"/>
        </w:rPr>
        <w:tab/>
        <w:t>61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A  jegyzett</w:t>
      </w:r>
      <w:r>
        <w:rPr>
          <w:spacing w:val="13"/>
          <w:w w:val="120"/>
          <w:sz w:val="24"/>
        </w:rPr>
        <w:t> </w:t>
      </w:r>
      <w:r>
        <w:rPr>
          <w:w w:val="120"/>
          <w:sz w:val="24"/>
        </w:rPr>
        <w:t>tőke</w:t>
      </w:r>
      <w:r>
        <w:rPr>
          <w:spacing w:val="41"/>
          <w:w w:val="120"/>
          <w:sz w:val="24"/>
        </w:rPr>
        <w:t> </w:t>
      </w:r>
      <w:r>
        <w:rPr>
          <w:w w:val="120"/>
          <w:sz w:val="24"/>
        </w:rPr>
        <w:t>leszállítása</w:t>
      </w:r>
      <w:r>
        <w:rPr>
          <w:w w:val="120"/>
          <w:sz w:val="24"/>
          <w:u w:val="dotted"/>
        </w:rPr>
        <w:t> </w:t>
        <w:tab/>
      </w:r>
      <w:r>
        <w:rPr>
          <w:w w:val="120"/>
          <w:sz w:val="24"/>
        </w:rPr>
        <w:tab/>
        <w:t>61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Általános</w:t>
      </w:r>
      <w:r>
        <w:rPr>
          <w:spacing w:val="35"/>
          <w:w w:val="125"/>
          <w:sz w:val="24"/>
        </w:rPr>
        <w:t> </w:t>
      </w:r>
      <w:r>
        <w:rPr>
          <w:w w:val="125"/>
          <w:sz w:val="24"/>
        </w:rPr>
        <w:t>tartalékképzés</w:t>
      </w:r>
      <w:r>
        <w:rPr>
          <w:w w:val="125"/>
          <w:sz w:val="24"/>
          <w:u w:val="dotted"/>
        </w:rPr>
        <w:t> </w:t>
        <w:tab/>
      </w:r>
      <w:r>
        <w:rPr>
          <w:w w:val="125"/>
          <w:sz w:val="24"/>
        </w:rPr>
        <w:tab/>
        <w:t>62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Kockázati</w:t>
      </w:r>
      <w:r>
        <w:rPr>
          <w:spacing w:val="27"/>
          <w:w w:val="125"/>
          <w:sz w:val="24"/>
        </w:rPr>
        <w:t> </w:t>
      </w:r>
      <w:r>
        <w:rPr>
          <w:w w:val="125"/>
          <w:sz w:val="24"/>
        </w:rPr>
        <w:t>céltartalékképzés</w:t>
      </w:r>
      <w:r>
        <w:rPr>
          <w:w w:val="125"/>
          <w:sz w:val="24"/>
          <w:u w:val="dotted"/>
        </w:rPr>
        <w:t> </w:t>
        <w:tab/>
      </w:r>
      <w:r>
        <w:rPr>
          <w:w w:val="125"/>
          <w:sz w:val="24"/>
        </w:rPr>
        <w:tab/>
        <w:t>62</w:t>
      </w:r>
    </w:p>
    <w:p>
      <w:pPr>
        <w:pStyle w:val="ListParagraph"/>
        <w:numPr>
          <w:ilvl w:val="0"/>
          <w:numId w:val="668"/>
        </w:numPr>
        <w:tabs>
          <w:tab w:pos="1772" w:val="left" w:leader="none"/>
          <w:tab w:pos="8806" w:val="left" w:leader="none"/>
          <w:tab w:pos="9046" w:val="left" w:leader="none"/>
        </w:tabs>
        <w:spacing w:line="240" w:lineRule="auto" w:before="25" w:after="0"/>
        <w:ind w:left="1771" w:right="0" w:hanging="458"/>
        <w:jc w:val="left"/>
        <w:rPr>
          <w:sz w:val="24"/>
        </w:rPr>
      </w:pPr>
      <w:r>
        <w:rPr>
          <w:w w:val="125"/>
          <w:sz w:val="24"/>
        </w:rPr>
        <w:t>Eszközök</w:t>
      </w:r>
      <w:r>
        <w:rPr>
          <w:spacing w:val="-10"/>
          <w:w w:val="125"/>
          <w:sz w:val="24"/>
        </w:rPr>
        <w:t> </w:t>
      </w:r>
      <w:r>
        <w:rPr>
          <w:w w:val="125"/>
          <w:sz w:val="24"/>
        </w:rPr>
        <w:t>minősítése</w:t>
      </w:r>
      <w:r>
        <w:rPr>
          <w:w w:val="125"/>
          <w:sz w:val="24"/>
          <w:u w:val="dotted"/>
        </w:rPr>
        <w:t> </w:t>
        <w:tab/>
      </w:r>
      <w:r>
        <w:rPr>
          <w:w w:val="125"/>
          <w:sz w:val="24"/>
        </w:rPr>
        <w:tab/>
        <w:t>63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Tőkefenntartási</w:t>
      </w:r>
      <w:r>
        <w:rPr>
          <w:spacing w:val="32"/>
          <w:w w:val="125"/>
          <w:sz w:val="24"/>
        </w:rPr>
        <w:t> </w:t>
      </w:r>
      <w:r>
        <w:rPr>
          <w:w w:val="125"/>
          <w:sz w:val="24"/>
        </w:rPr>
        <w:t>puffer</w:t>
      </w:r>
      <w:r>
        <w:rPr>
          <w:w w:val="125"/>
          <w:sz w:val="24"/>
          <w:u w:val="dotted"/>
        </w:rPr>
        <w:t> </w:t>
        <w:tab/>
      </w:r>
      <w:r>
        <w:rPr>
          <w:w w:val="125"/>
          <w:sz w:val="24"/>
        </w:rPr>
        <w:tab/>
        <w:t>63</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Anticiklikus</w:t>
      </w:r>
      <w:r>
        <w:rPr>
          <w:spacing w:val="-16"/>
          <w:w w:val="125"/>
          <w:sz w:val="24"/>
        </w:rPr>
        <w:t> </w:t>
      </w:r>
      <w:r>
        <w:rPr>
          <w:w w:val="125"/>
          <w:sz w:val="24"/>
        </w:rPr>
        <w:t>tőkepuffer</w:t>
      </w:r>
      <w:r>
        <w:rPr>
          <w:w w:val="125"/>
          <w:sz w:val="24"/>
          <w:u w:val="dotted"/>
        </w:rPr>
        <w:t> </w:t>
        <w:tab/>
      </w:r>
      <w:r>
        <w:rPr>
          <w:w w:val="125"/>
          <w:sz w:val="24"/>
        </w:rPr>
        <w:tab/>
        <w:t>63</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Globálisan és egyéb rendszerszinten</w:t>
      </w:r>
      <w:r>
        <w:rPr>
          <w:spacing w:val="-24"/>
          <w:w w:val="130"/>
          <w:sz w:val="24"/>
        </w:rPr>
        <w:t> </w:t>
      </w:r>
      <w:r>
        <w:rPr>
          <w:w w:val="130"/>
          <w:sz w:val="24"/>
        </w:rPr>
        <w:t>jelentős</w:t>
      </w:r>
    </w:p>
    <w:p>
      <w:pPr>
        <w:pStyle w:val="BodyText"/>
        <w:tabs>
          <w:tab w:pos="8806" w:val="left" w:leader="none"/>
          <w:tab w:pos="9046" w:val="left" w:leader="none"/>
        </w:tabs>
        <w:spacing w:line="258" w:lineRule="exact"/>
        <w:ind w:left="1313" w:firstLine="0"/>
      </w:pPr>
      <w:r>
        <w:rPr>
          <w:w w:val="125"/>
        </w:rPr>
        <w:t>hitelintézetekre</w:t>
      </w:r>
      <w:r>
        <w:rPr>
          <w:spacing w:val="14"/>
          <w:w w:val="125"/>
        </w:rPr>
        <w:t> </w:t>
      </w:r>
      <w:r>
        <w:rPr>
          <w:w w:val="125"/>
        </w:rPr>
        <w:t>vonatkozó</w:t>
      </w:r>
      <w:r>
        <w:rPr>
          <w:spacing w:val="13"/>
          <w:w w:val="125"/>
        </w:rPr>
        <w:t> </w:t>
      </w:r>
      <w:r>
        <w:rPr>
          <w:w w:val="125"/>
        </w:rPr>
        <w:t>tőkepuffer</w:t>
      </w:r>
      <w:r>
        <w:rPr>
          <w:w w:val="125"/>
          <w:u w:val="dotted"/>
        </w:rPr>
        <w:t> </w:t>
        <w:tab/>
      </w:r>
      <w:r>
        <w:rPr>
          <w:w w:val="125"/>
        </w:rPr>
        <w:tab/>
        <w:t>65</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Rendszerkockázati</w:t>
      </w:r>
      <w:r>
        <w:rPr>
          <w:spacing w:val="22"/>
          <w:w w:val="125"/>
          <w:sz w:val="24"/>
        </w:rPr>
        <w:t> </w:t>
      </w:r>
      <w:r>
        <w:rPr>
          <w:w w:val="125"/>
          <w:sz w:val="24"/>
        </w:rPr>
        <w:t>tőkepuffer</w:t>
      </w:r>
      <w:r>
        <w:rPr>
          <w:w w:val="125"/>
          <w:sz w:val="24"/>
          <w:u w:val="dotted"/>
        </w:rPr>
        <w:t> </w:t>
        <w:tab/>
      </w:r>
      <w:r>
        <w:rPr>
          <w:w w:val="125"/>
          <w:sz w:val="24"/>
        </w:rPr>
        <w:tab/>
        <w:t>67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Tőkepufferekre vonatkozó</w:t>
      </w:r>
      <w:r>
        <w:rPr>
          <w:spacing w:val="-24"/>
          <w:w w:val="125"/>
          <w:sz w:val="24"/>
        </w:rPr>
        <w:t> </w:t>
      </w:r>
      <w:r>
        <w:rPr>
          <w:w w:val="125"/>
          <w:sz w:val="24"/>
        </w:rPr>
        <w:t>közös</w:t>
      </w:r>
      <w:r>
        <w:rPr>
          <w:spacing w:val="-12"/>
          <w:w w:val="125"/>
          <w:sz w:val="24"/>
        </w:rPr>
        <w:t> </w:t>
      </w:r>
      <w:r>
        <w:rPr>
          <w:w w:val="125"/>
          <w:sz w:val="24"/>
        </w:rPr>
        <w:t>szabályok</w:t>
      </w:r>
      <w:r>
        <w:rPr>
          <w:w w:val="125"/>
          <w:sz w:val="24"/>
          <w:u w:val="dotted"/>
        </w:rPr>
        <w:t> </w:t>
        <w:tab/>
      </w:r>
      <w:r>
        <w:rPr>
          <w:w w:val="125"/>
          <w:sz w:val="24"/>
        </w:rPr>
        <w:tab/>
        <w:t>68</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tőkemegfelelés belső</w:t>
      </w:r>
      <w:r>
        <w:rPr>
          <w:spacing w:val="41"/>
          <w:w w:val="125"/>
          <w:sz w:val="24"/>
        </w:rPr>
        <w:t> </w:t>
      </w:r>
      <w:r>
        <w:rPr>
          <w:w w:val="125"/>
          <w:sz w:val="24"/>
        </w:rPr>
        <w:t>értékelési</w:t>
      </w:r>
      <w:r>
        <w:rPr>
          <w:spacing w:val="14"/>
          <w:w w:val="125"/>
          <w:sz w:val="24"/>
        </w:rPr>
        <w:t> </w:t>
      </w:r>
      <w:r>
        <w:rPr>
          <w:w w:val="125"/>
          <w:sz w:val="24"/>
        </w:rPr>
        <w:t>eljárása</w:t>
      </w:r>
      <w:r>
        <w:rPr>
          <w:w w:val="125"/>
          <w:sz w:val="24"/>
          <w:u w:val="dotted"/>
        </w:rPr>
        <w:t> </w:t>
        <w:tab/>
      </w:r>
      <w:r>
        <w:rPr>
          <w:w w:val="125"/>
          <w:sz w:val="24"/>
        </w:rPr>
        <w:tab/>
        <w:t>71</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kockázatvállalás korlátozása,</w:t>
      </w:r>
      <w:r>
        <w:rPr>
          <w:spacing w:val="-19"/>
          <w:w w:val="125"/>
          <w:sz w:val="24"/>
        </w:rPr>
        <w:t> </w:t>
      </w:r>
      <w:r>
        <w:rPr>
          <w:w w:val="125"/>
          <w:sz w:val="24"/>
        </w:rPr>
        <w:t>ügyleti</w:t>
      </w:r>
      <w:r>
        <w:rPr>
          <w:spacing w:val="-5"/>
          <w:w w:val="125"/>
          <w:sz w:val="24"/>
        </w:rPr>
        <w:t> </w:t>
      </w:r>
      <w:r>
        <w:rPr>
          <w:w w:val="125"/>
          <w:sz w:val="24"/>
        </w:rPr>
        <w:t>szabályok</w:t>
      </w:r>
      <w:r>
        <w:rPr>
          <w:w w:val="125"/>
          <w:sz w:val="24"/>
          <w:u w:val="dotted"/>
        </w:rPr>
        <w:t> </w:t>
        <w:tab/>
      </w:r>
      <w:r>
        <w:rPr>
          <w:w w:val="125"/>
          <w:sz w:val="24"/>
        </w:rPr>
        <w:tab/>
        <w:t>71</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Tulajdonszerzéshez kapcsolódó</w:t>
      </w:r>
      <w:r>
        <w:rPr>
          <w:spacing w:val="-1"/>
          <w:w w:val="125"/>
          <w:sz w:val="24"/>
        </w:rPr>
        <w:t> </w:t>
      </w:r>
      <w:r>
        <w:rPr>
          <w:w w:val="125"/>
          <w:sz w:val="24"/>
        </w:rPr>
        <w:t>kockázatvállalás</w:t>
      </w:r>
    </w:p>
    <w:p>
      <w:pPr>
        <w:pStyle w:val="BodyText"/>
        <w:tabs>
          <w:tab w:pos="8806" w:val="left" w:leader="none"/>
          <w:tab w:pos="9046" w:val="left" w:leader="none"/>
        </w:tabs>
        <w:spacing w:line="258" w:lineRule="exact"/>
        <w:ind w:left="1313" w:firstLine="0"/>
      </w:pPr>
      <w:r>
        <w:rPr>
          <w:w w:val="130"/>
        </w:rPr>
        <w:t>korlátozása</w:t>
      </w:r>
      <w:r>
        <w:rPr>
          <w:w w:val="130"/>
          <w:u w:val="dotted"/>
        </w:rPr>
        <w:t> </w:t>
        <w:tab/>
      </w:r>
      <w:r>
        <w:rPr>
          <w:w w:val="130"/>
        </w:rPr>
        <w:tab/>
        <w:t>72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Ingatlanbefektetések</w:t>
      </w:r>
      <w:r>
        <w:rPr>
          <w:spacing w:val="-15"/>
          <w:w w:val="130"/>
          <w:sz w:val="24"/>
        </w:rPr>
        <w:t> </w:t>
      </w:r>
      <w:r>
        <w:rPr>
          <w:w w:val="130"/>
          <w:sz w:val="24"/>
        </w:rPr>
        <w:t>korlátozása</w:t>
      </w:r>
      <w:r>
        <w:rPr>
          <w:w w:val="130"/>
          <w:sz w:val="24"/>
          <w:u w:val="dotted"/>
        </w:rPr>
        <w:t> </w:t>
        <w:tab/>
      </w:r>
      <w:r>
        <w:rPr>
          <w:w w:val="130"/>
          <w:sz w:val="24"/>
        </w:rPr>
        <w:tab/>
        <w:t>72</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Befektetésekre vonatkozó</w:t>
      </w:r>
      <w:r>
        <w:rPr>
          <w:spacing w:val="20"/>
          <w:w w:val="125"/>
          <w:sz w:val="24"/>
        </w:rPr>
        <w:t> </w:t>
      </w:r>
      <w:r>
        <w:rPr>
          <w:w w:val="125"/>
          <w:sz w:val="24"/>
        </w:rPr>
        <w:t>egyéb</w:t>
      </w:r>
      <w:r>
        <w:rPr>
          <w:spacing w:val="10"/>
          <w:w w:val="125"/>
          <w:sz w:val="24"/>
        </w:rPr>
        <w:t> </w:t>
      </w:r>
      <w:r>
        <w:rPr>
          <w:w w:val="125"/>
          <w:sz w:val="24"/>
        </w:rPr>
        <w:t>korlátozások</w:t>
      </w:r>
      <w:r>
        <w:rPr>
          <w:w w:val="125"/>
          <w:sz w:val="24"/>
          <w:u w:val="dotted"/>
        </w:rPr>
        <w:t> </w:t>
        <w:tab/>
      </w:r>
      <w:r>
        <w:rPr>
          <w:w w:val="125"/>
          <w:sz w:val="24"/>
        </w:rPr>
        <w:tab/>
        <w:t>72</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Hitelintézettel egyenértékű</w:t>
      </w:r>
      <w:r>
        <w:rPr>
          <w:spacing w:val="-9"/>
          <w:w w:val="130"/>
          <w:sz w:val="24"/>
        </w:rPr>
        <w:t> </w:t>
      </w:r>
      <w:r>
        <w:rPr>
          <w:w w:val="130"/>
          <w:sz w:val="24"/>
        </w:rPr>
        <w:t>prudenciális</w:t>
      </w:r>
    </w:p>
    <w:p>
      <w:pPr>
        <w:pStyle w:val="BodyText"/>
        <w:tabs>
          <w:tab w:pos="8806" w:val="left" w:leader="none"/>
          <w:tab w:pos="9046" w:val="left" w:leader="none"/>
        </w:tabs>
        <w:spacing w:line="258" w:lineRule="exact"/>
        <w:ind w:left="1313" w:firstLine="0"/>
      </w:pPr>
      <w:r>
        <w:rPr>
          <w:w w:val="125"/>
        </w:rPr>
        <w:t>szabályozásnak megfelelő</w:t>
      </w:r>
      <w:r>
        <w:rPr>
          <w:spacing w:val="-18"/>
          <w:w w:val="125"/>
        </w:rPr>
        <w:t> </w:t>
      </w:r>
      <w:r>
        <w:rPr>
          <w:w w:val="125"/>
        </w:rPr>
        <w:t>pénzügyi</w:t>
      </w:r>
      <w:r>
        <w:rPr>
          <w:spacing w:val="-8"/>
          <w:w w:val="125"/>
        </w:rPr>
        <w:t> </w:t>
      </w:r>
      <w:r>
        <w:rPr>
          <w:w w:val="125"/>
        </w:rPr>
        <w:t>vállalkozás</w:t>
      </w:r>
      <w:r>
        <w:rPr>
          <w:w w:val="125"/>
          <w:u w:val="dotted"/>
        </w:rPr>
        <w:t> </w:t>
        <w:tab/>
      </w:r>
      <w:r>
        <w:rPr>
          <w:w w:val="125"/>
        </w:rPr>
        <w:tab/>
        <w:t>73</w:t>
      </w:r>
    </w:p>
    <w:p>
      <w:pPr>
        <w:pStyle w:val="BodyText"/>
        <w:spacing w:line="208" w:lineRule="auto" w:before="53"/>
        <w:ind w:left="1313" w:right="2380" w:firstLine="0"/>
      </w:pPr>
      <w:r>
        <w:rPr>
          <w:w w:val="125"/>
        </w:rPr>
        <w:t>51/A. Harmadik országbeli hitelintézet magyarországi fióktelepének mentesítése egyes</w:t>
      </w:r>
    </w:p>
    <w:p>
      <w:pPr>
        <w:pStyle w:val="BodyText"/>
        <w:tabs>
          <w:tab w:pos="8806" w:val="left" w:leader="none"/>
          <w:tab w:pos="9046" w:val="left" w:leader="none"/>
        </w:tabs>
        <w:spacing w:line="247" w:lineRule="exact"/>
        <w:ind w:left="1313" w:firstLine="0"/>
      </w:pPr>
      <w:r>
        <w:rPr>
          <w:w w:val="125"/>
        </w:rPr>
        <w:t>prudenciális</w:t>
      </w:r>
      <w:r>
        <w:rPr>
          <w:spacing w:val="1"/>
          <w:w w:val="125"/>
        </w:rPr>
        <w:t> </w:t>
      </w:r>
      <w:r>
        <w:rPr>
          <w:w w:val="125"/>
        </w:rPr>
        <w:t>követelmények alól</w:t>
      </w:r>
      <w:r>
        <w:rPr>
          <w:w w:val="125"/>
          <w:u w:val="dotted"/>
        </w:rPr>
        <w:t> </w:t>
        <w:tab/>
      </w:r>
      <w:r>
        <w:rPr>
          <w:w w:val="125"/>
        </w:rPr>
        <w:tab/>
        <w:t>74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Belső</w:t>
      </w:r>
      <w:r>
        <w:rPr>
          <w:spacing w:val="-6"/>
          <w:w w:val="125"/>
          <w:sz w:val="24"/>
        </w:rPr>
        <w:t> </w:t>
      </w:r>
      <w:r>
        <w:rPr>
          <w:w w:val="125"/>
          <w:sz w:val="24"/>
        </w:rPr>
        <w:t>hitel</w:t>
      </w:r>
      <w:r>
        <w:rPr>
          <w:w w:val="125"/>
          <w:sz w:val="24"/>
          <w:u w:val="dotted"/>
        </w:rPr>
        <w:t> </w:t>
        <w:tab/>
      </w:r>
      <w:r>
        <w:rPr>
          <w:w w:val="125"/>
          <w:sz w:val="24"/>
        </w:rPr>
        <w:tab/>
        <w:t>74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0"/>
          <w:sz w:val="24"/>
        </w:rPr>
        <w:t>Vállalatirányítási  rendszer </w:t>
      </w:r>
      <w:r>
        <w:rPr>
          <w:spacing w:val="21"/>
          <w:w w:val="120"/>
          <w:sz w:val="24"/>
        </w:rPr>
        <w:t> </w:t>
      </w:r>
      <w:r>
        <w:rPr>
          <w:w w:val="120"/>
          <w:sz w:val="24"/>
        </w:rPr>
        <w:t>- </w:t>
      </w:r>
      <w:r>
        <w:rPr>
          <w:spacing w:val="8"/>
          <w:w w:val="120"/>
          <w:sz w:val="24"/>
        </w:rPr>
        <w:t> </w:t>
      </w:r>
      <w:r>
        <w:rPr>
          <w:w w:val="120"/>
          <w:sz w:val="24"/>
        </w:rPr>
        <w:t>kockázatkezelés</w:t>
      </w:r>
      <w:r>
        <w:rPr>
          <w:w w:val="120"/>
          <w:sz w:val="24"/>
          <w:u w:val="dotted"/>
        </w:rPr>
        <w:t> </w:t>
        <w:tab/>
      </w:r>
      <w:r>
        <w:rPr>
          <w:w w:val="120"/>
          <w:sz w:val="24"/>
        </w:rPr>
        <w:tab/>
        <w:t>76</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Jogsértések</w:t>
      </w:r>
      <w:r>
        <w:rPr>
          <w:spacing w:val="-14"/>
          <w:w w:val="130"/>
          <w:sz w:val="24"/>
        </w:rPr>
        <w:t> </w:t>
      </w:r>
      <w:r>
        <w:rPr>
          <w:w w:val="130"/>
          <w:sz w:val="24"/>
        </w:rPr>
        <w:t>jelentése</w:t>
      </w:r>
      <w:r>
        <w:rPr>
          <w:w w:val="130"/>
          <w:sz w:val="24"/>
          <w:u w:val="dotted"/>
        </w:rPr>
        <w:t> </w:t>
        <w:tab/>
      </w:r>
      <w:r>
        <w:rPr>
          <w:w w:val="130"/>
          <w:sz w:val="24"/>
        </w:rPr>
        <w:tab/>
        <w:t>84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Javadalmazási</w:t>
      </w:r>
      <w:r>
        <w:rPr>
          <w:spacing w:val="-9"/>
          <w:w w:val="125"/>
          <w:sz w:val="24"/>
        </w:rPr>
        <w:t> </w:t>
      </w:r>
      <w:r>
        <w:rPr>
          <w:w w:val="125"/>
          <w:sz w:val="24"/>
        </w:rPr>
        <w:t>politika</w:t>
      </w:r>
      <w:r>
        <w:rPr>
          <w:w w:val="125"/>
          <w:sz w:val="24"/>
          <w:u w:val="dotted"/>
        </w:rPr>
        <w:t> </w:t>
        <w:tab/>
      </w:r>
      <w:r>
        <w:rPr>
          <w:w w:val="125"/>
          <w:sz w:val="24"/>
        </w:rPr>
        <w:tab/>
        <w:t>84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Nyilvánosságra</w:t>
      </w:r>
      <w:r>
        <w:rPr>
          <w:spacing w:val="24"/>
          <w:w w:val="125"/>
          <w:sz w:val="24"/>
        </w:rPr>
        <w:t> </w:t>
      </w:r>
      <w:r>
        <w:rPr>
          <w:w w:val="125"/>
          <w:sz w:val="24"/>
        </w:rPr>
        <w:t>hozatal</w:t>
      </w:r>
      <w:r>
        <w:rPr>
          <w:w w:val="125"/>
          <w:sz w:val="24"/>
          <w:u w:val="dotted"/>
        </w:rPr>
        <w:t> </w:t>
        <w:tab/>
      </w:r>
      <w:r>
        <w:rPr>
          <w:w w:val="125"/>
          <w:sz w:val="24"/>
        </w:rPr>
        <w:tab/>
        <w:t>88</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Belső minősítésen alapuló módszerek</w:t>
      </w:r>
    </w:p>
    <w:p>
      <w:pPr>
        <w:pStyle w:val="BodyText"/>
        <w:tabs>
          <w:tab w:pos="8806" w:val="left" w:leader="none"/>
          <w:tab w:pos="9046" w:val="left" w:leader="none"/>
        </w:tabs>
        <w:spacing w:line="258" w:lineRule="exact"/>
        <w:ind w:left="1313" w:firstLine="0"/>
      </w:pPr>
      <w:r>
        <w:rPr>
          <w:w w:val="125"/>
        </w:rPr>
        <w:t>alkalmazása</w:t>
      </w:r>
      <w:r>
        <w:rPr>
          <w:w w:val="125"/>
          <w:u w:val="dotted"/>
        </w:rPr>
        <w:t> </w:t>
        <w:tab/>
      </w:r>
      <w:r>
        <w:rPr>
          <w:w w:val="125"/>
        </w:rPr>
        <w:tab/>
        <w:t>89</w:t>
      </w:r>
    </w:p>
    <w:p>
      <w:pPr>
        <w:pStyle w:val="ListParagraph"/>
        <w:numPr>
          <w:ilvl w:val="0"/>
          <w:numId w:val="667"/>
        </w:numPr>
        <w:tabs>
          <w:tab w:pos="1429" w:val="left" w:leader="none"/>
          <w:tab w:pos="8806" w:val="left" w:leader="none"/>
          <w:tab w:pos="9046" w:val="left" w:leader="none"/>
        </w:tabs>
        <w:spacing w:line="261" w:lineRule="auto" w:before="24" w:after="0"/>
        <w:ind w:left="913" w:right="526" w:firstLine="0"/>
        <w:jc w:val="left"/>
        <w:rPr>
          <w:sz w:val="24"/>
        </w:rPr>
      </w:pPr>
      <w:r>
        <w:rPr>
          <w:w w:val="125"/>
          <w:sz w:val="24"/>
        </w:rPr>
        <w:t>Fejezet</w:t>
      </w:r>
      <w:r>
        <w:rPr>
          <w:w w:val="125"/>
          <w:sz w:val="24"/>
          <w:u w:val="dotted"/>
        </w:rPr>
        <w:t> </w:t>
        <w:tab/>
      </w:r>
      <w:r>
        <w:rPr>
          <w:w w:val="125"/>
          <w:sz w:val="24"/>
        </w:rPr>
        <w:tab/>
      </w:r>
      <w:r>
        <w:rPr>
          <w:spacing w:val="-9"/>
          <w:w w:val="125"/>
          <w:sz w:val="24"/>
        </w:rPr>
        <w:t>89 </w:t>
      </w:r>
      <w:r>
        <w:rPr>
          <w:w w:val="125"/>
          <w:sz w:val="24"/>
        </w:rPr>
        <w:t>Tulajdonjog gyakorlásának szabályai, irányítás</w:t>
      </w:r>
      <w:r>
        <w:rPr>
          <w:spacing w:val="3"/>
          <w:w w:val="125"/>
          <w:sz w:val="24"/>
        </w:rPr>
        <w:t> </w:t>
      </w:r>
      <w:r>
        <w:rPr>
          <w:w w:val="125"/>
          <w:sz w:val="24"/>
        </w:rPr>
        <w:t>és</w:t>
      </w:r>
    </w:p>
    <w:p>
      <w:pPr>
        <w:pStyle w:val="BodyText"/>
        <w:tabs>
          <w:tab w:pos="8806" w:val="left" w:leader="none"/>
          <w:tab w:pos="9046" w:val="left" w:leader="none"/>
        </w:tabs>
        <w:spacing w:line="214" w:lineRule="exact"/>
        <w:ind w:left="913" w:firstLine="0"/>
      </w:pPr>
      <w:r>
        <w:rPr>
          <w:w w:val="130"/>
        </w:rPr>
        <w:t>ellenőrzés</w:t>
      </w:r>
      <w:r>
        <w:rPr>
          <w:w w:val="130"/>
          <w:u w:val="dotted"/>
        </w:rPr>
        <w:t> </w:t>
        <w:tab/>
      </w:r>
      <w:r>
        <w:rPr>
          <w:w w:val="130"/>
        </w:rPr>
        <w:tab/>
        <w:t>89</w:t>
      </w:r>
    </w:p>
    <w:p>
      <w:pPr>
        <w:spacing w:after="0" w:line="214" w:lineRule="exact"/>
        <w:sectPr>
          <w:pgSz w:w="11900" w:h="16820"/>
          <w:pgMar w:header="1104" w:footer="0" w:top="1840" w:bottom="280" w:left="1020" w:right="1000"/>
        </w:sectPr>
      </w:pPr>
    </w:p>
    <w:p>
      <w:pPr>
        <w:pStyle w:val="ListParagraph"/>
        <w:numPr>
          <w:ilvl w:val="0"/>
          <w:numId w:val="668"/>
        </w:numPr>
        <w:tabs>
          <w:tab w:pos="1772" w:val="left" w:leader="none"/>
        </w:tabs>
        <w:spacing w:line="258" w:lineRule="exact" w:before="139" w:after="0"/>
        <w:ind w:left="1771" w:right="0" w:hanging="458"/>
        <w:jc w:val="left"/>
        <w:rPr>
          <w:sz w:val="24"/>
        </w:rPr>
      </w:pPr>
      <w:r>
        <w:rPr>
          <w:w w:val="125"/>
          <w:sz w:val="24"/>
        </w:rPr>
        <w:t>A befolyásoló részesedéssel</w:t>
      </w:r>
      <w:r>
        <w:rPr>
          <w:spacing w:val="3"/>
          <w:w w:val="125"/>
          <w:sz w:val="24"/>
        </w:rPr>
        <w:t> </w:t>
      </w:r>
      <w:r>
        <w:rPr>
          <w:w w:val="125"/>
          <w:sz w:val="24"/>
        </w:rPr>
        <w:t>rendelkező</w:t>
      </w:r>
    </w:p>
    <w:p>
      <w:pPr>
        <w:pStyle w:val="BodyText"/>
        <w:tabs>
          <w:tab w:pos="8806" w:val="left" w:leader="none"/>
          <w:tab w:pos="9046" w:val="left" w:leader="none"/>
        </w:tabs>
        <w:spacing w:line="258" w:lineRule="exact"/>
        <w:ind w:left="1313" w:firstLine="0"/>
      </w:pPr>
      <w:r>
        <w:rPr>
          <w:w w:val="125"/>
        </w:rPr>
        <w:t>tulajdonosok</w:t>
      </w:r>
      <w:r>
        <w:rPr>
          <w:w w:val="125"/>
          <w:u w:val="dotted"/>
        </w:rPr>
        <w:t> </w:t>
        <w:tab/>
      </w:r>
      <w:r>
        <w:rPr>
          <w:w w:val="125"/>
        </w:rPr>
        <w:tab/>
        <w:t>90</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A befolyásoló részesedés</w:t>
      </w:r>
      <w:r>
        <w:rPr>
          <w:spacing w:val="4"/>
          <w:w w:val="125"/>
          <w:sz w:val="24"/>
        </w:rPr>
        <w:t> </w:t>
      </w:r>
      <w:r>
        <w:rPr>
          <w:w w:val="125"/>
          <w:sz w:val="24"/>
        </w:rPr>
        <w:t>megszerzésének</w:t>
      </w:r>
    </w:p>
    <w:p>
      <w:pPr>
        <w:pStyle w:val="BodyText"/>
        <w:tabs>
          <w:tab w:pos="8806" w:val="left" w:leader="none"/>
          <w:tab w:pos="9046" w:val="left" w:leader="none"/>
        </w:tabs>
        <w:spacing w:line="258" w:lineRule="exact"/>
        <w:ind w:left="1313" w:firstLine="0"/>
      </w:pPr>
      <w:r>
        <w:rPr>
          <w:w w:val="130"/>
        </w:rPr>
        <w:t>engedélyezése</w:t>
      </w:r>
      <w:r>
        <w:rPr>
          <w:w w:val="130"/>
          <w:u w:val="dotted"/>
        </w:rPr>
        <w:t> </w:t>
        <w:tab/>
      </w:r>
      <w:r>
        <w:rPr>
          <w:w w:val="130"/>
        </w:rPr>
        <w:tab/>
        <w:t>90</w:t>
      </w:r>
    </w:p>
    <w:p>
      <w:pPr>
        <w:pStyle w:val="ListParagraph"/>
        <w:numPr>
          <w:ilvl w:val="0"/>
          <w:numId w:val="668"/>
        </w:numPr>
        <w:tabs>
          <w:tab w:pos="1772" w:val="left" w:leader="none"/>
        </w:tabs>
        <w:spacing w:line="258" w:lineRule="exact" w:before="24" w:after="0"/>
        <w:ind w:left="1771" w:right="0" w:hanging="458"/>
        <w:jc w:val="left"/>
        <w:rPr>
          <w:sz w:val="24"/>
        </w:rPr>
      </w:pPr>
      <w:r>
        <w:rPr>
          <w:w w:val="125"/>
          <w:sz w:val="24"/>
        </w:rPr>
        <w:t>A tulajdonosokra, a vezető testületek tagjaira </w:t>
      </w:r>
      <w:r>
        <w:rPr>
          <w:spacing w:val="18"/>
          <w:w w:val="125"/>
          <w:sz w:val="24"/>
        </w:rPr>
        <w:t> </w:t>
      </w:r>
      <w:r>
        <w:rPr>
          <w:w w:val="125"/>
          <w:sz w:val="24"/>
        </w:rPr>
        <w:t>és</w:t>
      </w:r>
    </w:p>
    <w:p>
      <w:pPr>
        <w:pStyle w:val="BodyText"/>
        <w:tabs>
          <w:tab w:pos="8806" w:val="left" w:leader="none"/>
          <w:tab w:pos="9046" w:val="left" w:leader="none"/>
        </w:tabs>
        <w:spacing w:line="258" w:lineRule="exact"/>
        <w:ind w:left="1313" w:firstLine="0"/>
      </w:pPr>
      <w:r>
        <w:rPr>
          <w:w w:val="125"/>
        </w:rPr>
        <w:t>a vezető állású személyekre</w:t>
      </w:r>
      <w:r>
        <w:rPr>
          <w:spacing w:val="-4"/>
          <w:w w:val="125"/>
        </w:rPr>
        <w:t> </w:t>
      </w:r>
      <w:r>
        <w:rPr>
          <w:w w:val="125"/>
        </w:rPr>
        <w:t>vonatkozó</w:t>
      </w:r>
      <w:r>
        <w:rPr>
          <w:spacing w:val="-1"/>
          <w:w w:val="125"/>
        </w:rPr>
        <w:t> </w:t>
      </w:r>
      <w:r>
        <w:rPr>
          <w:w w:val="125"/>
        </w:rPr>
        <w:t>szabályok</w:t>
      </w:r>
      <w:r>
        <w:rPr>
          <w:w w:val="125"/>
          <w:u w:val="dotted"/>
        </w:rPr>
        <w:t> </w:t>
        <w:tab/>
      </w:r>
      <w:r>
        <w:rPr>
          <w:w w:val="125"/>
        </w:rPr>
        <w:tab/>
        <w:t>94</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Jó</w:t>
      </w:r>
      <w:r>
        <w:rPr>
          <w:spacing w:val="-5"/>
          <w:w w:val="125"/>
          <w:sz w:val="24"/>
        </w:rPr>
        <w:t> </w:t>
      </w:r>
      <w:r>
        <w:rPr>
          <w:w w:val="125"/>
          <w:sz w:val="24"/>
        </w:rPr>
        <w:t>üzleti</w:t>
      </w:r>
      <w:r>
        <w:rPr>
          <w:spacing w:val="-4"/>
          <w:w w:val="125"/>
          <w:sz w:val="24"/>
        </w:rPr>
        <w:t> </w:t>
      </w:r>
      <w:r>
        <w:rPr>
          <w:w w:val="125"/>
          <w:sz w:val="24"/>
        </w:rPr>
        <w:t>hírnév</w:t>
      </w:r>
      <w:r>
        <w:rPr>
          <w:w w:val="125"/>
          <w:sz w:val="24"/>
          <w:u w:val="dotted"/>
        </w:rPr>
        <w:t> </w:t>
        <w:tab/>
      </w:r>
      <w:r>
        <w:rPr>
          <w:w w:val="125"/>
          <w:sz w:val="24"/>
        </w:rPr>
        <w:tab/>
        <w:t>97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Felelősségi és</w:t>
      </w:r>
      <w:r>
        <w:rPr>
          <w:spacing w:val="3"/>
          <w:w w:val="125"/>
          <w:sz w:val="24"/>
        </w:rPr>
        <w:t> </w:t>
      </w:r>
      <w:r>
        <w:rPr>
          <w:w w:val="125"/>
          <w:sz w:val="24"/>
        </w:rPr>
        <w:t>képviseleti</w:t>
      </w:r>
      <w:r>
        <w:rPr>
          <w:spacing w:val="2"/>
          <w:w w:val="125"/>
          <w:sz w:val="24"/>
        </w:rPr>
        <w:t> </w:t>
      </w:r>
      <w:r>
        <w:rPr>
          <w:w w:val="125"/>
          <w:sz w:val="24"/>
        </w:rPr>
        <w:t>szabályok</w:t>
      </w:r>
      <w:r>
        <w:rPr>
          <w:w w:val="125"/>
          <w:sz w:val="24"/>
          <w:u w:val="dotted"/>
        </w:rPr>
        <w:t> </w:t>
        <w:tab/>
      </w:r>
      <w:r>
        <w:rPr>
          <w:w w:val="125"/>
          <w:sz w:val="24"/>
        </w:rPr>
        <w:tab/>
        <w:t>97</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30"/>
          <w:sz w:val="24"/>
        </w:rPr>
        <w:t>Összeférhetetlenség</w:t>
      </w:r>
      <w:r>
        <w:rPr>
          <w:w w:val="130"/>
          <w:sz w:val="24"/>
          <w:u w:val="dotted"/>
        </w:rPr>
        <w:t> </w:t>
        <w:tab/>
      </w:r>
      <w:r>
        <w:rPr>
          <w:w w:val="130"/>
          <w:sz w:val="24"/>
        </w:rPr>
        <w:tab/>
        <w:t>98</w:t>
      </w:r>
    </w:p>
    <w:p>
      <w:pPr>
        <w:pStyle w:val="ListParagraph"/>
        <w:numPr>
          <w:ilvl w:val="0"/>
          <w:numId w:val="668"/>
        </w:numPr>
        <w:tabs>
          <w:tab w:pos="1772" w:val="left" w:leader="none"/>
          <w:tab w:pos="8806" w:val="left" w:leader="none"/>
          <w:tab w:pos="9046" w:val="left" w:leader="none"/>
        </w:tabs>
        <w:spacing w:line="240" w:lineRule="auto" w:before="24" w:after="0"/>
        <w:ind w:left="1771" w:right="0" w:hanging="458"/>
        <w:jc w:val="left"/>
        <w:rPr>
          <w:sz w:val="24"/>
        </w:rPr>
      </w:pPr>
      <w:r>
        <w:rPr>
          <w:w w:val="125"/>
          <w:sz w:val="24"/>
        </w:rPr>
        <w:t>A belső információval kapcsolatos</w:t>
      </w:r>
      <w:r>
        <w:rPr>
          <w:spacing w:val="-28"/>
          <w:w w:val="125"/>
          <w:sz w:val="24"/>
        </w:rPr>
        <w:t> </w:t>
      </w:r>
      <w:r>
        <w:rPr>
          <w:w w:val="125"/>
          <w:sz w:val="24"/>
        </w:rPr>
        <w:t>ügylet</w:t>
      </w:r>
      <w:r>
        <w:rPr>
          <w:spacing w:val="-6"/>
          <w:w w:val="125"/>
          <w:sz w:val="24"/>
        </w:rPr>
        <w:t> </w:t>
      </w:r>
      <w:r>
        <w:rPr>
          <w:w w:val="125"/>
          <w:sz w:val="24"/>
        </w:rPr>
        <w:t>tilalma</w:t>
      </w:r>
      <w:r>
        <w:rPr>
          <w:w w:val="125"/>
          <w:sz w:val="24"/>
          <w:u w:val="dotted"/>
        </w:rPr>
        <w:t> </w:t>
        <w:tab/>
      </w:r>
      <w:r>
        <w:rPr>
          <w:w w:val="125"/>
          <w:sz w:val="24"/>
        </w:rPr>
        <w:tab/>
        <w:t>99</w:t>
      </w:r>
    </w:p>
    <w:p>
      <w:pPr>
        <w:pStyle w:val="ListParagraph"/>
        <w:numPr>
          <w:ilvl w:val="0"/>
          <w:numId w:val="668"/>
        </w:numPr>
        <w:tabs>
          <w:tab w:pos="1772" w:val="left" w:leader="none"/>
          <w:tab w:pos="8806" w:val="left" w:leader="none"/>
          <w:tab w:pos="9046" w:val="left" w:leader="none"/>
        </w:tabs>
        <w:spacing w:line="261" w:lineRule="auto" w:before="24" w:after="0"/>
        <w:ind w:left="1313" w:right="526" w:firstLine="0"/>
        <w:jc w:val="left"/>
        <w:rPr>
          <w:sz w:val="24"/>
        </w:rPr>
      </w:pPr>
      <w:r>
        <w:rPr>
          <w:w w:val="125"/>
          <w:sz w:val="24"/>
        </w:rPr>
        <w:t>Pénzügyi</w:t>
      </w:r>
      <w:r>
        <w:rPr>
          <w:spacing w:val="6"/>
          <w:w w:val="125"/>
          <w:sz w:val="24"/>
        </w:rPr>
        <w:t> </w:t>
      </w:r>
      <w:r>
        <w:rPr>
          <w:w w:val="125"/>
          <w:sz w:val="24"/>
        </w:rPr>
        <w:t>intézmények</w:t>
      </w:r>
      <w:r>
        <w:rPr>
          <w:spacing w:val="7"/>
          <w:w w:val="125"/>
          <w:sz w:val="24"/>
        </w:rPr>
        <w:t> </w:t>
      </w:r>
      <w:r>
        <w:rPr>
          <w:w w:val="125"/>
          <w:sz w:val="24"/>
        </w:rPr>
        <w:t>irányítása</w:t>
      </w:r>
      <w:r>
        <w:rPr>
          <w:w w:val="125"/>
          <w:sz w:val="24"/>
          <w:u w:val="dotted"/>
        </w:rPr>
        <w:t> </w:t>
        <w:tab/>
      </w:r>
      <w:r>
        <w:rPr>
          <w:w w:val="125"/>
          <w:sz w:val="24"/>
        </w:rPr>
        <w:tab/>
      </w:r>
      <w:r>
        <w:rPr>
          <w:spacing w:val="-9"/>
          <w:w w:val="125"/>
          <w:sz w:val="24"/>
        </w:rPr>
        <w:t>99 </w:t>
      </w:r>
      <w:r>
        <w:rPr>
          <w:w w:val="125"/>
          <w:sz w:val="24"/>
        </w:rPr>
        <w:t>65/A. Jogszabályoknak történő megfelelésért</w:t>
      </w:r>
      <w:r>
        <w:rPr>
          <w:spacing w:val="-2"/>
          <w:w w:val="125"/>
          <w:sz w:val="24"/>
        </w:rPr>
        <w:t> </w:t>
      </w:r>
      <w:r>
        <w:rPr>
          <w:w w:val="125"/>
          <w:sz w:val="24"/>
        </w:rPr>
        <w:t>felelős</w:t>
      </w:r>
    </w:p>
    <w:p>
      <w:pPr>
        <w:pStyle w:val="BodyText"/>
        <w:tabs>
          <w:tab w:pos="8806" w:val="left" w:leader="none"/>
        </w:tabs>
        <w:spacing w:line="214" w:lineRule="exact"/>
        <w:ind w:left="1313" w:firstLine="0"/>
      </w:pPr>
      <w:r>
        <w:rPr>
          <w:w w:val="130"/>
        </w:rPr>
        <w:t>szervezeti</w:t>
      </w:r>
      <w:r>
        <w:rPr>
          <w:spacing w:val="-21"/>
          <w:w w:val="130"/>
        </w:rPr>
        <w:t> </w:t>
      </w:r>
      <w:r>
        <w:rPr>
          <w:w w:val="130"/>
        </w:rPr>
        <w:t>egység</w:t>
      </w:r>
      <w:r>
        <w:rPr>
          <w:w w:val="130"/>
          <w:u w:val="dotted"/>
        </w:rPr>
        <w:t> </w:t>
        <w:tab/>
      </w:r>
      <w:r>
        <w:rPr>
          <w:w w:val="130"/>
        </w:rPr>
        <w:t>101</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Belső ellenőrzés és belső</w:t>
      </w:r>
      <w:r>
        <w:rPr>
          <w:spacing w:val="61"/>
          <w:w w:val="125"/>
          <w:sz w:val="24"/>
        </w:rPr>
        <w:t> </w:t>
      </w:r>
      <w:r>
        <w:rPr>
          <w:w w:val="125"/>
          <w:sz w:val="24"/>
        </w:rPr>
        <w:t>ellenőrzési</w:t>
      </w:r>
      <w:r>
        <w:rPr>
          <w:spacing w:val="15"/>
          <w:w w:val="125"/>
          <w:sz w:val="24"/>
        </w:rPr>
        <w:t> </w:t>
      </w:r>
      <w:r>
        <w:rPr>
          <w:w w:val="125"/>
          <w:sz w:val="24"/>
        </w:rPr>
        <w:t>rendszer</w:t>
      </w:r>
      <w:r>
        <w:rPr>
          <w:w w:val="125"/>
          <w:sz w:val="24"/>
          <w:u w:val="dotted"/>
        </w:rPr>
        <w:t> </w:t>
        <w:tab/>
      </w:r>
      <w:r>
        <w:rPr>
          <w:w w:val="125"/>
          <w:sz w:val="24"/>
        </w:rPr>
        <w:t>102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Ügyvezetés</w:t>
      </w:r>
      <w:r>
        <w:rPr>
          <w:w w:val="125"/>
          <w:sz w:val="24"/>
          <w:u w:val="dotted"/>
        </w:rPr>
        <w:t> </w:t>
        <w:tab/>
      </w:r>
      <w:r>
        <w:rPr>
          <w:w w:val="125"/>
          <w:sz w:val="24"/>
        </w:rPr>
        <w:t>103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Auditbizottság</w:t>
      </w:r>
      <w:r>
        <w:rPr>
          <w:w w:val="125"/>
          <w:sz w:val="24"/>
          <w:u w:val="dotted"/>
        </w:rPr>
        <w:t> </w:t>
        <w:tab/>
      </w:r>
      <w:r>
        <w:rPr>
          <w:w w:val="125"/>
          <w:sz w:val="24"/>
        </w:rPr>
        <w:t>105</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Belső szervezet</w:t>
      </w:r>
      <w:r>
        <w:rPr>
          <w:w w:val="125"/>
          <w:sz w:val="24"/>
          <w:u w:val="dotted"/>
        </w:rPr>
        <w:t> </w:t>
        <w:tab/>
      </w:r>
      <w:r>
        <w:rPr>
          <w:w w:val="125"/>
          <w:sz w:val="24"/>
        </w:rPr>
        <w:t>106</w:t>
      </w:r>
    </w:p>
    <w:p>
      <w:pPr>
        <w:pStyle w:val="ListParagraph"/>
        <w:numPr>
          <w:ilvl w:val="0"/>
          <w:numId w:val="667"/>
        </w:numPr>
        <w:tabs>
          <w:tab w:pos="1524" w:val="left" w:leader="none"/>
          <w:tab w:pos="8806" w:val="left" w:leader="none"/>
        </w:tabs>
        <w:spacing w:line="261" w:lineRule="auto" w:before="24" w:after="0"/>
        <w:ind w:left="913" w:right="526" w:firstLine="0"/>
        <w:jc w:val="left"/>
        <w:rPr>
          <w:sz w:val="24"/>
        </w:rPr>
      </w:pPr>
      <w:r>
        <w:rPr>
          <w:w w:val="130"/>
          <w:sz w:val="24"/>
        </w:rPr>
        <w:t>Fejezet</w:t>
      </w:r>
      <w:r>
        <w:rPr>
          <w:w w:val="130"/>
          <w:sz w:val="24"/>
          <w:u w:val="dotted"/>
        </w:rPr>
        <w:t> </w:t>
        <w:tab/>
      </w:r>
      <w:r>
        <w:rPr>
          <w:spacing w:val="-6"/>
          <w:w w:val="130"/>
          <w:sz w:val="24"/>
        </w:rPr>
        <w:t>106 </w:t>
      </w:r>
      <w:r>
        <w:rPr>
          <w:w w:val="130"/>
          <w:sz w:val="24"/>
        </w:rPr>
        <w:t>Titoktartás</w:t>
      </w:r>
      <w:r>
        <w:rPr>
          <w:w w:val="130"/>
          <w:sz w:val="24"/>
          <w:u w:val="dotted"/>
        </w:rPr>
        <w:t> </w:t>
        <w:tab/>
      </w:r>
      <w:r>
        <w:rPr>
          <w:spacing w:val="-6"/>
          <w:w w:val="130"/>
          <w:sz w:val="24"/>
        </w:rPr>
        <w:t>106</w:t>
      </w:r>
    </w:p>
    <w:p>
      <w:pPr>
        <w:pStyle w:val="ListParagraph"/>
        <w:numPr>
          <w:ilvl w:val="0"/>
          <w:numId w:val="668"/>
        </w:numPr>
        <w:tabs>
          <w:tab w:pos="1772" w:val="left" w:leader="none"/>
          <w:tab w:pos="8806" w:val="left" w:leader="none"/>
        </w:tabs>
        <w:spacing w:line="274" w:lineRule="exact" w:before="0" w:after="0"/>
        <w:ind w:left="1771" w:right="0" w:hanging="458"/>
        <w:jc w:val="left"/>
        <w:rPr>
          <w:sz w:val="24"/>
        </w:rPr>
      </w:pPr>
      <w:r>
        <w:rPr>
          <w:w w:val="125"/>
          <w:sz w:val="24"/>
        </w:rPr>
        <w:t>Üzleti</w:t>
      </w:r>
      <w:r>
        <w:rPr>
          <w:spacing w:val="-5"/>
          <w:w w:val="125"/>
          <w:sz w:val="24"/>
        </w:rPr>
        <w:t> </w:t>
      </w:r>
      <w:r>
        <w:rPr>
          <w:w w:val="125"/>
          <w:sz w:val="24"/>
        </w:rPr>
        <w:t>titok</w:t>
      </w:r>
      <w:r>
        <w:rPr>
          <w:w w:val="125"/>
          <w:sz w:val="24"/>
          <w:u w:val="dotted"/>
        </w:rPr>
        <w:t> </w:t>
        <w:tab/>
      </w:r>
      <w:r>
        <w:rPr>
          <w:w w:val="125"/>
          <w:sz w:val="24"/>
        </w:rPr>
        <w:t>106</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Banktitok</w:t>
      </w:r>
      <w:r>
        <w:rPr>
          <w:w w:val="125"/>
          <w:sz w:val="24"/>
          <w:u w:val="dotted"/>
        </w:rPr>
        <w:t> </w:t>
        <w:tab/>
      </w:r>
      <w:r>
        <w:rPr>
          <w:w w:val="125"/>
          <w:sz w:val="24"/>
        </w:rPr>
        <w:t>108</w:t>
      </w:r>
    </w:p>
    <w:p>
      <w:pPr>
        <w:pStyle w:val="ListParagraph"/>
        <w:numPr>
          <w:ilvl w:val="0"/>
          <w:numId w:val="668"/>
        </w:numPr>
        <w:tabs>
          <w:tab w:pos="1772" w:val="left" w:leader="none"/>
          <w:tab w:pos="8806" w:val="left" w:leader="none"/>
        </w:tabs>
        <w:spacing w:line="240" w:lineRule="auto" w:before="25" w:after="0"/>
        <w:ind w:left="1771" w:right="0" w:hanging="458"/>
        <w:jc w:val="left"/>
        <w:rPr>
          <w:sz w:val="24"/>
        </w:rPr>
      </w:pPr>
      <w:r>
        <w:rPr>
          <w:w w:val="125"/>
          <w:sz w:val="24"/>
        </w:rPr>
        <w:t>Üzleti titok és banktitok</w:t>
      </w:r>
      <w:r>
        <w:rPr>
          <w:spacing w:val="-2"/>
          <w:w w:val="125"/>
          <w:sz w:val="24"/>
        </w:rPr>
        <w:t> </w:t>
      </w:r>
      <w:r>
        <w:rPr>
          <w:w w:val="125"/>
          <w:sz w:val="24"/>
        </w:rPr>
        <w:t>közös</w:t>
      </w:r>
      <w:r>
        <w:rPr>
          <w:spacing w:val="-1"/>
          <w:w w:val="125"/>
          <w:sz w:val="24"/>
        </w:rPr>
        <w:t> </w:t>
      </w:r>
      <w:r>
        <w:rPr>
          <w:w w:val="125"/>
          <w:sz w:val="24"/>
        </w:rPr>
        <w:t>szabályai</w:t>
      </w:r>
      <w:r>
        <w:rPr>
          <w:w w:val="125"/>
          <w:sz w:val="24"/>
          <w:u w:val="dotted"/>
        </w:rPr>
        <w:t> </w:t>
        <w:tab/>
      </w:r>
      <w:r>
        <w:rPr>
          <w:w w:val="125"/>
          <w:sz w:val="24"/>
        </w:rPr>
        <w:t>117</w:t>
      </w:r>
    </w:p>
    <w:p>
      <w:pPr>
        <w:pStyle w:val="ListParagraph"/>
        <w:numPr>
          <w:ilvl w:val="0"/>
          <w:numId w:val="667"/>
        </w:numPr>
        <w:tabs>
          <w:tab w:pos="1332" w:val="left" w:leader="none"/>
          <w:tab w:pos="8806" w:val="left" w:leader="none"/>
        </w:tabs>
        <w:spacing w:line="261" w:lineRule="auto" w:before="24" w:after="0"/>
        <w:ind w:left="913" w:right="526" w:firstLine="0"/>
        <w:jc w:val="left"/>
        <w:rPr>
          <w:sz w:val="24"/>
        </w:rPr>
      </w:pPr>
      <w:r>
        <w:rPr>
          <w:w w:val="125"/>
          <w:sz w:val="24"/>
        </w:rPr>
        <w:t>Fejezet</w:t>
      </w:r>
      <w:r>
        <w:rPr>
          <w:w w:val="125"/>
          <w:sz w:val="24"/>
          <w:u w:val="dotted"/>
        </w:rPr>
        <w:t> </w:t>
        <w:tab/>
      </w:r>
      <w:r>
        <w:rPr>
          <w:spacing w:val="-6"/>
          <w:w w:val="125"/>
          <w:sz w:val="24"/>
        </w:rPr>
        <w:t>118 </w:t>
      </w:r>
      <w:r>
        <w:rPr>
          <w:w w:val="125"/>
          <w:sz w:val="24"/>
        </w:rPr>
        <w:t>Pénzügyi</w:t>
      </w:r>
      <w:r>
        <w:rPr>
          <w:spacing w:val="-3"/>
          <w:w w:val="125"/>
          <w:sz w:val="24"/>
        </w:rPr>
        <w:t> </w:t>
      </w:r>
      <w:r>
        <w:rPr>
          <w:w w:val="125"/>
          <w:sz w:val="24"/>
        </w:rPr>
        <w:t>intézmények</w:t>
      </w:r>
      <w:r>
        <w:rPr>
          <w:spacing w:val="-2"/>
          <w:w w:val="125"/>
          <w:sz w:val="24"/>
        </w:rPr>
        <w:t> </w:t>
      </w:r>
      <w:r>
        <w:rPr>
          <w:w w:val="125"/>
          <w:sz w:val="24"/>
        </w:rPr>
        <w:t>felügyelete</w:t>
      </w:r>
      <w:r>
        <w:rPr>
          <w:w w:val="125"/>
          <w:sz w:val="24"/>
          <w:u w:val="dotted"/>
        </w:rPr>
        <w:t> </w:t>
        <w:tab/>
      </w:r>
      <w:r>
        <w:rPr>
          <w:spacing w:val="-6"/>
          <w:w w:val="125"/>
          <w:sz w:val="24"/>
        </w:rPr>
        <w:t>118</w:t>
      </w:r>
    </w:p>
    <w:p>
      <w:pPr>
        <w:pStyle w:val="ListParagraph"/>
        <w:numPr>
          <w:ilvl w:val="0"/>
          <w:numId w:val="668"/>
        </w:numPr>
        <w:tabs>
          <w:tab w:pos="1772" w:val="left" w:leader="none"/>
          <w:tab w:pos="8806" w:val="left" w:leader="none"/>
        </w:tabs>
        <w:spacing w:line="274" w:lineRule="exact" w:before="0" w:after="0"/>
        <w:ind w:left="1771" w:right="0" w:hanging="458"/>
        <w:jc w:val="left"/>
        <w:rPr>
          <w:sz w:val="24"/>
        </w:rPr>
      </w:pPr>
      <w:r>
        <w:rPr>
          <w:w w:val="125"/>
          <w:sz w:val="24"/>
        </w:rPr>
        <w:t>Adatszolgáltatás</w:t>
      </w:r>
      <w:r>
        <w:rPr>
          <w:w w:val="125"/>
          <w:sz w:val="24"/>
          <w:u w:val="dotted"/>
        </w:rPr>
        <w:t> </w:t>
        <w:tab/>
      </w:r>
      <w:r>
        <w:rPr>
          <w:w w:val="125"/>
          <w:sz w:val="24"/>
        </w:rPr>
        <w:t>118</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 hitelintézetek összevont</w:t>
      </w:r>
      <w:r>
        <w:rPr>
          <w:spacing w:val="18"/>
          <w:w w:val="125"/>
          <w:sz w:val="24"/>
        </w:rPr>
        <w:t> </w:t>
      </w:r>
      <w:r>
        <w:rPr>
          <w:w w:val="125"/>
          <w:sz w:val="24"/>
        </w:rPr>
        <w:t>alapú</w:t>
      </w:r>
      <w:r>
        <w:rPr>
          <w:spacing w:val="5"/>
          <w:w w:val="125"/>
          <w:sz w:val="24"/>
        </w:rPr>
        <w:t> </w:t>
      </w:r>
      <w:r>
        <w:rPr>
          <w:w w:val="125"/>
          <w:sz w:val="24"/>
        </w:rPr>
        <w:t>felügyelete</w:t>
      </w:r>
      <w:r>
        <w:rPr>
          <w:w w:val="125"/>
          <w:sz w:val="24"/>
          <w:u w:val="dotted"/>
        </w:rPr>
        <w:t> </w:t>
        <w:tab/>
      </w:r>
      <w:r>
        <w:rPr>
          <w:w w:val="125"/>
          <w:sz w:val="24"/>
        </w:rPr>
        <w:t>120</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Összevont alapú</w:t>
      </w:r>
      <w:r>
        <w:rPr>
          <w:spacing w:val="7"/>
          <w:w w:val="125"/>
          <w:sz w:val="24"/>
        </w:rPr>
        <w:t> </w:t>
      </w:r>
      <w:r>
        <w:rPr>
          <w:w w:val="125"/>
          <w:sz w:val="24"/>
        </w:rPr>
        <w:t>felügyeleti</w:t>
      </w:r>
      <w:r>
        <w:rPr>
          <w:spacing w:val="5"/>
          <w:w w:val="125"/>
          <w:sz w:val="24"/>
        </w:rPr>
        <w:t> </w:t>
      </w:r>
      <w:r>
        <w:rPr>
          <w:w w:val="125"/>
          <w:sz w:val="24"/>
        </w:rPr>
        <w:t>ellenőrzés</w:t>
      </w:r>
      <w:r>
        <w:rPr>
          <w:w w:val="125"/>
          <w:sz w:val="24"/>
          <w:u w:val="dotted"/>
        </w:rPr>
        <w:t> </w:t>
        <w:tab/>
      </w:r>
      <w:r>
        <w:rPr>
          <w:w w:val="125"/>
          <w:sz w:val="24"/>
        </w:rPr>
        <w:t>123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30"/>
          <w:sz w:val="24"/>
        </w:rPr>
        <w:t>Felügyeleti felülvizsgálat</w:t>
      </w:r>
      <w:r>
        <w:rPr>
          <w:spacing w:val="-54"/>
          <w:w w:val="130"/>
          <w:sz w:val="24"/>
        </w:rPr>
        <w:t> </w:t>
      </w:r>
      <w:r>
        <w:rPr>
          <w:w w:val="130"/>
          <w:sz w:val="24"/>
        </w:rPr>
        <w:t>és</w:t>
      </w:r>
      <w:r>
        <w:rPr>
          <w:spacing w:val="-28"/>
          <w:w w:val="130"/>
          <w:sz w:val="24"/>
        </w:rPr>
        <w:t> </w:t>
      </w:r>
      <w:r>
        <w:rPr>
          <w:w w:val="130"/>
          <w:sz w:val="24"/>
        </w:rPr>
        <w:t>értékelés</w:t>
      </w:r>
      <w:r>
        <w:rPr>
          <w:w w:val="130"/>
          <w:sz w:val="24"/>
          <w:u w:val="dotted"/>
        </w:rPr>
        <w:t> </w:t>
        <w:tab/>
      </w:r>
      <w:r>
        <w:rPr>
          <w:w w:val="130"/>
          <w:sz w:val="24"/>
        </w:rPr>
        <w:t>126</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Csoportszintű</w:t>
      </w:r>
      <w:r>
        <w:rPr>
          <w:spacing w:val="-2"/>
          <w:w w:val="125"/>
          <w:sz w:val="24"/>
        </w:rPr>
        <w:t> </w:t>
      </w:r>
      <w:r>
        <w:rPr>
          <w:w w:val="125"/>
          <w:sz w:val="24"/>
        </w:rPr>
        <w:t>felügyeleti</w:t>
      </w:r>
      <w:r>
        <w:rPr>
          <w:spacing w:val="-1"/>
          <w:w w:val="125"/>
          <w:sz w:val="24"/>
        </w:rPr>
        <w:t> </w:t>
      </w:r>
      <w:r>
        <w:rPr>
          <w:w w:val="125"/>
          <w:sz w:val="24"/>
        </w:rPr>
        <w:t>felülvizsgálat</w:t>
      </w:r>
      <w:r>
        <w:rPr>
          <w:w w:val="125"/>
          <w:sz w:val="24"/>
          <w:u w:val="dotted"/>
        </w:rPr>
        <w:t> </w:t>
        <w:tab/>
      </w:r>
      <w:r>
        <w:rPr>
          <w:w w:val="125"/>
          <w:sz w:val="24"/>
        </w:rPr>
        <w:t>130</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Az intézkedések és a kivételes</w:t>
      </w:r>
      <w:r>
        <w:rPr>
          <w:spacing w:val="-33"/>
          <w:w w:val="130"/>
          <w:sz w:val="24"/>
        </w:rPr>
        <w:t> </w:t>
      </w:r>
      <w:r>
        <w:rPr>
          <w:w w:val="130"/>
          <w:sz w:val="24"/>
        </w:rPr>
        <w:t>intézkedések</w:t>
      </w:r>
    </w:p>
    <w:p>
      <w:pPr>
        <w:pStyle w:val="BodyText"/>
        <w:tabs>
          <w:tab w:pos="8806" w:val="left" w:leader="none"/>
        </w:tabs>
        <w:spacing w:line="258" w:lineRule="exact"/>
        <w:ind w:left="1313" w:firstLine="0"/>
      </w:pPr>
      <w:r>
        <w:rPr>
          <w:w w:val="125"/>
        </w:rPr>
        <w:t>alkalmazásának közös szabályai</w:t>
      </w:r>
      <w:r>
        <w:rPr>
          <w:w w:val="125"/>
          <w:u w:val="dotted"/>
        </w:rPr>
        <w:t> </w:t>
        <w:tab/>
      </w:r>
      <w:r>
        <w:rPr>
          <w:w w:val="125"/>
        </w:rPr>
        <w:t>131</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30"/>
          <w:sz w:val="24"/>
        </w:rPr>
        <w:t>Intézkedések</w:t>
      </w:r>
      <w:r>
        <w:rPr>
          <w:w w:val="130"/>
          <w:sz w:val="24"/>
          <w:u w:val="dotted"/>
        </w:rPr>
        <w:t> </w:t>
        <w:tab/>
      </w:r>
      <w:r>
        <w:rPr>
          <w:w w:val="130"/>
          <w:sz w:val="24"/>
        </w:rPr>
        <w:t>134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Kivételes</w:t>
      </w:r>
      <w:r>
        <w:rPr>
          <w:spacing w:val="2"/>
          <w:w w:val="125"/>
          <w:sz w:val="24"/>
        </w:rPr>
        <w:t> </w:t>
      </w:r>
      <w:r>
        <w:rPr>
          <w:w w:val="125"/>
          <w:sz w:val="24"/>
        </w:rPr>
        <w:t>intézkedések</w:t>
      </w:r>
      <w:r>
        <w:rPr>
          <w:w w:val="125"/>
          <w:sz w:val="24"/>
          <w:u w:val="dotted"/>
        </w:rPr>
        <w:t> </w:t>
        <w:tab/>
      </w:r>
      <w:r>
        <w:rPr>
          <w:w w:val="125"/>
          <w:sz w:val="24"/>
        </w:rPr>
        <w:t>138</w:t>
      </w:r>
    </w:p>
    <w:p>
      <w:pPr>
        <w:pStyle w:val="ListParagraph"/>
        <w:numPr>
          <w:ilvl w:val="0"/>
          <w:numId w:val="668"/>
        </w:numPr>
        <w:tabs>
          <w:tab w:pos="1772" w:val="left" w:leader="none"/>
        </w:tabs>
        <w:spacing w:line="258" w:lineRule="exact" w:before="24" w:after="0"/>
        <w:ind w:left="1771" w:right="0" w:hanging="458"/>
        <w:jc w:val="left"/>
        <w:rPr>
          <w:sz w:val="24"/>
        </w:rPr>
      </w:pPr>
      <w:r>
        <w:rPr>
          <w:w w:val="130"/>
          <w:sz w:val="24"/>
        </w:rPr>
        <w:t>Fióktelep és határon átnyúló</w:t>
      </w:r>
      <w:r>
        <w:rPr>
          <w:spacing w:val="-19"/>
          <w:w w:val="130"/>
          <w:sz w:val="24"/>
        </w:rPr>
        <w:t> </w:t>
      </w:r>
      <w:r>
        <w:rPr>
          <w:w w:val="130"/>
          <w:sz w:val="24"/>
        </w:rPr>
        <w:t>szolgáltatás</w:t>
      </w:r>
    </w:p>
    <w:p>
      <w:pPr>
        <w:pStyle w:val="BodyText"/>
        <w:tabs>
          <w:tab w:pos="8806" w:val="left" w:leader="none"/>
        </w:tabs>
        <w:spacing w:line="258" w:lineRule="exact"/>
        <w:ind w:left="1313" w:firstLine="0"/>
      </w:pPr>
      <w:r>
        <w:rPr>
          <w:w w:val="125"/>
        </w:rPr>
        <w:t>felügyelete</w:t>
      </w:r>
      <w:r>
        <w:rPr>
          <w:w w:val="125"/>
          <w:u w:val="dotted"/>
        </w:rPr>
        <w:t> </w:t>
        <w:tab/>
      </w:r>
      <w:r>
        <w:rPr>
          <w:w w:val="125"/>
        </w:rPr>
        <w:t>142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w:t>
      </w:r>
      <w:r>
        <w:rPr>
          <w:spacing w:val="9"/>
          <w:w w:val="125"/>
          <w:sz w:val="24"/>
        </w:rPr>
        <w:t> </w:t>
      </w:r>
      <w:r>
        <w:rPr>
          <w:w w:val="125"/>
          <w:sz w:val="24"/>
        </w:rPr>
        <w:t>Felügyelet</w:t>
      </w:r>
      <w:r>
        <w:rPr>
          <w:spacing w:val="8"/>
          <w:w w:val="125"/>
          <w:sz w:val="24"/>
        </w:rPr>
        <w:t> </w:t>
      </w:r>
      <w:r>
        <w:rPr>
          <w:w w:val="125"/>
          <w:sz w:val="24"/>
        </w:rPr>
        <w:t>adatkezelése</w:t>
      </w:r>
      <w:r>
        <w:rPr>
          <w:w w:val="125"/>
          <w:sz w:val="24"/>
          <w:u w:val="dotted"/>
        </w:rPr>
        <w:t> </w:t>
        <w:tab/>
      </w:r>
      <w:r>
        <w:rPr>
          <w:w w:val="125"/>
          <w:sz w:val="24"/>
        </w:rPr>
        <w:t>144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Tájékoztatás</w:t>
      </w:r>
      <w:r>
        <w:rPr>
          <w:w w:val="125"/>
          <w:sz w:val="24"/>
          <w:u w:val="dotted"/>
        </w:rPr>
        <w:t> </w:t>
        <w:tab/>
      </w:r>
      <w:r>
        <w:rPr>
          <w:w w:val="125"/>
          <w:sz w:val="24"/>
        </w:rPr>
        <w:t>148</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w:t>
      </w:r>
      <w:r>
        <w:rPr>
          <w:spacing w:val="7"/>
          <w:w w:val="120"/>
          <w:sz w:val="24"/>
        </w:rPr>
        <w:t> </w:t>
      </w:r>
      <w:r>
        <w:rPr>
          <w:w w:val="120"/>
          <w:sz w:val="24"/>
        </w:rPr>
        <w:t>felügyeleti</w:t>
      </w:r>
      <w:r>
        <w:rPr>
          <w:spacing w:val="8"/>
          <w:w w:val="120"/>
          <w:sz w:val="24"/>
        </w:rPr>
        <w:t> </w:t>
      </w:r>
      <w:r>
        <w:rPr>
          <w:w w:val="120"/>
          <w:sz w:val="24"/>
        </w:rPr>
        <w:t>díj</w:t>
      </w:r>
      <w:r>
        <w:rPr>
          <w:w w:val="120"/>
          <w:sz w:val="24"/>
          <w:u w:val="dotted"/>
        </w:rPr>
        <w:t> </w:t>
        <w:tab/>
      </w:r>
      <w:r>
        <w:rPr>
          <w:w w:val="120"/>
          <w:sz w:val="24"/>
        </w:rPr>
        <w:t>148</w:t>
      </w:r>
    </w:p>
    <w:p>
      <w:pPr>
        <w:pStyle w:val="ListParagraph"/>
        <w:numPr>
          <w:ilvl w:val="0"/>
          <w:numId w:val="667"/>
        </w:numPr>
        <w:tabs>
          <w:tab w:pos="1237" w:val="left" w:leader="none"/>
          <w:tab w:pos="8806" w:val="left" w:leader="none"/>
        </w:tabs>
        <w:spacing w:line="261" w:lineRule="auto" w:before="24" w:after="0"/>
        <w:ind w:left="913" w:right="526" w:firstLine="0"/>
        <w:jc w:val="left"/>
        <w:rPr>
          <w:sz w:val="24"/>
        </w:rPr>
      </w:pPr>
      <w:r>
        <w:rPr>
          <w:w w:val="120"/>
          <w:sz w:val="24"/>
        </w:rPr>
        <w:t>Fejezet</w:t>
      </w:r>
      <w:r>
        <w:rPr>
          <w:w w:val="120"/>
          <w:sz w:val="24"/>
          <w:u w:val="dotted"/>
        </w:rPr>
        <w:t> </w:t>
        <w:tab/>
      </w:r>
      <w:r>
        <w:rPr>
          <w:spacing w:val="-6"/>
          <w:w w:val="120"/>
          <w:sz w:val="24"/>
        </w:rPr>
        <w:t>149 </w:t>
      </w:r>
      <w:r>
        <w:rPr>
          <w:w w:val="120"/>
          <w:sz w:val="24"/>
        </w:rPr>
        <w:t>Az  Országos</w:t>
      </w:r>
      <w:r>
        <w:rPr>
          <w:spacing w:val="-4"/>
          <w:w w:val="120"/>
          <w:sz w:val="24"/>
        </w:rPr>
        <w:t> </w:t>
      </w:r>
      <w:r>
        <w:rPr>
          <w:w w:val="120"/>
          <w:sz w:val="24"/>
        </w:rPr>
        <w:t>Betétbiztosítási</w:t>
      </w:r>
      <w:r>
        <w:rPr>
          <w:spacing w:val="33"/>
          <w:w w:val="120"/>
          <w:sz w:val="24"/>
        </w:rPr>
        <w:t> </w:t>
      </w:r>
      <w:r>
        <w:rPr>
          <w:w w:val="120"/>
          <w:sz w:val="24"/>
        </w:rPr>
        <w:t>Alap</w:t>
      </w:r>
      <w:r>
        <w:rPr>
          <w:w w:val="120"/>
          <w:sz w:val="24"/>
          <w:u w:val="dotted"/>
        </w:rPr>
        <w:t> </w:t>
        <w:tab/>
      </w:r>
      <w:r>
        <w:rPr>
          <w:spacing w:val="-6"/>
          <w:w w:val="120"/>
          <w:sz w:val="24"/>
        </w:rPr>
        <w:t>149</w:t>
      </w:r>
    </w:p>
    <w:p>
      <w:pPr>
        <w:pStyle w:val="ListParagraph"/>
        <w:numPr>
          <w:ilvl w:val="0"/>
          <w:numId w:val="668"/>
        </w:numPr>
        <w:tabs>
          <w:tab w:pos="1772" w:val="left" w:leader="none"/>
          <w:tab w:pos="8806" w:val="left" w:leader="none"/>
        </w:tabs>
        <w:spacing w:line="274" w:lineRule="exact" w:before="0" w:after="0"/>
        <w:ind w:left="1771" w:right="0" w:hanging="458"/>
        <w:jc w:val="left"/>
        <w:rPr>
          <w:sz w:val="24"/>
        </w:rPr>
      </w:pPr>
      <w:r>
        <w:rPr>
          <w:w w:val="125"/>
          <w:sz w:val="24"/>
        </w:rPr>
        <w:t>Általános</w:t>
      </w:r>
      <w:r>
        <w:rPr>
          <w:spacing w:val="-14"/>
          <w:w w:val="125"/>
          <w:sz w:val="24"/>
        </w:rPr>
        <w:t> </w:t>
      </w:r>
      <w:r>
        <w:rPr>
          <w:w w:val="125"/>
          <w:sz w:val="24"/>
        </w:rPr>
        <w:t>szabályok</w:t>
      </w:r>
      <w:r>
        <w:rPr>
          <w:w w:val="125"/>
          <w:sz w:val="24"/>
          <w:u w:val="dotted"/>
        </w:rPr>
        <w:t> </w:t>
        <w:tab/>
      </w:r>
      <w:r>
        <w:rPr>
          <w:w w:val="125"/>
          <w:sz w:val="24"/>
        </w:rPr>
        <w:t>149</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Az OBA által</w:t>
      </w:r>
      <w:r>
        <w:rPr>
          <w:spacing w:val="-29"/>
          <w:w w:val="125"/>
          <w:sz w:val="24"/>
        </w:rPr>
        <w:t> </w:t>
      </w:r>
      <w:r>
        <w:rPr>
          <w:w w:val="125"/>
          <w:sz w:val="24"/>
        </w:rPr>
        <w:t>biztosított</w:t>
      </w:r>
      <w:r>
        <w:rPr>
          <w:spacing w:val="-8"/>
          <w:w w:val="125"/>
          <w:sz w:val="24"/>
        </w:rPr>
        <w:t> </w:t>
      </w:r>
      <w:r>
        <w:rPr>
          <w:w w:val="125"/>
          <w:sz w:val="24"/>
        </w:rPr>
        <w:t>betétek</w:t>
      </w:r>
      <w:r>
        <w:rPr>
          <w:w w:val="125"/>
          <w:sz w:val="24"/>
          <w:u w:val="dotted"/>
        </w:rPr>
        <w:t> </w:t>
        <w:tab/>
      </w:r>
      <w:r>
        <w:rPr>
          <w:w w:val="125"/>
          <w:sz w:val="24"/>
        </w:rPr>
        <w:t>152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Az OBA által</w:t>
      </w:r>
      <w:r>
        <w:rPr>
          <w:spacing w:val="-18"/>
          <w:w w:val="125"/>
          <w:sz w:val="24"/>
        </w:rPr>
        <w:t> </w:t>
      </w:r>
      <w:r>
        <w:rPr>
          <w:w w:val="125"/>
          <w:sz w:val="24"/>
        </w:rPr>
        <w:t>fizetett</w:t>
      </w:r>
      <w:r>
        <w:rPr>
          <w:spacing w:val="-5"/>
          <w:w w:val="125"/>
          <w:sz w:val="24"/>
        </w:rPr>
        <w:t> </w:t>
      </w:r>
      <w:r>
        <w:rPr>
          <w:w w:val="125"/>
          <w:sz w:val="24"/>
        </w:rPr>
        <w:t>kártalanítás</w:t>
      </w:r>
      <w:r>
        <w:rPr>
          <w:w w:val="125"/>
          <w:sz w:val="24"/>
          <w:u w:val="dotted"/>
        </w:rPr>
        <w:t> </w:t>
        <w:tab/>
      </w:r>
      <w:r>
        <w:rPr>
          <w:w w:val="125"/>
          <w:sz w:val="24"/>
        </w:rPr>
        <w:t>153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Kifizetés</w:t>
      </w:r>
      <w:r>
        <w:rPr>
          <w:spacing w:val="-12"/>
          <w:w w:val="120"/>
          <w:sz w:val="24"/>
        </w:rPr>
        <w:t> </w:t>
      </w:r>
      <w:r>
        <w:rPr>
          <w:w w:val="120"/>
          <w:sz w:val="24"/>
        </w:rPr>
        <w:t>az</w:t>
      </w:r>
      <w:r>
        <w:rPr>
          <w:spacing w:val="-12"/>
          <w:w w:val="120"/>
          <w:sz w:val="24"/>
        </w:rPr>
        <w:t> </w:t>
      </w:r>
      <w:r>
        <w:rPr>
          <w:w w:val="120"/>
          <w:sz w:val="24"/>
        </w:rPr>
        <w:t>OBA-ból</w:t>
      </w:r>
      <w:r>
        <w:rPr>
          <w:w w:val="120"/>
          <w:sz w:val="24"/>
          <w:u w:val="dotted"/>
        </w:rPr>
        <w:t> </w:t>
        <w:tab/>
      </w:r>
      <w:r>
        <w:rPr>
          <w:w w:val="120"/>
          <w:sz w:val="24"/>
        </w:rPr>
        <w:t>157</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A kifizetett</w:t>
      </w:r>
      <w:r>
        <w:rPr>
          <w:spacing w:val="38"/>
          <w:w w:val="125"/>
          <w:sz w:val="24"/>
        </w:rPr>
        <w:t> </w:t>
      </w:r>
      <w:r>
        <w:rPr>
          <w:w w:val="125"/>
          <w:sz w:val="24"/>
        </w:rPr>
        <w:t>betétkövetelések</w:t>
      </w:r>
      <w:r>
        <w:rPr>
          <w:spacing w:val="20"/>
          <w:w w:val="125"/>
          <w:sz w:val="24"/>
        </w:rPr>
        <w:t> </w:t>
      </w:r>
      <w:r>
        <w:rPr>
          <w:w w:val="125"/>
          <w:sz w:val="24"/>
        </w:rPr>
        <w:t>átszállása</w:t>
      </w:r>
      <w:r>
        <w:rPr>
          <w:w w:val="125"/>
          <w:sz w:val="24"/>
          <w:u w:val="dotted"/>
        </w:rPr>
        <w:t> </w:t>
        <w:tab/>
      </w:r>
      <w:r>
        <w:rPr>
          <w:w w:val="125"/>
          <w:sz w:val="24"/>
        </w:rPr>
        <w:t>158</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w:t>
      </w:r>
      <w:r>
        <w:rPr>
          <w:spacing w:val="-11"/>
          <w:w w:val="120"/>
          <w:sz w:val="24"/>
        </w:rPr>
        <w:t> </w:t>
      </w:r>
      <w:r>
        <w:rPr>
          <w:w w:val="120"/>
          <w:sz w:val="24"/>
        </w:rPr>
        <w:t>OBA</w:t>
      </w:r>
      <w:r>
        <w:rPr>
          <w:spacing w:val="-11"/>
          <w:w w:val="120"/>
          <w:sz w:val="24"/>
        </w:rPr>
        <w:t> </w:t>
      </w:r>
      <w:r>
        <w:rPr>
          <w:w w:val="120"/>
          <w:sz w:val="24"/>
        </w:rPr>
        <w:t>jogállása</w:t>
      </w:r>
      <w:r>
        <w:rPr>
          <w:w w:val="120"/>
          <w:sz w:val="24"/>
          <w:u w:val="dotted"/>
        </w:rPr>
        <w:t> </w:t>
        <w:tab/>
      </w:r>
      <w:r>
        <w:rPr>
          <w:w w:val="120"/>
          <w:sz w:val="24"/>
        </w:rPr>
        <w:t>159</w:t>
      </w:r>
    </w:p>
    <w:p>
      <w:pPr>
        <w:spacing w:after="0" w:line="240" w:lineRule="auto"/>
        <w:jc w:val="left"/>
        <w:rPr>
          <w:sz w:val="24"/>
        </w:rPr>
        <w:sectPr>
          <w:pgSz w:w="11900" w:h="16820"/>
          <w:pgMar w:header="1104" w:footer="0" w:top="1840" w:bottom="280" w:left="1020" w:right="1000"/>
        </w:sectPr>
      </w:pPr>
    </w:p>
    <w:p>
      <w:pPr>
        <w:pStyle w:val="ListParagraph"/>
        <w:numPr>
          <w:ilvl w:val="0"/>
          <w:numId w:val="668"/>
        </w:numPr>
        <w:tabs>
          <w:tab w:pos="1772" w:val="left" w:leader="none"/>
          <w:tab w:pos="8806" w:val="left" w:leader="none"/>
        </w:tabs>
        <w:spacing w:line="240" w:lineRule="auto" w:before="139" w:after="0"/>
        <w:ind w:left="1771" w:right="0" w:hanging="458"/>
        <w:jc w:val="left"/>
        <w:rPr>
          <w:sz w:val="24"/>
        </w:rPr>
      </w:pPr>
      <w:r>
        <w:rPr>
          <w:w w:val="120"/>
          <w:sz w:val="24"/>
        </w:rPr>
        <w:t>Az</w:t>
      </w:r>
      <w:r>
        <w:rPr>
          <w:spacing w:val="-1"/>
          <w:w w:val="120"/>
          <w:sz w:val="24"/>
        </w:rPr>
        <w:t> </w:t>
      </w:r>
      <w:r>
        <w:rPr>
          <w:w w:val="120"/>
          <w:sz w:val="24"/>
        </w:rPr>
        <w:t>OBA</w:t>
      </w:r>
      <w:r>
        <w:rPr>
          <w:spacing w:val="-2"/>
          <w:w w:val="120"/>
          <w:sz w:val="24"/>
        </w:rPr>
        <w:t> </w:t>
      </w:r>
      <w:r>
        <w:rPr>
          <w:w w:val="120"/>
          <w:sz w:val="24"/>
        </w:rPr>
        <w:t>szervezete</w:t>
      </w:r>
      <w:r>
        <w:rPr>
          <w:w w:val="120"/>
          <w:sz w:val="24"/>
          <w:u w:val="dotted"/>
        </w:rPr>
        <w:t> </w:t>
        <w:tab/>
      </w:r>
      <w:r>
        <w:rPr>
          <w:w w:val="120"/>
          <w:sz w:val="24"/>
        </w:rPr>
        <w:t>159</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  OBA</w:t>
      </w:r>
      <w:r>
        <w:rPr>
          <w:spacing w:val="21"/>
          <w:w w:val="120"/>
          <w:sz w:val="24"/>
        </w:rPr>
        <w:t> </w:t>
      </w:r>
      <w:r>
        <w:rPr>
          <w:w w:val="120"/>
          <w:sz w:val="24"/>
        </w:rPr>
        <w:t>igazgatótanácsának</w:t>
      </w:r>
      <w:r>
        <w:rPr>
          <w:spacing w:val="46"/>
          <w:w w:val="120"/>
          <w:sz w:val="24"/>
        </w:rPr>
        <w:t> </w:t>
      </w:r>
      <w:r>
        <w:rPr>
          <w:w w:val="120"/>
          <w:sz w:val="24"/>
        </w:rPr>
        <w:t>feladata</w:t>
      </w:r>
      <w:r>
        <w:rPr>
          <w:w w:val="120"/>
          <w:sz w:val="24"/>
          <w:u w:val="dotted"/>
        </w:rPr>
        <w:t> </w:t>
        <w:tab/>
      </w:r>
      <w:r>
        <w:rPr>
          <w:w w:val="120"/>
          <w:sz w:val="24"/>
        </w:rPr>
        <w:t>160</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 OBA ügyvezetője </w:t>
      </w:r>
      <w:r>
        <w:rPr>
          <w:spacing w:val="4"/>
          <w:w w:val="120"/>
          <w:sz w:val="24"/>
        </w:rPr>
        <w:t> </w:t>
      </w:r>
      <w:r>
        <w:rPr>
          <w:w w:val="120"/>
          <w:sz w:val="24"/>
        </w:rPr>
        <w:t>és</w:t>
      </w:r>
      <w:r>
        <w:rPr>
          <w:spacing w:val="25"/>
          <w:w w:val="120"/>
          <w:sz w:val="24"/>
        </w:rPr>
        <w:t> </w:t>
      </w:r>
      <w:r>
        <w:rPr>
          <w:w w:val="120"/>
          <w:sz w:val="24"/>
        </w:rPr>
        <w:t>munkaszervezete</w:t>
      </w:r>
      <w:r>
        <w:rPr>
          <w:w w:val="120"/>
          <w:sz w:val="24"/>
          <w:u w:val="dotted"/>
        </w:rPr>
        <w:t> </w:t>
        <w:tab/>
      </w:r>
      <w:r>
        <w:rPr>
          <w:w w:val="120"/>
          <w:sz w:val="24"/>
        </w:rPr>
        <w:t>161</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w:t>
      </w:r>
      <w:r>
        <w:rPr>
          <w:spacing w:val="6"/>
          <w:w w:val="120"/>
          <w:sz w:val="24"/>
        </w:rPr>
        <w:t> </w:t>
      </w:r>
      <w:r>
        <w:rPr>
          <w:w w:val="120"/>
          <w:sz w:val="24"/>
        </w:rPr>
        <w:t>OBA</w:t>
      </w:r>
      <w:r>
        <w:rPr>
          <w:spacing w:val="5"/>
          <w:w w:val="120"/>
          <w:sz w:val="24"/>
        </w:rPr>
        <w:t> </w:t>
      </w:r>
      <w:r>
        <w:rPr>
          <w:w w:val="120"/>
          <w:sz w:val="24"/>
        </w:rPr>
        <w:t>információellátása</w:t>
      </w:r>
      <w:r>
        <w:rPr>
          <w:w w:val="120"/>
          <w:sz w:val="24"/>
          <w:u w:val="dotted"/>
        </w:rPr>
        <w:t> </w:t>
        <w:tab/>
      </w:r>
      <w:r>
        <w:rPr>
          <w:w w:val="120"/>
          <w:sz w:val="24"/>
        </w:rPr>
        <w:t>162</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  OBA számlavezetése</w:t>
      </w:r>
      <w:r>
        <w:rPr>
          <w:spacing w:val="22"/>
          <w:w w:val="120"/>
          <w:sz w:val="24"/>
        </w:rPr>
        <w:t> </w:t>
      </w:r>
      <w:r>
        <w:rPr>
          <w:w w:val="120"/>
          <w:sz w:val="24"/>
        </w:rPr>
        <w:t>és</w:t>
      </w:r>
      <w:r>
        <w:rPr>
          <w:spacing w:val="30"/>
          <w:w w:val="120"/>
          <w:sz w:val="24"/>
        </w:rPr>
        <w:t> </w:t>
      </w:r>
      <w:r>
        <w:rPr>
          <w:w w:val="120"/>
          <w:sz w:val="24"/>
        </w:rPr>
        <w:t>pénzkezelése</w:t>
      </w:r>
      <w:r>
        <w:rPr>
          <w:w w:val="120"/>
          <w:sz w:val="24"/>
          <w:u w:val="dotted"/>
        </w:rPr>
        <w:t> </w:t>
        <w:tab/>
      </w:r>
      <w:r>
        <w:rPr>
          <w:w w:val="120"/>
          <w:sz w:val="24"/>
        </w:rPr>
        <w:t>163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Az</w:t>
      </w:r>
      <w:r>
        <w:rPr>
          <w:spacing w:val="-7"/>
          <w:w w:val="120"/>
          <w:sz w:val="24"/>
        </w:rPr>
        <w:t> </w:t>
      </w:r>
      <w:r>
        <w:rPr>
          <w:w w:val="120"/>
          <w:sz w:val="24"/>
        </w:rPr>
        <w:t>OBA</w:t>
      </w:r>
      <w:r>
        <w:rPr>
          <w:spacing w:val="-6"/>
          <w:w w:val="120"/>
          <w:sz w:val="24"/>
        </w:rPr>
        <w:t> </w:t>
      </w:r>
      <w:r>
        <w:rPr>
          <w:w w:val="120"/>
          <w:sz w:val="24"/>
        </w:rPr>
        <w:t>forrásai</w:t>
      </w:r>
      <w:r>
        <w:rPr>
          <w:w w:val="120"/>
          <w:sz w:val="24"/>
          <w:u w:val="dotted"/>
        </w:rPr>
        <w:t> </w:t>
        <w:tab/>
      </w:r>
      <w:r>
        <w:rPr>
          <w:w w:val="120"/>
          <w:sz w:val="24"/>
        </w:rPr>
        <w:t>163</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Csatlakozási</w:t>
      </w:r>
      <w:r>
        <w:rPr>
          <w:spacing w:val="-5"/>
          <w:w w:val="125"/>
          <w:sz w:val="24"/>
        </w:rPr>
        <w:t> </w:t>
      </w:r>
      <w:r>
        <w:rPr>
          <w:w w:val="125"/>
          <w:sz w:val="24"/>
        </w:rPr>
        <w:t>díj</w:t>
      </w:r>
      <w:r>
        <w:rPr>
          <w:w w:val="125"/>
          <w:sz w:val="24"/>
          <w:u w:val="dotted"/>
        </w:rPr>
        <w:t> </w:t>
        <w:tab/>
      </w:r>
      <w:r>
        <w:rPr>
          <w:w w:val="125"/>
          <w:sz w:val="24"/>
        </w:rPr>
        <w:t>164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5"/>
          <w:sz w:val="24"/>
        </w:rPr>
        <w:t>Éves</w:t>
      </w:r>
      <w:r>
        <w:rPr>
          <w:spacing w:val="1"/>
          <w:w w:val="125"/>
          <w:sz w:val="24"/>
        </w:rPr>
        <w:t> </w:t>
      </w:r>
      <w:r>
        <w:rPr>
          <w:w w:val="125"/>
          <w:sz w:val="24"/>
        </w:rPr>
        <w:t>díjfizetési</w:t>
      </w:r>
      <w:r>
        <w:rPr>
          <w:spacing w:val="3"/>
          <w:w w:val="125"/>
          <w:sz w:val="24"/>
        </w:rPr>
        <w:t> </w:t>
      </w:r>
      <w:r>
        <w:rPr>
          <w:w w:val="125"/>
          <w:sz w:val="24"/>
        </w:rPr>
        <w:t>kötelesség</w:t>
      </w:r>
      <w:r>
        <w:rPr>
          <w:w w:val="125"/>
          <w:sz w:val="24"/>
          <w:u w:val="dotted"/>
        </w:rPr>
        <w:t> </w:t>
        <w:tab/>
      </w:r>
      <w:r>
        <w:rPr>
          <w:w w:val="125"/>
          <w:sz w:val="24"/>
        </w:rPr>
        <w:t>164</w:t>
      </w:r>
    </w:p>
    <w:p>
      <w:pPr>
        <w:pStyle w:val="ListParagraph"/>
        <w:numPr>
          <w:ilvl w:val="0"/>
          <w:numId w:val="668"/>
        </w:numPr>
        <w:tabs>
          <w:tab w:pos="1772" w:val="left" w:leader="none"/>
          <w:tab w:pos="8806" w:val="left" w:leader="none"/>
        </w:tabs>
        <w:spacing w:line="240" w:lineRule="auto" w:before="24" w:after="0"/>
        <w:ind w:left="1771" w:right="0" w:hanging="458"/>
        <w:jc w:val="left"/>
        <w:rPr>
          <w:sz w:val="24"/>
        </w:rPr>
      </w:pPr>
      <w:r>
        <w:rPr>
          <w:w w:val="120"/>
          <w:sz w:val="24"/>
        </w:rPr>
        <w:t>A</w:t>
      </w:r>
      <w:r>
        <w:rPr>
          <w:spacing w:val="38"/>
          <w:w w:val="120"/>
          <w:sz w:val="24"/>
        </w:rPr>
        <w:t> </w:t>
      </w:r>
      <w:r>
        <w:rPr>
          <w:w w:val="120"/>
          <w:sz w:val="24"/>
        </w:rPr>
        <w:t>díjfizetés</w:t>
      </w:r>
      <w:r>
        <w:rPr>
          <w:spacing w:val="38"/>
          <w:w w:val="120"/>
          <w:sz w:val="24"/>
        </w:rPr>
        <w:t> </w:t>
      </w:r>
      <w:r>
        <w:rPr>
          <w:w w:val="120"/>
          <w:sz w:val="24"/>
        </w:rPr>
        <w:t>elszámolása</w:t>
      </w:r>
      <w:r>
        <w:rPr>
          <w:w w:val="120"/>
          <w:sz w:val="24"/>
          <w:u w:val="dotted"/>
        </w:rPr>
        <w:t> </w:t>
        <w:tab/>
      </w:r>
      <w:r>
        <w:rPr>
          <w:w w:val="120"/>
          <w:sz w:val="24"/>
        </w:rPr>
        <w:t>166</w:t>
      </w:r>
    </w:p>
    <w:p>
      <w:pPr>
        <w:pStyle w:val="ListParagraph"/>
        <w:numPr>
          <w:ilvl w:val="0"/>
          <w:numId w:val="668"/>
        </w:numPr>
        <w:tabs>
          <w:tab w:pos="1924" w:val="left" w:leader="none"/>
          <w:tab w:pos="8806" w:val="left" w:leader="none"/>
        </w:tabs>
        <w:spacing w:line="240" w:lineRule="auto" w:before="24" w:after="0"/>
        <w:ind w:left="1923" w:right="0" w:hanging="610"/>
        <w:jc w:val="left"/>
        <w:rPr>
          <w:sz w:val="24"/>
        </w:rPr>
      </w:pPr>
      <w:r>
        <w:rPr>
          <w:w w:val="125"/>
          <w:sz w:val="24"/>
        </w:rPr>
        <w:t>Csatlakozás</w:t>
      </w:r>
      <w:r>
        <w:rPr>
          <w:spacing w:val="-29"/>
          <w:w w:val="125"/>
          <w:sz w:val="24"/>
        </w:rPr>
        <w:t> </w:t>
      </w:r>
      <w:r>
        <w:rPr>
          <w:w w:val="125"/>
          <w:sz w:val="24"/>
        </w:rPr>
        <w:t>az</w:t>
      </w:r>
      <w:r>
        <w:rPr>
          <w:spacing w:val="-29"/>
          <w:w w:val="125"/>
          <w:sz w:val="24"/>
        </w:rPr>
        <w:t> </w:t>
      </w:r>
      <w:r>
        <w:rPr>
          <w:w w:val="125"/>
          <w:sz w:val="24"/>
        </w:rPr>
        <w:t>OBA-hoz</w:t>
      </w:r>
      <w:r>
        <w:rPr>
          <w:w w:val="125"/>
          <w:sz w:val="24"/>
          <w:u w:val="dotted"/>
        </w:rPr>
        <w:t> </w:t>
        <w:tab/>
      </w:r>
      <w:r>
        <w:rPr>
          <w:w w:val="125"/>
          <w:sz w:val="24"/>
        </w:rPr>
        <w:t>166</w:t>
      </w:r>
    </w:p>
    <w:p>
      <w:pPr>
        <w:pStyle w:val="ListParagraph"/>
        <w:numPr>
          <w:ilvl w:val="0"/>
          <w:numId w:val="668"/>
        </w:numPr>
        <w:tabs>
          <w:tab w:pos="1924" w:val="left" w:leader="none"/>
        </w:tabs>
        <w:spacing w:line="258" w:lineRule="exact" w:before="24" w:after="0"/>
        <w:ind w:left="1923" w:right="0" w:hanging="610"/>
        <w:jc w:val="left"/>
        <w:rPr>
          <w:sz w:val="24"/>
        </w:rPr>
      </w:pPr>
      <w:r>
        <w:rPr>
          <w:w w:val="125"/>
          <w:sz w:val="24"/>
        </w:rPr>
        <w:t>Intézkedések, szankciók kezdeményezése,</w:t>
      </w:r>
      <w:r>
        <w:rPr>
          <w:spacing w:val="50"/>
          <w:w w:val="125"/>
          <w:sz w:val="24"/>
        </w:rPr>
        <w:t> </w:t>
      </w:r>
      <w:r>
        <w:rPr>
          <w:w w:val="125"/>
          <w:sz w:val="24"/>
        </w:rPr>
        <w:t>az</w:t>
      </w:r>
    </w:p>
    <w:p>
      <w:pPr>
        <w:pStyle w:val="BodyText"/>
        <w:tabs>
          <w:tab w:pos="8806" w:val="left" w:leader="none"/>
        </w:tabs>
        <w:spacing w:line="258" w:lineRule="exact"/>
        <w:ind w:left="1313" w:firstLine="0"/>
      </w:pPr>
      <w:r>
        <w:rPr>
          <w:w w:val="125"/>
        </w:rPr>
        <w:t>OBA-val fennálló tagsági</w:t>
      </w:r>
      <w:r>
        <w:rPr>
          <w:spacing w:val="-39"/>
          <w:w w:val="125"/>
        </w:rPr>
        <w:t> </w:t>
      </w:r>
      <w:r>
        <w:rPr>
          <w:w w:val="125"/>
        </w:rPr>
        <w:t>viszony</w:t>
      </w:r>
      <w:r>
        <w:rPr>
          <w:spacing w:val="-14"/>
          <w:w w:val="125"/>
        </w:rPr>
        <w:t> </w:t>
      </w:r>
      <w:r>
        <w:rPr>
          <w:w w:val="125"/>
        </w:rPr>
        <w:t>megszüntetése</w:t>
      </w:r>
      <w:r>
        <w:rPr>
          <w:w w:val="125"/>
          <w:u w:val="dotted"/>
        </w:rPr>
        <w:t> </w:t>
        <w:tab/>
      </w:r>
      <w:r>
        <w:rPr>
          <w:w w:val="125"/>
        </w:rPr>
        <w:t>167</w:t>
      </w:r>
    </w:p>
    <w:p>
      <w:pPr>
        <w:pStyle w:val="ListParagraph"/>
        <w:numPr>
          <w:ilvl w:val="0"/>
          <w:numId w:val="667"/>
        </w:numPr>
        <w:tabs>
          <w:tab w:pos="1331" w:val="left" w:leader="none"/>
          <w:tab w:pos="8806" w:val="left" w:leader="none"/>
        </w:tabs>
        <w:spacing w:line="261" w:lineRule="auto" w:before="24" w:after="0"/>
        <w:ind w:left="913" w:right="526" w:firstLine="0"/>
        <w:jc w:val="left"/>
        <w:rPr>
          <w:sz w:val="24"/>
        </w:rPr>
      </w:pPr>
      <w:r>
        <w:rPr>
          <w:w w:val="130"/>
          <w:sz w:val="24"/>
        </w:rPr>
        <w:t>Fejezet</w:t>
      </w:r>
      <w:r>
        <w:rPr>
          <w:w w:val="130"/>
          <w:sz w:val="24"/>
          <w:u w:val="dotted"/>
        </w:rPr>
        <w:t> </w:t>
        <w:tab/>
      </w:r>
      <w:r>
        <w:rPr>
          <w:spacing w:val="-6"/>
          <w:w w:val="130"/>
          <w:sz w:val="24"/>
        </w:rPr>
        <w:t>168 </w:t>
      </w:r>
      <w:r>
        <w:rPr>
          <w:w w:val="130"/>
          <w:sz w:val="24"/>
        </w:rPr>
        <w:t>Önkéntes betét-</w:t>
      </w:r>
      <w:r>
        <w:rPr>
          <w:spacing w:val="-51"/>
          <w:w w:val="130"/>
          <w:sz w:val="24"/>
        </w:rPr>
        <w:t> </w:t>
      </w:r>
      <w:r>
        <w:rPr>
          <w:w w:val="130"/>
          <w:sz w:val="24"/>
        </w:rPr>
        <w:t>és</w:t>
      </w:r>
      <w:r>
        <w:rPr>
          <w:spacing w:val="-25"/>
          <w:w w:val="130"/>
          <w:sz w:val="24"/>
        </w:rPr>
        <w:t> </w:t>
      </w:r>
      <w:r>
        <w:rPr>
          <w:w w:val="130"/>
          <w:sz w:val="24"/>
        </w:rPr>
        <w:t>intézménybiztosítás</w:t>
      </w:r>
      <w:r>
        <w:rPr>
          <w:w w:val="130"/>
          <w:sz w:val="24"/>
          <w:u w:val="dotted"/>
        </w:rPr>
        <w:t> </w:t>
        <w:tab/>
      </w:r>
      <w:r>
        <w:rPr>
          <w:spacing w:val="-6"/>
          <w:w w:val="130"/>
          <w:sz w:val="24"/>
        </w:rPr>
        <w:t>168</w:t>
      </w:r>
    </w:p>
    <w:p>
      <w:pPr>
        <w:pStyle w:val="ListParagraph"/>
        <w:numPr>
          <w:ilvl w:val="0"/>
          <w:numId w:val="668"/>
        </w:numPr>
        <w:tabs>
          <w:tab w:pos="1924" w:val="left" w:leader="none"/>
          <w:tab w:pos="8806" w:val="left" w:leader="none"/>
        </w:tabs>
        <w:spacing w:line="274" w:lineRule="exact" w:before="0" w:after="0"/>
        <w:ind w:left="1923" w:right="0" w:hanging="610"/>
        <w:jc w:val="left"/>
        <w:rPr>
          <w:sz w:val="24"/>
        </w:rPr>
      </w:pPr>
      <w:r>
        <w:rPr>
          <w:w w:val="125"/>
          <w:sz w:val="24"/>
        </w:rPr>
        <w:t>Általános</w:t>
      </w:r>
      <w:r>
        <w:rPr>
          <w:spacing w:val="25"/>
          <w:w w:val="125"/>
          <w:sz w:val="24"/>
        </w:rPr>
        <w:t> </w:t>
      </w:r>
      <w:r>
        <w:rPr>
          <w:w w:val="125"/>
          <w:sz w:val="24"/>
        </w:rPr>
        <w:t>rendelkezések</w:t>
      </w:r>
      <w:r>
        <w:rPr>
          <w:w w:val="125"/>
          <w:sz w:val="24"/>
          <w:u w:val="dotted"/>
        </w:rPr>
        <w:t> </w:t>
        <w:tab/>
      </w:r>
      <w:r>
        <w:rPr>
          <w:w w:val="125"/>
          <w:sz w:val="24"/>
        </w:rPr>
        <w:t>168</w:t>
      </w:r>
    </w:p>
    <w:p>
      <w:pPr>
        <w:pStyle w:val="ListParagraph"/>
        <w:numPr>
          <w:ilvl w:val="0"/>
          <w:numId w:val="668"/>
        </w:numPr>
        <w:tabs>
          <w:tab w:pos="1924" w:val="left" w:leader="none"/>
          <w:tab w:pos="8806" w:val="left" w:leader="none"/>
        </w:tabs>
        <w:spacing w:line="240" w:lineRule="auto" w:before="24" w:after="0"/>
        <w:ind w:left="1923" w:right="0" w:hanging="610"/>
        <w:jc w:val="left"/>
        <w:rPr>
          <w:sz w:val="24"/>
        </w:rPr>
      </w:pPr>
      <w:r>
        <w:rPr>
          <w:w w:val="125"/>
          <w:sz w:val="24"/>
        </w:rPr>
        <w:t>Az önkéntes</w:t>
      </w:r>
      <w:r>
        <w:rPr>
          <w:spacing w:val="20"/>
          <w:w w:val="125"/>
          <w:sz w:val="24"/>
        </w:rPr>
        <w:t> </w:t>
      </w:r>
      <w:r>
        <w:rPr>
          <w:w w:val="125"/>
          <w:sz w:val="24"/>
        </w:rPr>
        <w:t>alap</w:t>
      </w:r>
      <w:r>
        <w:rPr>
          <w:spacing w:val="9"/>
          <w:w w:val="125"/>
          <w:sz w:val="24"/>
        </w:rPr>
        <w:t> </w:t>
      </w:r>
      <w:r>
        <w:rPr>
          <w:w w:val="125"/>
          <w:sz w:val="24"/>
        </w:rPr>
        <w:t>megalakítása</w:t>
      </w:r>
      <w:r>
        <w:rPr>
          <w:w w:val="125"/>
          <w:sz w:val="24"/>
          <w:u w:val="dotted"/>
        </w:rPr>
        <w:t> </w:t>
        <w:tab/>
      </w:r>
      <w:r>
        <w:rPr>
          <w:w w:val="125"/>
          <w:sz w:val="24"/>
        </w:rPr>
        <w:t>168</w:t>
      </w:r>
    </w:p>
    <w:p>
      <w:pPr>
        <w:pStyle w:val="ListParagraph"/>
        <w:numPr>
          <w:ilvl w:val="0"/>
          <w:numId w:val="668"/>
        </w:numPr>
        <w:tabs>
          <w:tab w:pos="1924" w:val="left" w:leader="none"/>
          <w:tab w:pos="8806" w:val="left" w:leader="none"/>
        </w:tabs>
        <w:spacing w:line="240" w:lineRule="auto" w:before="24" w:after="0"/>
        <w:ind w:left="1923" w:right="0" w:hanging="610"/>
        <w:jc w:val="left"/>
        <w:rPr>
          <w:sz w:val="24"/>
        </w:rPr>
      </w:pPr>
      <w:r>
        <w:rPr>
          <w:w w:val="125"/>
          <w:sz w:val="24"/>
        </w:rPr>
        <w:t>A létesítő</w:t>
      </w:r>
      <w:r>
        <w:rPr>
          <w:spacing w:val="-1"/>
          <w:w w:val="125"/>
          <w:sz w:val="24"/>
        </w:rPr>
        <w:t> </w:t>
      </w:r>
      <w:r>
        <w:rPr>
          <w:w w:val="125"/>
          <w:sz w:val="24"/>
        </w:rPr>
        <w:t>okirat</w:t>
      </w:r>
      <w:r>
        <w:rPr>
          <w:w w:val="125"/>
          <w:sz w:val="24"/>
          <w:u w:val="dotted"/>
        </w:rPr>
        <w:t> </w:t>
        <w:tab/>
      </w:r>
      <w:r>
        <w:rPr>
          <w:w w:val="125"/>
          <w:sz w:val="24"/>
        </w:rPr>
        <w:t>169</w:t>
      </w:r>
    </w:p>
    <w:p>
      <w:pPr>
        <w:pStyle w:val="ListParagraph"/>
        <w:numPr>
          <w:ilvl w:val="0"/>
          <w:numId w:val="668"/>
        </w:numPr>
        <w:tabs>
          <w:tab w:pos="1924" w:val="left" w:leader="none"/>
          <w:tab w:pos="8806" w:val="left" w:leader="none"/>
        </w:tabs>
        <w:spacing w:line="240" w:lineRule="auto" w:before="25" w:after="0"/>
        <w:ind w:left="1923" w:right="0" w:hanging="610"/>
        <w:jc w:val="left"/>
        <w:rPr>
          <w:sz w:val="24"/>
        </w:rPr>
      </w:pPr>
      <w:r>
        <w:rPr>
          <w:w w:val="120"/>
          <w:sz w:val="24"/>
        </w:rPr>
        <w:t>A</w:t>
      </w:r>
      <w:r>
        <w:rPr>
          <w:spacing w:val="28"/>
          <w:w w:val="120"/>
          <w:sz w:val="24"/>
        </w:rPr>
        <w:t> </w:t>
      </w:r>
      <w:r>
        <w:rPr>
          <w:w w:val="120"/>
          <w:sz w:val="24"/>
        </w:rPr>
        <w:t>tagok</w:t>
      </w:r>
      <w:r>
        <w:rPr>
          <w:spacing w:val="27"/>
          <w:w w:val="120"/>
          <w:sz w:val="24"/>
        </w:rPr>
        <w:t> </w:t>
      </w:r>
      <w:r>
        <w:rPr>
          <w:w w:val="120"/>
          <w:sz w:val="24"/>
        </w:rPr>
        <w:t>névjegyzéke</w:t>
      </w:r>
      <w:r>
        <w:rPr>
          <w:w w:val="120"/>
          <w:sz w:val="24"/>
          <w:u w:val="dotted"/>
        </w:rPr>
        <w:t> </w:t>
        <w:tab/>
      </w:r>
      <w:r>
        <w:rPr>
          <w:w w:val="120"/>
          <w:sz w:val="24"/>
        </w:rPr>
        <w:t>170</w:t>
      </w:r>
    </w:p>
    <w:p>
      <w:pPr>
        <w:pStyle w:val="BodyText"/>
        <w:tabs>
          <w:tab w:pos="8806" w:val="left" w:leader="none"/>
        </w:tabs>
        <w:spacing w:before="24"/>
        <w:ind w:left="1313" w:firstLine="0"/>
      </w:pPr>
      <w:r>
        <w:rPr>
          <w:w w:val="125"/>
        </w:rPr>
        <w:t>106.</w:t>
      </w:r>
      <w:r>
        <w:rPr>
          <w:spacing w:val="-18"/>
          <w:w w:val="125"/>
        </w:rPr>
        <w:t> </w:t>
      </w:r>
      <w:r>
        <w:rPr>
          <w:w w:val="125"/>
        </w:rPr>
        <w:t>Közgyűlés</w:t>
      </w:r>
      <w:r>
        <w:rPr>
          <w:w w:val="125"/>
          <w:u w:val="dotted"/>
        </w:rPr>
        <w:t> </w:t>
        <w:tab/>
      </w:r>
      <w:r>
        <w:rPr>
          <w:w w:val="125"/>
        </w:rPr>
        <w:t>170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Igazgatóság</w:t>
      </w:r>
      <w:r>
        <w:rPr>
          <w:w w:val="130"/>
          <w:sz w:val="24"/>
          <w:u w:val="dotted"/>
        </w:rPr>
        <w:t> </w:t>
        <w:tab/>
      </w:r>
      <w:r>
        <w:rPr>
          <w:w w:val="130"/>
          <w:sz w:val="24"/>
        </w:rPr>
        <w:t>170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Felügyelő</w:t>
      </w:r>
      <w:r>
        <w:rPr>
          <w:spacing w:val="6"/>
          <w:w w:val="125"/>
          <w:sz w:val="24"/>
        </w:rPr>
        <w:t> </w:t>
      </w:r>
      <w:r>
        <w:rPr>
          <w:w w:val="125"/>
          <w:sz w:val="24"/>
        </w:rPr>
        <w:t>bizottság</w:t>
      </w:r>
      <w:r>
        <w:rPr>
          <w:w w:val="125"/>
          <w:sz w:val="24"/>
          <w:u w:val="dotted"/>
        </w:rPr>
        <w:t> </w:t>
        <w:tab/>
      </w:r>
      <w:r>
        <w:rPr>
          <w:w w:val="125"/>
          <w:sz w:val="24"/>
        </w:rPr>
        <w:t>171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0"/>
          <w:sz w:val="24"/>
        </w:rPr>
        <w:t>Könyvvizsgáló</w:t>
      </w:r>
      <w:r>
        <w:rPr>
          <w:w w:val="120"/>
          <w:sz w:val="24"/>
          <w:u w:val="dotted"/>
        </w:rPr>
        <w:t> </w:t>
        <w:tab/>
      </w:r>
      <w:r>
        <w:rPr>
          <w:w w:val="120"/>
          <w:sz w:val="24"/>
        </w:rPr>
        <w:t>172</w:t>
      </w:r>
    </w:p>
    <w:p>
      <w:pPr>
        <w:pStyle w:val="ListParagraph"/>
        <w:numPr>
          <w:ilvl w:val="0"/>
          <w:numId w:val="669"/>
        </w:numPr>
        <w:tabs>
          <w:tab w:pos="1924" w:val="left" w:leader="none"/>
        </w:tabs>
        <w:spacing w:line="258" w:lineRule="exact" w:before="24" w:after="0"/>
        <w:ind w:left="1923" w:right="0" w:hanging="610"/>
        <w:jc w:val="left"/>
        <w:rPr>
          <w:sz w:val="24"/>
        </w:rPr>
      </w:pPr>
      <w:r>
        <w:rPr>
          <w:w w:val="125"/>
          <w:sz w:val="24"/>
        </w:rPr>
        <w:t>Az önkéntes alap döntésével</w:t>
      </w:r>
      <w:r>
        <w:rPr>
          <w:spacing w:val="4"/>
          <w:w w:val="125"/>
          <w:sz w:val="24"/>
        </w:rPr>
        <w:t> </w:t>
      </w:r>
      <w:r>
        <w:rPr>
          <w:w w:val="125"/>
          <w:sz w:val="24"/>
        </w:rPr>
        <w:t>szembeni</w:t>
      </w:r>
    </w:p>
    <w:p>
      <w:pPr>
        <w:pStyle w:val="BodyText"/>
        <w:tabs>
          <w:tab w:pos="8806" w:val="left" w:leader="none"/>
        </w:tabs>
        <w:spacing w:line="258" w:lineRule="exact"/>
        <w:ind w:left="1313" w:firstLine="0"/>
      </w:pPr>
      <w:r>
        <w:rPr>
          <w:w w:val="125"/>
        </w:rPr>
        <w:t>jogorvoslat</w:t>
      </w:r>
      <w:r>
        <w:rPr>
          <w:w w:val="125"/>
          <w:u w:val="dotted"/>
        </w:rPr>
        <w:t> </w:t>
        <w:tab/>
      </w:r>
      <w:r>
        <w:rPr>
          <w:w w:val="125"/>
        </w:rPr>
        <w:t>172</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Az</w:t>
      </w:r>
      <w:r>
        <w:rPr>
          <w:spacing w:val="-16"/>
          <w:w w:val="130"/>
          <w:sz w:val="24"/>
        </w:rPr>
        <w:t> </w:t>
      </w:r>
      <w:r>
        <w:rPr>
          <w:w w:val="130"/>
          <w:sz w:val="24"/>
        </w:rPr>
        <w:t>önkéntes</w:t>
      </w:r>
      <w:r>
        <w:rPr>
          <w:spacing w:val="-16"/>
          <w:w w:val="130"/>
          <w:sz w:val="24"/>
        </w:rPr>
        <w:t> </w:t>
      </w:r>
      <w:r>
        <w:rPr>
          <w:w w:val="130"/>
          <w:sz w:val="24"/>
        </w:rPr>
        <w:t>alap</w:t>
      </w:r>
      <w:r>
        <w:rPr>
          <w:spacing w:val="-16"/>
          <w:w w:val="130"/>
          <w:sz w:val="24"/>
        </w:rPr>
        <w:t> </w:t>
      </w:r>
      <w:r>
        <w:rPr>
          <w:w w:val="130"/>
          <w:sz w:val="24"/>
        </w:rPr>
        <w:t>által</w:t>
      </w:r>
      <w:r>
        <w:rPr>
          <w:spacing w:val="-17"/>
          <w:w w:val="130"/>
          <w:sz w:val="24"/>
        </w:rPr>
        <w:t> </w:t>
      </w:r>
      <w:r>
        <w:rPr>
          <w:w w:val="130"/>
          <w:sz w:val="24"/>
        </w:rPr>
        <w:t>adható</w:t>
      </w:r>
      <w:r>
        <w:rPr>
          <w:spacing w:val="-16"/>
          <w:w w:val="130"/>
          <w:sz w:val="24"/>
        </w:rPr>
        <w:t> </w:t>
      </w:r>
      <w:r>
        <w:rPr>
          <w:w w:val="130"/>
          <w:sz w:val="24"/>
        </w:rPr>
        <w:t>támogatás</w:t>
      </w:r>
      <w:r>
        <w:rPr>
          <w:w w:val="130"/>
          <w:sz w:val="24"/>
          <w:u w:val="dotted"/>
        </w:rPr>
        <w:t> </w:t>
        <w:tab/>
      </w:r>
      <w:r>
        <w:rPr>
          <w:w w:val="130"/>
          <w:sz w:val="24"/>
        </w:rPr>
        <w:t>172</w:t>
      </w:r>
    </w:p>
    <w:p>
      <w:pPr>
        <w:pStyle w:val="ListParagraph"/>
        <w:numPr>
          <w:ilvl w:val="0"/>
          <w:numId w:val="669"/>
        </w:numPr>
        <w:tabs>
          <w:tab w:pos="1924" w:val="left" w:leader="none"/>
          <w:tab w:pos="8806" w:val="left" w:leader="none"/>
        </w:tabs>
        <w:spacing w:line="261" w:lineRule="auto" w:before="24" w:after="0"/>
        <w:ind w:left="913" w:right="526" w:firstLine="400"/>
        <w:jc w:val="both"/>
        <w:rPr>
          <w:sz w:val="24"/>
        </w:rPr>
      </w:pPr>
      <w:r>
        <w:rPr>
          <w:w w:val="125"/>
          <w:sz w:val="24"/>
        </w:rPr>
        <w:t>Kötelező</w:t>
      </w:r>
      <w:r>
        <w:rPr>
          <w:spacing w:val="-8"/>
          <w:w w:val="125"/>
          <w:sz w:val="24"/>
        </w:rPr>
        <w:t> </w:t>
      </w:r>
      <w:r>
        <w:rPr>
          <w:w w:val="125"/>
          <w:sz w:val="24"/>
        </w:rPr>
        <w:t>intézményvédelmi</w:t>
      </w:r>
      <w:r>
        <w:rPr>
          <w:spacing w:val="-9"/>
          <w:w w:val="125"/>
          <w:sz w:val="24"/>
        </w:rPr>
        <w:t> </w:t>
      </w:r>
      <w:r>
        <w:rPr>
          <w:w w:val="125"/>
          <w:sz w:val="24"/>
        </w:rPr>
        <w:t>szervezet</w:t>
      </w:r>
      <w:r>
        <w:rPr>
          <w:w w:val="125"/>
          <w:sz w:val="24"/>
          <w:u w:val="dotted"/>
        </w:rPr>
        <w:t> </w:t>
        <w:tab/>
      </w:r>
      <w:r>
        <w:rPr>
          <w:spacing w:val="-6"/>
          <w:w w:val="125"/>
          <w:sz w:val="24"/>
        </w:rPr>
        <w:t>173 </w:t>
      </w:r>
      <w:r>
        <w:rPr>
          <w:w w:val="125"/>
          <w:sz w:val="24"/>
        </w:rPr>
        <w:t>XI/A.</w:t>
      </w:r>
      <w:r>
        <w:rPr>
          <w:spacing w:val="-29"/>
          <w:w w:val="125"/>
          <w:sz w:val="24"/>
        </w:rPr>
        <w:t> </w:t>
      </w:r>
      <w:r>
        <w:rPr>
          <w:w w:val="125"/>
          <w:sz w:val="24"/>
        </w:rPr>
        <w:t>Fejezet</w:t>
      </w:r>
      <w:r>
        <w:rPr>
          <w:w w:val="125"/>
          <w:sz w:val="24"/>
          <w:u w:val="dotted"/>
        </w:rPr>
        <w:t> </w:t>
        <w:tab/>
      </w:r>
      <w:r>
        <w:rPr>
          <w:spacing w:val="-6"/>
          <w:w w:val="125"/>
          <w:sz w:val="24"/>
        </w:rPr>
        <w:t>173 </w:t>
      </w:r>
      <w:r>
        <w:rPr>
          <w:w w:val="125"/>
          <w:sz w:val="24"/>
        </w:rPr>
        <w:t>Csoporton belüli</w:t>
      </w:r>
      <w:r>
        <w:rPr>
          <w:spacing w:val="21"/>
          <w:w w:val="125"/>
          <w:sz w:val="24"/>
        </w:rPr>
        <w:t> </w:t>
      </w:r>
      <w:r>
        <w:rPr>
          <w:w w:val="125"/>
          <w:sz w:val="24"/>
        </w:rPr>
        <w:t>pénzügyi</w:t>
      </w:r>
      <w:r>
        <w:rPr>
          <w:spacing w:val="11"/>
          <w:w w:val="125"/>
          <w:sz w:val="24"/>
        </w:rPr>
        <w:t> </w:t>
      </w:r>
      <w:r>
        <w:rPr>
          <w:w w:val="125"/>
          <w:sz w:val="24"/>
        </w:rPr>
        <w:t>támogatás</w:t>
      </w:r>
      <w:r>
        <w:rPr>
          <w:w w:val="125"/>
          <w:sz w:val="24"/>
          <w:u w:val="dotted"/>
        </w:rPr>
        <w:t> </w:t>
        <w:tab/>
      </w:r>
      <w:r>
        <w:rPr>
          <w:spacing w:val="-6"/>
          <w:w w:val="125"/>
          <w:sz w:val="24"/>
        </w:rPr>
        <w:t>173</w:t>
      </w:r>
    </w:p>
    <w:p>
      <w:pPr>
        <w:pStyle w:val="BodyText"/>
        <w:spacing w:line="256" w:lineRule="exact"/>
        <w:ind w:left="1313" w:firstLine="0"/>
      </w:pPr>
      <w:r>
        <w:rPr>
          <w:w w:val="125"/>
        </w:rPr>
        <w:t>112/A. Csoportszintű pénzügyi támogatási</w:t>
      </w:r>
    </w:p>
    <w:p>
      <w:pPr>
        <w:pStyle w:val="BodyText"/>
        <w:tabs>
          <w:tab w:pos="8806" w:val="left" w:leader="none"/>
        </w:tabs>
        <w:spacing w:line="258" w:lineRule="exact"/>
        <w:ind w:left="1313" w:firstLine="0"/>
      </w:pPr>
      <w:r>
        <w:rPr>
          <w:w w:val="125"/>
        </w:rPr>
        <w:t>megállapodás</w:t>
      </w:r>
      <w:r>
        <w:rPr>
          <w:w w:val="125"/>
          <w:u w:val="dotted"/>
        </w:rPr>
        <w:t> </w:t>
        <w:tab/>
      </w:r>
      <w:r>
        <w:rPr>
          <w:w w:val="125"/>
        </w:rPr>
        <w:t>173</w:t>
      </w:r>
    </w:p>
    <w:p>
      <w:pPr>
        <w:pStyle w:val="BodyText"/>
        <w:spacing w:line="258" w:lineRule="exact" w:before="24"/>
        <w:ind w:left="1313" w:firstLine="0"/>
      </w:pPr>
      <w:r>
        <w:rPr>
          <w:w w:val="125"/>
        </w:rPr>
        <w:t>112/B. A csoporton belüli pénzügyi támogatás</w:t>
      </w:r>
    </w:p>
    <w:p>
      <w:pPr>
        <w:pStyle w:val="BodyText"/>
        <w:tabs>
          <w:tab w:pos="8806" w:val="left" w:leader="none"/>
        </w:tabs>
        <w:spacing w:line="258" w:lineRule="exact"/>
        <w:ind w:left="1313" w:firstLine="0"/>
      </w:pPr>
      <w:r>
        <w:rPr>
          <w:w w:val="130"/>
        </w:rPr>
        <w:t>nyújtása</w:t>
      </w:r>
      <w:r>
        <w:rPr>
          <w:w w:val="130"/>
          <w:u w:val="dotted"/>
        </w:rPr>
        <w:t> </w:t>
        <w:tab/>
      </w:r>
      <w:r>
        <w:rPr>
          <w:w w:val="130"/>
        </w:rPr>
        <w:t>175</w:t>
      </w:r>
    </w:p>
    <w:p>
      <w:pPr>
        <w:pStyle w:val="ListParagraph"/>
        <w:numPr>
          <w:ilvl w:val="0"/>
          <w:numId w:val="667"/>
        </w:numPr>
        <w:tabs>
          <w:tab w:pos="1425" w:val="left" w:leader="none"/>
          <w:tab w:pos="8806" w:val="left" w:leader="none"/>
        </w:tabs>
        <w:spacing w:line="261" w:lineRule="auto" w:before="24" w:after="0"/>
        <w:ind w:left="913" w:right="526" w:firstLine="0"/>
        <w:jc w:val="left"/>
        <w:rPr>
          <w:sz w:val="24"/>
        </w:rPr>
      </w:pPr>
      <w:r>
        <w:rPr>
          <w:w w:val="125"/>
          <w:sz w:val="24"/>
        </w:rPr>
        <w:t>Fejezet</w:t>
      </w:r>
      <w:r>
        <w:rPr>
          <w:w w:val="125"/>
          <w:sz w:val="24"/>
          <w:u w:val="dotted"/>
        </w:rPr>
        <w:t> </w:t>
        <w:tab/>
      </w:r>
      <w:r>
        <w:rPr>
          <w:spacing w:val="-6"/>
          <w:w w:val="125"/>
          <w:sz w:val="24"/>
        </w:rPr>
        <w:t>176 </w:t>
      </w:r>
      <w:r>
        <w:rPr>
          <w:w w:val="125"/>
          <w:sz w:val="24"/>
        </w:rPr>
        <w:t>A pénzügyi intézmények számvitele</w:t>
      </w:r>
      <w:r>
        <w:rPr>
          <w:spacing w:val="-38"/>
          <w:w w:val="125"/>
          <w:sz w:val="24"/>
        </w:rPr>
        <w:t> </w:t>
      </w:r>
      <w:r>
        <w:rPr>
          <w:w w:val="125"/>
          <w:sz w:val="24"/>
        </w:rPr>
        <w:t>és</w:t>
      </w:r>
      <w:r>
        <w:rPr>
          <w:spacing w:val="-10"/>
          <w:w w:val="125"/>
          <w:sz w:val="24"/>
        </w:rPr>
        <w:t> </w:t>
      </w:r>
      <w:r>
        <w:rPr>
          <w:w w:val="125"/>
          <w:sz w:val="24"/>
        </w:rPr>
        <w:t>könyvvizsgálata</w:t>
      </w:r>
      <w:r>
        <w:rPr>
          <w:w w:val="125"/>
          <w:sz w:val="24"/>
          <w:u w:val="dotted"/>
        </w:rPr>
        <w:t> </w:t>
        <w:tab/>
      </w:r>
      <w:r>
        <w:rPr>
          <w:spacing w:val="-6"/>
          <w:w w:val="125"/>
          <w:sz w:val="24"/>
        </w:rPr>
        <w:t>176</w:t>
      </w:r>
    </w:p>
    <w:p>
      <w:pPr>
        <w:pStyle w:val="ListParagraph"/>
        <w:numPr>
          <w:ilvl w:val="0"/>
          <w:numId w:val="669"/>
        </w:numPr>
        <w:tabs>
          <w:tab w:pos="1924" w:val="left" w:leader="none"/>
          <w:tab w:pos="8806" w:val="left" w:leader="none"/>
        </w:tabs>
        <w:spacing w:line="274" w:lineRule="exact" w:before="0" w:after="0"/>
        <w:ind w:left="1923" w:right="0" w:hanging="610"/>
        <w:jc w:val="left"/>
        <w:rPr>
          <w:sz w:val="24"/>
        </w:rPr>
      </w:pPr>
      <w:r>
        <w:rPr>
          <w:w w:val="125"/>
          <w:sz w:val="24"/>
        </w:rPr>
        <w:t>Könyvvezetés</w:t>
      </w:r>
      <w:r>
        <w:rPr>
          <w:w w:val="125"/>
          <w:sz w:val="24"/>
          <w:u w:val="dotted"/>
        </w:rPr>
        <w:t> </w:t>
        <w:tab/>
      </w:r>
      <w:r>
        <w:rPr>
          <w:w w:val="125"/>
          <w:sz w:val="24"/>
        </w:rPr>
        <w:t>176</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Könyvvizsgálat</w:t>
      </w:r>
      <w:r>
        <w:rPr>
          <w:w w:val="125"/>
          <w:sz w:val="24"/>
          <w:u w:val="dotted"/>
        </w:rPr>
        <w:t> </w:t>
        <w:tab/>
      </w:r>
      <w:r>
        <w:rPr>
          <w:w w:val="125"/>
          <w:sz w:val="24"/>
        </w:rPr>
        <w:t>177</w:t>
      </w:r>
    </w:p>
    <w:p>
      <w:pPr>
        <w:pStyle w:val="ListParagraph"/>
        <w:numPr>
          <w:ilvl w:val="0"/>
          <w:numId w:val="667"/>
        </w:numPr>
        <w:tabs>
          <w:tab w:pos="1520" w:val="left" w:leader="none"/>
          <w:tab w:pos="8806" w:val="left" w:leader="none"/>
        </w:tabs>
        <w:spacing w:line="261" w:lineRule="auto" w:before="24" w:after="0"/>
        <w:ind w:left="913" w:right="526" w:firstLine="0"/>
        <w:jc w:val="left"/>
        <w:rPr>
          <w:sz w:val="24"/>
        </w:rPr>
      </w:pPr>
      <w:r>
        <w:rPr>
          <w:w w:val="125"/>
          <w:sz w:val="24"/>
        </w:rPr>
        <w:t>Fejezet</w:t>
      </w:r>
      <w:r>
        <w:rPr>
          <w:w w:val="125"/>
          <w:sz w:val="24"/>
          <w:u w:val="dotted"/>
        </w:rPr>
        <w:t> </w:t>
        <w:tab/>
      </w:r>
      <w:r>
        <w:rPr>
          <w:spacing w:val="-6"/>
          <w:w w:val="125"/>
          <w:sz w:val="24"/>
        </w:rPr>
        <w:t>179 </w:t>
      </w:r>
      <w:r>
        <w:rPr>
          <w:w w:val="125"/>
          <w:sz w:val="24"/>
        </w:rPr>
        <w:t>Ügyfelek</w:t>
      </w:r>
      <w:r>
        <w:rPr>
          <w:spacing w:val="-14"/>
          <w:w w:val="125"/>
          <w:sz w:val="24"/>
        </w:rPr>
        <w:t> </w:t>
      </w:r>
      <w:r>
        <w:rPr>
          <w:w w:val="125"/>
          <w:sz w:val="24"/>
        </w:rPr>
        <w:t>védelme</w:t>
      </w:r>
      <w:r>
        <w:rPr>
          <w:w w:val="125"/>
          <w:sz w:val="24"/>
          <w:u w:val="dotted"/>
        </w:rPr>
        <w:t> </w:t>
        <w:tab/>
      </w:r>
      <w:r>
        <w:rPr>
          <w:spacing w:val="-6"/>
          <w:w w:val="125"/>
          <w:sz w:val="24"/>
        </w:rPr>
        <w:t>180</w:t>
      </w:r>
    </w:p>
    <w:p>
      <w:pPr>
        <w:pStyle w:val="ListParagraph"/>
        <w:numPr>
          <w:ilvl w:val="0"/>
          <w:numId w:val="669"/>
        </w:numPr>
        <w:tabs>
          <w:tab w:pos="1924" w:val="left" w:leader="none"/>
          <w:tab w:pos="8806" w:val="left" w:leader="none"/>
        </w:tabs>
        <w:spacing w:line="274" w:lineRule="exact" w:before="0" w:after="0"/>
        <w:ind w:left="1923" w:right="0" w:hanging="610"/>
        <w:jc w:val="left"/>
        <w:rPr>
          <w:sz w:val="24"/>
        </w:rPr>
      </w:pPr>
      <w:r>
        <w:rPr>
          <w:w w:val="125"/>
          <w:sz w:val="24"/>
        </w:rPr>
        <w:t>Általános</w:t>
      </w:r>
      <w:r>
        <w:rPr>
          <w:spacing w:val="25"/>
          <w:w w:val="125"/>
          <w:sz w:val="24"/>
        </w:rPr>
        <w:t> </w:t>
      </w:r>
      <w:r>
        <w:rPr>
          <w:w w:val="125"/>
          <w:sz w:val="24"/>
        </w:rPr>
        <w:t>rendelkezések</w:t>
      </w:r>
      <w:r>
        <w:rPr>
          <w:w w:val="125"/>
          <w:sz w:val="24"/>
          <w:u w:val="dotted"/>
        </w:rPr>
        <w:t> </w:t>
        <w:tab/>
      </w:r>
      <w:r>
        <w:rPr>
          <w:w w:val="125"/>
          <w:sz w:val="24"/>
        </w:rPr>
        <w:t>180</w:t>
      </w:r>
    </w:p>
    <w:p>
      <w:pPr>
        <w:pStyle w:val="ListParagraph"/>
        <w:numPr>
          <w:ilvl w:val="0"/>
          <w:numId w:val="669"/>
        </w:numPr>
        <w:tabs>
          <w:tab w:pos="1924" w:val="left" w:leader="none"/>
        </w:tabs>
        <w:spacing w:line="258" w:lineRule="exact" w:before="24" w:after="0"/>
        <w:ind w:left="1923" w:right="0" w:hanging="610"/>
        <w:jc w:val="left"/>
        <w:rPr>
          <w:sz w:val="24"/>
        </w:rPr>
      </w:pPr>
      <w:r>
        <w:rPr>
          <w:w w:val="120"/>
          <w:sz w:val="24"/>
        </w:rPr>
        <w:t>A kereskedelmi kommunikációra</w:t>
      </w:r>
      <w:r>
        <w:rPr>
          <w:spacing w:val="21"/>
          <w:w w:val="120"/>
          <w:sz w:val="24"/>
        </w:rPr>
        <w:t> </w:t>
      </w:r>
      <w:r>
        <w:rPr>
          <w:w w:val="120"/>
          <w:sz w:val="24"/>
        </w:rPr>
        <w:t>vonatkozó</w:t>
      </w:r>
    </w:p>
    <w:p>
      <w:pPr>
        <w:pStyle w:val="BodyText"/>
        <w:tabs>
          <w:tab w:pos="8806" w:val="left" w:leader="none"/>
        </w:tabs>
        <w:spacing w:line="258" w:lineRule="exact"/>
        <w:ind w:left="1313" w:firstLine="0"/>
      </w:pPr>
      <w:r>
        <w:rPr>
          <w:w w:val="125"/>
        </w:rPr>
        <w:t>különös</w:t>
      </w:r>
      <w:r>
        <w:rPr>
          <w:spacing w:val="13"/>
          <w:w w:val="125"/>
        </w:rPr>
        <w:t> </w:t>
      </w:r>
      <w:r>
        <w:rPr>
          <w:w w:val="125"/>
        </w:rPr>
        <w:t>rendelkezések</w:t>
      </w:r>
      <w:r>
        <w:rPr>
          <w:w w:val="125"/>
          <w:u w:val="dotted"/>
        </w:rPr>
        <w:t> </w:t>
        <w:tab/>
      </w:r>
      <w:r>
        <w:rPr>
          <w:w w:val="125"/>
        </w:rPr>
        <w:t>180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Az</w:t>
      </w:r>
      <w:r>
        <w:rPr>
          <w:spacing w:val="-3"/>
          <w:w w:val="125"/>
          <w:sz w:val="24"/>
        </w:rPr>
        <w:t> </w:t>
      </w:r>
      <w:r>
        <w:rPr>
          <w:w w:val="125"/>
          <w:sz w:val="24"/>
        </w:rPr>
        <w:t>ügyfelek</w:t>
      </w:r>
      <w:r>
        <w:rPr>
          <w:spacing w:val="-2"/>
          <w:w w:val="125"/>
          <w:sz w:val="24"/>
        </w:rPr>
        <w:t> </w:t>
      </w:r>
      <w:r>
        <w:rPr>
          <w:w w:val="125"/>
          <w:sz w:val="24"/>
        </w:rPr>
        <w:t>tájékoztatása</w:t>
      </w:r>
      <w:r>
        <w:rPr>
          <w:w w:val="125"/>
          <w:sz w:val="24"/>
          <w:u w:val="dotted"/>
        </w:rPr>
        <w:t> </w:t>
        <w:tab/>
      </w:r>
      <w:r>
        <w:rPr>
          <w:w w:val="125"/>
          <w:sz w:val="24"/>
        </w:rPr>
        <w:t>180</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A</w:t>
      </w:r>
      <w:r>
        <w:rPr>
          <w:spacing w:val="36"/>
          <w:w w:val="125"/>
          <w:sz w:val="24"/>
        </w:rPr>
        <w:t> </w:t>
      </w:r>
      <w:r>
        <w:rPr>
          <w:w w:val="125"/>
          <w:sz w:val="24"/>
        </w:rPr>
        <w:t>betétesek</w:t>
      </w:r>
      <w:r>
        <w:rPr>
          <w:spacing w:val="37"/>
          <w:w w:val="125"/>
          <w:sz w:val="24"/>
        </w:rPr>
        <w:t> </w:t>
      </w:r>
      <w:r>
        <w:rPr>
          <w:w w:val="125"/>
          <w:sz w:val="24"/>
        </w:rPr>
        <w:t>tájékoztatása</w:t>
      </w:r>
      <w:r>
        <w:rPr>
          <w:w w:val="125"/>
          <w:sz w:val="24"/>
          <w:u w:val="dotted"/>
        </w:rPr>
        <w:t> </w:t>
        <w:tab/>
      </w:r>
      <w:r>
        <w:rPr>
          <w:w w:val="125"/>
          <w:sz w:val="24"/>
        </w:rPr>
        <w:t>181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Időszakos</w:t>
      </w:r>
      <w:r>
        <w:rPr>
          <w:spacing w:val="47"/>
          <w:w w:val="125"/>
          <w:sz w:val="24"/>
        </w:rPr>
        <w:t> </w:t>
      </w:r>
      <w:r>
        <w:rPr>
          <w:w w:val="125"/>
          <w:sz w:val="24"/>
        </w:rPr>
        <w:t>tájékoztatás</w:t>
      </w:r>
      <w:r>
        <w:rPr>
          <w:w w:val="125"/>
          <w:sz w:val="24"/>
          <w:u w:val="dotted"/>
        </w:rPr>
        <w:t> </w:t>
        <w:tab/>
      </w:r>
      <w:r>
        <w:rPr>
          <w:w w:val="125"/>
          <w:sz w:val="24"/>
        </w:rPr>
        <w:t>182</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Üzletszabályzat</w:t>
      </w:r>
      <w:r>
        <w:rPr>
          <w:w w:val="125"/>
          <w:sz w:val="24"/>
          <w:u w:val="dotted"/>
        </w:rPr>
        <w:t> </w:t>
        <w:tab/>
      </w:r>
      <w:r>
        <w:rPr>
          <w:w w:val="125"/>
          <w:sz w:val="24"/>
        </w:rPr>
        <w:t>182</w:t>
      </w:r>
    </w:p>
    <w:p>
      <w:pPr>
        <w:spacing w:after="0" w:line="240" w:lineRule="auto"/>
        <w:jc w:val="left"/>
        <w:rPr>
          <w:sz w:val="24"/>
        </w:rPr>
        <w:sectPr>
          <w:pgSz w:w="11900" w:h="16820"/>
          <w:pgMar w:header="1104" w:footer="0" w:top="1840" w:bottom="280" w:left="1020" w:right="1000"/>
        </w:sectPr>
      </w:pPr>
    </w:p>
    <w:p>
      <w:pPr>
        <w:pStyle w:val="ListParagraph"/>
        <w:numPr>
          <w:ilvl w:val="0"/>
          <w:numId w:val="669"/>
        </w:numPr>
        <w:tabs>
          <w:tab w:pos="1924" w:val="left" w:leader="none"/>
        </w:tabs>
        <w:spacing w:line="258" w:lineRule="exact" w:before="139" w:after="0"/>
        <w:ind w:left="1923" w:right="0" w:hanging="610"/>
        <w:jc w:val="left"/>
        <w:rPr>
          <w:sz w:val="24"/>
        </w:rPr>
      </w:pPr>
      <w:r>
        <w:rPr>
          <w:w w:val="125"/>
          <w:sz w:val="24"/>
        </w:rPr>
        <w:t>Egyes szerződésekre vonatkozó</w:t>
      </w:r>
      <w:r>
        <w:rPr>
          <w:spacing w:val="1"/>
          <w:w w:val="125"/>
          <w:sz w:val="24"/>
        </w:rPr>
        <w:t> </w:t>
      </w:r>
      <w:r>
        <w:rPr>
          <w:w w:val="125"/>
          <w:sz w:val="24"/>
        </w:rPr>
        <w:t>különös</w:t>
      </w:r>
    </w:p>
    <w:p>
      <w:pPr>
        <w:pStyle w:val="BodyText"/>
        <w:tabs>
          <w:tab w:pos="8806" w:val="left" w:leader="none"/>
        </w:tabs>
        <w:spacing w:line="258" w:lineRule="exact"/>
        <w:ind w:left="1313" w:firstLine="0"/>
      </w:pPr>
      <w:r>
        <w:rPr>
          <w:w w:val="130"/>
        </w:rPr>
        <w:t>rendelkezések</w:t>
      </w:r>
      <w:r>
        <w:rPr>
          <w:w w:val="130"/>
          <w:u w:val="dotted"/>
        </w:rPr>
        <w:t> </w:t>
        <w:tab/>
      </w:r>
      <w:r>
        <w:rPr>
          <w:w w:val="130"/>
        </w:rPr>
        <w:t>183</w:t>
      </w:r>
    </w:p>
    <w:p>
      <w:pPr>
        <w:pStyle w:val="ListParagraph"/>
        <w:numPr>
          <w:ilvl w:val="0"/>
          <w:numId w:val="669"/>
        </w:numPr>
        <w:tabs>
          <w:tab w:pos="1924" w:val="left" w:leader="none"/>
        </w:tabs>
        <w:spacing w:line="258" w:lineRule="exact" w:before="24" w:after="0"/>
        <w:ind w:left="1923" w:right="0" w:hanging="610"/>
        <w:jc w:val="left"/>
        <w:rPr>
          <w:sz w:val="24"/>
        </w:rPr>
      </w:pPr>
      <w:r>
        <w:rPr>
          <w:w w:val="125"/>
          <w:sz w:val="24"/>
        </w:rPr>
        <w:t>Pénzügyi szolgáltatásokhoz történő</w:t>
      </w:r>
      <w:r>
        <w:rPr>
          <w:spacing w:val="2"/>
          <w:w w:val="125"/>
          <w:sz w:val="24"/>
        </w:rPr>
        <w:t> </w:t>
      </w:r>
      <w:r>
        <w:rPr>
          <w:w w:val="125"/>
          <w:sz w:val="24"/>
        </w:rPr>
        <w:t>egyenlő</w:t>
      </w:r>
    </w:p>
    <w:p>
      <w:pPr>
        <w:pStyle w:val="BodyText"/>
        <w:tabs>
          <w:tab w:pos="8806" w:val="left" w:leader="none"/>
        </w:tabs>
        <w:spacing w:line="258" w:lineRule="exact"/>
        <w:ind w:left="1313" w:firstLine="0"/>
      </w:pPr>
      <w:r>
        <w:rPr>
          <w:w w:val="125"/>
        </w:rPr>
        <w:t>esélyű</w:t>
      </w:r>
      <w:r>
        <w:rPr>
          <w:spacing w:val="5"/>
          <w:w w:val="125"/>
        </w:rPr>
        <w:t> </w:t>
      </w:r>
      <w:r>
        <w:rPr>
          <w:w w:val="125"/>
        </w:rPr>
        <w:t>hozzáférés</w:t>
      </w:r>
      <w:r>
        <w:rPr>
          <w:spacing w:val="7"/>
          <w:w w:val="125"/>
        </w:rPr>
        <w:t> </w:t>
      </w:r>
      <w:r>
        <w:rPr>
          <w:w w:val="125"/>
        </w:rPr>
        <w:t>előmozdítása</w:t>
      </w:r>
      <w:r>
        <w:rPr>
          <w:w w:val="125"/>
          <w:u w:val="dotted"/>
        </w:rPr>
        <w:t> </w:t>
        <w:tab/>
      </w:r>
      <w:r>
        <w:rPr>
          <w:w w:val="125"/>
        </w:rPr>
        <w:t>185</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Elektronikus</w:t>
      </w:r>
      <w:r>
        <w:rPr>
          <w:spacing w:val="-27"/>
          <w:w w:val="130"/>
          <w:sz w:val="24"/>
        </w:rPr>
        <w:t> </w:t>
      </w:r>
      <w:r>
        <w:rPr>
          <w:w w:val="130"/>
          <w:sz w:val="24"/>
        </w:rPr>
        <w:t>pénz</w:t>
      </w:r>
      <w:r>
        <w:rPr>
          <w:spacing w:val="-26"/>
          <w:w w:val="130"/>
          <w:sz w:val="24"/>
        </w:rPr>
        <w:t> </w:t>
      </w:r>
      <w:r>
        <w:rPr>
          <w:w w:val="130"/>
          <w:sz w:val="24"/>
        </w:rPr>
        <w:t>kibocsátása</w:t>
      </w:r>
      <w:r>
        <w:rPr>
          <w:spacing w:val="-27"/>
          <w:w w:val="130"/>
          <w:sz w:val="24"/>
        </w:rPr>
        <w:t> </w:t>
      </w:r>
      <w:r>
        <w:rPr>
          <w:w w:val="130"/>
          <w:sz w:val="24"/>
        </w:rPr>
        <w:t>és</w:t>
      </w:r>
      <w:r>
        <w:rPr>
          <w:spacing w:val="-27"/>
          <w:w w:val="130"/>
          <w:sz w:val="24"/>
        </w:rPr>
        <w:t> </w:t>
      </w:r>
      <w:r>
        <w:rPr>
          <w:w w:val="130"/>
          <w:sz w:val="24"/>
        </w:rPr>
        <w:t>visszaváltása</w:t>
      </w:r>
      <w:r>
        <w:rPr>
          <w:w w:val="130"/>
          <w:sz w:val="24"/>
          <w:u w:val="dotted"/>
        </w:rPr>
        <w:t> </w:t>
        <w:tab/>
      </w:r>
      <w:r>
        <w:rPr>
          <w:w w:val="130"/>
          <w:sz w:val="24"/>
        </w:rPr>
        <w:t>185</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Bankszünnap</w:t>
      </w:r>
      <w:r>
        <w:rPr>
          <w:w w:val="125"/>
          <w:sz w:val="24"/>
          <w:u w:val="dotted"/>
        </w:rPr>
        <w:t> </w:t>
        <w:tab/>
      </w:r>
      <w:r>
        <w:rPr>
          <w:w w:val="125"/>
          <w:sz w:val="24"/>
        </w:rPr>
        <w:t>185</w:t>
      </w:r>
    </w:p>
    <w:p>
      <w:pPr>
        <w:pStyle w:val="ListParagraph"/>
        <w:numPr>
          <w:ilvl w:val="0"/>
          <w:numId w:val="669"/>
        </w:numPr>
        <w:tabs>
          <w:tab w:pos="1924" w:val="left" w:leader="none"/>
        </w:tabs>
        <w:spacing w:line="208" w:lineRule="auto" w:before="53" w:after="0"/>
        <w:ind w:left="1313" w:right="2219" w:firstLine="0"/>
        <w:jc w:val="left"/>
        <w:rPr>
          <w:sz w:val="24"/>
        </w:rPr>
      </w:pPr>
      <w:r>
        <w:rPr>
          <w:w w:val="130"/>
          <w:sz w:val="24"/>
        </w:rPr>
        <w:t>Eljárás</w:t>
      </w:r>
      <w:r>
        <w:rPr>
          <w:spacing w:val="-47"/>
          <w:w w:val="130"/>
          <w:sz w:val="24"/>
        </w:rPr>
        <w:t> </w:t>
      </w:r>
      <w:r>
        <w:rPr>
          <w:w w:val="130"/>
          <w:sz w:val="24"/>
        </w:rPr>
        <w:t>a</w:t>
      </w:r>
      <w:r>
        <w:rPr>
          <w:spacing w:val="-46"/>
          <w:w w:val="130"/>
          <w:sz w:val="24"/>
        </w:rPr>
        <w:t> </w:t>
      </w:r>
      <w:r>
        <w:rPr>
          <w:w w:val="130"/>
          <w:sz w:val="24"/>
        </w:rPr>
        <w:t>fogyasztókkal</w:t>
      </w:r>
      <w:r>
        <w:rPr>
          <w:spacing w:val="-46"/>
          <w:w w:val="130"/>
          <w:sz w:val="24"/>
        </w:rPr>
        <w:t> </w:t>
      </w:r>
      <w:r>
        <w:rPr>
          <w:w w:val="130"/>
          <w:sz w:val="24"/>
        </w:rPr>
        <w:t>szembeni</w:t>
      </w:r>
      <w:r>
        <w:rPr>
          <w:spacing w:val="-46"/>
          <w:w w:val="130"/>
          <w:sz w:val="24"/>
        </w:rPr>
        <w:t> </w:t>
      </w:r>
      <w:r>
        <w:rPr>
          <w:w w:val="130"/>
          <w:sz w:val="24"/>
        </w:rPr>
        <w:t>kereskedelmi gyakorlatra vonatkozó rendelkezések</w:t>
      </w:r>
      <w:r>
        <w:rPr>
          <w:spacing w:val="-50"/>
          <w:w w:val="130"/>
          <w:sz w:val="24"/>
        </w:rPr>
        <w:t> </w:t>
      </w:r>
      <w:r>
        <w:rPr>
          <w:w w:val="130"/>
          <w:sz w:val="24"/>
        </w:rPr>
        <w:t>megsértése</w:t>
      </w:r>
    </w:p>
    <w:p>
      <w:pPr>
        <w:pStyle w:val="BodyText"/>
        <w:tabs>
          <w:tab w:pos="8806" w:val="left" w:leader="none"/>
        </w:tabs>
        <w:spacing w:line="247" w:lineRule="exact"/>
        <w:ind w:left="1313" w:firstLine="0"/>
      </w:pPr>
      <w:r>
        <w:rPr>
          <w:w w:val="130"/>
        </w:rPr>
        <w:t>esetén</w:t>
      </w:r>
      <w:r>
        <w:rPr>
          <w:w w:val="130"/>
          <w:u w:val="dotted"/>
        </w:rPr>
        <w:t> </w:t>
        <w:tab/>
      </w:r>
      <w:r>
        <w:rPr>
          <w:w w:val="130"/>
        </w:rPr>
        <w:t>186</w:t>
      </w:r>
    </w:p>
    <w:p>
      <w:pPr>
        <w:pStyle w:val="ListParagraph"/>
        <w:numPr>
          <w:ilvl w:val="0"/>
          <w:numId w:val="669"/>
        </w:numPr>
        <w:tabs>
          <w:tab w:pos="1924" w:val="left" w:leader="none"/>
          <w:tab w:pos="8806" w:val="left" w:leader="none"/>
        </w:tabs>
        <w:spacing w:line="261" w:lineRule="auto" w:before="24" w:after="0"/>
        <w:ind w:left="1313" w:right="526" w:firstLine="0"/>
        <w:jc w:val="left"/>
        <w:rPr>
          <w:sz w:val="24"/>
        </w:rPr>
      </w:pPr>
      <w:r>
        <w:rPr>
          <w:w w:val="120"/>
          <w:sz w:val="24"/>
        </w:rPr>
        <w:t>Panaszkezelés</w:t>
      </w:r>
      <w:r>
        <w:rPr>
          <w:w w:val="120"/>
          <w:sz w:val="24"/>
          <w:u w:val="dotted"/>
        </w:rPr>
        <w:t> </w:t>
        <w:tab/>
      </w:r>
      <w:r>
        <w:rPr>
          <w:spacing w:val="-6"/>
          <w:w w:val="120"/>
          <w:sz w:val="24"/>
        </w:rPr>
        <w:t>186 </w:t>
      </w:r>
      <w:r>
        <w:rPr>
          <w:w w:val="120"/>
          <w:sz w:val="24"/>
        </w:rPr>
        <w:t>126/A. A FATCA-törvény alapján</w:t>
      </w:r>
      <w:r>
        <w:rPr>
          <w:spacing w:val="10"/>
          <w:w w:val="120"/>
          <w:sz w:val="24"/>
        </w:rPr>
        <w:t> </w:t>
      </w:r>
      <w:r>
        <w:rPr>
          <w:w w:val="120"/>
          <w:sz w:val="24"/>
        </w:rPr>
        <w:t>fennálló</w:t>
      </w:r>
    </w:p>
    <w:p>
      <w:pPr>
        <w:pStyle w:val="BodyText"/>
        <w:tabs>
          <w:tab w:pos="8806" w:val="left" w:leader="none"/>
        </w:tabs>
        <w:spacing w:line="214" w:lineRule="exact"/>
        <w:ind w:left="1313" w:firstLine="0"/>
      </w:pPr>
      <w:r>
        <w:rPr>
          <w:w w:val="130"/>
        </w:rPr>
        <w:t>kötelezettségek</w:t>
      </w:r>
      <w:r>
        <w:rPr>
          <w:w w:val="130"/>
          <w:u w:val="dotted"/>
        </w:rPr>
        <w:t> </w:t>
        <w:tab/>
      </w:r>
      <w:r>
        <w:rPr>
          <w:w w:val="130"/>
        </w:rPr>
        <w:t>186</w:t>
      </w:r>
    </w:p>
    <w:p>
      <w:pPr>
        <w:pStyle w:val="BodyText"/>
        <w:spacing w:line="208" w:lineRule="auto" w:before="54"/>
        <w:ind w:left="1313" w:right="2380" w:firstLine="0"/>
      </w:pPr>
      <w:r>
        <w:rPr>
          <w:w w:val="125"/>
        </w:rPr>
        <w:t>126/B. A Pénzügyi Számlákkal kapcsolatos adatszolgáltatás és átvilágítás alapján fennálló</w:t>
      </w:r>
    </w:p>
    <w:p>
      <w:pPr>
        <w:pStyle w:val="BodyText"/>
        <w:tabs>
          <w:tab w:pos="8806" w:val="left" w:leader="none"/>
        </w:tabs>
        <w:spacing w:line="247" w:lineRule="exact"/>
        <w:ind w:left="1313" w:firstLine="0"/>
      </w:pPr>
      <w:r>
        <w:rPr>
          <w:w w:val="130"/>
        </w:rPr>
        <w:t>kötelezettségek</w:t>
      </w:r>
      <w:r>
        <w:rPr>
          <w:w w:val="130"/>
          <w:u w:val="dotted"/>
        </w:rPr>
        <w:t> </w:t>
        <w:tab/>
      </w:r>
      <w:r>
        <w:rPr>
          <w:w w:val="130"/>
        </w:rPr>
        <w:t>187</w:t>
      </w:r>
    </w:p>
    <w:p>
      <w:pPr>
        <w:pStyle w:val="ListParagraph"/>
        <w:numPr>
          <w:ilvl w:val="0"/>
          <w:numId w:val="667"/>
        </w:numPr>
        <w:tabs>
          <w:tab w:pos="1504" w:val="left" w:leader="none"/>
          <w:tab w:pos="8806" w:val="left" w:leader="none"/>
        </w:tabs>
        <w:spacing w:line="261" w:lineRule="auto" w:before="24" w:after="0"/>
        <w:ind w:left="913" w:right="526" w:firstLine="0"/>
        <w:jc w:val="left"/>
        <w:rPr>
          <w:sz w:val="24"/>
        </w:rPr>
      </w:pPr>
      <w:r>
        <w:rPr>
          <w:w w:val="130"/>
          <w:sz w:val="24"/>
        </w:rPr>
        <w:t>Fejezet</w:t>
      </w:r>
      <w:r>
        <w:rPr>
          <w:w w:val="130"/>
          <w:sz w:val="24"/>
          <w:u w:val="dotted"/>
        </w:rPr>
        <w:t> </w:t>
        <w:tab/>
      </w:r>
      <w:r>
        <w:rPr>
          <w:spacing w:val="-6"/>
          <w:w w:val="130"/>
          <w:sz w:val="24"/>
        </w:rPr>
        <w:t>187 </w:t>
      </w:r>
      <w:r>
        <w:rPr>
          <w:w w:val="130"/>
          <w:sz w:val="24"/>
        </w:rPr>
        <w:t>Vegyes és</w:t>
      </w:r>
      <w:r>
        <w:rPr>
          <w:spacing w:val="-45"/>
          <w:w w:val="130"/>
          <w:sz w:val="24"/>
        </w:rPr>
        <w:t> </w:t>
      </w:r>
      <w:r>
        <w:rPr>
          <w:w w:val="130"/>
          <w:sz w:val="24"/>
        </w:rPr>
        <w:t>záró</w:t>
      </w:r>
      <w:r>
        <w:rPr>
          <w:spacing w:val="-22"/>
          <w:w w:val="130"/>
          <w:sz w:val="24"/>
        </w:rPr>
        <w:t> </w:t>
      </w:r>
      <w:r>
        <w:rPr>
          <w:w w:val="130"/>
          <w:sz w:val="24"/>
        </w:rPr>
        <w:t>rendelkezések</w:t>
      </w:r>
      <w:r>
        <w:rPr>
          <w:w w:val="130"/>
          <w:sz w:val="24"/>
          <w:u w:val="dotted"/>
        </w:rPr>
        <w:t> </w:t>
        <w:tab/>
      </w:r>
      <w:r>
        <w:rPr>
          <w:spacing w:val="-6"/>
          <w:w w:val="130"/>
          <w:sz w:val="24"/>
        </w:rPr>
        <w:t>187</w:t>
      </w:r>
    </w:p>
    <w:p>
      <w:pPr>
        <w:pStyle w:val="ListParagraph"/>
        <w:numPr>
          <w:ilvl w:val="0"/>
          <w:numId w:val="669"/>
        </w:numPr>
        <w:tabs>
          <w:tab w:pos="1924" w:val="left" w:leader="none"/>
          <w:tab w:pos="8806" w:val="left" w:leader="none"/>
        </w:tabs>
        <w:spacing w:line="274" w:lineRule="exact" w:before="0" w:after="0"/>
        <w:ind w:left="1923" w:right="0" w:hanging="610"/>
        <w:jc w:val="left"/>
        <w:rPr>
          <w:sz w:val="24"/>
        </w:rPr>
      </w:pPr>
      <w:r>
        <w:rPr>
          <w:w w:val="125"/>
          <w:sz w:val="24"/>
        </w:rPr>
        <w:t>Vegyes</w:t>
      </w:r>
      <w:r>
        <w:rPr>
          <w:spacing w:val="16"/>
          <w:w w:val="125"/>
          <w:sz w:val="24"/>
        </w:rPr>
        <w:t> </w:t>
      </w:r>
      <w:r>
        <w:rPr>
          <w:w w:val="125"/>
          <w:sz w:val="24"/>
        </w:rPr>
        <w:t>rendelkezések</w:t>
      </w:r>
      <w:r>
        <w:rPr>
          <w:w w:val="125"/>
          <w:sz w:val="24"/>
          <w:u w:val="dotted"/>
        </w:rPr>
        <w:t> </w:t>
        <w:tab/>
      </w:r>
      <w:r>
        <w:rPr>
          <w:w w:val="125"/>
          <w:sz w:val="24"/>
        </w:rPr>
        <w:t>187</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Felhatalmazó</w:t>
      </w:r>
      <w:r>
        <w:rPr>
          <w:spacing w:val="-27"/>
          <w:w w:val="130"/>
          <w:sz w:val="24"/>
        </w:rPr>
        <w:t> </w:t>
      </w:r>
      <w:r>
        <w:rPr>
          <w:w w:val="130"/>
          <w:sz w:val="24"/>
        </w:rPr>
        <w:t>rendelkezések</w:t>
      </w:r>
      <w:r>
        <w:rPr>
          <w:w w:val="130"/>
          <w:sz w:val="24"/>
          <w:u w:val="dotted"/>
        </w:rPr>
        <w:t> </w:t>
        <w:tab/>
      </w:r>
      <w:r>
        <w:rPr>
          <w:w w:val="130"/>
          <w:sz w:val="24"/>
        </w:rPr>
        <w:t>188</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30"/>
          <w:sz w:val="24"/>
        </w:rPr>
        <w:t>Hatályba</w:t>
      </w:r>
      <w:r>
        <w:rPr>
          <w:spacing w:val="-16"/>
          <w:w w:val="130"/>
          <w:sz w:val="24"/>
        </w:rPr>
        <w:t> </w:t>
      </w:r>
      <w:r>
        <w:rPr>
          <w:w w:val="130"/>
          <w:sz w:val="24"/>
        </w:rPr>
        <w:t>léptető</w:t>
      </w:r>
      <w:r>
        <w:rPr>
          <w:spacing w:val="-17"/>
          <w:w w:val="130"/>
          <w:sz w:val="24"/>
        </w:rPr>
        <w:t> </w:t>
      </w:r>
      <w:r>
        <w:rPr>
          <w:w w:val="130"/>
          <w:sz w:val="24"/>
        </w:rPr>
        <w:t>rendelkezések</w:t>
      </w:r>
      <w:r>
        <w:rPr>
          <w:w w:val="130"/>
          <w:sz w:val="24"/>
          <w:u w:val="dotted"/>
        </w:rPr>
        <w:t> </w:t>
        <w:tab/>
      </w:r>
      <w:r>
        <w:rPr>
          <w:w w:val="130"/>
          <w:sz w:val="24"/>
        </w:rPr>
        <w:t>191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Átmeneti</w:t>
      </w:r>
      <w:r>
        <w:rPr>
          <w:spacing w:val="37"/>
          <w:w w:val="125"/>
          <w:sz w:val="24"/>
        </w:rPr>
        <w:t> </w:t>
      </w:r>
      <w:r>
        <w:rPr>
          <w:w w:val="125"/>
          <w:sz w:val="24"/>
        </w:rPr>
        <w:t>rendelkezések</w:t>
      </w:r>
      <w:r>
        <w:rPr>
          <w:w w:val="125"/>
          <w:sz w:val="24"/>
          <w:u w:val="dotted"/>
        </w:rPr>
        <w:t> </w:t>
        <w:tab/>
      </w:r>
      <w:r>
        <w:rPr>
          <w:w w:val="125"/>
          <w:sz w:val="24"/>
        </w:rPr>
        <w:t>191</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0"/>
          <w:sz w:val="24"/>
        </w:rPr>
        <w:t>Az Európai Unió jogának </w:t>
      </w:r>
      <w:r>
        <w:rPr>
          <w:spacing w:val="26"/>
          <w:w w:val="120"/>
          <w:sz w:val="24"/>
        </w:rPr>
        <w:t> </w:t>
      </w:r>
      <w:r>
        <w:rPr>
          <w:w w:val="120"/>
          <w:sz w:val="24"/>
        </w:rPr>
        <w:t>való</w:t>
      </w:r>
      <w:r>
        <w:rPr>
          <w:spacing w:val="24"/>
          <w:w w:val="120"/>
          <w:sz w:val="24"/>
        </w:rPr>
        <w:t> </w:t>
      </w:r>
      <w:r>
        <w:rPr>
          <w:w w:val="120"/>
          <w:sz w:val="24"/>
        </w:rPr>
        <w:t>megfelelés</w:t>
      </w:r>
      <w:r>
        <w:rPr>
          <w:w w:val="120"/>
          <w:sz w:val="24"/>
          <w:u w:val="dotted"/>
        </w:rPr>
        <w:t> </w:t>
        <w:tab/>
      </w:r>
      <w:r>
        <w:rPr>
          <w:w w:val="120"/>
          <w:sz w:val="24"/>
        </w:rPr>
        <w:t>197</w:t>
      </w:r>
    </w:p>
    <w:p>
      <w:pPr>
        <w:pStyle w:val="ListParagraph"/>
        <w:numPr>
          <w:ilvl w:val="0"/>
          <w:numId w:val="669"/>
        </w:numPr>
        <w:tabs>
          <w:tab w:pos="1924" w:val="left" w:leader="none"/>
          <w:tab w:pos="8806" w:val="left" w:leader="none"/>
        </w:tabs>
        <w:spacing w:line="240" w:lineRule="auto" w:before="24" w:after="0"/>
        <w:ind w:left="1923" w:right="0" w:hanging="610"/>
        <w:jc w:val="left"/>
        <w:rPr>
          <w:sz w:val="24"/>
        </w:rPr>
      </w:pPr>
      <w:r>
        <w:rPr>
          <w:w w:val="125"/>
          <w:sz w:val="24"/>
        </w:rPr>
        <w:t>Módosító</w:t>
      </w:r>
      <w:r>
        <w:rPr>
          <w:spacing w:val="22"/>
          <w:w w:val="125"/>
          <w:sz w:val="24"/>
        </w:rPr>
        <w:t> </w:t>
      </w:r>
      <w:r>
        <w:rPr>
          <w:w w:val="125"/>
          <w:sz w:val="24"/>
        </w:rPr>
        <w:t>rendelkezések</w:t>
      </w:r>
      <w:r>
        <w:rPr>
          <w:w w:val="125"/>
          <w:sz w:val="24"/>
          <w:u w:val="dotted"/>
        </w:rPr>
        <w:t> </w:t>
        <w:tab/>
      </w:r>
      <w:r>
        <w:rPr>
          <w:w w:val="125"/>
          <w:sz w:val="24"/>
        </w:rPr>
        <w:t>197</w:t>
      </w:r>
    </w:p>
    <w:p>
      <w:pPr>
        <w:pStyle w:val="ListParagraph"/>
        <w:numPr>
          <w:ilvl w:val="0"/>
          <w:numId w:val="670"/>
        </w:numPr>
        <w:tabs>
          <w:tab w:pos="1219" w:val="left" w:leader="none"/>
          <w:tab w:pos="8806" w:val="left" w:leader="none"/>
        </w:tabs>
        <w:spacing w:line="261" w:lineRule="auto" w:before="24"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197 </w:t>
      </w:r>
      <w:r>
        <w:rPr>
          <w:w w:val="125"/>
          <w:sz w:val="24"/>
        </w:rPr>
        <w:t>A törvény hatálya alól kivett nemzetközi</w:t>
      </w:r>
      <w:r>
        <w:rPr>
          <w:spacing w:val="-6"/>
          <w:w w:val="125"/>
          <w:sz w:val="24"/>
        </w:rPr>
        <w:t> </w:t>
      </w:r>
      <w:r>
        <w:rPr>
          <w:w w:val="125"/>
          <w:sz w:val="24"/>
        </w:rPr>
        <w:t>pénzügyi</w:t>
      </w:r>
    </w:p>
    <w:p>
      <w:pPr>
        <w:pStyle w:val="BodyText"/>
        <w:tabs>
          <w:tab w:pos="8806" w:val="left" w:leader="none"/>
        </w:tabs>
        <w:spacing w:line="214" w:lineRule="exact"/>
        <w:ind w:left="1313" w:firstLine="0"/>
      </w:pPr>
      <w:r>
        <w:rPr>
          <w:w w:val="125"/>
        </w:rPr>
        <w:t>intézmények</w:t>
      </w:r>
      <w:r>
        <w:rPr>
          <w:w w:val="125"/>
          <w:u w:val="dotted"/>
        </w:rPr>
        <w:t> </w:t>
        <w:tab/>
      </w:r>
      <w:r>
        <w:rPr>
          <w:w w:val="125"/>
        </w:rPr>
        <w:t>198</w:t>
      </w:r>
    </w:p>
    <w:p>
      <w:pPr>
        <w:pStyle w:val="ListParagraph"/>
        <w:numPr>
          <w:ilvl w:val="0"/>
          <w:numId w:val="670"/>
        </w:numPr>
        <w:tabs>
          <w:tab w:pos="1219" w:val="left" w:leader="none"/>
          <w:tab w:pos="8806" w:val="left" w:leader="none"/>
        </w:tabs>
        <w:spacing w:line="261" w:lineRule="auto" w:before="24" w:after="0"/>
        <w:ind w:left="1313" w:right="526" w:hanging="400"/>
        <w:jc w:val="left"/>
        <w:rPr>
          <w:sz w:val="24"/>
        </w:rPr>
      </w:pPr>
      <w:r>
        <w:rPr>
          <w:w w:val="120"/>
          <w:sz w:val="24"/>
        </w:rPr>
        <w:t>melléklet a 2013. évi</w:t>
      </w:r>
      <w:r>
        <w:rPr>
          <w:spacing w:val="4"/>
          <w:w w:val="120"/>
          <w:sz w:val="24"/>
        </w:rPr>
        <w:t> </w:t>
      </w:r>
      <w:r>
        <w:rPr>
          <w:w w:val="120"/>
          <w:sz w:val="24"/>
        </w:rPr>
        <w:t>CCXXXVII.</w:t>
      </w:r>
      <w:r>
        <w:rPr>
          <w:spacing w:val="2"/>
          <w:w w:val="120"/>
          <w:sz w:val="24"/>
        </w:rPr>
        <w:t> </w:t>
      </w:r>
      <w:r>
        <w:rPr>
          <w:w w:val="120"/>
          <w:sz w:val="24"/>
        </w:rPr>
        <w:t>törvényhez</w:t>
      </w:r>
      <w:r>
        <w:rPr>
          <w:w w:val="120"/>
          <w:sz w:val="24"/>
          <w:u w:val="dotted"/>
        </w:rPr>
        <w:t> </w:t>
        <w:tab/>
      </w:r>
      <w:r>
        <w:rPr>
          <w:spacing w:val="-6"/>
          <w:w w:val="120"/>
          <w:sz w:val="24"/>
        </w:rPr>
        <w:t>198 </w:t>
      </w:r>
      <w:r>
        <w:rPr>
          <w:w w:val="120"/>
          <w:sz w:val="24"/>
        </w:rPr>
        <w:t>Az</w:t>
      </w:r>
      <w:r>
        <w:rPr>
          <w:spacing w:val="19"/>
          <w:w w:val="120"/>
          <w:sz w:val="24"/>
        </w:rPr>
        <w:t> </w:t>
      </w:r>
      <w:r>
        <w:rPr>
          <w:w w:val="120"/>
          <w:sz w:val="24"/>
        </w:rPr>
        <w:t>azonosító</w:t>
      </w:r>
      <w:r>
        <w:rPr>
          <w:spacing w:val="18"/>
          <w:w w:val="120"/>
          <w:sz w:val="24"/>
        </w:rPr>
        <w:t> </w:t>
      </w:r>
      <w:r>
        <w:rPr>
          <w:w w:val="120"/>
          <w:sz w:val="24"/>
        </w:rPr>
        <w:t>adatok</w:t>
      </w:r>
      <w:r>
        <w:rPr>
          <w:w w:val="120"/>
          <w:sz w:val="24"/>
          <w:u w:val="dotted"/>
        </w:rPr>
        <w:t> </w:t>
        <w:tab/>
      </w:r>
      <w:r>
        <w:rPr>
          <w:spacing w:val="-6"/>
          <w:w w:val="120"/>
          <w:sz w:val="24"/>
        </w:rPr>
        <w:t>198</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198 </w:t>
      </w:r>
      <w:r>
        <w:rPr>
          <w:w w:val="125"/>
          <w:sz w:val="24"/>
        </w:rPr>
        <w:t>A közvetett tulajdon</w:t>
      </w:r>
      <w:r>
        <w:rPr>
          <w:spacing w:val="-1"/>
          <w:w w:val="125"/>
          <w:sz w:val="24"/>
        </w:rPr>
        <w:t> </w:t>
      </w:r>
      <w:r>
        <w:rPr>
          <w:w w:val="125"/>
          <w:sz w:val="24"/>
        </w:rPr>
        <w:t>kiszámítása</w:t>
      </w:r>
      <w:r>
        <w:rPr>
          <w:w w:val="125"/>
          <w:sz w:val="24"/>
          <w:u w:val="dotted"/>
        </w:rPr>
        <w:t> </w:t>
        <w:tab/>
      </w:r>
      <w:r>
        <w:rPr>
          <w:spacing w:val="-6"/>
          <w:w w:val="125"/>
          <w:sz w:val="24"/>
        </w:rPr>
        <w:t>198</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199 </w:t>
      </w:r>
      <w:r>
        <w:rPr>
          <w:w w:val="125"/>
          <w:sz w:val="24"/>
        </w:rPr>
        <w:t>Kifizetési</w:t>
      </w:r>
      <w:r>
        <w:rPr>
          <w:spacing w:val="-18"/>
          <w:w w:val="125"/>
          <w:sz w:val="24"/>
        </w:rPr>
        <w:t> </w:t>
      </w:r>
      <w:r>
        <w:rPr>
          <w:w w:val="125"/>
          <w:sz w:val="24"/>
        </w:rPr>
        <w:t>szorzótényező</w:t>
      </w:r>
      <w:r>
        <w:rPr>
          <w:w w:val="125"/>
          <w:sz w:val="24"/>
          <w:u w:val="dotted"/>
        </w:rPr>
        <w:t> </w:t>
        <w:tab/>
      </w:r>
      <w:r>
        <w:rPr>
          <w:spacing w:val="-6"/>
          <w:w w:val="125"/>
          <w:sz w:val="24"/>
        </w:rPr>
        <w:t>199</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199 </w:t>
      </w:r>
      <w:r>
        <w:rPr>
          <w:w w:val="125"/>
          <w:sz w:val="24"/>
        </w:rPr>
        <w:t>Az Európai Unió jogának</w:t>
      </w:r>
      <w:r>
        <w:rPr>
          <w:spacing w:val="-45"/>
          <w:w w:val="125"/>
          <w:sz w:val="24"/>
        </w:rPr>
        <w:t> </w:t>
      </w:r>
      <w:r>
        <w:rPr>
          <w:w w:val="125"/>
          <w:sz w:val="24"/>
        </w:rPr>
        <w:t>való</w:t>
      </w:r>
      <w:r>
        <w:rPr>
          <w:spacing w:val="-11"/>
          <w:w w:val="125"/>
          <w:sz w:val="24"/>
        </w:rPr>
        <w:t> </w:t>
      </w:r>
      <w:r>
        <w:rPr>
          <w:w w:val="125"/>
          <w:sz w:val="24"/>
        </w:rPr>
        <w:t>megfelelés</w:t>
      </w:r>
      <w:r>
        <w:rPr>
          <w:w w:val="125"/>
          <w:sz w:val="24"/>
          <w:u w:val="dotted"/>
        </w:rPr>
        <w:t> </w:t>
        <w:tab/>
      </w:r>
      <w:r>
        <w:rPr>
          <w:spacing w:val="-6"/>
          <w:w w:val="125"/>
          <w:sz w:val="24"/>
        </w:rPr>
        <w:t>199</w:t>
      </w:r>
    </w:p>
    <w:p>
      <w:pPr>
        <w:pStyle w:val="ListParagraph"/>
        <w:numPr>
          <w:ilvl w:val="0"/>
          <w:numId w:val="670"/>
        </w:numPr>
        <w:tabs>
          <w:tab w:pos="1219" w:val="left" w:leader="none"/>
          <w:tab w:pos="8806" w:val="left" w:leader="none"/>
        </w:tabs>
        <w:spacing w:line="261" w:lineRule="auto" w:before="0" w:after="0"/>
        <w:ind w:left="1313" w:right="526" w:hanging="400"/>
        <w:jc w:val="left"/>
        <w:rPr>
          <w:sz w:val="24"/>
        </w:rPr>
      </w:pPr>
      <w:r>
        <w:rPr>
          <w:w w:val="125"/>
          <w:sz w:val="24"/>
        </w:rPr>
        <w:t>melléklet</w:t>
      </w:r>
      <w:r>
        <w:rPr>
          <w:spacing w:val="-33"/>
          <w:w w:val="125"/>
          <w:sz w:val="24"/>
        </w:rPr>
        <w:t> </w:t>
      </w:r>
      <w:r>
        <w:rPr>
          <w:w w:val="125"/>
          <w:sz w:val="24"/>
        </w:rPr>
        <w:t>a</w:t>
      </w:r>
      <w:r>
        <w:rPr>
          <w:spacing w:val="-32"/>
          <w:w w:val="125"/>
          <w:sz w:val="24"/>
        </w:rPr>
        <w:t> </w:t>
      </w:r>
      <w:r>
        <w:rPr>
          <w:w w:val="125"/>
          <w:sz w:val="24"/>
        </w:rPr>
        <w:t>2013.</w:t>
      </w:r>
      <w:r>
        <w:rPr>
          <w:spacing w:val="-32"/>
          <w:w w:val="125"/>
          <w:sz w:val="24"/>
        </w:rPr>
        <w:t> </w:t>
      </w:r>
      <w:r>
        <w:rPr>
          <w:w w:val="125"/>
          <w:sz w:val="24"/>
        </w:rPr>
        <w:t>évi</w:t>
      </w:r>
      <w:r>
        <w:rPr>
          <w:spacing w:val="-32"/>
          <w:w w:val="125"/>
          <w:sz w:val="24"/>
        </w:rPr>
        <w:t> </w:t>
      </w:r>
      <w:r>
        <w:rPr>
          <w:w w:val="125"/>
          <w:sz w:val="24"/>
        </w:rPr>
        <w:t>CCXXXVII.</w:t>
      </w:r>
      <w:r>
        <w:rPr>
          <w:spacing w:val="-32"/>
          <w:w w:val="125"/>
          <w:sz w:val="24"/>
        </w:rPr>
        <w:t> </w:t>
      </w:r>
      <w:r>
        <w:rPr>
          <w:w w:val="125"/>
          <w:sz w:val="24"/>
        </w:rPr>
        <w:t>törvényhez</w:t>
      </w:r>
      <w:r>
        <w:rPr>
          <w:w w:val="125"/>
          <w:sz w:val="24"/>
          <w:u w:val="dotted"/>
        </w:rPr>
        <w:t> </w:t>
        <w:tab/>
      </w:r>
      <w:r>
        <w:rPr>
          <w:spacing w:val="-6"/>
          <w:w w:val="125"/>
          <w:sz w:val="24"/>
        </w:rPr>
        <w:t>201 </w:t>
      </w:r>
      <w:r>
        <w:rPr>
          <w:w w:val="125"/>
          <w:sz w:val="24"/>
        </w:rPr>
        <w:t>Tájékoztató</w:t>
      </w:r>
      <w:r>
        <w:rPr>
          <w:spacing w:val="17"/>
          <w:w w:val="125"/>
          <w:sz w:val="24"/>
        </w:rPr>
        <w:t> </w:t>
      </w:r>
      <w:r>
        <w:rPr>
          <w:w w:val="125"/>
          <w:sz w:val="24"/>
        </w:rPr>
        <w:t>a</w:t>
      </w:r>
      <w:r>
        <w:rPr>
          <w:spacing w:val="17"/>
          <w:w w:val="125"/>
          <w:sz w:val="24"/>
        </w:rPr>
        <w:t> </w:t>
      </w:r>
      <w:r>
        <w:rPr>
          <w:w w:val="125"/>
          <w:sz w:val="24"/>
        </w:rPr>
        <w:t>betéteseknek</w:t>
      </w:r>
      <w:r>
        <w:rPr>
          <w:w w:val="125"/>
          <w:sz w:val="24"/>
          <w:u w:val="dotted"/>
        </w:rPr>
        <w:t> </w:t>
        <w:tab/>
      </w:r>
      <w:r>
        <w:rPr>
          <w:spacing w:val="-6"/>
          <w:w w:val="125"/>
          <w:sz w:val="24"/>
        </w:rPr>
        <w:t>201</w:t>
      </w:r>
    </w:p>
    <w:sectPr>
      <w:pgSz w:w="11900" w:h="16820"/>
      <w:pgMar w:header="1104" w:footer="0" w:top="184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BoldItalic">
    <w:altName w:val="Georgia-BoldItalic"/>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8016"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161.15pt;height:12.6pt;mso-position-horizontal-relative:page;mso-position-vertical-relative:page;z-index:-167992"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június 5. 10:48</w:t>
                </w:r>
              </w:p>
            </w:txbxContent>
          </v:textbox>
          <w10:wrap type="none"/>
        </v:shape>
      </w:pict>
    </w:r>
    <w:r>
      <w:rPr/>
      <w:pict>
        <v:shape style="position:absolute;margin-left:489.243988pt;margin-top:54.192318pt;width:50.4pt;height:12.6pt;mso-position-horizontal-relative:page;mso-position-vertical-relative:page;z-index:-16796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71.65pt;height:12.6pt;mso-position-horizontal-relative:page;mso-position-vertical-relative:page;z-index:-167944"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2019.IV.26. - 2019.XII.30.</w:t>
                </w:r>
              </w:p>
            </w:txbxContent>
          </v:textbox>
          <w10:wrap type="none"/>
        </v:shape>
      </w:pict>
    </w:r>
    <w:r>
      <w:rPr/>
      <w:pict>
        <v:shape style="position:absolute;margin-left:55.693001pt;margin-top:74.192314pt;width:483.85pt;height:12.6pt;mso-position-horizontal-relative:page;mso-position-vertical-relative:page;z-index:-167920"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- 2013. évi CCXXXVII. törvény - a hitelintézetekről és a pénzügyi </w:t>
                </w:r>
                <w:r>
                  <w:rPr/>
                  <w:fldChar w:fldCharType="begin"/>
                </w:r>
                <w:r>
                  <w:rPr>
                    <w:rFonts w:ascii="Arial" w:hAnsi="Arial"/>
                    <w:b/>
                    <w:w w:val="120"/>
                    <w:sz w:val="18"/>
                  </w:rPr>
                  <w:instrText> PAGE </w:instrText>
                </w:r>
                <w:r>
                  <w:rPr/>
                  <w:fldChar w:fldCharType="separate"/>
                </w:r>
                <w:r>
                  <w:rPr/>
                  <w:t>100</w:t>
                </w:r>
                <w:r>
                  <w:rPr/>
                  <w:fldChar w:fldCharType="end"/>
                </w:r>
                <w:r>
                  <w:rPr>
                    <w:rFonts w:ascii="Arial" w:hAns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
    <w:multiLevelType w:val="hybridMultilevel"/>
    <w:lvl w:ilvl="0">
      <w:start w:val="1"/>
      <w:numFmt w:val="upperRoman"/>
      <w:lvlText w:val="%1."/>
      <w:lvlJc w:val="left"/>
      <w:pPr>
        <w:ind w:left="913" w:hanging="248"/>
        <w:jc w:val="left"/>
      </w:pPr>
      <w:rPr>
        <w:rFonts w:hint="default" w:ascii="Times New Roman" w:hAnsi="Times New Roman" w:eastAsia="Times New Roman" w:cs="Times New Roman"/>
        <w:w w:val="122"/>
        <w:sz w:val="24"/>
        <w:szCs w:val="24"/>
      </w:rPr>
    </w:lvl>
    <w:lvl w:ilvl="1">
      <w:start w:val="1"/>
      <w:numFmt w:val="decimal"/>
      <w:lvlText w:val="%2."/>
      <w:lvlJc w:val="left"/>
      <w:pPr>
        <w:ind w:left="16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2537" w:hanging="305"/>
      </w:pPr>
      <w:rPr>
        <w:rFonts w:hint="default"/>
      </w:rPr>
    </w:lvl>
    <w:lvl w:ilvl="3">
      <w:start w:val="0"/>
      <w:numFmt w:val="bullet"/>
      <w:lvlText w:val="•"/>
      <w:lvlJc w:val="left"/>
      <w:pPr>
        <w:ind w:left="3455" w:hanging="305"/>
      </w:pPr>
      <w:rPr>
        <w:rFonts w:hint="default"/>
      </w:rPr>
    </w:lvl>
    <w:lvl w:ilvl="4">
      <w:start w:val="0"/>
      <w:numFmt w:val="bullet"/>
      <w:lvlText w:val="•"/>
      <w:lvlJc w:val="left"/>
      <w:pPr>
        <w:ind w:left="4373" w:hanging="305"/>
      </w:pPr>
      <w:rPr>
        <w:rFonts w:hint="default"/>
      </w:rPr>
    </w:lvl>
    <w:lvl w:ilvl="5">
      <w:start w:val="0"/>
      <w:numFmt w:val="bullet"/>
      <w:lvlText w:val="•"/>
      <w:lvlJc w:val="left"/>
      <w:pPr>
        <w:ind w:left="5291" w:hanging="305"/>
      </w:pPr>
      <w:rPr>
        <w:rFonts w:hint="default"/>
      </w:rPr>
    </w:lvl>
    <w:lvl w:ilvl="6">
      <w:start w:val="0"/>
      <w:numFmt w:val="bullet"/>
      <w:lvlText w:val="•"/>
      <w:lvlJc w:val="left"/>
      <w:pPr>
        <w:ind w:left="6208" w:hanging="305"/>
      </w:pPr>
      <w:rPr>
        <w:rFonts w:hint="default"/>
      </w:rPr>
    </w:lvl>
    <w:lvl w:ilvl="7">
      <w:start w:val="0"/>
      <w:numFmt w:val="bullet"/>
      <w:lvlText w:val="•"/>
      <w:lvlJc w:val="left"/>
      <w:pPr>
        <w:ind w:left="7126" w:hanging="305"/>
      </w:pPr>
      <w:rPr>
        <w:rFonts w:hint="default"/>
      </w:rPr>
    </w:lvl>
    <w:lvl w:ilvl="8">
      <w:start w:val="0"/>
      <w:numFmt w:val="bullet"/>
      <w:lvlText w:val="•"/>
      <w:lvlJc w:val="left"/>
      <w:pPr>
        <w:ind w:left="8044" w:hanging="305"/>
      </w:pPr>
      <w:rPr>
        <w:rFonts w:hint="default"/>
      </w:rPr>
    </w:lvl>
  </w:abstractNum>
  <w:abstractNum w:abstractNumId="665">
    <w:multiLevelType w:val="hybridMultilevel"/>
    <w:lvl w:ilvl="0">
      <w:start w:val="3"/>
      <w:numFmt w:val="decimal"/>
      <w:lvlText w:val="%1"/>
      <w:lvlJc w:val="left"/>
      <w:pPr>
        <w:ind w:left="546" w:hanging="229"/>
        <w:jc w:val="left"/>
      </w:pPr>
      <w:rPr>
        <w:rFonts w:hint="default" w:ascii="Times New Roman" w:hAnsi="Times New Roman" w:eastAsia="Times New Roman" w:cs="Times New Roman"/>
        <w:w w:val="127"/>
        <w:position w:val="10"/>
        <w:sz w:val="24"/>
        <w:szCs w:val="24"/>
      </w:rPr>
    </w:lvl>
    <w:lvl w:ilvl="1">
      <w:start w:val="0"/>
      <w:numFmt w:val="bullet"/>
      <w:lvlText w:val="•"/>
      <w:lvlJc w:val="left"/>
      <w:pPr>
        <w:ind w:left="1474" w:hanging="229"/>
      </w:pPr>
      <w:rPr>
        <w:rFonts w:hint="default"/>
      </w:rPr>
    </w:lvl>
    <w:lvl w:ilvl="2">
      <w:start w:val="0"/>
      <w:numFmt w:val="bullet"/>
      <w:lvlText w:val="•"/>
      <w:lvlJc w:val="left"/>
      <w:pPr>
        <w:ind w:left="2408" w:hanging="229"/>
      </w:pPr>
      <w:rPr>
        <w:rFonts w:hint="default"/>
      </w:rPr>
    </w:lvl>
    <w:lvl w:ilvl="3">
      <w:start w:val="0"/>
      <w:numFmt w:val="bullet"/>
      <w:lvlText w:val="•"/>
      <w:lvlJc w:val="left"/>
      <w:pPr>
        <w:ind w:left="3342" w:hanging="229"/>
      </w:pPr>
      <w:rPr>
        <w:rFonts w:hint="default"/>
      </w:rPr>
    </w:lvl>
    <w:lvl w:ilvl="4">
      <w:start w:val="0"/>
      <w:numFmt w:val="bullet"/>
      <w:lvlText w:val="•"/>
      <w:lvlJc w:val="left"/>
      <w:pPr>
        <w:ind w:left="4276" w:hanging="229"/>
      </w:pPr>
      <w:rPr>
        <w:rFonts w:hint="default"/>
      </w:rPr>
    </w:lvl>
    <w:lvl w:ilvl="5">
      <w:start w:val="0"/>
      <w:numFmt w:val="bullet"/>
      <w:lvlText w:val="•"/>
      <w:lvlJc w:val="left"/>
      <w:pPr>
        <w:ind w:left="5210" w:hanging="229"/>
      </w:pPr>
      <w:rPr>
        <w:rFonts w:hint="default"/>
      </w:rPr>
    </w:lvl>
    <w:lvl w:ilvl="6">
      <w:start w:val="0"/>
      <w:numFmt w:val="bullet"/>
      <w:lvlText w:val="•"/>
      <w:lvlJc w:val="left"/>
      <w:pPr>
        <w:ind w:left="6144" w:hanging="229"/>
      </w:pPr>
      <w:rPr>
        <w:rFonts w:hint="default"/>
      </w:rPr>
    </w:lvl>
    <w:lvl w:ilvl="7">
      <w:start w:val="0"/>
      <w:numFmt w:val="bullet"/>
      <w:lvlText w:val="•"/>
      <w:lvlJc w:val="left"/>
      <w:pPr>
        <w:ind w:left="7078" w:hanging="229"/>
      </w:pPr>
      <w:rPr>
        <w:rFonts w:hint="default"/>
      </w:rPr>
    </w:lvl>
    <w:lvl w:ilvl="8">
      <w:start w:val="0"/>
      <w:numFmt w:val="bullet"/>
      <w:lvlText w:val="•"/>
      <w:lvlJc w:val="left"/>
      <w:pPr>
        <w:ind w:left="8012" w:hanging="229"/>
      </w:pPr>
      <w:rPr>
        <w:rFonts w:hint="default"/>
      </w:rPr>
    </w:lvl>
  </w:abstractNum>
  <w:abstractNum w:abstractNumId="633">
    <w:multiLevelType w:val="hybridMultilevel"/>
    <w:lvl w:ilvl="0">
      <w:start w:val="1"/>
      <w:numFmt w:val="lowerLetter"/>
      <w:lvlText w:val="%1)"/>
      <w:lvlJc w:val="left"/>
      <w:pPr>
        <w:ind w:left="113" w:hanging="49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6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54">
    <w:multiLevelType w:val="hybridMultilevel"/>
    <w:lvl w:ilvl="0">
      <w:start w:val="240"/>
      <w:numFmt w:val="decimal"/>
      <w:lvlText w:val="%1."/>
      <w:lvlJc w:val="left"/>
      <w:pPr>
        <w:ind w:left="113" w:hanging="685"/>
        <w:jc w:val="left"/>
      </w:pPr>
      <w:rPr>
        <w:rFonts w:hint="default" w:ascii="Arial" w:hAnsi="Arial" w:eastAsia="Arial" w:cs="Arial"/>
        <w:b/>
        <w:bCs/>
        <w:spacing w:val="-1"/>
        <w:w w:val="125"/>
        <w:sz w:val="24"/>
        <w:szCs w:val="24"/>
      </w:rPr>
    </w:lvl>
    <w:lvl w:ilvl="1">
      <w:start w:val="0"/>
      <w:numFmt w:val="bullet"/>
      <w:lvlText w:val="•"/>
      <w:lvlJc w:val="left"/>
      <w:pPr>
        <w:ind w:left="2180" w:hanging="685"/>
      </w:pPr>
      <w:rPr>
        <w:rFonts w:hint="default"/>
      </w:rPr>
    </w:lvl>
    <w:lvl w:ilvl="2">
      <w:start w:val="0"/>
      <w:numFmt w:val="bullet"/>
      <w:lvlText w:val="•"/>
      <w:lvlJc w:val="left"/>
      <w:pPr>
        <w:ind w:left="2300" w:hanging="685"/>
      </w:pPr>
      <w:rPr>
        <w:rFonts w:hint="default"/>
      </w:rPr>
    </w:lvl>
    <w:lvl w:ilvl="3">
      <w:start w:val="0"/>
      <w:numFmt w:val="bullet"/>
      <w:lvlText w:val="•"/>
      <w:lvlJc w:val="left"/>
      <w:pPr>
        <w:ind w:left="2760" w:hanging="685"/>
      </w:pPr>
      <w:rPr>
        <w:rFonts w:hint="default"/>
      </w:rPr>
    </w:lvl>
    <w:lvl w:ilvl="4">
      <w:start w:val="0"/>
      <w:numFmt w:val="bullet"/>
      <w:lvlText w:val="•"/>
      <w:lvlJc w:val="left"/>
      <w:pPr>
        <w:ind w:left="2960" w:hanging="685"/>
      </w:pPr>
      <w:rPr>
        <w:rFonts w:hint="default"/>
      </w:rPr>
    </w:lvl>
    <w:lvl w:ilvl="5">
      <w:start w:val="0"/>
      <w:numFmt w:val="bullet"/>
      <w:lvlText w:val="•"/>
      <w:lvlJc w:val="left"/>
      <w:pPr>
        <w:ind w:left="3360" w:hanging="685"/>
      </w:pPr>
      <w:rPr>
        <w:rFonts w:hint="default"/>
      </w:rPr>
    </w:lvl>
    <w:lvl w:ilvl="6">
      <w:start w:val="0"/>
      <w:numFmt w:val="bullet"/>
      <w:lvlText w:val="•"/>
      <w:lvlJc w:val="left"/>
      <w:pPr>
        <w:ind w:left="3780" w:hanging="685"/>
      </w:pPr>
      <w:rPr>
        <w:rFonts w:hint="default"/>
      </w:rPr>
    </w:lvl>
    <w:lvl w:ilvl="7">
      <w:start w:val="0"/>
      <w:numFmt w:val="bullet"/>
      <w:lvlText w:val="•"/>
      <w:lvlJc w:val="left"/>
      <w:pPr>
        <w:ind w:left="3980" w:hanging="685"/>
      </w:pPr>
      <w:rPr>
        <w:rFonts w:hint="default"/>
      </w:rPr>
    </w:lvl>
    <w:lvl w:ilvl="8">
      <w:start w:val="0"/>
      <w:numFmt w:val="bullet"/>
      <w:lvlText w:val="•"/>
      <w:lvlJc w:val="left"/>
      <w:pPr>
        <w:ind w:left="4040" w:hanging="685"/>
      </w:pPr>
      <w:rPr>
        <w:rFonts w:hint="default"/>
      </w:rPr>
    </w:lvl>
  </w:abstractNum>
  <w:abstractNum w:abstractNumId="457">
    <w:multiLevelType w:val="hybridMultilevel"/>
    <w:lvl w:ilvl="0">
      <w:start w:val="193"/>
      <w:numFmt w:val="decimal"/>
      <w:lvlText w:val="%1."/>
      <w:lvlJc w:val="left"/>
      <w:pPr>
        <w:ind w:left="113" w:hanging="695"/>
        <w:jc w:val="left"/>
      </w:pPr>
      <w:rPr>
        <w:rFonts w:hint="default" w:ascii="Arial" w:hAnsi="Arial" w:eastAsia="Arial" w:cs="Arial"/>
        <w:b/>
        <w:bCs/>
        <w:spacing w:val="-1"/>
        <w:w w:val="125"/>
        <w:sz w:val="24"/>
        <w:szCs w:val="24"/>
      </w:rPr>
    </w:lvl>
    <w:lvl w:ilvl="1">
      <w:start w:val="0"/>
      <w:numFmt w:val="bullet"/>
      <w:lvlText w:val="•"/>
      <w:lvlJc w:val="left"/>
      <w:pPr>
        <w:ind w:left="1940" w:hanging="695"/>
      </w:pPr>
      <w:rPr>
        <w:rFonts w:hint="default"/>
      </w:rPr>
    </w:lvl>
    <w:lvl w:ilvl="2">
      <w:start w:val="0"/>
      <w:numFmt w:val="bullet"/>
      <w:lvlText w:val="•"/>
      <w:lvlJc w:val="left"/>
      <w:pPr>
        <w:ind w:left="3160" w:hanging="695"/>
      </w:pPr>
      <w:rPr>
        <w:rFonts w:hint="default"/>
      </w:rPr>
    </w:lvl>
    <w:lvl w:ilvl="3">
      <w:start w:val="0"/>
      <w:numFmt w:val="bullet"/>
      <w:lvlText w:val="•"/>
      <w:lvlJc w:val="left"/>
      <w:pPr>
        <w:ind w:left="3240" w:hanging="695"/>
      </w:pPr>
      <w:rPr>
        <w:rFonts w:hint="default"/>
      </w:rPr>
    </w:lvl>
    <w:lvl w:ilvl="4">
      <w:start w:val="0"/>
      <w:numFmt w:val="bullet"/>
      <w:lvlText w:val="•"/>
      <w:lvlJc w:val="left"/>
      <w:pPr>
        <w:ind w:left="3560" w:hanging="695"/>
      </w:pPr>
      <w:rPr>
        <w:rFonts w:hint="default"/>
      </w:rPr>
    </w:lvl>
    <w:lvl w:ilvl="5">
      <w:start w:val="0"/>
      <w:numFmt w:val="bullet"/>
      <w:lvlText w:val="•"/>
      <w:lvlJc w:val="left"/>
      <w:pPr>
        <w:ind w:left="3960" w:hanging="695"/>
      </w:pPr>
      <w:rPr>
        <w:rFonts w:hint="default"/>
      </w:rPr>
    </w:lvl>
    <w:lvl w:ilvl="6">
      <w:start w:val="0"/>
      <w:numFmt w:val="bullet"/>
      <w:lvlText w:val="•"/>
      <w:lvlJc w:val="left"/>
      <w:pPr>
        <w:ind w:left="4200" w:hanging="695"/>
      </w:pPr>
      <w:rPr>
        <w:rFonts w:hint="default"/>
      </w:rPr>
    </w:lvl>
    <w:lvl w:ilvl="7">
      <w:start w:val="0"/>
      <w:numFmt w:val="bullet"/>
      <w:lvlText w:val="•"/>
      <w:lvlJc w:val="left"/>
      <w:pPr>
        <w:ind w:left="4400" w:hanging="695"/>
      </w:pPr>
      <w:rPr>
        <w:rFonts w:hint="default"/>
      </w:rPr>
    </w:lvl>
    <w:lvl w:ilvl="8">
      <w:start w:val="0"/>
      <w:numFmt w:val="bullet"/>
      <w:lvlText w:val="•"/>
      <w:lvlJc w:val="left"/>
      <w:pPr>
        <w:ind w:left="6226" w:hanging="695"/>
      </w:pPr>
      <w:rPr>
        <w:rFonts w:hint="default"/>
      </w:rPr>
    </w:lvl>
  </w:abstractNum>
  <w:abstractNum w:abstractNumId="386">
    <w:multiLevelType w:val="hybridMultilevel"/>
    <w:lvl w:ilvl="0">
      <w:start w:val="165"/>
      <w:numFmt w:val="decimal"/>
      <w:lvlText w:val="%1."/>
      <w:lvlJc w:val="left"/>
      <w:pPr>
        <w:ind w:left="113" w:hanging="768"/>
        <w:jc w:val="left"/>
      </w:pPr>
      <w:rPr>
        <w:rFonts w:hint="default" w:ascii="Arial" w:hAnsi="Arial" w:eastAsia="Arial" w:cs="Arial"/>
        <w:b/>
        <w:bCs/>
        <w:spacing w:val="-1"/>
        <w:w w:val="125"/>
        <w:sz w:val="24"/>
        <w:szCs w:val="24"/>
      </w:rPr>
    </w:lvl>
    <w:lvl w:ilvl="1">
      <w:start w:val="0"/>
      <w:numFmt w:val="bullet"/>
      <w:lvlText w:val="•"/>
      <w:lvlJc w:val="left"/>
      <w:pPr>
        <w:ind w:left="2480" w:hanging="768"/>
      </w:pPr>
      <w:rPr>
        <w:rFonts w:hint="default"/>
      </w:rPr>
    </w:lvl>
    <w:lvl w:ilvl="2">
      <w:start w:val="0"/>
      <w:numFmt w:val="bullet"/>
      <w:lvlText w:val="•"/>
      <w:lvlJc w:val="left"/>
      <w:pPr>
        <w:ind w:left="2800" w:hanging="768"/>
      </w:pPr>
      <w:rPr>
        <w:rFonts w:hint="default"/>
      </w:rPr>
    </w:lvl>
    <w:lvl w:ilvl="3">
      <w:start w:val="0"/>
      <w:numFmt w:val="bullet"/>
      <w:lvlText w:val="•"/>
      <w:lvlJc w:val="left"/>
      <w:pPr>
        <w:ind w:left="2820" w:hanging="768"/>
      </w:pPr>
      <w:rPr>
        <w:rFonts w:hint="default"/>
      </w:rPr>
    </w:lvl>
    <w:lvl w:ilvl="4">
      <w:start w:val="0"/>
      <w:numFmt w:val="bullet"/>
      <w:lvlText w:val="•"/>
      <w:lvlJc w:val="left"/>
      <w:pPr>
        <w:ind w:left="2860" w:hanging="768"/>
      </w:pPr>
      <w:rPr>
        <w:rFonts w:hint="default"/>
      </w:rPr>
    </w:lvl>
    <w:lvl w:ilvl="5">
      <w:start w:val="0"/>
      <w:numFmt w:val="bullet"/>
      <w:lvlText w:val="•"/>
      <w:lvlJc w:val="left"/>
      <w:pPr>
        <w:ind w:left="3780" w:hanging="768"/>
      </w:pPr>
      <w:rPr>
        <w:rFonts w:hint="default"/>
      </w:rPr>
    </w:lvl>
    <w:lvl w:ilvl="6">
      <w:start w:val="0"/>
      <w:numFmt w:val="bullet"/>
      <w:lvlText w:val="•"/>
      <w:lvlJc w:val="left"/>
      <w:pPr>
        <w:ind w:left="4160" w:hanging="768"/>
      </w:pPr>
      <w:rPr>
        <w:rFonts w:hint="default"/>
      </w:rPr>
    </w:lvl>
    <w:lvl w:ilvl="7">
      <w:start w:val="0"/>
      <w:numFmt w:val="bullet"/>
      <w:lvlText w:val="•"/>
      <w:lvlJc w:val="left"/>
      <w:pPr>
        <w:ind w:left="4360" w:hanging="768"/>
      </w:pPr>
      <w:rPr>
        <w:rFonts w:hint="default"/>
      </w:rPr>
    </w:lvl>
    <w:lvl w:ilvl="8">
      <w:start w:val="0"/>
      <w:numFmt w:val="bullet"/>
      <w:lvlText w:val="•"/>
      <w:lvlJc w:val="left"/>
      <w:pPr>
        <w:ind w:left="4380" w:hanging="768"/>
      </w:pPr>
      <w:rPr>
        <w:rFonts w:hint="default"/>
      </w:rPr>
    </w:lvl>
  </w:abstractNum>
  <w:abstractNum w:abstractNumId="321">
    <w:multiLevelType w:val="hybridMultilevel"/>
    <w:lvl w:ilvl="0">
      <w:start w:val="138"/>
      <w:numFmt w:val="decimal"/>
      <w:lvlText w:val="%1."/>
      <w:lvlJc w:val="left"/>
      <w:pPr>
        <w:ind w:left="984" w:hanging="667"/>
        <w:jc w:val="left"/>
      </w:pPr>
      <w:rPr>
        <w:rFonts w:hint="default" w:ascii="Arial" w:hAnsi="Arial" w:eastAsia="Arial" w:cs="Arial"/>
        <w:b/>
        <w:bCs/>
        <w:spacing w:val="-1"/>
        <w:w w:val="125"/>
        <w:sz w:val="24"/>
        <w:szCs w:val="24"/>
      </w:rPr>
    </w:lvl>
    <w:lvl w:ilvl="1">
      <w:start w:val="0"/>
      <w:numFmt w:val="bullet"/>
      <w:lvlText w:val="•"/>
      <w:lvlJc w:val="left"/>
      <w:pPr>
        <w:ind w:left="2220" w:hanging="667"/>
      </w:pPr>
      <w:rPr>
        <w:rFonts w:hint="default"/>
      </w:rPr>
    </w:lvl>
    <w:lvl w:ilvl="2">
      <w:start w:val="0"/>
      <w:numFmt w:val="bullet"/>
      <w:lvlText w:val="•"/>
      <w:lvlJc w:val="left"/>
      <w:pPr>
        <w:ind w:left="2380" w:hanging="667"/>
      </w:pPr>
      <w:rPr>
        <w:rFonts w:hint="default"/>
      </w:rPr>
    </w:lvl>
    <w:lvl w:ilvl="3">
      <w:start w:val="0"/>
      <w:numFmt w:val="bullet"/>
      <w:lvlText w:val="•"/>
      <w:lvlJc w:val="left"/>
      <w:pPr>
        <w:ind w:left="2980" w:hanging="667"/>
      </w:pPr>
      <w:rPr>
        <w:rFonts w:hint="default"/>
      </w:rPr>
    </w:lvl>
    <w:lvl w:ilvl="4">
      <w:start w:val="0"/>
      <w:numFmt w:val="bullet"/>
      <w:lvlText w:val="•"/>
      <w:lvlJc w:val="left"/>
      <w:pPr>
        <w:ind w:left="3160" w:hanging="667"/>
      </w:pPr>
      <w:rPr>
        <w:rFonts w:hint="default"/>
      </w:rPr>
    </w:lvl>
    <w:lvl w:ilvl="5">
      <w:start w:val="0"/>
      <w:numFmt w:val="bullet"/>
      <w:lvlText w:val="•"/>
      <w:lvlJc w:val="left"/>
      <w:pPr>
        <w:ind w:left="3920" w:hanging="667"/>
      </w:pPr>
      <w:rPr>
        <w:rFonts w:hint="default"/>
      </w:rPr>
    </w:lvl>
    <w:lvl w:ilvl="6">
      <w:start w:val="0"/>
      <w:numFmt w:val="bullet"/>
      <w:lvlText w:val="•"/>
      <w:lvlJc w:val="left"/>
      <w:pPr>
        <w:ind w:left="4220" w:hanging="667"/>
      </w:pPr>
      <w:rPr>
        <w:rFonts w:hint="default"/>
      </w:rPr>
    </w:lvl>
    <w:lvl w:ilvl="7">
      <w:start w:val="0"/>
      <w:numFmt w:val="bullet"/>
      <w:lvlText w:val="•"/>
      <w:lvlJc w:val="left"/>
      <w:pPr>
        <w:ind w:left="4240" w:hanging="667"/>
      </w:pPr>
      <w:rPr>
        <w:rFonts w:hint="default"/>
      </w:rPr>
    </w:lvl>
    <w:lvl w:ilvl="8">
      <w:start w:val="0"/>
      <w:numFmt w:val="bullet"/>
      <w:lvlText w:val="•"/>
      <w:lvlJc w:val="left"/>
      <w:pPr>
        <w:ind w:left="4460" w:hanging="667"/>
      </w:pPr>
      <w:rPr>
        <w:rFonts w:hint="default"/>
      </w:rPr>
    </w:lvl>
  </w:abstractNum>
  <w:abstractNum w:abstractNumId="669">
    <w:multiLevelType w:val="hybridMultilevel"/>
    <w:lvl w:ilvl="0">
      <w:start w:val="1"/>
      <w:numFmt w:val="decimal"/>
      <w:lvlText w:val="%1."/>
      <w:lvlJc w:val="left"/>
      <w:pPr>
        <w:ind w:left="1313"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176" w:hanging="305"/>
      </w:pPr>
      <w:rPr>
        <w:rFonts w:hint="default"/>
      </w:rPr>
    </w:lvl>
    <w:lvl w:ilvl="2">
      <w:start w:val="0"/>
      <w:numFmt w:val="bullet"/>
      <w:lvlText w:val="•"/>
      <w:lvlJc w:val="left"/>
      <w:pPr>
        <w:ind w:left="3032" w:hanging="305"/>
      </w:pPr>
      <w:rPr>
        <w:rFonts w:hint="default"/>
      </w:rPr>
    </w:lvl>
    <w:lvl w:ilvl="3">
      <w:start w:val="0"/>
      <w:numFmt w:val="bullet"/>
      <w:lvlText w:val="•"/>
      <w:lvlJc w:val="left"/>
      <w:pPr>
        <w:ind w:left="3888" w:hanging="305"/>
      </w:pPr>
      <w:rPr>
        <w:rFonts w:hint="default"/>
      </w:rPr>
    </w:lvl>
    <w:lvl w:ilvl="4">
      <w:start w:val="0"/>
      <w:numFmt w:val="bullet"/>
      <w:lvlText w:val="•"/>
      <w:lvlJc w:val="left"/>
      <w:pPr>
        <w:ind w:left="4744" w:hanging="305"/>
      </w:pPr>
      <w:rPr>
        <w:rFonts w:hint="default"/>
      </w:rPr>
    </w:lvl>
    <w:lvl w:ilvl="5">
      <w:start w:val="0"/>
      <w:numFmt w:val="bullet"/>
      <w:lvlText w:val="•"/>
      <w:lvlJc w:val="left"/>
      <w:pPr>
        <w:ind w:left="5600" w:hanging="305"/>
      </w:pPr>
      <w:rPr>
        <w:rFonts w:hint="default"/>
      </w:rPr>
    </w:lvl>
    <w:lvl w:ilvl="6">
      <w:start w:val="0"/>
      <w:numFmt w:val="bullet"/>
      <w:lvlText w:val="•"/>
      <w:lvlJc w:val="left"/>
      <w:pPr>
        <w:ind w:left="6456" w:hanging="305"/>
      </w:pPr>
      <w:rPr>
        <w:rFonts w:hint="default"/>
      </w:rPr>
    </w:lvl>
    <w:lvl w:ilvl="7">
      <w:start w:val="0"/>
      <w:numFmt w:val="bullet"/>
      <w:lvlText w:val="•"/>
      <w:lvlJc w:val="left"/>
      <w:pPr>
        <w:ind w:left="7312" w:hanging="305"/>
      </w:pPr>
      <w:rPr>
        <w:rFonts w:hint="default"/>
      </w:rPr>
    </w:lvl>
    <w:lvl w:ilvl="8">
      <w:start w:val="0"/>
      <w:numFmt w:val="bullet"/>
      <w:lvlText w:val="•"/>
      <w:lvlJc w:val="left"/>
      <w:pPr>
        <w:ind w:left="8168" w:hanging="305"/>
      </w:pPr>
      <w:rPr>
        <w:rFonts w:hint="default"/>
      </w:rPr>
    </w:lvl>
  </w:abstractNum>
  <w:abstractNum w:abstractNumId="668">
    <w:multiLevelType w:val="hybridMultilevel"/>
    <w:lvl w:ilvl="0">
      <w:start w:val="107"/>
      <w:numFmt w:val="decimal"/>
      <w:lvlText w:val="%1."/>
      <w:lvlJc w:val="left"/>
      <w:pPr>
        <w:ind w:left="1923" w:hanging="611"/>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716" w:hanging="611"/>
      </w:pPr>
      <w:rPr>
        <w:rFonts w:hint="default"/>
      </w:rPr>
    </w:lvl>
    <w:lvl w:ilvl="2">
      <w:start w:val="0"/>
      <w:numFmt w:val="bullet"/>
      <w:lvlText w:val="•"/>
      <w:lvlJc w:val="left"/>
      <w:pPr>
        <w:ind w:left="3512" w:hanging="611"/>
      </w:pPr>
      <w:rPr>
        <w:rFonts w:hint="default"/>
      </w:rPr>
    </w:lvl>
    <w:lvl w:ilvl="3">
      <w:start w:val="0"/>
      <w:numFmt w:val="bullet"/>
      <w:lvlText w:val="•"/>
      <w:lvlJc w:val="left"/>
      <w:pPr>
        <w:ind w:left="4308" w:hanging="611"/>
      </w:pPr>
      <w:rPr>
        <w:rFonts w:hint="default"/>
      </w:rPr>
    </w:lvl>
    <w:lvl w:ilvl="4">
      <w:start w:val="0"/>
      <w:numFmt w:val="bullet"/>
      <w:lvlText w:val="•"/>
      <w:lvlJc w:val="left"/>
      <w:pPr>
        <w:ind w:left="5104" w:hanging="611"/>
      </w:pPr>
      <w:rPr>
        <w:rFonts w:hint="default"/>
      </w:rPr>
    </w:lvl>
    <w:lvl w:ilvl="5">
      <w:start w:val="0"/>
      <w:numFmt w:val="bullet"/>
      <w:lvlText w:val="•"/>
      <w:lvlJc w:val="left"/>
      <w:pPr>
        <w:ind w:left="5900" w:hanging="611"/>
      </w:pPr>
      <w:rPr>
        <w:rFonts w:hint="default"/>
      </w:rPr>
    </w:lvl>
    <w:lvl w:ilvl="6">
      <w:start w:val="0"/>
      <w:numFmt w:val="bullet"/>
      <w:lvlText w:val="•"/>
      <w:lvlJc w:val="left"/>
      <w:pPr>
        <w:ind w:left="6696" w:hanging="611"/>
      </w:pPr>
      <w:rPr>
        <w:rFonts w:hint="default"/>
      </w:rPr>
    </w:lvl>
    <w:lvl w:ilvl="7">
      <w:start w:val="0"/>
      <w:numFmt w:val="bullet"/>
      <w:lvlText w:val="•"/>
      <w:lvlJc w:val="left"/>
      <w:pPr>
        <w:ind w:left="7492" w:hanging="611"/>
      </w:pPr>
      <w:rPr>
        <w:rFonts w:hint="default"/>
      </w:rPr>
    </w:lvl>
    <w:lvl w:ilvl="8">
      <w:start w:val="0"/>
      <w:numFmt w:val="bullet"/>
      <w:lvlText w:val="•"/>
      <w:lvlJc w:val="left"/>
      <w:pPr>
        <w:ind w:left="8288" w:hanging="611"/>
      </w:pPr>
      <w:rPr>
        <w:rFonts w:hint="default"/>
      </w:rPr>
    </w:lvl>
  </w:abstractNum>
  <w:abstractNum w:abstractNumId="667">
    <w:multiLevelType w:val="hybridMultilevel"/>
    <w:lvl w:ilvl="0">
      <w:start w:val="8"/>
      <w:numFmt w:val="decimal"/>
      <w:lvlText w:val="%1."/>
      <w:lvlJc w:val="left"/>
      <w:pPr>
        <w:ind w:left="16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2446" w:hanging="305"/>
      </w:pPr>
      <w:rPr>
        <w:rFonts w:hint="default"/>
      </w:rPr>
    </w:lvl>
    <w:lvl w:ilvl="2">
      <w:start w:val="0"/>
      <w:numFmt w:val="bullet"/>
      <w:lvlText w:val="•"/>
      <w:lvlJc w:val="left"/>
      <w:pPr>
        <w:ind w:left="3272" w:hanging="305"/>
      </w:pPr>
      <w:rPr>
        <w:rFonts w:hint="default"/>
      </w:rPr>
    </w:lvl>
    <w:lvl w:ilvl="3">
      <w:start w:val="0"/>
      <w:numFmt w:val="bullet"/>
      <w:lvlText w:val="•"/>
      <w:lvlJc w:val="left"/>
      <w:pPr>
        <w:ind w:left="4098" w:hanging="305"/>
      </w:pPr>
      <w:rPr>
        <w:rFonts w:hint="default"/>
      </w:rPr>
    </w:lvl>
    <w:lvl w:ilvl="4">
      <w:start w:val="0"/>
      <w:numFmt w:val="bullet"/>
      <w:lvlText w:val="•"/>
      <w:lvlJc w:val="left"/>
      <w:pPr>
        <w:ind w:left="4924" w:hanging="305"/>
      </w:pPr>
      <w:rPr>
        <w:rFonts w:hint="default"/>
      </w:rPr>
    </w:lvl>
    <w:lvl w:ilvl="5">
      <w:start w:val="0"/>
      <w:numFmt w:val="bullet"/>
      <w:lvlText w:val="•"/>
      <w:lvlJc w:val="left"/>
      <w:pPr>
        <w:ind w:left="5750" w:hanging="305"/>
      </w:pPr>
      <w:rPr>
        <w:rFonts w:hint="default"/>
      </w:rPr>
    </w:lvl>
    <w:lvl w:ilvl="6">
      <w:start w:val="0"/>
      <w:numFmt w:val="bullet"/>
      <w:lvlText w:val="•"/>
      <w:lvlJc w:val="left"/>
      <w:pPr>
        <w:ind w:left="6576" w:hanging="305"/>
      </w:pPr>
      <w:rPr>
        <w:rFonts w:hint="default"/>
      </w:rPr>
    </w:lvl>
    <w:lvl w:ilvl="7">
      <w:start w:val="0"/>
      <w:numFmt w:val="bullet"/>
      <w:lvlText w:val="•"/>
      <w:lvlJc w:val="left"/>
      <w:pPr>
        <w:ind w:left="7402" w:hanging="305"/>
      </w:pPr>
      <w:rPr>
        <w:rFonts w:hint="default"/>
      </w:rPr>
    </w:lvl>
    <w:lvl w:ilvl="8">
      <w:start w:val="0"/>
      <w:numFmt w:val="bullet"/>
      <w:lvlText w:val="•"/>
      <w:lvlJc w:val="left"/>
      <w:pPr>
        <w:ind w:left="8228" w:hanging="305"/>
      </w:pPr>
      <w:rPr>
        <w:rFonts w:hint="default"/>
      </w:rPr>
    </w:lvl>
  </w:abstractNum>
  <w:abstractNum w:abstractNumId="6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6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62">
    <w:multiLevelType w:val="hybridMultilevel"/>
    <w:lvl w:ilvl="0">
      <w:start w:val="7"/>
      <w:numFmt w:val="lowerLetter"/>
      <w:lvlText w:val="%1)"/>
      <w:lvlJc w:val="left"/>
      <w:pPr>
        <w:ind w:left="113" w:hanging="339"/>
        <w:jc w:val="left"/>
      </w:pPr>
      <w:rPr>
        <w:rFonts w:hint="default" w:ascii="Times New Roman" w:hAnsi="Times New Roman" w:eastAsia="Times New Roman" w:cs="Times New Roman"/>
        <w:i/>
        <w:spacing w:val="-1"/>
        <w:w w:val="123"/>
        <w:sz w:val="24"/>
        <w:szCs w:val="24"/>
      </w:rPr>
    </w:lvl>
    <w:lvl w:ilvl="1">
      <w:start w:val="0"/>
      <w:numFmt w:val="bullet"/>
      <w:lvlText w:val="•"/>
      <w:lvlJc w:val="left"/>
      <w:pPr>
        <w:ind w:left="1096" w:hanging="339"/>
      </w:pPr>
      <w:rPr>
        <w:rFonts w:hint="default"/>
      </w:rPr>
    </w:lvl>
    <w:lvl w:ilvl="2">
      <w:start w:val="0"/>
      <w:numFmt w:val="bullet"/>
      <w:lvlText w:val="•"/>
      <w:lvlJc w:val="left"/>
      <w:pPr>
        <w:ind w:left="2072" w:hanging="339"/>
      </w:pPr>
      <w:rPr>
        <w:rFonts w:hint="default"/>
      </w:rPr>
    </w:lvl>
    <w:lvl w:ilvl="3">
      <w:start w:val="0"/>
      <w:numFmt w:val="bullet"/>
      <w:lvlText w:val="•"/>
      <w:lvlJc w:val="left"/>
      <w:pPr>
        <w:ind w:left="3048" w:hanging="339"/>
      </w:pPr>
      <w:rPr>
        <w:rFonts w:hint="default"/>
      </w:rPr>
    </w:lvl>
    <w:lvl w:ilvl="4">
      <w:start w:val="0"/>
      <w:numFmt w:val="bullet"/>
      <w:lvlText w:val="•"/>
      <w:lvlJc w:val="left"/>
      <w:pPr>
        <w:ind w:left="4024" w:hanging="339"/>
      </w:pPr>
      <w:rPr>
        <w:rFonts w:hint="default"/>
      </w:rPr>
    </w:lvl>
    <w:lvl w:ilvl="5">
      <w:start w:val="0"/>
      <w:numFmt w:val="bullet"/>
      <w:lvlText w:val="•"/>
      <w:lvlJc w:val="left"/>
      <w:pPr>
        <w:ind w:left="5000" w:hanging="339"/>
      </w:pPr>
      <w:rPr>
        <w:rFonts w:hint="default"/>
      </w:rPr>
    </w:lvl>
    <w:lvl w:ilvl="6">
      <w:start w:val="0"/>
      <w:numFmt w:val="bullet"/>
      <w:lvlText w:val="•"/>
      <w:lvlJc w:val="left"/>
      <w:pPr>
        <w:ind w:left="5976" w:hanging="339"/>
      </w:pPr>
      <w:rPr>
        <w:rFonts w:hint="default"/>
      </w:rPr>
    </w:lvl>
    <w:lvl w:ilvl="7">
      <w:start w:val="0"/>
      <w:numFmt w:val="bullet"/>
      <w:lvlText w:val="•"/>
      <w:lvlJc w:val="left"/>
      <w:pPr>
        <w:ind w:left="6952" w:hanging="339"/>
      </w:pPr>
      <w:rPr>
        <w:rFonts w:hint="default"/>
      </w:rPr>
    </w:lvl>
    <w:lvl w:ilvl="8">
      <w:start w:val="0"/>
      <w:numFmt w:val="bullet"/>
      <w:lvlText w:val="•"/>
      <w:lvlJc w:val="left"/>
      <w:pPr>
        <w:ind w:left="7928" w:hanging="339"/>
      </w:pPr>
      <w:rPr>
        <w:rFonts w:hint="default"/>
      </w:rPr>
    </w:lvl>
  </w:abstractNum>
  <w:abstractNum w:abstractNumId="661">
    <w:multiLevelType w:val="hybridMultilevel"/>
    <w:lvl w:ilvl="0">
      <w:start w:val="1"/>
      <w:numFmt w:val="lowerLetter"/>
      <w:lvlText w:val="%1)"/>
      <w:lvlJc w:val="left"/>
      <w:pPr>
        <w:ind w:left="113" w:hanging="4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660">
    <w:multiLevelType w:val="hybridMultilevel"/>
    <w:lvl w:ilvl="0">
      <w:start w:val="1"/>
      <w:numFmt w:val="lowerLetter"/>
      <w:lvlText w:val="%1)"/>
      <w:lvlJc w:val="left"/>
      <w:pPr>
        <w:ind w:left="113" w:hanging="39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9"/>
      </w:pPr>
      <w:rPr>
        <w:rFonts w:hint="default"/>
      </w:rPr>
    </w:lvl>
    <w:lvl w:ilvl="2">
      <w:start w:val="0"/>
      <w:numFmt w:val="bullet"/>
      <w:lvlText w:val="•"/>
      <w:lvlJc w:val="left"/>
      <w:pPr>
        <w:ind w:left="2072" w:hanging="399"/>
      </w:pPr>
      <w:rPr>
        <w:rFonts w:hint="default"/>
      </w:rPr>
    </w:lvl>
    <w:lvl w:ilvl="3">
      <w:start w:val="0"/>
      <w:numFmt w:val="bullet"/>
      <w:lvlText w:val="•"/>
      <w:lvlJc w:val="left"/>
      <w:pPr>
        <w:ind w:left="3048" w:hanging="399"/>
      </w:pPr>
      <w:rPr>
        <w:rFonts w:hint="default"/>
      </w:rPr>
    </w:lvl>
    <w:lvl w:ilvl="4">
      <w:start w:val="0"/>
      <w:numFmt w:val="bullet"/>
      <w:lvlText w:val="•"/>
      <w:lvlJc w:val="left"/>
      <w:pPr>
        <w:ind w:left="4024" w:hanging="399"/>
      </w:pPr>
      <w:rPr>
        <w:rFonts w:hint="default"/>
      </w:rPr>
    </w:lvl>
    <w:lvl w:ilvl="5">
      <w:start w:val="0"/>
      <w:numFmt w:val="bullet"/>
      <w:lvlText w:val="•"/>
      <w:lvlJc w:val="left"/>
      <w:pPr>
        <w:ind w:left="5000" w:hanging="399"/>
      </w:pPr>
      <w:rPr>
        <w:rFonts w:hint="default"/>
      </w:rPr>
    </w:lvl>
    <w:lvl w:ilvl="6">
      <w:start w:val="0"/>
      <w:numFmt w:val="bullet"/>
      <w:lvlText w:val="•"/>
      <w:lvlJc w:val="left"/>
      <w:pPr>
        <w:ind w:left="5976" w:hanging="399"/>
      </w:pPr>
      <w:rPr>
        <w:rFonts w:hint="default"/>
      </w:rPr>
    </w:lvl>
    <w:lvl w:ilvl="7">
      <w:start w:val="0"/>
      <w:numFmt w:val="bullet"/>
      <w:lvlText w:val="•"/>
      <w:lvlJc w:val="left"/>
      <w:pPr>
        <w:ind w:left="6952" w:hanging="399"/>
      </w:pPr>
      <w:rPr>
        <w:rFonts w:hint="default"/>
      </w:rPr>
    </w:lvl>
    <w:lvl w:ilvl="8">
      <w:start w:val="0"/>
      <w:numFmt w:val="bullet"/>
      <w:lvlText w:val="•"/>
      <w:lvlJc w:val="left"/>
      <w:pPr>
        <w:ind w:left="7928" w:hanging="399"/>
      </w:pPr>
      <w:rPr>
        <w:rFonts w:hint="default"/>
      </w:rPr>
    </w:lvl>
  </w:abstractNum>
  <w:abstractNum w:abstractNumId="65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58">
    <w:multiLevelType w:val="hybridMultilevel"/>
    <w:lvl w:ilvl="0">
      <w:start w:val="2"/>
      <w:numFmt w:val="decimal"/>
      <w:lvlText w:val="%1."/>
      <w:lvlJc w:val="left"/>
      <w:pPr>
        <w:ind w:left="418" w:hanging="305"/>
        <w:jc w:val="left"/>
      </w:pPr>
      <w:rPr>
        <w:rFonts w:hint="default"/>
        <w:spacing w:val="-1"/>
        <w:w w:val="127"/>
        <w:u w:val="single" w:color="000000"/>
      </w:rPr>
    </w:lvl>
    <w:lvl w:ilvl="1">
      <w:start w:val="1"/>
      <w:numFmt w:val="decimal"/>
      <w:lvlText w:val="%2."/>
      <w:lvlJc w:val="left"/>
      <w:pPr>
        <w:ind w:left="113" w:hanging="386"/>
        <w:jc w:val="right"/>
      </w:pPr>
      <w:rPr>
        <w:rFonts w:hint="default"/>
        <w:spacing w:val="-1"/>
        <w:w w:val="127"/>
      </w:rPr>
    </w:lvl>
    <w:lvl w:ilvl="2">
      <w:start w:val="1"/>
      <w:numFmt w:val="decimal"/>
      <w:lvlText w:val="%3."/>
      <w:lvlJc w:val="left"/>
      <w:pPr>
        <w:ind w:left="113" w:hanging="338"/>
        <w:jc w:val="right"/>
      </w:pPr>
      <w:rPr>
        <w:rFonts w:hint="default"/>
        <w:spacing w:val="-1"/>
        <w:w w:val="127"/>
      </w:rPr>
    </w:lvl>
    <w:lvl w:ilvl="3">
      <w:start w:val="1"/>
      <w:numFmt w:val="decimal"/>
      <w:lvlText w:val="%4."/>
      <w:lvlJc w:val="left"/>
      <w:pPr>
        <w:ind w:left="622" w:hanging="305"/>
        <w:jc w:val="left"/>
      </w:pPr>
      <w:rPr>
        <w:rFonts w:hint="default" w:ascii="Times New Roman" w:hAnsi="Times New Roman" w:eastAsia="Times New Roman" w:cs="Times New Roman"/>
        <w:spacing w:val="-1"/>
        <w:w w:val="127"/>
        <w:sz w:val="24"/>
        <w:szCs w:val="24"/>
      </w:rPr>
    </w:lvl>
    <w:lvl w:ilvl="4">
      <w:start w:val="0"/>
      <w:numFmt w:val="bullet"/>
      <w:lvlText w:val="•"/>
      <w:lvlJc w:val="left"/>
      <w:pPr>
        <w:ind w:left="2935" w:hanging="305"/>
      </w:pPr>
      <w:rPr>
        <w:rFonts w:hint="default"/>
      </w:rPr>
    </w:lvl>
    <w:lvl w:ilvl="5">
      <w:start w:val="0"/>
      <w:numFmt w:val="bullet"/>
      <w:lvlText w:val="•"/>
      <w:lvlJc w:val="left"/>
      <w:pPr>
        <w:ind w:left="4092" w:hanging="305"/>
      </w:pPr>
      <w:rPr>
        <w:rFonts w:hint="default"/>
      </w:rPr>
    </w:lvl>
    <w:lvl w:ilvl="6">
      <w:start w:val="0"/>
      <w:numFmt w:val="bullet"/>
      <w:lvlText w:val="•"/>
      <w:lvlJc w:val="left"/>
      <w:pPr>
        <w:ind w:left="5250" w:hanging="305"/>
      </w:pPr>
      <w:rPr>
        <w:rFonts w:hint="default"/>
      </w:rPr>
    </w:lvl>
    <w:lvl w:ilvl="7">
      <w:start w:val="0"/>
      <w:numFmt w:val="bullet"/>
      <w:lvlText w:val="•"/>
      <w:lvlJc w:val="left"/>
      <w:pPr>
        <w:ind w:left="6407" w:hanging="305"/>
      </w:pPr>
      <w:rPr>
        <w:rFonts w:hint="default"/>
      </w:rPr>
    </w:lvl>
    <w:lvl w:ilvl="8">
      <w:start w:val="0"/>
      <w:numFmt w:val="bullet"/>
      <w:lvlText w:val="•"/>
      <w:lvlJc w:val="left"/>
      <w:pPr>
        <w:ind w:left="7565" w:hanging="305"/>
      </w:pPr>
      <w:rPr>
        <w:rFonts w:hint="default"/>
      </w:rPr>
    </w:lvl>
  </w:abstractNum>
  <w:abstractNum w:abstractNumId="657">
    <w:multiLevelType w:val="hybridMultilevel"/>
    <w:lvl w:ilvl="0">
      <w:start w:val="1"/>
      <w:numFmt w:val="decimal"/>
      <w:lvlText w:val="%1."/>
      <w:lvlJc w:val="left"/>
      <w:pPr>
        <w:ind w:left="622"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546" w:hanging="305"/>
      </w:pPr>
      <w:rPr>
        <w:rFonts w:hint="default"/>
      </w:rPr>
    </w:lvl>
    <w:lvl w:ilvl="2">
      <w:start w:val="0"/>
      <w:numFmt w:val="bullet"/>
      <w:lvlText w:val="•"/>
      <w:lvlJc w:val="left"/>
      <w:pPr>
        <w:ind w:left="2472" w:hanging="305"/>
      </w:pPr>
      <w:rPr>
        <w:rFonts w:hint="default"/>
      </w:rPr>
    </w:lvl>
    <w:lvl w:ilvl="3">
      <w:start w:val="0"/>
      <w:numFmt w:val="bullet"/>
      <w:lvlText w:val="•"/>
      <w:lvlJc w:val="left"/>
      <w:pPr>
        <w:ind w:left="3398" w:hanging="305"/>
      </w:pPr>
      <w:rPr>
        <w:rFonts w:hint="default"/>
      </w:rPr>
    </w:lvl>
    <w:lvl w:ilvl="4">
      <w:start w:val="0"/>
      <w:numFmt w:val="bullet"/>
      <w:lvlText w:val="•"/>
      <w:lvlJc w:val="left"/>
      <w:pPr>
        <w:ind w:left="4324" w:hanging="305"/>
      </w:pPr>
      <w:rPr>
        <w:rFonts w:hint="default"/>
      </w:rPr>
    </w:lvl>
    <w:lvl w:ilvl="5">
      <w:start w:val="0"/>
      <w:numFmt w:val="bullet"/>
      <w:lvlText w:val="•"/>
      <w:lvlJc w:val="left"/>
      <w:pPr>
        <w:ind w:left="5250" w:hanging="305"/>
      </w:pPr>
      <w:rPr>
        <w:rFonts w:hint="default"/>
      </w:rPr>
    </w:lvl>
    <w:lvl w:ilvl="6">
      <w:start w:val="0"/>
      <w:numFmt w:val="bullet"/>
      <w:lvlText w:val="•"/>
      <w:lvlJc w:val="left"/>
      <w:pPr>
        <w:ind w:left="6176" w:hanging="305"/>
      </w:pPr>
      <w:rPr>
        <w:rFonts w:hint="default"/>
      </w:rPr>
    </w:lvl>
    <w:lvl w:ilvl="7">
      <w:start w:val="0"/>
      <w:numFmt w:val="bullet"/>
      <w:lvlText w:val="•"/>
      <w:lvlJc w:val="left"/>
      <w:pPr>
        <w:ind w:left="7102" w:hanging="305"/>
      </w:pPr>
      <w:rPr>
        <w:rFonts w:hint="default"/>
      </w:rPr>
    </w:lvl>
    <w:lvl w:ilvl="8">
      <w:start w:val="0"/>
      <w:numFmt w:val="bullet"/>
      <w:lvlText w:val="•"/>
      <w:lvlJc w:val="left"/>
      <w:pPr>
        <w:ind w:left="8028" w:hanging="305"/>
      </w:pPr>
      <w:rPr>
        <w:rFonts w:hint="default"/>
      </w:rPr>
    </w:lvl>
  </w:abstractNum>
  <w:abstractNum w:abstractNumId="656">
    <w:multiLevelType w:val="hybridMultilevel"/>
    <w:lvl w:ilvl="0">
      <w:start w:val="1"/>
      <w:numFmt w:val="decimal"/>
      <w:lvlText w:val="%1."/>
      <w:lvlJc w:val="left"/>
      <w:pPr>
        <w:ind w:left="418" w:hanging="305"/>
        <w:jc w:val="left"/>
      </w:pPr>
      <w:rPr>
        <w:rFonts w:hint="default"/>
        <w:spacing w:val="-1"/>
        <w:w w:val="127"/>
        <w:u w:val="single" w:color="000000"/>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0"/>
      <w:numFmt w:val="bullet"/>
      <w:lvlText w:val="•"/>
      <w:lvlJc w:val="left"/>
      <w:pPr>
        <w:ind w:left="1702" w:hanging="344"/>
      </w:pPr>
      <w:rPr>
        <w:rFonts w:hint="default"/>
      </w:rPr>
    </w:lvl>
    <w:lvl w:ilvl="3">
      <w:start w:val="0"/>
      <w:numFmt w:val="bullet"/>
      <w:lvlText w:val="•"/>
      <w:lvlJc w:val="left"/>
      <w:pPr>
        <w:ind w:left="2724" w:hanging="344"/>
      </w:pPr>
      <w:rPr>
        <w:rFonts w:hint="default"/>
      </w:rPr>
    </w:lvl>
    <w:lvl w:ilvl="4">
      <w:start w:val="0"/>
      <w:numFmt w:val="bullet"/>
      <w:lvlText w:val="•"/>
      <w:lvlJc w:val="left"/>
      <w:pPr>
        <w:ind w:left="3746" w:hanging="344"/>
      </w:pPr>
      <w:rPr>
        <w:rFonts w:hint="default"/>
      </w:rPr>
    </w:lvl>
    <w:lvl w:ilvl="5">
      <w:start w:val="0"/>
      <w:numFmt w:val="bullet"/>
      <w:lvlText w:val="•"/>
      <w:lvlJc w:val="left"/>
      <w:pPr>
        <w:ind w:left="4768" w:hanging="344"/>
      </w:pPr>
      <w:rPr>
        <w:rFonts w:hint="default"/>
      </w:rPr>
    </w:lvl>
    <w:lvl w:ilvl="6">
      <w:start w:val="0"/>
      <w:numFmt w:val="bullet"/>
      <w:lvlText w:val="•"/>
      <w:lvlJc w:val="left"/>
      <w:pPr>
        <w:ind w:left="5791" w:hanging="344"/>
      </w:pPr>
      <w:rPr>
        <w:rFonts w:hint="default"/>
      </w:rPr>
    </w:lvl>
    <w:lvl w:ilvl="7">
      <w:start w:val="0"/>
      <w:numFmt w:val="bullet"/>
      <w:lvlText w:val="•"/>
      <w:lvlJc w:val="left"/>
      <w:pPr>
        <w:ind w:left="6813" w:hanging="344"/>
      </w:pPr>
      <w:rPr>
        <w:rFonts w:hint="default"/>
      </w:rPr>
    </w:lvl>
    <w:lvl w:ilvl="8">
      <w:start w:val="0"/>
      <w:numFmt w:val="bullet"/>
      <w:lvlText w:val="•"/>
      <w:lvlJc w:val="left"/>
      <w:pPr>
        <w:ind w:left="7835" w:hanging="344"/>
      </w:pPr>
      <w:rPr>
        <w:rFonts w:hint="default"/>
      </w:rPr>
    </w:lvl>
  </w:abstractNum>
  <w:abstractNum w:abstractNumId="65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54">
    <w:multiLevelType w:val="hybridMultilevel"/>
    <w:lvl w:ilvl="0">
      <w:start w:val="1"/>
      <w:numFmt w:val="lowerLetter"/>
      <w:lvlText w:val="%1)"/>
      <w:lvlJc w:val="left"/>
      <w:pPr>
        <w:ind w:left="113" w:hanging="3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7"/>
      </w:pPr>
      <w:rPr>
        <w:rFonts w:hint="default"/>
      </w:rPr>
    </w:lvl>
    <w:lvl w:ilvl="2">
      <w:start w:val="0"/>
      <w:numFmt w:val="bullet"/>
      <w:lvlText w:val="•"/>
      <w:lvlJc w:val="left"/>
      <w:pPr>
        <w:ind w:left="2072" w:hanging="317"/>
      </w:pPr>
      <w:rPr>
        <w:rFonts w:hint="default"/>
      </w:rPr>
    </w:lvl>
    <w:lvl w:ilvl="3">
      <w:start w:val="0"/>
      <w:numFmt w:val="bullet"/>
      <w:lvlText w:val="•"/>
      <w:lvlJc w:val="left"/>
      <w:pPr>
        <w:ind w:left="3048" w:hanging="317"/>
      </w:pPr>
      <w:rPr>
        <w:rFonts w:hint="default"/>
      </w:rPr>
    </w:lvl>
    <w:lvl w:ilvl="4">
      <w:start w:val="0"/>
      <w:numFmt w:val="bullet"/>
      <w:lvlText w:val="•"/>
      <w:lvlJc w:val="left"/>
      <w:pPr>
        <w:ind w:left="402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76" w:hanging="317"/>
      </w:pPr>
      <w:rPr>
        <w:rFonts w:hint="default"/>
      </w:rPr>
    </w:lvl>
    <w:lvl w:ilvl="7">
      <w:start w:val="0"/>
      <w:numFmt w:val="bullet"/>
      <w:lvlText w:val="•"/>
      <w:lvlJc w:val="left"/>
      <w:pPr>
        <w:ind w:left="6952" w:hanging="317"/>
      </w:pPr>
      <w:rPr>
        <w:rFonts w:hint="default"/>
      </w:rPr>
    </w:lvl>
    <w:lvl w:ilvl="8">
      <w:start w:val="0"/>
      <w:numFmt w:val="bullet"/>
      <w:lvlText w:val="•"/>
      <w:lvlJc w:val="left"/>
      <w:pPr>
        <w:ind w:left="7928" w:hanging="317"/>
      </w:pPr>
      <w:rPr>
        <w:rFonts w:hint="default"/>
      </w:rPr>
    </w:lvl>
  </w:abstractNum>
  <w:abstractNum w:abstractNumId="653">
    <w:multiLevelType w:val="hybridMultilevel"/>
    <w:lvl w:ilvl="0">
      <w:start w:val="74"/>
      <w:numFmt w:val="decimal"/>
      <w:lvlText w:val="%1."/>
      <w:lvlJc w:val="left"/>
      <w:pPr>
        <w:ind w:left="113" w:hanging="643"/>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643"/>
      </w:pPr>
      <w:rPr>
        <w:rFonts w:hint="default"/>
      </w:rPr>
    </w:lvl>
    <w:lvl w:ilvl="2">
      <w:start w:val="0"/>
      <w:numFmt w:val="bullet"/>
      <w:lvlText w:val="•"/>
      <w:lvlJc w:val="left"/>
      <w:pPr>
        <w:ind w:left="2072" w:hanging="643"/>
      </w:pPr>
      <w:rPr>
        <w:rFonts w:hint="default"/>
      </w:rPr>
    </w:lvl>
    <w:lvl w:ilvl="3">
      <w:start w:val="0"/>
      <w:numFmt w:val="bullet"/>
      <w:lvlText w:val="•"/>
      <w:lvlJc w:val="left"/>
      <w:pPr>
        <w:ind w:left="3048" w:hanging="643"/>
      </w:pPr>
      <w:rPr>
        <w:rFonts w:hint="default"/>
      </w:rPr>
    </w:lvl>
    <w:lvl w:ilvl="4">
      <w:start w:val="0"/>
      <w:numFmt w:val="bullet"/>
      <w:lvlText w:val="•"/>
      <w:lvlJc w:val="left"/>
      <w:pPr>
        <w:ind w:left="4024" w:hanging="643"/>
      </w:pPr>
      <w:rPr>
        <w:rFonts w:hint="default"/>
      </w:rPr>
    </w:lvl>
    <w:lvl w:ilvl="5">
      <w:start w:val="0"/>
      <w:numFmt w:val="bullet"/>
      <w:lvlText w:val="•"/>
      <w:lvlJc w:val="left"/>
      <w:pPr>
        <w:ind w:left="5000" w:hanging="643"/>
      </w:pPr>
      <w:rPr>
        <w:rFonts w:hint="default"/>
      </w:rPr>
    </w:lvl>
    <w:lvl w:ilvl="6">
      <w:start w:val="0"/>
      <w:numFmt w:val="bullet"/>
      <w:lvlText w:val="•"/>
      <w:lvlJc w:val="left"/>
      <w:pPr>
        <w:ind w:left="5976" w:hanging="643"/>
      </w:pPr>
      <w:rPr>
        <w:rFonts w:hint="default"/>
      </w:rPr>
    </w:lvl>
    <w:lvl w:ilvl="7">
      <w:start w:val="0"/>
      <w:numFmt w:val="bullet"/>
      <w:lvlText w:val="•"/>
      <w:lvlJc w:val="left"/>
      <w:pPr>
        <w:ind w:left="6952" w:hanging="643"/>
      </w:pPr>
      <w:rPr>
        <w:rFonts w:hint="default"/>
      </w:rPr>
    </w:lvl>
    <w:lvl w:ilvl="8">
      <w:start w:val="0"/>
      <w:numFmt w:val="bullet"/>
      <w:lvlText w:val="•"/>
      <w:lvlJc w:val="left"/>
      <w:pPr>
        <w:ind w:left="7928" w:hanging="643"/>
      </w:pPr>
      <w:rPr>
        <w:rFonts w:hint="default"/>
      </w:rPr>
    </w:lvl>
  </w:abstractNum>
  <w:abstractNum w:abstractNumId="652">
    <w:multiLevelType w:val="hybridMultilevel"/>
    <w:lvl w:ilvl="0">
      <w:start w:val="2"/>
      <w:numFmt w:val="decimal"/>
      <w:lvlText w:val="(%1)"/>
      <w:lvlJc w:val="left"/>
      <w:pPr>
        <w:ind w:left="113" w:hanging="5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5"/>
      </w:pPr>
      <w:rPr>
        <w:rFonts w:hint="default"/>
      </w:rPr>
    </w:lvl>
    <w:lvl w:ilvl="2">
      <w:start w:val="0"/>
      <w:numFmt w:val="bullet"/>
      <w:lvlText w:val="•"/>
      <w:lvlJc w:val="left"/>
      <w:pPr>
        <w:ind w:left="2072" w:hanging="565"/>
      </w:pPr>
      <w:rPr>
        <w:rFonts w:hint="default"/>
      </w:rPr>
    </w:lvl>
    <w:lvl w:ilvl="3">
      <w:start w:val="0"/>
      <w:numFmt w:val="bullet"/>
      <w:lvlText w:val="•"/>
      <w:lvlJc w:val="left"/>
      <w:pPr>
        <w:ind w:left="3048" w:hanging="565"/>
      </w:pPr>
      <w:rPr>
        <w:rFonts w:hint="default"/>
      </w:rPr>
    </w:lvl>
    <w:lvl w:ilvl="4">
      <w:start w:val="0"/>
      <w:numFmt w:val="bullet"/>
      <w:lvlText w:val="•"/>
      <w:lvlJc w:val="left"/>
      <w:pPr>
        <w:ind w:left="4024" w:hanging="565"/>
      </w:pPr>
      <w:rPr>
        <w:rFonts w:hint="default"/>
      </w:rPr>
    </w:lvl>
    <w:lvl w:ilvl="5">
      <w:start w:val="0"/>
      <w:numFmt w:val="bullet"/>
      <w:lvlText w:val="•"/>
      <w:lvlJc w:val="left"/>
      <w:pPr>
        <w:ind w:left="5000" w:hanging="565"/>
      </w:pPr>
      <w:rPr>
        <w:rFonts w:hint="default"/>
      </w:rPr>
    </w:lvl>
    <w:lvl w:ilvl="6">
      <w:start w:val="0"/>
      <w:numFmt w:val="bullet"/>
      <w:lvlText w:val="•"/>
      <w:lvlJc w:val="left"/>
      <w:pPr>
        <w:ind w:left="5976" w:hanging="565"/>
      </w:pPr>
      <w:rPr>
        <w:rFonts w:hint="default"/>
      </w:rPr>
    </w:lvl>
    <w:lvl w:ilvl="7">
      <w:start w:val="0"/>
      <w:numFmt w:val="bullet"/>
      <w:lvlText w:val="•"/>
      <w:lvlJc w:val="left"/>
      <w:pPr>
        <w:ind w:left="6952" w:hanging="565"/>
      </w:pPr>
      <w:rPr>
        <w:rFonts w:hint="default"/>
      </w:rPr>
    </w:lvl>
    <w:lvl w:ilvl="8">
      <w:start w:val="0"/>
      <w:numFmt w:val="bullet"/>
      <w:lvlText w:val="•"/>
      <w:lvlJc w:val="left"/>
      <w:pPr>
        <w:ind w:left="7928" w:hanging="565"/>
      </w:pPr>
      <w:rPr>
        <w:rFonts w:hint="default"/>
      </w:rPr>
    </w:lvl>
  </w:abstractNum>
  <w:abstractNum w:abstractNumId="65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50">
    <w:multiLevelType w:val="hybridMultilevel"/>
    <w:lvl w:ilvl="0">
      <w:start w:val="1"/>
      <w:numFmt w:val="decimal"/>
      <w:lvlText w:val="(%1)"/>
      <w:lvlJc w:val="left"/>
      <w:pPr>
        <w:ind w:left="529" w:hanging="416"/>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456" w:hanging="416"/>
      </w:pPr>
      <w:rPr>
        <w:rFonts w:hint="default"/>
      </w:rPr>
    </w:lvl>
    <w:lvl w:ilvl="2">
      <w:start w:val="0"/>
      <w:numFmt w:val="bullet"/>
      <w:lvlText w:val="•"/>
      <w:lvlJc w:val="left"/>
      <w:pPr>
        <w:ind w:left="2392" w:hanging="416"/>
      </w:pPr>
      <w:rPr>
        <w:rFonts w:hint="default"/>
      </w:rPr>
    </w:lvl>
    <w:lvl w:ilvl="3">
      <w:start w:val="0"/>
      <w:numFmt w:val="bullet"/>
      <w:lvlText w:val="•"/>
      <w:lvlJc w:val="left"/>
      <w:pPr>
        <w:ind w:left="3328" w:hanging="416"/>
      </w:pPr>
      <w:rPr>
        <w:rFonts w:hint="default"/>
      </w:rPr>
    </w:lvl>
    <w:lvl w:ilvl="4">
      <w:start w:val="0"/>
      <w:numFmt w:val="bullet"/>
      <w:lvlText w:val="•"/>
      <w:lvlJc w:val="left"/>
      <w:pPr>
        <w:ind w:left="4264" w:hanging="416"/>
      </w:pPr>
      <w:rPr>
        <w:rFonts w:hint="default"/>
      </w:rPr>
    </w:lvl>
    <w:lvl w:ilvl="5">
      <w:start w:val="0"/>
      <w:numFmt w:val="bullet"/>
      <w:lvlText w:val="•"/>
      <w:lvlJc w:val="left"/>
      <w:pPr>
        <w:ind w:left="5200" w:hanging="416"/>
      </w:pPr>
      <w:rPr>
        <w:rFonts w:hint="default"/>
      </w:rPr>
    </w:lvl>
    <w:lvl w:ilvl="6">
      <w:start w:val="0"/>
      <w:numFmt w:val="bullet"/>
      <w:lvlText w:val="•"/>
      <w:lvlJc w:val="left"/>
      <w:pPr>
        <w:ind w:left="6136" w:hanging="416"/>
      </w:pPr>
      <w:rPr>
        <w:rFonts w:hint="default"/>
      </w:rPr>
    </w:lvl>
    <w:lvl w:ilvl="7">
      <w:start w:val="0"/>
      <w:numFmt w:val="bullet"/>
      <w:lvlText w:val="•"/>
      <w:lvlJc w:val="left"/>
      <w:pPr>
        <w:ind w:left="7072" w:hanging="416"/>
      </w:pPr>
      <w:rPr>
        <w:rFonts w:hint="default"/>
      </w:rPr>
    </w:lvl>
    <w:lvl w:ilvl="8">
      <w:start w:val="0"/>
      <w:numFmt w:val="bullet"/>
      <w:lvlText w:val="•"/>
      <w:lvlJc w:val="left"/>
      <w:pPr>
        <w:ind w:left="8008" w:hanging="416"/>
      </w:pPr>
      <w:rPr>
        <w:rFonts w:hint="default"/>
      </w:rPr>
    </w:lvl>
  </w:abstractNum>
  <w:abstractNum w:abstractNumId="649">
    <w:multiLevelType w:val="hybridMultilevel"/>
    <w:lvl w:ilvl="0">
      <w:start w:val="2"/>
      <w:numFmt w:val="decimal"/>
      <w:lvlText w:val="(%1)"/>
      <w:lvlJc w:val="left"/>
      <w:pPr>
        <w:ind w:left="113" w:hanging="5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6"/>
      </w:pPr>
      <w:rPr>
        <w:rFonts w:hint="default"/>
      </w:rPr>
    </w:lvl>
    <w:lvl w:ilvl="2">
      <w:start w:val="0"/>
      <w:numFmt w:val="bullet"/>
      <w:lvlText w:val="•"/>
      <w:lvlJc w:val="left"/>
      <w:pPr>
        <w:ind w:left="2072" w:hanging="586"/>
      </w:pPr>
      <w:rPr>
        <w:rFonts w:hint="default"/>
      </w:rPr>
    </w:lvl>
    <w:lvl w:ilvl="3">
      <w:start w:val="0"/>
      <w:numFmt w:val="bullet"/>
      <w:lvlText w:val="•"/>
      <w:lvlJc w:val="left"/>
      <w:pPr>
        <w:ind w:left="3048" w:hanging="586"/>
      </w:pPr>
      <w:rPr>
        <w:rFonts w:hint="default"/>
      </w:rPr>
    </w:lvl>
    <w:lvl w:ilvl="4">
      <w:start w:val="0"/>
      <w:numFmt w:val="bullet"/>
      <w:lvlText w:val="•"/>
      <w:lvlJc w:val="left"/>
      <w:pPr>
        <w:ind w:left="4024" w:hanging="586"/>
      </w:pPr>
      <w:rPr>
        <w:rFonts w:hint="default"/>
      </w:rPr>
    </w:lvl>
    <w:lvl w:ilvl="5">
      <w:start w:val="0"/>
      <w:numFmt w:val="bullet"/>
      <w:lvlText w:val="•"/>
      <w:lvlJc w:val="left"/>
      <w:pPr>
        <w:ind w:left="5000" w:hanging="586"/>
      </w:pPr>
      <w:rPr>
        <w:rFonts w:hint="default"/>
      </w:rPr>
    </w:lvl>
    <w:lvl w:ilvl="6">
      <w:start w:val="0"/>
      <w:numFmt w:val="bullet"/>
      <w:lvlText w:val="•"/>
      <w:lvlJc w:val="left"/>
      <w:pPr>
        <w:ind w:left="5976" w:hanging="586"/>
      </w:pPr>
      <w:rPr>
        <w:rFonts w:hint="default"/>
      </w:rPr>
    </w:lvl>
    <w:lvl w:ilvl="7">
      <w:start w:val="0"/>
      <w:numFmt w:val="bullet"/>
      <w:lvlText w:val="•"/>
      <w:lvlJc w:val="left"/>
      <w:pPr>
        <w:ind w:left="6952" w:hanging="586"/>
      </w:pPr>
      <w:rPr>
        <w:rFonts w:hint="default"/>
      </w:rPr>
    </w:lvl>
    <w:lvl w:ilvl="8">
      <w:start w:val="0"/>
      <w:numFmt w:val="bullet"/>
      <w:lvlText w:val="•"/>
      <w:lvlJc w:val="left"/>
      <w:pPr>
        <w:ind w:left="7928" w:hanging="586"/>
      </w:pPr>
      <w:rPr>
        <w:rFonts w:hint="default"/>
      </w:rPr>
    </w:lvl>
  </w:abstractNum>
  <w:abstractNum w:abstractNumId="648">
    <w:multiLevelType w:val="hybridMultilevel"/>
    <w:lvl w:ilvl="0">
      <w:start w:val="1"/>
      <w:numFmt w:val="lowerLetter"/>
      <w:lvlText w:val="%1)"/>
      <w:lvlJc w:val="left"/>
      <w:pPr>
        <w:ind w:left="113" w:hanging="45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647">
    <w:multiLevelType w:val="hybridMultilevel"/>
    <w:lvl w:ilvl="0">
      <w:start w:val="1"/>
      <w:numFmt w:val="lowerLetter"/>
      <w:lvlText w:val="%1)"/>
      <w:lvlJc w:val="left"/>
      <w:pPr>
        <w:ind w:left="113" w:hanging="38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7"/>
      </w:pPr>
      <w:rPr>
        <w:rFonts w:hint="default"/>
      </w:rPr>
    </w:lvl>
    <w:lvl w:ilvl="2">
      <w:start w:val="0"/>
      <w:numFmt w:val="bullet"/>
      <w:lvlText w:val="•"/>
      <w:lvlJc w:val="left"/>
      <w:pPr>
        <w:ind w:left="2072" w:hanging="387"/>
      </w:pPr>
      <w:rPr>
        <w:rFonts w:hint="default"/>
      </w:rPr>
    </w:lvl>
    <w:lvl w:ilvl="3">
      <w:start w:val="0"/>
      <w:numFmt w:val="bullet"/>
      <w:lvlText w:val="•"/>
      <w:lvlJc w:val="left"/>
      <w:pPr>
        <w:ind w:left="3048" w:hanging="387"/>
      </w:pPr>
      <w:rPr>
        <w:rFonts w:hint="default"/>
      </w:rPr>
    </w:lvl>
    <w:lvl w:ilvl="4">
      <w:start w:val="0"/>
      <w:numFmt w:val="bullet"/>
      <w:lvlText w:val="•"/>
      <w:lvlJc w:val="left"/>
      <w:pPr>
        <w:ind w:left="4024" w:hanging="387"/>
      </w:pPr>
      <w:rPr>
        <w:rFonts w:hint="default"/>
      </w:rPr>
    </w:lvl>
    <w:lvl w:ilvl="5">
      <w:start w:val="0"/>
      <w:numFmt w:val="bullet"/>
      <w:lvlText w:val="•"/>
      <w:lvlJc w:val="left"/>
      <w:pPr>
        <w:ind w:left="5000" w:hanging="387"/>
      </w:pPr>
      <w:rPr>
        <w:rFonts w:hint="default"/>
      </w:rPr>
    </w:lvl>
    <w:lvl w:ilvl="6">
      <w:start w:val="0"/>
      <w:numFmt w:val="bullet"/>
      <w:lvlText w:val="•"/>
      <w:lvlJc w:val="left"/>
      <w:pPr>
        <w:ind w:left="5976" w:hanging="387"/>
      </w:pPr>
      <w:rPr>
        <w:rFonts w:hint="default"/>
      </w:rPr>
    </w:lvl>
    <w:lvl w:ilvl="7">
      <w:start w:val="0"/>
      <w:numFmt w:val="bullet"/>
      <w:lvlText w:val="•"/>
      <w:lvlJc w:val="left"/>
      <w:pPr>
        <w:ind w:left="6952" w:hanging="387"/>
      </w:pPr>
      <w:rPr>
        <w:rFonts w:hint="default"/>
      </w:rPr>
    </w:lvl>
    <w:lvl w:ilvl="8">
      <w:start w:val="0"/>
      <w:numFmt w:val="bullet"/>
      <w:lvlText w:val="•"/>
      <w:lvlJc w:val="left"/>
      <w:pPr>
        <w:ind w:left="7928" w:hanging="387"/>
      </w:pPr>
      <w:rPr>
        <w:rFonts w:hint="default"/>
      </w:rPr>
    </w:lvl>
  </w:abstractNum>
  <w:abstractNum w:abstractNumId="646">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5">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4">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3">
    <w:multiLevelType w:val="hybridMultilevel"/>
    <w:lvl w:ilvl="0">
      <w:start w:val="2"/>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642">
    <w:multiLevelType w:val="hybridMultilevel"/>
    <w:lvl w:ilvl="0">
      <w:start w:val="299"/>
      <w:numFmt w:val="decimal"/>
      <w:lvlText w:val="%1."/>
      <w:lvlJc w:val="left"/>
      <w:pPr>
        <w:ind w:left="113" w:hanging="715"/>
        <w:jc w:val="left"/>
      </w:pPr>
      <w:rPr>
        <w:rFonts w:hint="default" w:ascii="Arial" w:hAnsi="Arial" w:eastAsia="Arial" w:cs="Arial"/>
        <w:b/>
        <w:bCs/>
        <w:spacing w:val="-1"/>
        <w:w w:val="125"/>
        <w:sz w:val="24"/>
        <w:szCs w:val="24"/>
      </w:rPr>
    </w:lvl>
    <w:lvl w:ilvl="1">
      <w:start w:val="0"/>
      <w:numFmt w:val="bullet"/>
      <w:lvlText w:val="•"/>
      <w:lvlJc w:val="left"/>
      <w:pPr>
        <w:ind w:left="1096" w:hanging="715"/>
      </w:pPr>
      <w:rPr>
        <w:rFonts w:hint="default"/>
      </w:rPr>
    </w:lvl>
    <w:lvl w:ilvl="2">
      <w:start w:val="0"/>
      <w:numFmt w:val="bullet"/>
      <w:lvlText w:val="•"/>
      <w:lvlJc w:val="left"/>
      <w:pPr>
        <w:ind w:left="2072" w:hanging="715"/>
      </w:pPr>
      <w:rPr>
        <w:rFonts w:hint="default"/>
      </w:rPr>
    </w:lvl>
    <w:lvl w:ilvl="3">
      <w:start w:val="0"/>
      <w:numFmt w:val="bullet"/>
      <w:lvlText w:val="•"/>
      <w:lvlJc w:val="left"/>
      <w:pPr>
        <w:ind w:left="3048" w:hanging="715"/>
      </w:pPr>
      <w:rPr>
        <w:rFonts w:hint="default"/>
      </w:rPr>
    </w:lvl>
    <w:lvl w:ilvl="4">
      <w:start w:val="0"/>
      <w:numFmt w:val="bullet"/>
      <w:lvlText w:val="•"/>
      <w:lvlJc w:val="left"/>
      <w:pPr>
        <w:ind w:left="4024" w:hanging="715"/>
      </w:pPr>
      <w:rPr>
        <w:rFonts w:hint="default"/>
      </w:rPr>
    </w:lvl>
    <w:lvl w:ilvl="5">
      <w:start w:val="0"/>
      <w:numFmt w:val="bullet"/>
      <w:lvlText w:val="•"/>
      <w:lvlJc w:val="left"/>
      <w:pPr>
        <w:ind w:left="5000" w:hanging="715"/>
      </w:pPr>
      <w:rPr>
        <w:rFonts w:hint="default"/>
      </w:rPr>
    </w:lvl>
    <w:lvl w:ilvl="6">
      <w:start w:val="0"/>
      <w:numFmt w:val="bullet"/>
      <w:lvlText w:val="•"/>
      <w:lvlJc w:val="left"/>
      <w:pPr>
        <w:ind w:left="5976" w:hanging="715"/>
      </w:pPr>
      <w:rPr>
        <w:rFonts w:hint="default"/>
      </w:rPr>
    </w:lvl>
    <w:lvl w:ilvl="7">
      <w:start w:val="0"/>
      <w:numFmt w:val="bullet"/>
      <w:lvlText w:val="•"/>
      <w:lvlJc w:val="left"/>
      <w:pPr>
        <w:ind w:left="6952" w:hanging="715"/>
      </w:pPr>
      <w:rPr>
        <w:rFonts w:hint="default"/>
      </w:rPr>
    </w:lvl>
    <w:lvl w:ilvl="8">
      <w:start w:val="0"/>
      <w:numFmt w:val="bullet"/>
      <w:lvlText w:val="•"/>
      <w:lvlJc w:val="left"/>
      <w:pPr>
        <w:ind w:left="7928" w:hanging="715"/>
      </w:pPr>
      <w:rPr>
        <w:rFonts w:hint="default"/>
      </w:rPr>
    </w:lvl>
  </w:abstractNum>
  <w:abstractNum w:abstractNumId="641">
    <w:multiLevelType w:val="hybridMultilevel"/>
    <w:lvl w:ilvl="0">
      <w:start w:val="1"/>
      <w:numFmt w:val="lowerLetter"/>
      <w:lvlText w:val="%1)"/>
      <w:lvlJc w:val="left"/>
      <w:pPr>
        <w:ind w:left="113" w:hanging="4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40">
    <w:multiLevelType w:val="hybridMultilevel"/>
    <w:lvl w:ilvl="0">
      <w:start w:val="86"/>
      <w:numFmt w:val="decimal"/>
      <w:lvlText w:val="%1."/>
      <w:lvlJc w:val="left"/>
      <w:pPr>
        <w:ind w:left="571" w:hanging="458"/>
        <w:jc w:val="left"/>
      </w:pPr>
      <w:rPr>
        <w:rFonts w:hint="default" w:ascii="Times New Roman" w:hAnsi="Times New Roman" w:eastAsia="Times New Roman" w:cs="Times New Roman"/>
        <w:spacing w:val="-1"/>
        <w:w w:val="127"/>
        <w:sz w:val="24"/>
        <w:szCs w:val="24"/>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0"/>
      <w:numFmt w:val="bullet"/>
      <w:lvlText w:val="•"/>
      <w:lvlJc w:val="left"/>
      <w:pPr>
        <w:ind w:left="1702" w:hanging="344"/>
      </w:pPr>
      <w:rPr>
        <w:rFonts w:hint="default"/>
      </w:rPr>
    </w:lvl>
    <w:lvl w:ilvl="3">
      <w:start w:val="0"/>
      <w:numFmt w:val="bullet"/>
      <w:lvlText w:val="•"/>
      <w:lvlJc w:val="left"/>
      <w:pPr>
        <w:ind w:left="2724" w:hanging="344"/>
      </w:pPr>
      <w:rPr>
        <w:rFonts w:hint="default"/>
      </w:rPr>
    </w:lvl>
    <w:lvl w:ilvl="4">
      <w:start w:val="0"/>
      <w:numFmt w:val="bullet"/>
      <w:lvlText w:val="•"/>
      <w:lvlJc w:val="left"/>
      <w:pPr>
        <w:ind w:left="3746" w:hanging="344"/>
      </w:pPr>
      <w:rPr>
        <w:rFonts w:hint="default"/>
      </w:rPr>
    </w:lvl>
    <w:lvl w:ilvl="5">
      <w:start w:val="0"/>
      <w:numFmt w:val="bullet"/>
      <w:lvlText w:val="•"/>
      <w:lvlJc w:val="left"/>
      <w:pPr>
        <w:ind w:left="4768" w:hanging="344"/>
      </w:pPr>
      <w:rPr>
        <w:rFonts w:hint="default"/>
      </w:rPr>
    </w:lvl>
    <w:lvl w:ilvl="6">
      <w:start w:val="0"/>
      <w:numFmt w:val="bullet"/>
      <w:lvlText w:val="•"/>
      <w:lvlJc w:val="left"/>
      <w:pPr>
        <w:ind w:left="5791" w:hanging="344"/>
      </w:pPr>
      <w:rPr>
        <w:rFonts w:hint="default"/>
      </w:rPr>
    </w:lvl>
    <w:lvl w:ilvl="7">
      <w:start w:val="0"/>
      <w:numFmt w:val="bullet"/>
      <w:lvlText w:val="•"/>
      <w:lvlJc w:val="left"/>
      <w:pPr>
        <w:ind w:left="6813" w:hanging="344"/>
      </w:pPr>
      <w:rPr>
        <w:rFonts w:hint="default"/>
      </w:rPr>
    </w:lvl>
    <w:lvl w:ilvl="8">
      <w:start w:val="0"/>
      <w:numFmt w:val="bullet"/>
      <w:lvlText w:val="•"/>
      <w:lvlJc w:val="left"/>
      <w:pPr>
        <w:ind w:left="7835" w:hanging="344"/>
      </w:pPr>
      <w:rPr>
        <w:rFonts w:hint="default"/>
      </w:rPr>
    </w:lvl>
  </w:abstractNum>
  <w:abstractNum w:abstractNumId="63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38">
    <w:multiLevelType w:val="hybridMultilevel"/>
    <w:lvl w:ilvl="0">
      <w:start w:val="2"/>
      <w:numFmt w:val="decimal"/>
      <w:lvlText w:val="(%1)"/>
      <w:lvlJc w:val="left"/>
      <w:pPr>
        <w:ind w:left="113" w:hanging="4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637">
    <w:multiLevelType w:val="hybridMultilevel"/>
    <w:lvl w:ilvl="0">
      <w:start w:val="294"/>
      <w:numFmt w:val="decimal"/>
      <w:lvlText w:val="%1."/>
      <w:lvlJc w:val="left"/>
      <w:pPr>
        <w:ind w:left="113" w:hanging="759"/>
        <w:jc w:val="left"/>
      </w:pPr>
      <w:rPr>
        <w:rFonts w:hint="default" w:ascii="Arial" w:hAnsi="Arial" w:eastAsia="Arial" w:cs="Arial"/>
        <w:b/>
        <w:bCs/>
        <w:spacing w:val="-1"/>
        <w:w w:val="125"/>
        <w:sz w:val="24"/>
        <w:szCs w:val="24"/>
      </w:rPr>
    </w:lvl>
    <w:lvl w:ilvl="1">
      <w:start w:val="0"/>
      <w:numFmt w:val="bullet"/>
      <w:lvlText w:val="•"/>
      <w:lvlJc w:val="left"/>
      <w:pPr>
        <w:ind w:left="1096" w:hanging="759"/>
      </w:pPr>
      <w:rPr>
        <w:rFonts w:hint="default"/>
      </w:rPr>
    </w:lvl>
    <w:lvl w:ilvl="2">
      <w:start w:val="0"/>
      <w:numFmt w:val="bullet"/>
      <w:lvlText w:val="•"/>
      <w:lvlJc w:val="left"/>
      <w:pPr>
        <w:ind w:left="2072" w:hanging="759"/>
      </w:pPr>
      <w:rPr>
        <w:rFonts w:hint="default"/>
      </w:rPr>
    </w:lvl>
    <w:lvl w:ilvl="3">
      <w:start w:val="0"/>
      <w:numFmt w:val="bullet"/>
      <w:lvlText w:val="•"/>
      <w:lvlJc w:val="left"/>
      <w:pPr>
        <w:ind w:left="3048" w:hanging="759"/>
      </w:pPr>
      <w:rPr>
        <w:rFonts w:hint="default"/>
      </w:rPr>
    </w:lvl>
    <w:lvl w:ilvl="4">
      <w:start w:val="0"/>
      <w:numFmt w:val="bullet"/>
      <w:lvlText w:val="•"/>
      <w:lvlJc w:val="left"/>
      <w:pPr>
        <w:ind w:left="4024" w:hanging="759"/>
      </w:pPr>
      <w:rPr>
        <w:rFonts w:hint="default"/>
      </w:rPr>
    </w:lvl>
    <w:lvl w:ilvl="5">
      <w:start w:val="0"/>
      <w:numFmt w:val="bullet"/>
      <w:lvlText w:val="•"/>
      <w:lvlJc w:val="left"/>
      <w:pPr>
        <w:ind w:left="5000" w:hanging="759"/>
      </w:pPr>
      <w:rPr>
        <w:rFonts w:hint="default"/>
      </w:rPr>
    </w:lvl>
    <w:lvl w:ilvl="6">
      <w:start w:val="0"/>
      <w:numFmt w:val="bullet"/>
      <w:lvlText w:val="•"/>
      <w:lvlJc w:val="left"/>
      <w:pPr>
        <w:ind w:left="5976" w:hanging="759"/>
      </w:pPr>
      <w:rPr>
        <w:rFonts w:hint="default"/>
      </w:rPr>
    </w:lvl>
    <w:lvl w:ilvl="7">
      <w:start w:val="0"/>
      <w:numFmt w:val="bullet"/>
      <w:lvlText w:val="•"/>
      <w:lvlJc w:val="left"/>
      <w:pPr>
        <w:ind w:left="6952" w:hanging="759"/>
      </w:pPr>
      <w:rPr>
        <w:rFonts w:hint="default"/>
      </w:rPr>
    </w:lvl>
    <w:lvl w:ilvl="8">
      <w:start w:val="0"/>
      <w:numFmt w:val="bullet"/>
      <w:lvlText w:val="•"/>
      <w:lvlJc w:val="left"/>
      <w:pPr>
        <w:ind w:left="7928" w:hanging="759"/>
      </w:pPr>
      <w:rPr>
        <w:rFonts w:hint="default"/>
      </w:rPr>
    </w:lvl>
  </w:abstractNum>
  <w:abstractNum w:abstractNumId="63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35">
    <w:multiLevelType w:val="hybridMultilevel"/>
    <w:lvl w:ilvl="0">
      <w:start w:val="2"/>
      <w:numFmt w:val="decimal"/>
      <w:lvlText w:val="(%1)"/>
      <w:lvlJc w:val="left"/>
      <w:pPr>
        <w:ind w:left="113" w:hanging="4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1"/>
      </w:pPr>
      <w:rPr>
        <w:rFonts w:hint="default"/>
      </w:rPr>
    </w:lvl>
    <w:lvl w:ilvl="2">
      <w:start w:val="0"/>
      <w:numFmt w:val="bullet"/>
      <w:lvlText w:val="•"/>
      <w:lvlJc w:val="left"/>
      <w:pPr>
        <w:ind w:left="2072" w:hanging="461"/>
      </w:pPr>
      <w:rPr>
        <w:rFonts w:hint="default"/>
      </w:rPr>
    </w:lvl>
    <w:lvl w:ilvl="3">
      <w:start w:val="0"/>
      <w:numFmt w:val="bullet"/>
      <w:lvlText w:val="•"/>
      <w:lvlJc w:val="left"/>
      <w:pPr>
        <w:ind w:left="3048" w:hanging="461"/>
      </w:pPr>
      <w:rPr>
        <w:rFonts w:hint="default"/>
      </w:rPr>
    </w:lvl>
    <w:lvl w:ilvl="4">
      <w:start w:val="0"/>
      <w:numFmt w:val="bullet"/>
      <w:lvlText w:val="•"/>
      <w:lvlJc w:val="left"/>
      <w:pPr>
        <w:ind w:left="4024" w:hanging="461"/>
      </w:pPr>
      <w:rPr>
        <w:rFonts w:hint="default"/>
      </w:rPr>
    </w:lvl>
    <w:lvl w:ilvl="5">
      <w:start w:val="0"/>
      <w:numFmt w:val="bullet"/>
      <w:lvlText w:val="•"/>
      <w:lvlJc w:val="left"/>
      <w:pPr>
        <w:ind w:left="5000" w:hanging="461"/>
      </w:pPr>
      <w:rPr>
        <w:rFonts w:hint="default"/>
      </w:rPr>
    </w:lvl>
    <w:lvl w:ilvl="6">
      <w:start w:val="0"/>
      <w:numFmt w:val="bullet"/>
      <w:lvlText w:val="•"/>
      <w:lvlJc w:val="left"/>
      <w:pPr>
        <w:ind w:left="5976" w:hanging="461"/>
      </w:pPr>
      <w:rPr>
        <w:rFonts w:hint="default"/>
      </w:rPr>
    </w:lvl>
    <w:lvl w:ilvl="7">
      <w:start w:val="0"/>
      <w:numFmt w:val="bullet"/>
      <w:lvlText w:val="•"/>
      <w:lvlJc w:val="left"/>
      <w:pPr>
        <w:ind w:left="6952" w:hanging="461"/>
      </w:pPr>
      <w:rPr>
        <w:rFonts w:hint="default"/>
      </w:rPr>
    </w:lvl>
    <w:lvl w:ilvl="8">
      <w:start w:val="0"/>
      <w:numFmt w:val="bullet"/>
      <w:lvlText w:val="•"/>
      <w:lvlJc w:val="left"/>
      <w:pPr>
        <w:ind w:left="7928" w:hanging="461"/>
      </w:pPr>
      <w:rPr>
        <w:rFonts w:hint="default"/>
      </w:rPr>
    </w:lvl>
  </w:abstractNum>
  <w:abstractNum w:abstractNumId="634">
    <w:multiLevelType w:val="hybridMultilevel"/>
    <w:lvl w:ilvl="0">
      <w:start w:val="9"/>
      <w:numFmt w:val="decimal"/>
      <w:lvlText w:val="%1"/>
      <w:lvlJc w:val="left"/>
      <w:pPr>
        <w:ind w:left="686" w:hanging="344"/>
        <w:jc w:val="righ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3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31">
    <w:multiLevelType w:val="hybridMultilevel"/>
    <w:lvl w:ilvl="0">
      <w:start w:val="2"/>
      <w:numFmt w:val="decimal"/>
      <w:lvlText w:val="(%1)"/>
      <w:lvlJc w:val="left"/>
      <w:pPr>
        <w:ind w:left="113" w:hanging="49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63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29">
    <w:multiLevelType w:val="hybridMultilevel"/>
    <w:lvl w:ilvl="0">
      <w:start w:val="1"/>
      <w:numFmt w:val="lowerLetter"/>
      <w:lvlText w:val="%1)"/>
      <w:lvlJc w:val="left"/>
      <w:pPr>
        <w:ind w:left="113" w:hanging="39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6"/>
      </w:pPr>
      <w:rPr>
        <w:rFonts w:hint="default"/>
      </w:rPr>
    </w:lvl>
    <w:lvl w:ilvl="2">
      <w:start w:val="0"/>
      <w:numFmt w:val="bullet"/>
      <w:lvlText w:val="•"/>
      <w:lvlJc w:val="left"/>
      <w:pPr>
        <w:ind w:left="2072" w:hanging="396"/>
      </w:pPr>
      <w:rPr>
        <w:rFonts w:hint="default"/>
      </w:rPr>
    </w:lvl>
    <w:lvl w:ilvl="3">
      <w:start w:val="0"/>
      <w:numFmt w:val="bullet"/>
      <w:lvlText w:val="•"/>
      <w:lvlJc w:val="left"/>
      <w:pPr>
        <w:ind w:left="3048" w:hanging="396"/>
      </w:pPr>
      <w:rPr>
        <w:rFonts w:hint="default"/>
      </w:rPr>
    </w:lvl>
    <w:lvl w:ilvl="4">
      <w:start w:val="0"/>
      <w:numFmt w:val="bullet"/>
      <w:lvlText w:val="•"/>
      <w:lvlJc w:val="left"/>
      <w:pPr>
        <w:ind w:left="4024" w:hanging="396"/>
      </w:pPr>
      <w:rPr>
        <w:rFonts w:hint="default"/>
      </w:rPr>
    </w:lvl>
    <w:lvl w:ilvl="5">
      <w:start w:val="0"/>
      <w:numFmt w:val="bullet"/>
      <w:lvlText w:val="•"/>
      <w:lvlJc w:val="left"/>
      <w:pPr>
        <w:ind w:left="5000" w:hanging="396"/>
      </w:pPr>
      <w:rPr>
        <w:rFonts w:hint="default"/>
      </w:rPr>
    </w:lvl>
    <w:lvl w:ilvl="6">
      <w:start w:val="0"/>
      <w:numFmt w:val="bullet"/>
      <w:lvlText w:val="•"/>
      <w:lvlJc w:val="left"/>
      <w:pPr>
        <w:ind w:left="5976"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28" w:hanging="396"/>
      </w:pPr>
      <w:rPr>
        <w:rFonts w:hint="default"/>
      </w:rPr>
    </w:lvl>
  </w:abstractNum>
  <w:abstractNum w:abstractNumId="628">
    <w:multiLevelType w:val="hybridMultilevel"/>
    <w:lvl w:ilvl="0">
      <w:start w:val="2"/>
      <w:numFmt w:val="decimal"/>
      <w:lvlText w:val="(%1)"/>
      <w:lvlJc w:val="left"/>
      <w:pPr>
        <w:ind w:left="113" w:hanging="5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6"/>
      </w:pPr>
      <w:rPr>
        <w:rFonts w:hint="default"/>
      </w:rPr>
    </w:lvl>
    <w:lvl w:ilvl="2">
      <w:start w:val="0"/>
      <w:numFmt w:val="bullet"/>
      <w:lvlText w:val="•"/>
      <w:lvlJc w:val="left"/>
      <w:pPr>
        <w:ind w:left="2072" w:hanging="576"/>
      </w:pPr>
      <w:rPr>
        <w:rFonts w:hint="default"/>
      </w:rPr>
    </w:lvl>
    <w:lvl w:ilvl="3">
      <w:start w:val="0"/>
      <w:numFmt w:val="bullet"/>
      <w:lvlText w:val="•"/>
      <w:lvlJc w:val="left"/>
      <w:pPr>
        <w:ind w:left="3048" w:hanging="576"/>
      </w:pPr>
      <w:rPr>
        <w:rFonts w:hint="default"/>
      </w:rPr>
    </w:lvl>
    <w:lvl w:ilvl="4">
      <w:start w:val="0"/>
      <w:numFmt w:val="bullet"/>
      <w:lvlText w:val="•"/>
      <w:lvlJc w:val="left"/>
      <w:pPr>
        <w:ind w:left="4024" w:hanging="576"/>
      </w:pPr>
      <w:rPr>
        <w:rFonts w:hint="default"/>
      </w:rPr>
    </w:lvl>
    <w:lvl w:ilvl="5">
      <w:start w:val="0"/>
      <w:numFmt w:val="bullet"/>
      <w:lvlText w:val="•"/>
      <w:lvlJc w:val="left"/>
      <w:pPr>
        <w:ind w:left="5000" w:hanging="576"/>
      </w:pPr>
      <w:rPr>
        <w:rFonts w:hint="default"/>
      </w:rPr>
    </w:lvl>
    <w:lvl w:ilvl="6">
      <w:start w:val="0"/>
      <w:numFmt w:val="bullet"/>
      <w:lvlText w:val="•"/>
      <w:lvlJc w:val="left"/>
      <w:pPr>
        <w:ind w:left="5976" w:hanging="576"/>
      </w:pPr>
      <w:rPr>
        <w:rFonts w:hint="default"/>
      </w:rPr>
    </w:lvl>
    <w:lvl w:ilvl="7">
      <w:start w:val="0"/>
      <w:numFmt w:val="bullet"/>
      <w:lvlText w:val="•"/>
      <w:lvlJc w:val="left"/>
      <w:pPr>
        <w:ind w:left="6952" w:hanging="576"/>
      </w:pPr>
      <w:rPr>
        <w:rFonts w:hint="default"/>
      </w:rPr>
    </w:lvl>
    <w:lvl w:ilvl="8">
      <w:start w:val="0"/>
      <w:numFmt w:val="bullet"/>
      <w:lvlText w:val="•"/>
      <w:lvlJc w:val="left"/>
      <w:pPr>
        <w:ind w:left="7928" w:hanging="576"/>
      </w:pPr>
      <w:rPr>
        <w:rFonts w:hint="default"/>
      </w:rPr>
    </w:lvl>
  </w:abstractNum>
  <w:abstractNum w:abstractNumId="62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23">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22">
    <w:multiLevelType w:val="hybridMultilevel"/>
    <w:lvl w:ilvl="0">
      <w:start w:val="287"/>
      <w:numFmt w:val="decimal"/>
      <w:lvlText w:val="%1."/>
      <w:lvlJc w:val="left"/>
      <w:pPr>
        <w:ind w:left="113" w:hanging="808"/>
        <w:jc w:val="left"/>
      </w:pPr>
      <w:rPr>
        <w:rFonts w:hint="default" w:ascii="Arial" w:hAnsi="Arial" w:eastAsia="Arial" w:cs="Arial"/>
        <w:b/>
        <w:bCs/>
        <w:spacing w:val="-1"/>
        <w:w w:val="125"/>
        <w:sz w:val="24"/>
        <w:szCs w:val="24"/>
      </w:rPr>
    </w:lvl>
    <w:lvl w:ilvl="1">
      <w:start w:val="0"/>
      <w:numFmt w:val="bullet"/>
      <w:lvlText w:val="•"/>
      <w:lvlJc w:val="left"/>
      <w:pPr>
        <w:ind w:left="3500" w:hanging="808"/>
      </w:pPr>
      <w:rPr>
        <w:rFonts w:hint="default"/>
      </w:rPr>
    </w:lvl>
    <w:lvl w:ilvl="2">
      <w:start w:val="0"/>
      <w:numFmt w:val="bullet"/>
      <w:lvlText w:val="•"/>
      <w:lvlJc w:val="left"/>
      <w:pPr>
        <w:ind w:left="3900" w:hanging="808"/>
      </w:pPr>
      <w:rPr>
        <w:rFonts w:hint="default"/>
      </w:rPr>
    </w:lvl>
    <w:lvl w:ilvl="3">
      <w:start w:val="0"/>
      <w:numFmt w:val="bullet"/>
      <w:lvlText w:val="•"/>
      <w:lvlJc w:val="left"/>
      <w:pPr>
        <w:ind w:left="4360" w:hanging="808"/>
      </w:pPr>
      <w:rPr>
        <w:rFonts w:hint="default"/>
      </w:rPr>
    </w:lvl>
    <w:lvl w:ilvl="4">
      <w:start w:val="0"/>
      <w:numFmt w:val="bullet"/>
      <w:lvlText w:val="•"/>
      <w:lvlJc w:val="left"/>
      <w:pPr>
        <w:ind w:left="5148" w:hanging="808"/>
      </w:pPr>
      <w:rPr>
        <w:rFonts w:hint="default"/>
      </w:rPr>
    </w:lvl>
    <w:lvl w:ilvl="5">
      <w:start w:val="0"/>
      <w:numFmt w:val="bullet"/>
      <w:lvlText w:val="•"/>
      <w:lvlJc w:val="left"/>
      <w:pPr>
        <w:ind w:left="5937" w:hanging="808"/>
      </w:pPr>
      <w:rPr>
        <w:rFonts w:hint="default"/>
      </w:rPr>
    </w:lvl>
    <w:lvl w:ilvl="6">
      <w:start w:val="0"/>
      <w:numFmt w:val="bullet"/>
      <w:lvlText w:val="•"/>
      <w:lvlJc w:val="left"/>
      <w:pPr>
        <w:ind w:left="6725" w:hanging="808"/>
      </w:pPr>
      <w:rPr>
        <w:rFonts w:hint="default"/>
      </w:rPr>
    </w:lvl>
    <w:lvl w:ilvl="7">
      <w:start w:val="0"/>
      <w:numFmt w:val="bullet"/>
      <w:lvlText w:val="•"/>
      <w:lvlJc w:val="left"/>
      <w:pPr>
        <w:ind w:left="7514" w:hanging="808"/>
      </w:pPr>
      <w:rPr>
        <w:rFonts w:hint="default"/>
      </w:rPr>
    </w:lvl>
    <w:lvl w:ilvl="8">
      <w:start w:val="0"/>
      <w:numFmt w:val="bullet"/>
      <w:lvlText w:val="•"/>
      <w:lvlJc w:val="left"/>
      <w:pPr>
        <w:ind w:left="8302" w:hanging="808"/>
      </w:pPr>
      <w:rPr>
        <w:rFonts w:hint="default"/>
      </w:rPr>
    </w:lvl>
  </w:abstractNum>
  <w:abstractNum w:abstractNumId="621">
    <w:multiLevelType w:val="hybridMultilevel"/>
    <w:lvl w:ilvl="0">
      <w:start w:val="2"/>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62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1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18">
    <w:multiLevelType w:val="hybridMultilevel"/>
    <w:lvl w:ilvl="0">
      <w:start w:val="1"/>
      <w:numFmt w:val="decimal"/>
      <w:lvlText w:val="(%1)"/>
      <w:lvlJc w:val="left"/>
      <w:pPr>
        <w:ind w:left="502" w:hanging="438"/>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309" w:hanging="438"/>
      </w:pPr>
      <w:rPr>
        <w:rFonts w:hint="default"/>
      </w:rPr>
    </w:lvl>
    <w:lvl w:ilvl="2">
      <w:start w:val="0"/>
      <w:numFmt w:val="bullet"/>
      <w:lvlText w:val="•"/>
      <w:lvlJc w:val="left"/>
      <w:pPr>
        <w:ind w:left="2118" w:hanging="438"/>
      </w:pPr>
      <w:rPr>
        <w:rFonts w:hint="default"/>
      </w:rPr>
    </w:lvl>
    <w:lvl w:ilvl="3">
      <w:start w:val="0"/>
      <w:numFmt w:val="bullet"/>
      <w:lvlText w:val="•"/>
      <w:lvlJc w:val="left"/>
      <w:pPr>
        <w:ind w:left="2928" w:hanging="438"/>
      </w:pPr>
      <w:rPr>
        <w:rFonts w:hint="default"/>
      </w:rPr>
    </w:lvl>
    <w:lvl w:ilvl="4">
      <w:start w:val="0"/>
      <w:numFmt w:val="bullet"/>
      <w:lvlText w:val="•"/>
      <w:lvlJc w:val="left"/>
      <w:pPr>
        <w:ind w:left="3737" w:hanging="438"/>
      </w:pPr>
      <w:rPr>
        <w:rFonts w:hint="default"/>
      </w:rPr>
    </w:lvl>
    <w:lvl w:ilvl="5">
      <w:start w:val="0"/>
      <w:numFmt w:val="bullet"/>
      <w:lvlText w:val="•"/>
      <w:lvlJc w:val="left"/>
      <w:pPr>
        <w:ind w:left="4546" w:hanging="438"/>
      </w:pPr>
      <w:rPr>
        <w:rFonts w:hint="default"/>
      </w:rPr>
    </w:lvl>
    <w:lvl w:ilvl="6">
      <w:start w:val="0"/>
      <w:numFmt w:val="bullet"/>
      <w:lvlText w:val="•"/>
      <w:lvlJc w:val="left"/>
      <w:pPr>
        <w:ind w:left="5356" w:hanging="438"/>
      </w:pPr>
      <w:rPr>
        <w:rFonts w:hint="default"/>
      </w:rPr>
    </w:lvl>
    <w:lvl w:ilvl="7">
      <w:start w:val="0"/>
      <w:numFmt w:val="bullet"/>
      <w:lvlText w:val="•"/>
      <w:lvlJc w:val="left"/>
      <w:pPr>
        <w:ind w:left="6165" w:hanging="438"/>
      </w:pPr>
      <w:rPr>
        <w:rFonts w:hint="default"/>
      </w:rPr>
    </w:lvl>
    <w:lvl w:ilvl="8">
      <w:start w:val="0"/>
      <w:numFmt w:val="bullet"/>
      <w:lvlText w:val="•"/>
      <w:lvlJc w:val="left"/>
      <w:pPr>
        <w:ind w:left="6974" w:hanging="438"/>
      </w:pPr>
      <w:rPr>
        <w:rFonts w:hint="default"/>
      </w:rPr>
    </w:lvl>
  </w:abstractNum>
  <w:abstractNum w:abstractNumId="617">
    <w:multiLevelType w:val="hybridMultilevel"/>
    <w:lvl w:ilvl="0">
      <w:start w:val="6"/>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15">
    <w:multiLevelType w:val="hybridMultilevel"/>
    <w:lvl w:ilvl="0">
      <w:start w:val="2"/>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614">
    <w:multiLevelType w:val="hybridMultilevel"/>
    <w:lvl w:ilvl="0">
      <w:start w:val="13"/>
      <w:numFmt w:val="decimal"/>
      <w:lvlText w:val="(%1)"/>
      <w:lvlJc w:val="left"/>
      <w:pPr>
        <w:ind w:left="811" w:hanging="494"/>
        <w:jc w:val="left"/>
      </w:pPr>
      <w:rPr>
        <w:rFonts w:hint="default" w:ascii="Times New Roman" w:hAnsi="Times New Roman" w:eastAsia="Times New Roman" w:cs="Times New Roman"/>
        <w:spacing w:val="-1"/>
        <w:w w:val="123"/>
        <w:sz w:val="22"/>
        <w:szCs w:val="22"/>
      </w:rPr>
    </w:lvl>
    <w:lvl w:ilvl="1">
      <w:start w:val="0"/>
      <w:numFmt w:val="bullet"/>
      <w:lvlText w:val="•"/>
      <w:lvlJc w:val="left"/>
      <w:pPr>
        <w:ind w:left="1726" w:hanging="494"/>
      </w:pPr>
      <w:rPr>
        <w:rFonts w:hint="default"/>
      </w:rPr>
    </w:lvl>
    <w:lvl w:ilvl="2">
      <w:start w:val="0"/>
      <w:numFmt w:val="bullet"/>
      <w:lvlText w:val="•"/>
      <w:lvlJc w:val="left"/>
      <w:pPr>
        <w:ind w:left="2632" w:hanging="494"/>
      </w:pPr>
      <w:rPr>
        <w:rFonts w:hint="default"/>
      </w:rPr>
    </w:lvl>
    <w:lvl w:ilvl="3">
      <w:start w:val="0"/>
      <w:numFmt w:val="bullet"/>
      <w:lvlText w:val="•"/>
      <w:lvlJc w:val="left"/>
      <w:pPr>
        <w:ind w:left="3538" w:hanging="494"/>
      </w:pPr>
      <w:rPr>
        <w:rFonts w:hint="default"/>
      </w:rPr>
    </w:lvl>
    <w:lvl w:ilvl="4">
      <w:start w:val="0"/>
      <w:numFmt w:val="bullet"/>
      <w:lvlText w:val="•"/>
      <w:lvlJc w:val="left"/>
      <w:pPr>
        <w:ind w:left="4444" w:hanging="494"/>
      </w:pPr>
      <w:rPr>
        <w:rFonts w:hint="default"/>
      </w:rPr>
    </w:lvl>
    <w:lvl w:ilvl="5">
      <w:start w:val="0"/>
      <w:numFmt w:val="bullet"/>
      <w:lvlText w:val="•"/>
      <w:lvlJc w:val="left"/>
      <w:pPr>
        <w:ind w:left="5350" w:hanging="494"/>
      </w:pPr>
      <w:rPr>
        <w:rFonts w:hint="default"/>
      </w:rPr>
    </w:lvl>
    <w:lvl w:ilvl="6">
      <w:start w:val="0"/>
      <w:numFmt w:val="bullet"/>
      <w:lvlText w:val="•"/>
      <w:lvlJc w:val="left"/>
      <w:pPr>
        <w:ind w:left="6256" w:hanging="494"/>
      </w:pPr>
      <w:rPr>
        <w:rFonts w:hint="default"/>
      </w:rPr>
    </w:lvl>
    <w:lvl w:ilvl="7">
      <w:start w:val="0"/>
      <w:numFmt w:val="bullet"/>
      <w:lvlText w:val="•"/>
      <w:lvlJc w:val="left"/>
      <w:pPr>
        <w:ind w:left="7162" w:hanging="494"/>
      </w:pPr>
      <w:rPr>
        <w:rFonts w:hint="default"/>
      </w:rPr>
    </w:lvl>
    <w:lvl w:ilvl="8">
      <w:start w:val="0"/>
      <w:numFmt w:val="bullet"/>
      <w:lvlText w:val="•"/>
      <w:lvlJc w:val="left"/>
      <w:pPr>
        <w:ind w:left="8068" w:hanging="494"/>
      </w:pPr>
      <w:rPr>
        <w:rFonts w:hint="default"/>
      </w:rPr>
    </w:lvl>
  </w:abstractNum>
  <w:abstractNum w:abstractNumId="613">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12">
    <w:multiLevelType w:val="hybridMultilevel"/>
    <w:lvl w:ilvl="0">
      <w:start w:val="1"/>
      <w:numFmt w:val="lowerLetter"/>
      <w:lvlText w:val="%1)"/>
      <w:lvlJc w:val="left"/>
      <w:pPr>
        <w:ind w:left="113" w:hanging="37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2"/>
      </w:pPr>
      <w:rPr>
        <w:rFonts w:hint="default"/>
      </w:rPr>
    </w:lvl>
    <w:lvl w:ilvl="2">
      <w:start w:val="0"/>
      <w:numFmt w:val="bullet"/>
      <w:lvlText w:val="•"/>
      <w:lvlJc w:val="left"/>
      <w:pPr>
        <w:ind w:left="2072" w:hanging="372"/>
      </w:pPr>
      <w:rPr>
        <w:rFonts w:hint="default"/>
      </w:rPr>
    </w:lvl>
    <w:lvl w:ilvl="3">
      <w:start w:val="0"/>
      <w:numFmt w:val="bullet"/>
      <w:lvlText w:val="•"/>
      <w:lvlJc w:val="left"/>
      <w:pPr>
        <w:ind w:left="3048" w:hanging="372"/>
      </w:pPr>
      <w:rPr>
        <w:rFonts w:hint="default"/>
      </w:rPr>
    </w:lvl>
    <w:lvl w:ilvl="4">
      <w:start w:val="0"/>
      <w:numFmt w:val="bullet"/>
      <w:lvlText w:val="•"/>
      <w:lvlJc w:val="left"/>
      <w:pPr>
        <w:ind w:left="4024" w:hanging="372"/>
      </w:pPr>
      <w:rPr>
        <w:rFonts w:hint="default"/>
      </w:rPr>
    </w:lvl>
    <w:lvl w:ilvl="5">
      <w:start w:val="0"/>
      <w:numFmt w:val="bullet"/>
      <w:lvlText w:val="•"/>
      <w:lvlJc w:val="left"/>
      <w:pPr>
        <w:ind w:left="5000" w:hanging="372"/>
      </w:pPr>
      <w:rPr>
        <w:rFonts w:hint="default"/>
      </w:rPr>
    </w:lvl>
    <w:lvl w:ilvl="6">
      <w:start w:val="0"/>
      <w:numFmt w:val="bullet"/>
      <w:lvlText w:val="•"/>
      <w:lvlJc w:val="left"/>
      <w:pPr>
        <w:ind w:left="5976" w:hanging="372"/>
      </w:pPr>
      <w:rPr>
        <w:rFonts w:hint="default"/>
      </w:rPr>
    </w:lvl>
    <w:lvl w:ilvl="7">
      <w:start w:val="0"/>
      <w:numFmt w:val="bullet"/>
      <w:lvlText w:val="•"/>
      <w:lvlJc w:val="left"/>
      <w:pPr>
        <w:ind w:left="6952" w:hanging="372"/>
      </w:pPr>
      <w:rPr>
        <w:rFonts w:hint="default"/>
      </w:rPr>
    </w:lvl>
    <w:lvl w:ilvl="8">
      <w:start w:val="0"/>
      <w:numFmt w:val="bullet"/>
      <w:lvlText w:val="•"/>
      <w:lvlJc w:val="left"/>
      <w:pPr>
        <w:ind w:left="7928" w:hanging="372"/>
      </w:pPr>
      <w:rPr>
        <w:rFonts w:hint="default"/>
      </w:rPr>
    </w:lvl>
  </w:abstractNum>
  <w:abstractNum w:abstractNumId="61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10">
    <w:multiLevelType w:val="hybridMultilevel"/>
    <w:lvl w:ilvl="0">
      <w:start w:val="2"/>
      <w:numFmt w:val="decimal"/>
      <w:lvlText w:val="(%1)"/>
      <w:lvlJc w:val="left"/>
      <w:pPr>
        <w:ind w:left="113" w:hanging="5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9"/>
      </w:pPr>
      <w:rPr>
        <w:rFonts w:hint="default"/>
      </w:rPr>
    </w:lvl>
    <w:lvl w:ilvl="2">
      <w:start w:val="0"/>
      <w:numFmt w:val="bullet"/>
      <w:lvlText w:val="•"/>
      <w:lvlJc w:val="left"/>
      <w:pPr>
        <w:ind w:left="2072" w:hanging="559"/>
      </w:pPr>
      <w:rPr>
        <w:rFonts w:hint="default"/>
      </w:rPr>
    </w:lvl>
    <w:lvl w:ilvl="3">
      <w:start w:val="0"/>
      <w:numFmt w:val="bullet"/>
      <w:lvlText w:val="•"/>
      <w:lvlJc w:val="left"/>
      <w:pPr>
        <w:ind w:left="3048" w:hanging="559"/>
      </w:pPr>
      <w:rPr>
        <w:rFonts w:hint="default"/>
      </w:rPr>
    </w:lvl>
    <w:lvl w:ilvl="4">
      <w:start w:val="0"/>
      <w:numFmt w:val="bullet"/>
      <w:lvlText w:val="•"/>
      <w:lvlJc w:val="left"/>
      <w:pPr>
        <w:ind w:left="4024" w:hanging="559"/>
      </w:pPr>
      <w:rPr>
        <w:rFonts w:hint="default"/>
      </w:rPr>
    </w:lvl>
    <w:lvl w:ilvl="5">
      <w:start w:val="0"/>
      <w:numFmt w:val="bullet"/>
      <w:lvlText w:val="•"/>
      <w:lvlJc w:val="left"/>
      <w:pPr>
        <w:ind w:left="5000" w:hanging="559"/>
      </w:pPr>
      <w:rPr>
        <w:rFonts w:hint="default"/>
      </w:rPr>
    </w:lvl>
    <w:lvl w:ilvl="6">
      <w:start w:val="0"/>
      <w:numFmt w:val="bullet"/>
      <w:lvlText w:val="•"/>
      <w:lvlJc w:val="left"/>
      <w:pPr>
        <w:ind w:left="5976" w:hanging="559"/>
      </w:pPr>
      <w:rPr>
        <w:rFonts w:hint="default"/>
      </w:rPr>
    </w:lvl>
    <w:lvl w:ilvl="7">
      <w:start w:val="0"/>
      <w:numFmt w:val="bullet"/>
      <w:lvlText w:val="•"/>
      <w:lvlJc w:val="left"/>
      <w:pPr>
        <w:ind w:left="6952" w:hanging="559"/>
      </w:pPr>
      <w:rPr>
        <w:rFonts w:hint="default"/>
      </w:rPr>
    </w:lvl>
    <w:lvl w:ilvl="8">
      <w:start w:val="0"/>
      <w:numFmt w:val="bullet"/>
      <w:lvlText w:val="•"/>
      <w:lvlJc w:val="left"/>
      <w:pPr>
        <w:ind w:left="7928" w:hanging="559"/>
      </w:pPr>
      <w:rPr>
        <w:rFonts w:hint="default"/>
      </w:rPr>
    </w:lvl>
  </w:abstractNum>
  <w:abstractNum w:abstractNumId="60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08">
    <w:multiLevelType w:val="hybridMultilevel"/>
    <w:lvl w:ilvl="0">
      <w:start w:val="2"/>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6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06">
    <w:multiLevelType w:val="hybridMultilevel"/>
    <w:lvl w:ilvl="0">
      <w:start w:val="273"/>
      <w:numFmt w:val="decimal"/>
      <w:lvlText w:val="%1."/>
      <w:lvlJc w:val="left"/>
      <w:pPr>
        <w:ind w:left="1109" w:hanging="793"/>
        <w:jc w:val="left"/>
      </w:pPr>
      <w:rPr>
        <w:rFonts w:hint="default" w:ascii="Arial" w:hAnsi="Arial" w:eastAsia="Arial" w:cs="Arial"/>
        <w:b/>
        <w:bCs/>
        <w:spacing w:val="-1"/>
        <w:w w:val="125"/>
        <w:sz w:val="24"/>
        <w:szCs w:val="24"/>
      </w:rPr>
    </w:lvl>
    <w:lvl w:ilvl="1">
      <w:start w:val="0"/>
      <w:numFmt w:val="bullet"/>
      <w:lvlText w:val="•"/>
      <w:lvlJc w:val="left"/>
      <w:pPr>
        <w:ind w:left="1880" w:hanging="793"/>
      </w:pPr>
      <w:rPr>
        <w:rFonts w:hint="default"/>
      </w:rPr>
    </w:lvl>
    <w:lvl w:ilvl="2">
      <w:start w:val="0"/>
      <w:numFmt w:val="bullet"/>
      <w:lvlText w:val="•"/>
      <w:lvlJc w:val="left"/>
      <w:pPr>
        <w:ind w:left="3860" w:hanging="793"/>
      </w:pPr>
      <w:rPr>
        <w:rFonts w:hint="default"/>
      </w:rPr>
    </w:lvl>
    <w:lvl w:ilvl="3">
      <w:start w:val="0"/>
      <w:numFmt w:val="bullet"/>
      <w:lvlText w:val="•"/>
      <w:lvlJc w:val="left"/>
      <w:pPr>
        <w:ind w:left="4080" w:hanging="793"/>
      </w:pPr>
      <w:rPr>
        <w:rFonts w:hint="default"/>
      </w:rPr>
    </w:lvl>
    <w:lvl w:ilvl="4">
      <w:start w:val="0"/>
      <w:numFmt w:val="bullet"/>
      <w:lvlText w:val="•"/>
      <w:lvlJc w:val="left"/>
      <w:pPr>
        <w:ind w:left="4280" w:hanging="793"/>
      </w:pPr>
      <w:rPr>
        <w:rFonts w:hint="default"/>
      </w:rPr>
    </w:lvl>
    <w:lvl w:ilvl="5">
      <w:start w:val="0"/>
      <w:numFmt w:val="bullet"/>
      <w:lvlText w:val="•"/>
      <w:lvlJc w:val="left"/>
      <w:pPr>
        <w:ind w:left="4998" w:hanging="793"/>
      </w:pPr>
      <w:rPr>
        <w:rFonts w:hint="default"/>
      </w:rPr>
    </w:lvl>
    <w:lvl w:ilvl="6">
      <w:start w:val="0"/>
      <w:numFmt w:val="bullet"/>
      <w:lvlText w:val="•"/>
      <w:lvlJc w:val="left"/>
      <w:pPr>
        <w:ind w:left="5717" w:hanging="793"/>
      </w:pPr>
      <w:rPr>
        <w:rFonts w:hint="default"/>
      </w:rPr>
    </w:lvl>
    <w:lvl w:ilvl="7">
      <w:start w:val="0"/>
      <w:numFmt w:val="bullet"/>
      <w:lvlText w:val="•"/>
      <w:lvlJc w:val="left"/>
      <w:pPr>
        <w:ind w:left="6436" w:hanging="793"/>
      </w:pPr>
      <w:rPr>
        <w:rFonts w:hint="default"/>
      </w:rPr>
    </w:lvl>
    <w:lvl w:ilvl="8">
      <w:start w:val="0"/>
      <w:numFmt w:val="bullet"/>
      <w:lvlText w:val="•"/>
      <w:lvlJc w:val="left"/>
      <w:pPr>
        <w:ind w:left="7155" w:hanging="793"/>
      </w:pPr>
      <w:rPr>
        <w:rFonts w:hint="default"/>
      </w:rPr>
    </w:lvl>
  </w:abstractNum>
  <w:abstractNum w:abstractNumId="60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04">
    <w:multiLevelType w:val="hybridMultilevel"/>
    <w:lvl w:ilvl="0">
      <w:start w:val="2"/>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60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02">
    <w:multiLevelType w:val="hybridMultilevel"/>
    <w:lvl w:ilvl="0">
      <w:start w:val="2"/>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60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680" w:hanging="344"/>
      </w:pPr>
      <w:rPr>
        <w:rFonts w:hint="default"/>
      </w:rPr>
    </w:lvl>
    <w:lvl w:ilvl="2">
      <w:start w:val="0"/>
      <w:numFmt w:val="bullet"/>
      <w:lvlText w:val="•"/>
      <w:lvlJc w:val="left"/>
      <w:pPr>
        <w:ind w:left="1473" w:hanging="344"/>
      </w:pPr>
      <w:rPr>
        <w:rFonts w:hint="default"/>
      </w:rPr>
    </w:lvl>
    <w:lvl w:ilvl="3">
      <w:start w:val="0"/>
      <w:numFmt w:val="bullet"/>
      <w:lvlText w:val="•"/>
      <w:lvlJc w:val="left"/>
      <w:pPr>
        <w:ind w:left="2266" w:hanging="344"/>
      </w:pPr>
      <w:rPr>
        <w:rFonts w:hint="default"/>
      </w:rPr>
    </w:lvl>
    <w:lvl w:ilvl="4">
      <w:start w:val="0"/>
      <w:numFmt w:val="bullet"/>
      <w:lvlText w:val="•"/>
      <w:lvlJc w:val="left"/>
      <w:pPr>
        <w:ind w:left="3060" w:hanging="344"/>
      </w:pPr>
      <w:rPr>
        <w:rFonts w:hint="default"/>
      </w:rPr>
    </w:lvl>
    <w:lvl w:ilvl="5">
      <w:start w:val="0"/>
      <w:numFmt w:val="bullet"/>
      <w:lvlText w:val="•"/>
      <w:lvlJc w:val="left"/>
      <w:pPr>
        <w:ind w:left="3853" w:hanging="344"/>
      </w:pPr>
      <w:rPr>
        <w:rFonts w:hint="default"/>
      </w:rPr>
    </w:lvl>
    <w:lvl w:ilvl="6">
      <w:start w:val="0"/>
      <w:numFmt w:val="bullet"/>
      <w:lvlText w:val="•"/>
      <w:lvlJc w:val="left"/>
      <w:pPr>
        <w:ind w:left="4646" w:hanging="344"/>
      </w:pPr>
      <w:rPr>
        <w:rFonts w:hint="default"/>
      </w:rPr>
    </w:lvl>
    <w:lvl w:ilvl="7">
      <w:start w:val="0"/>
      <w:numFmt w:val="bullet"/>
      <w:lvlText w:val="•"/>
      <w:lvlJc w:val="left"/>
      <w:pPr>
        <w:ind w:left="5440" w:hanging="344"/>
      </w:pPr>
      <w:rPr>
        <w:rFonts w:hint="default"/>
      </w:rPr>
    </w:lvl>
    <w:lvl w:ilvl="8">
      <w:start w:val="0"/>
      <w:numFmt w:val="bullet"/>
      <w:lvlText w:val="•"/>
      <w:lvlJc w:val="left"/>
      <w:pPr>
        <w:ind w:left="6233" w:hanging="344"/>
      </w:pPr>
      <w:rPr>
        <w:rFonts w:hint="default"/>
      </w:rPr>
    </w:lvl>
  </w:abstractNum>
  <w:abstractNum w:abstractNumId="599">
    <w:multiLevelType w:val="hybridMultilevel"/>
    <w:lvl w:ilvl="0">
      <w:start w:val="268"/>
      <w:numFmt w:val="decimal"/>
      <w:lvlText w:val="%1."/>
      <w:lvlJc w:val="left"/>
      <w:pPr>
        <w:ind w:left="113" w:hanging="751"/>
        <w:jc w:val="left"/>
      </w:pPr>
      <w:rPr>
        <w:rFonts w:hint="default" w:ascii="Arial" w:hAnsi="Arial" w:eastAsia="Arial" w:cs="Arial"/>
        <w:b/>
        <w:bCs/>
        <w:spacing w:val="-1"/>
        <w:w w:val="125"/>
        <w:sz w:val="24"/>
        <w:szCs w:val="24"/>
      </w:rPr>
    </w:lvl>
    <w:lvl w:ilvl="1">
      <w:start w:val="0"/>
      <w:numFmt w:val="bullet"/>
      <w:lvlText w:val="•"/>
      <w:lvlJc w:val="left"/>
      <w:pPr>
        <w:ind w:left="1640" w:hanging="751"/>
      </w:pPr>
      <w:rPr>
        <w:rFonts w:hint="default"/>
      </w:rPr>
    </w:lvl>
    <w:lvl w:ilvl="2">
      <w:start w:val="0"/>
      <w:numFmt w:val="bullet"/>
      <w:lvlText w:val="•"/>
      <w:lvlJc w:val="left"/>
      <w:pPr>
        <w:ind w:left="2327" w:hanging="751"/>
      </w:pPr>
      <w:rPr>
        <w:rFonts w:hint="default"/>
      </w:rPr>
    </w:lvl>
    <w:lvl w:ilvl="3">
      <w:start w:val="0"/>
      <w:numFmt w:val="bullet"/>
      <w:lvlText w:val="•"/>
      <w:lvlJc w:val="left"/>
      <w:pPr>
        <w:ind w:left="3015" w:hanging="751"/>
      </w:pPr>
      <w:rPr>
        <w:rFonts w:hint="default"/>
      </w:rPr>
    </w:lvl>
    <w:lvl w:ilvl="4">
      <w:start w:val="0"/>
      <w:numFmt w:val="bullet"/>
      <w:lvlText w:val="•"/>
      <w:lvlJc w:val="left"/>
      <w:pPr>
        <w:ind w:left="3702" w:hanging="751"/>
      </w:pPr>
      <w:rPr>
        <w:rFonts w:hint="default"/>
      </w:rPr>
    </w:lvl>
    <w:lvl w:ilvl="5">
      <w:start w:val="0"/>
      <w:numFmt w:val="bullet"/>
      <w:lvlText w:val="•"/>
      <w:lvlJc w:val="left"/>
      <w:pPr>
        <w:ind w:left="4390" w:hanging="751"/>
      </w:pPr>
      <w:rPr>
        <w:rFonts w:hint="default"/>
      </w:rPr>
    </w:lvl>
    <w:lvl w:ilvl="6">
      <w:start w:val="0"/>
      <w:numFmt w:val="bullet"/>
      <w:lvlText w:val="•"/>
      <w:lvlJc w:val="left"/>
      <w:pPr>
        <w:ind w:left="5077" w:hanging="751"/>
      </w:pPr>
      <w:rPr>
        <w:rFonts w:hint="default"/>
      </w:rPr>
    </w:lvl>
    <w:lvl w:ilvl="7">
      <w:start w:val="0"/>
      <w:numFmt w:val="bullet"/>
      <w:lvlText w:val="•"/>
      <w:lvlJc w:val="left"/>
      <w:pPr>
        <w:ind w:left="5765" w:hanging="751"/>
      </w:pPr>
      <w:rPr>
        <w:rFonts w:hint="default"/>
      </w:rPr>
    </w:lvl>
    <w:lvl w:ilvl="8">
      <w:start w:val="0"/>
      <w:numFmt w:val="bullet"/>
      <w:lvlText w:val="•"/>
      <w:lvlJc w:val="left"/>
      <w:pPr>
        <w:ind w:left="6452" w:hanging="751"/>
      </w:pPr>
      <w:rPr>
        <w:rFonts w:hint="default"/>
      </w:rPr>
    </w:lvl>
  </w:abstractNum>
  <w:abstractNum w:abstractNumId="598">
    <w:multiLevelType w:val="hybridMultilevel"/>
    <w:lvl w:ilvl="0">
      <w:start w:val="2"/>
      <w:numFmt w:val="decimal"/>
      <w:lvlText w:val="(%1)"/>
      <w:lvlJc w:val="left"/>
      <w:pPr>
        <w:ind w:left="113" w:hanging="49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597">
    <w:multiLevelType w:val="hybridMultilevel"/>
    <w:lvl w:ilvl="0">
      <w:start w:val="2"/>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59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9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94">
    <w:multiLevelType w:val="hybridMultilevel"/>
    <w:lvl w:ilvl="0">
      <w:start w:val="2"/>
      <w:numFmt w:val="decimal"/>
      <w:lvlText w:val="(%1)"/>
      <w:lvlJc w:val="left"/>
      <w:pPr>
        <w:ind w:left="113" w:hanging="5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8"/>
      </w:pPr>
      <w:rPr>
        <w:rFonts w:hint="default"/>
      </w:rPr>
    </w:lvl>
    <w:lvl w:ilvl="2">
      <w:start w:val="0"/>
      <w:numFmt w:val="bullet"/>
      <w:lvlText w:val="•"/>
      <w:lvlJc w:val="left"/>
      <w:pPr>
        <w:ind w:left="2072" w:hanging="568"/>
      </w:pPr>
      <w:rPr>
        <w:rFonts w:hint="default"/>
      </w:rPr>
    </w:lvl>
    <w:lvl w:ilvl="3">
      <w:start w:val="0"/>
      <w:numFmt w:val="bullet"/>
      <w:lvlText w:val="•"/>
      <w:lvlJc w:val="left"/>
      <w:pPr>
        <w:ind w:left="3048" w:hanging="568"/>
      </w:pPr>
      <w:rPr>
        <w:rFonts w:hint="default"/>
      </w:rPr>
    </w:lvl>
    <w:lvl w:ilvl="4">
      <w:start w:val="0"/>
      <w:numFmt w:val="bullet"/>
      <w:lvlText w:val="•"/>
      <w:lvlJc w:val="left"/>
      <w:pPr>
        <w:ind w:left="4024" w:hanging="568"/>
      </w:pPr>
      <w:rPr>
        <w:rFonts w:hint="default"/>
      </w:rPr>
    </w:lvl>
    <w:lvl w:ilvl="5">
      <w:start w:val="0"/>
      <w:numFmt w:val="bullet"/>
      <w:lvlText w:val="•"/>
      <w:lvlJc w:val="left"/>
      <w:pPr>
        <w:ind w:left="5000" w:hanging="568"/>
      </w:pPr>
      <w:rPr>
        <w:rFonts w:hint="default"/>
      </w:rPr>
    </w:lvl>
    <w:lvl w:ilvl="6">
      <w:start w:val="0"/>
      <w:numFmt w:val="bullet"/>
      <w:lvlText w:val="•"/>
      <w:lvlJc w:val="left"/>
      <w:pPr>
        <w:ind w:left="5976" w:hanging="568"/>
      </w:pPr>
      <w:rPr>
        <w:rFonts w:hint="default"/>
      </w:rPr>
    </w:lvl>
    <w:lvl w:ilvl="7">
      <w:start w:val="0"/>
      <w:numFmt w:val="bullet"/>
      <w:lvlText w:val="•"/>
      <w:lvlJc w:val="left"/>
      <w:pPr>
        <w:ind w:left="6952" w:hanging="568"/>
      </w:pPr>
      <w:rPr>
        <w:rFonts w:hint="default"/>
      </w:rPr>
    </w:lvl>
    <w:lvl w:ilvl="8">
      <w:start w:val="0"/>
      <w:numFmt w:val="bullet"/>
      <w:lvlText w:val="•"/>
      <w:lvlJc w:val="left"/>
      <w:pPr>
        <w:ind w:left="7928" w:hanging="568"/>
      </w:pPr>
      <w:rPr>
        <w:rFonts w:hint="default"/>
      </w:rPr>
    </w:lvl>
  </w:abstractNum>
  <w:abstractNum w:abstractNumId="593">
    <w:multiLevelType w:val="hybridMultilevel"/>
    <w:lvl w:ilvl="0">
      <w:start w:val="1"/>
      <w:numFmt w:val="lowerLetter"/>
      <w:lvlText w:val="%1)"/>
      <w:lvlJc w:val="left"/>
      <w:pPr>
        <w:ind w:left="113" w:hanging="5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592">
    <w:multiLevelType w:val="hybridMultilevel"/>
    <w:lvl w:ilvl="0">
      <w:start w:val="1"/>
      <w:numFmt w:val="lowerLetter"/>
      <w:lvlText w:val="%1)"/>
      <w:lvlJc w:val="left"/>
      <w:pPr>
        <w:ind w:left="113" w:hanging="53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59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90">
    <w:multiLevelType w:val="hybridMultilevel"/>
    <w:lvl w:ilvl="0">
      <w:start w:val="1"/>
      <w:numFmt w:val="lowerLetter"/>
      <w:lvlText w:val="%1)"/>
      <w:lvlJc w:val="left"/>
      <w:pPr>
        <w:ind w:left="113" w:hanging="33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0"/>
      </w:pPr>
      <w:rPr>
        <w:rFonts w:hint="default"/>
      </w:rPr>
    </w:lvl>
    <w:lvl w:ilvl="2">
      <w:start w:val="0"/>
      <w:numFmt w:val="bullet"/>
      <w:lvlText w:val="•"/>
      <w:lvlJc w:val="left"/>
      <w:pPr>
        <w:ind w:left="2072" w:hanging="330"/>
      </w:pPr>
      <w:rPr>
        <w:rFonts w:hint="default"/>
      </w:rPr>
    </w:lvl>
    <w:lvl w:ilvl="3">
      <w:start w:val="0"/>
      <w:numFmt w:val="bullet"/>
      <w:lvlText w:val="•"/>
      <w:lvlJc w:val="left"/>
      <w:pPr>
        <w:ind w:left="3048" w:hanging="330"/>
      </w:pPr>
      <w:rPr>
        <w:rFonts w:hint="default"/>
      </w:rPr>
    </w:lvl>
    <w:lvl w:ilvl="4">
      <w:start w:val="0"/>
      <w:numFmt w:val="bullet"/>
      <w:lvlText w:val="•"/>
      <w:lvlJc w:val="left"/>
      <w:pPr>
        <w:ind w:left="4024" w:hanging="330"/>
      </w:pPr>
      <w:rPr>
        <w:rFonts w:hint="default"/>
      </w:rPr>
    </w:lvl>
    <w:lvl w:ilvl="5">
      <w:start w:val="0"/>
      <w:numFmt w:val="bullet"/>
      <w:lvlText w:val="•"/>
      <w:lvlJc w:val="left"/>
      <w:pPr>
        <w:ind w:left="5000" w:hanging="330"/>
      </w:pPr>
      <w:rPr>
        <w:rFonts w:hint="default"/>
      </w:rPr>
    </w:lvl>
    <w:lvl w:ilvl="6">
      <w:start w:val="0"/>
      <w:numFmt w:val="bullet"/>
      <w:lvlText w:val="•"/>
      <w:lvlJc w:val="left"/>
      <w:pPr>
        <w:ind w:left="5976" w:hanging="330"/>
      </w:pPr>
      <w:rPr>
        <w:rFonts w:hint="default"/>
      </w:rPr>
    </w:lvl>
    <w:lvl w:ilvl="7">
      <w:start w:val="0"/>
      <w:numFmt w:val="bullet"/>
      <w:lvlText w:val="•"/>
      <w:lvlJc w:val="left"/>
      <w:pPr>
        <w:ind w:left="6952" w:hanging="330"/>
      </w:pPr>
      <w:rPr>
        <w:rFonts w:hint="default"/>
      </w:rPr>
    </w:lvl>
    <w:lvl w:ilvl="8">
      <w:start w:val="0"/>
      <w:numFmt w:val="bullet"/>
      <w:lvlText w:val="•"/>
      <w:lvlJc w:val="left"/>
      <w:pPr>
        <w:ind w:left="7928" w:hanging="330"/>
      </w:pPr>
      <w:rPr>
        <w:rFonts w:hint="default"/>
      </w:rPr>
    </w:lvl>
  </w:abstractNum>
  <w:abstractNum w:abstractNumId="589">
    <w:multiLevelType w:val="hybridMultilevel"/>
    <w:lvl w:ilvl="0">
      <w:start w:val="4"/>
      <w:numFmt w:val="decimal"/>
      <w:lvlText w:val="(%1)"/>
      <w:lvlJc w:val="left"/>
      <w:pPr>
        <w:ind w:left="113" w:hanging="5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588">
    <w:multiLevelType w:val="hybridMultilevel"/>
    <w:lvl w:ilvl="0">
      <w:start w:val="1"/>
      <w:numFmt w:val="lowerLetter"/>
      <w:lvlText w:val="%1)"/>
      <w:lvlJc w:val="left"/>
      <w:pPr>
        <w:ind w:left="113" w:hanging="5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587">
    <w:multiLevelType w:val="hybridMultilevel"/>
    <w:lvl w:ilvl="0">
      <w:start w:val="2"/>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5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8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84">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8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82">
    <w:multiLevelType w:val="hybridMultilevel"/>
    <w:lvl w:ilvl="0">
      <w:start w:val="1"/>
      <w:numFmt w:val="lowerLetter"/>
      <w:lvlText w:val="%1)"/>
      <w:lvlJc w:val="left"/>
      <w:pPr>
        <w:ind w:left="113" w:hanging="37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1"/>
      </w:pPr>
      <w:rPr>
        <w:rFonts w:hint="default"/>
      </w:rPr>
    </w:lvl>
    <w:lvl w:ilvl="2">
      <w:start w:val="0"/>
      <w:numFmt w:val="bullet"/>
      <w:lvlText w:val="•"/>
      <w:lvlJc w:val="left"/>
      <w:pPr>
        <w:ind w:left="2072" w:hanging="371"/>
      </w:pPr>
      <w:rPr>
        <w:rFonts w:hint="default"/>
      </w:rPr>
    </w:lvl>
    <w:lvl w:ilvl="3">
      <w:start w:val="0"/>
      <w:numFmt w:val="bullet"/>
      <w:lvlText w:val="•"/>
      <w:lvlJc w:val="left"/>
      <w:pPr>
        <w:ind w:left="3048" w:hanging="371"/>
      </w:pPr>
      <w:rPr>
        <w:rFonts w:hint="default"/>
      </w:rPr>
    </w:lvl>
    <w:lvl w:ilvl="4">
      <w:start w:val="0"/>
      <w:numFmt w:val="bullet"/>
      <w:lvlText w:val="•"/>
      <w:lvlJc w:val="left"/>
      <w:pPr>
        <w:ind w:left="4024" w:hanging="371"/>
      </w:pPr>
      <w:rPr>
        <w:rFonts w:hint="default"/>
      </w:rPr>
    </w:lvl>
    <w:lvl w:ilvl="5">
      <w:start w:val="0"/>
      <w:numFmt w:val="bullet"/>
      <w:lvlText w:val="•"/>
      <w:lvlJc w:val="left"/>
      <w:pPr>
        <w:ind w:left="5000" w:hanging="371"/>
      </w:pPr>
      <w:rPr>
        <w:rFonts w:hint="default"/>
      </w:rPr>
    </w:lvl>
    <w:lvl w:ilvl="6">
      <w:start w:val="0"/>
      <w:numFmt w:val="bullet"/>
      <w:lvlText w:val="•"/>
      <w:lvlJc w:val="left"/>
      <w:pPr>
        <w:ind w:left="5976" w:hanging="371"/>
      </w:pPr>
      <w:rPr>
        <w:rFonts w:hint="default"/>
      </w:rPr>
    </w:lvl>
    <w:lvl w:ilvl="7">
      <w:start w:val="0"/>
      <w:numFmt w:val="bullet"/>
      <w:lvlText w:val="•"/>
      <w:lvlJc w:val="left"/>
      <w:pPr>
        <w:ind w:left="6952" w:hanging="371"/>
      </w:pPr>
      <w:rPr>
        <w:rFonts w:hint="default"/>
      </w:rPr>
    </w:lvl>
    <w:lvl w:ilvl="8">
      <w:start w:val="0"/>
      <w:numFmt w:val="bullet"/>
      <w:lvlText w:val="•"/>
      <w:lvlJc w:val="left"/>
      <w:pPr>
        <w:ind w:left="7928" w:hanging="371"/>
      </w:pPr>
      <w:rPr>
        <w:rFonts w:hint="default"/>
      </w:rPr>
    </w:lvl>
  </w:abstractNum>
  <w:abstractNum w:abstractNumId="581">
    <w:multiLevelType w:val="hybridMultilevel"/>
    <w:lvl w:ilvl="0">
      <w:start w:val="1"/>
      <w:numFmt w:val="lowerLetter"/>
      <w:lvlText w:val="%1)"/>
      <w:lvlJc w:val="left"/>
      <w:pPr>
        <w:ind w:left="113" w:hanging="3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2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928" w:hanging="360"/>
      </w:pPr>
      <w:rPr>
        <w:rFonts w:hint="default"/>
      </w:rPr>
    </w:lvl>
  </w:abstractNum>
  <w:abstractNum w:abstractNumId="580">
    <w:multiLevelType w:val="hybridMultilevel"/>
    <w:lvl w:ilvl="0">
      <w:start w:val="2"/>
      <w:numFmt w:val="decimal"/>
      <w:lvlText w:val="(%1)"/>
      <w:lvlJc w:val="left"/>
      <w:pPr>
        <w:ind w:left="113" w:hanging="5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8"/>
      </w:pPr>
      <w:rPr>
        <w:rFonts w:hint="default"/>
      </w:rPr>
    </w:lvl>
    <w:lvl w:ilvl="2">
      <w:start w:val="0"/>
      <w:numFmt w:val="bullet"/>
      <w:lvlText w:val="•"/>
      <w:lvlJc w:val="left"/>
      <w:pPr>
        <w:ind w:left="2072" w:hanging="598"/>
      </w:pPr>
      <w:rPr>
        <w:rFonts w:hint="default"/>
      </w:rPr>
    </w:lvl>
    <w:lvl w:ilvl="3">
      <w:start w:val="0"/>
      <w:numFmt w:val="bullet"/>
      <w:lvlText w:val="•"/>
      <w:lvlJc w:val="left"/>
      <w:pPr>
        <w:ind w:left="3048" w:hanging="598"/>
      </w:pPr>
      <w:rPr>
        <w:rFonts w:hint="default"/>
      </w:rPr>
    </w:lvl>
    <w:lvl w:ilvl="4">
      <w:start w:val="0"/>
      <w:numFmt w:val="bullet"/>
      <w:lvlText w:val="•"/>
      <w:lvlJc w:val="left"/>
      <w:pPr>
        <w:ind w:left="4024" w:hanging="598"/>
      </w:pPr>
      <w:rPr>
        <w:rFonts w:hint="default"/>
      </w:rPr>
    </w:lvl>
    <w:lvl w:ilvl="5">
      <w:start w:val="0"/>
      <w:numFmt w:val="bullet"/>
      <w:lvlText w:val="•"/>
      <w:lvlJc w:val="left"/>
      <w:pPr>
        <w:ind w:left="5000" w:hanging="598"/>
      </w:pPr>
      <w:rPr>
        <w:rFonts w:hint="default"/>
      </w:rPr>
    </w:lvl>
    <w:lvl w:ilvl="6">
      <w:start w:val="0"/>
      <w:numFmt w:val="bullet"/>
      <w:lvlText w:val="•"/>
      <w:lvlJc w:val="left"/>
      <w:pPr>
        <w:ind w:left="5976" w:hanging="598"/>
      </w:pPr>
      <w:rPr>
        <w:rFonts w:hint="default"/>
      </w:rPr>
    </w:lvl>
    <w:lvl w:ilvl="7">
      <w:start w:val="0"/>
      <w:numFmt w:val="bullet"/>
      <w:lvlText w:val="•"/>
      <w:lvlJc w:val="left"/>
      <w:pPr>
        <w:ind w:left="6952" w:hanging="598"/>
      </w:pPr>
      <w:rPr>
        <w:rFonts w:hint="default"/>
      </w:rPr>
    </w:lvl>
    <w:lvl w:ilvl="8">
      <w:start w:val="0"/>
      <w:numFmt w:val="bullet"/>
      <w:lvlText w:val="•"/>
      <w:lvlJc w:val="left"/>
      <w:pPr>
        <w:ind w:left="7928" w:hanging="598"/>
      </w:pPr>
      <w:rPr>
        <w:rFonts w:hint="default"/>
      </w:rPr>
    </w:lvl>
  </w:abstractNum>
  <w:abstractNum w:abstractNumId="579">
    <w:multiLevelType w:val="hybridMultilevel"/>
    <w:lvl w:ilvl="0">
      <w:start w:val="1"/>
      <w:numFmt w:val="lowerLetter"/>
      <w:lvlText w:val="%1)"/>
      <w:lvlJc w:val="left"/>
      <w:pPr>
        <w:ind w:left="113" w:hanging="35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0"/>
      </w:pPr>
      <w:rPr>
        <w:rFonts w:hint="default"/>
      </w:rPr>
    </w:lvl>
    <w:lvl w:ilvl="2">
      <w:start w:val="0"/>
      <w:numFmt w:val="bullet"/>
      <w:lvlText w:val="•"/>
      <w:lvlJc w:val="left"/>
      <w:pPr>
        <w:ind w:left="2072" w:hanging="350"/>
      </w:pPr>
      <w:rPr>
        <w:rFonts w:hint="default"/>
      </w:rPr>
    </w:lvl>
    <w:lvl w:ilvl="3">
      <w:start w:val="0"/>
      <w:numFmt w:val="bullet"/>
      <w:lvlText w:val="•"/>
      <w:lvlJc w:val="left"/>
      <w:pPr>
        <w:ind w:left="3048" w:hanging="350"/>
      </w:pPr>
      <w:rPr>
        <w:rFonts w:hint="default"/>
      </w:rPr>
    </w:lvl>
    <w:lvl w:ilvl="4">
      <w:start w:val="0"/>
      <w:numFmt w:val="bullet"/>
      <w:lvlText w:val="•"/>
      <w:lvlJc w:val="left"/>
      <w:pPr>
        <w:ind w:left="4024" w:hanging="350"/>
      </w:pPr>
      <w:rPr>
        <w:rFonts w:hint="default"/>
      </w:rPr>
    </w:lvl>
    <w:lvl w:ilvl="5">
      <w:start w:val="0"/>
      <w:numFmt w:val="bullet"/>
      <w:lvlText w:val="•"/>
      <w:lvlJc w:val="left"/>
      <w:pPr>
        <w:ind w:left="5000" w:hanging="350"/>
      </w:pPr>
      <w:rPr>
        <w:rFonts w:hint="default"/>
      </w:rPr>
    </w:lvl>
    <w:lvl w:ilvl="6">
      <w:start w:val="0"/>
      <w:numFmt w:val="bullet"/>
      <w:lvlText w:val="•"/>
      <w:lvlJc w:val="left"/>
      <w:pPr>
        <w:ind w:left="5976" w:hanging="350"/>
      </w:pPr>
      <w:rPr>
        <w:rFonts w:hint="default"/>
      </w:rPr>
    </w:lvl>
    <w:lvl w:ilvl="7">
      <w:start w:val="0"/>
      <w:numFmt w:val="bullet"/>
      <w:lvlText w:val="•"/>
      <w:lvlJc w:val="left"/>
      <w:pPr>
        <w:ind w:left="6952" w:hanging="350"/>
      </w:pPr>
      <w:rPr>
        <w:rFonts w:hint="default"/>
      </w:rPr>
    </w:lvl>
    <w:lvl w:ilvl="8">
      <w:start w:val="0"/>
      <w:numFmt w:val="bullet"/>
      <w:lvlText w:val="•"/>
      <w:lvlJc w:val="left"/>
      <w:pPr>
        <w:ind w:left="7928" w:hanging="350"/>
      </w:pPr>
      <w:rPr>
        <w:rFonts w:hint="default"/>
      </w:rPr>
    </w:lvl>
  </w:abstractNum>
  <w:abstractNum w:abstractNumId="57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73">
    <w:multiLevelType w:val="hybridMultilevel"/>
    <w:lvl w:ilvl="0">
      <w:start w:val="2"/>
      <w:numFmt w:val="decimal"/>
      <w:lvlText w:val="(%1)"/>
      <w:lvlJc w:val="left"/>
      <w:pPr>
        <w:ind w:left="113" w:hanging="61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0"/>
      </w:pPr>
      <w:rPr>
        <w:rFonts w:hint="default"/>
      </w:rPr>
    </w:lvl>
    <w:lvl w:ilvl="2">
      <w:start w:val="0"/>
      <w:numFmt w:val="bullet"/>
      <w:lvlText w:val="•"/>
      <w:lvlJc w:val="left"/>
      <w:pPr>
        <w:ind w:left="2072" w:hanging="610"/>
      </w:pPr>
      <w:rPr>
        <w:rFonts w:hint="default"/>
      </w:rPr>
    </w:lvl>
    <w:lvl w:ilvl="3">
      <w:start w:val="0"/>
      <w:numFmt w:val="bullet"/>
      <w:lvlText w:val="•"/>
      <w:lvlJc w:val="left"/>
      <w:pPr>
        <w:ind w:left="3048" w:hanging="610"/>
      </w:pPr>
      <w:rPr>
        <w:rFonts w:hint="default"/>
      </w:rPr>
    </w:lvl>
    <w:lvl w:ilvl="4">
      <w:start w:val="0"/>
      <w:numFmt w:val="bullet"/>
      <w:lvlText w:val="•"/>
      <w:lvlJc w:val="left"/>
      <w:pPr>
        <w:ind w:left="4024" w:hanging="610"/>
      </w:pPr>
      <w:rPr>
        <w:rFonts w:hint="default"/>
      </w:rPr>
    </w:lvl>
    <w:lvl w:ilvl="5">
      <w:start w:val="0"/>
      <w:numFmt w:val="bullet"/>
      <w:lvlText w:val="•"/>
      <w:lvlJc w:val="left"/>
      <w:pPr>
        <w:ind w:left="5000" w:hanging="610"/>
      </w:pPr>
      <w:rPr>
        <w:rFonts w:hint="default"/>
      </w:rPr>
    </w:lvl>
    <w:lvl w:ilvl="6">
      <w:start w:val="0"/>
      <w:numFmt w:val="bullet"/>
      <w:lvlText w:val="•"/>
      <w:lvlJc w:val="left"/>
      <w:pPr>
        <w:ind w:left="5976" w:hanging="610"/>
      </w:pPr>
      <w:rPr>
        <w:rFonts w:hint="default"/>
      </w:rPr>
    </w:lvl>
    <w:lvl w:ilvl="7">
      <w:start w:val="0"/>
      <w:numFmt w:val="bullet"/>
      <w:lvlText w:val="•"/>
      <w:lvlJc w:val="left"/>
      <w:pPr>
        <w:ind w:left="6952" w:hanging="610"/>
      </w:pPr>
      <w:rPr>
        <w:rFonts w:hint="default"/>
      </w:rPr>
    </w:lvl>
    <w:lvl w:ilvl="8">
      <w:start w:val="0"/>
      <w:numFmt w:val="bullet"/>
      <w:lvlText w:val="•"/>
      <w:lvlJc w:val="left"/>
      <w:pPr>
        <w:ind w:left="7928" w:hanging="610"/>
      </w:pPr>
      <w:rPr>
        <w:rFonts w:hint="default"/>
      </w:rPr>
    </w:lvl>
  </w:abstractNum>
  <w:abstractNum w:abstractNumId="57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1">
    <w:multiLevelType w:val="hybridMultilevel"/>
    <w:lvl w:ilvl="0">
      <w:start w:val="1"/>
      <w:numFmt w:val="lowerLetter"/>
      <w:lvlText w:val="%1)"/>
      <w:lvlJc w:val="left"/>
      <w:pPr>
        <w:ind w:left="113" w:hanging="35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9"/>
      </w:pPr>
      <w:rPr>
        <w:rFonts w:hint="default"/>
      </w:rPr>
    </w:lvl>
    <w:lvl w:ilvl="2">
      <w:start w:val="0"/>
      <w:numFmt w:val="bullet"/>
      <w:lvlText w:val="•"/>
      <w:lvlJc w:val="left"/>
      <w:pPr>
        <w:ind w:left="2072" w:hanging="359"/>
      </w:pPr>
      <w:rPr>
        <w:rFonts w:hint="default"/>
      </w:rPr>
    </w:lvl>
    <w:lvl w:ilvl="3">
      <w:start w:val="0"/>
      <w:numFmt w:val="bullet"/>
      <w:lvlText w:val="•"/>
      <w:lvlJc w:val="left"/>
      <w:pPr>
        <w:ind w:left="3048" w:hanging="359"/>
      </w:pPr>
      <w:rPr>
        <w:rFonts w:hint="default"/>
      </w:rPr>
    </w:lvl>
    <w:lvl w:ilvl="4">
      <w:start w:val="0"/>
      <w:numFmt w:val="bullet"/>
      <w:lvlText w:val="•"/>
      <w:lvlJc w:val="left"/>
      <w:pPr>
        <w:ind w:left="4024" w:hanging="359"/>
      </w:pPr>
      <w:rPr>
        <w:rFonts w:hint="default"/>
      </w:rPr>
    </w:lvl>
    <w:lvl w:ilvl="5">
      <w:start w:val="0"/>
      <w:numFmt w:val="bullet"/>
      <w:lvlText w:val="•"/>
      <w:lvlJc w:val="left"/>
      <w:pPr>
        <w:ind w:left="5000" w:hanging="359"/>
      </w:pPr>
      <w:rPr>
        <w:rFonts w:hint="default"/>
      </w:rPr>
    </w:lvl>
    <w:lvl w:ilvl="6">
      <w:start w:val="0"/>
      <w:numFmt w:val="bullet"/>
      <w:lvlText w:val="•"/>
      <w:lvlJc w:val="left"/>
      <w:pPr>
        <w:ind w:left="5976" w:hanging="359"/>
      </w:pPr>
      <w:rPr>
        <w:rFonts w:hint="default"/>
      </w:rPr>
    </w:lvl>
    <w:lvl w:ilvl="7">
      <w:start w:val="0"/>
      <w:numFmt w:val="bullet"/>
      <w:lvlText w:val="•"/>
      <w:lvlJc w:val="left"/>
      <w:pPr>
        <w:ind w:left="6952" w:hanging="359"/>
      </w:pPr>
      <w:rPr>
        <w:rFonts w:hint="default"/>
      </w:rPr>
    </w:lvl>
    <w:lvl w:ilvl="8">
      <w:start w:val="0"/>
      <w:numFmt w:val="bullet"/>
      <w:lvlText w:val="•"/>
      <w:lvlJc w:val="left"/>
      <w:pPr>
        <w:ind w:left="7928" w:hanging="359"/>
      </w:pPr>
      <w:rPr>
        <w:rFonts w:hint="default"/>
      </w:rPr>
    </w:lvl>
  </w:abstractNum>
  <w:abstractNum w:abstractNumId="570">
    <w:multiLevelType w:val="hybridMultilevel"/>
    <w:lvl w:ilvl="0">
      <w:start w:val="2"/>
      <w:numFmt w:val="decimal"/>
      <w:lvlText w:val="(%1)"/>
      <w:lvlJc w:val="left"/>
      <w:pPr>
        <w:ind w:left="113" w:hanging="6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81"/>
      </w:pPr>
      <w:rPr>
        <w:rFonts w:hint="default"/>
      </w:rPr>
    </w:lvl>
    <w:lvl w:ilvl="2">
      <w:start w:val="0"/>
      <w:numFmt w:val="bullet"/>
      <w:lvlText w:val="•"/>
      <w:lvlJc w:val="left"/>
      <w:pPr>
        <w:ind w:left="2072" w:hanging="681"/>
      </w:pPr>
      <w:rPr>
        <w:rFonts w:hint="default"/>
      </w:rPr>
    </w:lvl>
    <w:lvl w:ilvl="3">
      <w:start w:val="0"/>
      <w:numFmt w:val="bullet"/>
      <w:lvlText w:val="•"/>
      <w:lvlJc w:val="left"/>
      <w:pPr>
        <w:ind w:left="3048" w:hanging="681"/>
      </w:pPr>
      <w:rPr>
        <w:rFonts w:hint="default"/>
      </w:rPr>
    </w:lvl>
    <w:lvl w:ilvl="4">
      <w:start w:val="0"/>
      <w:numFmt w:val="bullet"/>
      <w:lvlText w:val="•"/>
      <w:lvlJc w:val="left"/>
      <w:pPr>
        <w:ind w:left="4024" w:hanging="681"/>
      </w:pPr>
      <w:rPr>
        <w:rFonts w:hint="default"/>
      </w:rPr>
    </w:lvl>
    <w:lvl w:ilvl="5">
      <w:start w:val="0"/>
      <w:numFmt w:val="bullet"/>
      <w:lvlText w:val="•"/>
      <w:lvlJc w:val="left"/>
      <w:pPr>
        <w:ind w:left="5000" w:hanging="681"/>
      </w:pPr>
      <w:rPr>
        <w:rFonts w:hint="default"/>
      </w:rPr>
    </w:lvl>
    <w:lvl w:ilvl="6">
      <w:start w:val="0"/>
      <w:numFmt w:val="bullet"/>
      <w:lvlText w:val="•"/>
      <w:lvlJc w:val="left"/>
      <w:pPr>
        <w:ind w:left="5976" w:hanging="681"/>
      </w:pPr>
      <w:rPr>
        <w:rFonts w:hint="default"/>
      </w:rPr>
    </w:lvl>
    <w:lvl w:ilvl="7">
      <w:start w:val="0"/>
      <w:numFmt w:val="bullet"/>
      <w:lvlText w:val="•"/>
      <w:lvlJc w:val="left"/>
      <w:pPr>
        <w:ind w:left="6952" w:hanging="681"/>
      </w:pPr>
      <w:rPr>
        <w:rFonts w:hint="default"/>
      </w:rPr>
    </w:lvl>
    <w:lvl w:ilvl="8">
      <w:start w:val="0"/>
      <w:numFmt w:val="bullet"/>
      <w:lvlText w:val="•"/>
      <w:lvlJc w:val="left"/>
      <w:pPr>
        <w:ind w:left="7928" w:hanging="681"/>
      </w:pPr>
      <w:rPr>
        <w:rFonts w:hint="default"/>
      </w:rPr>
    </w:lvl>
  </w:abstractNum>
  <w:abstractNum w:abstractNumId="569">
    <w:multiLevelType w:val="hybridMultilevel"/>
    <w:lvl w:ilvl="0">
      <w:start w:val="2"/>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56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67">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8"/>
      </w:pPr>
      <w:rPr>
        <w:rFonts w:hint="default"/>
      </w:rPr>
    </w:lvl>
    <w:lvl w:ilvl="2">
      <w:start w:val="0"/>
      <w:numFmt w:val="bullet"/>
      <w:lvlText w:val="•"/>
      <w:lvlJc w:val="left"/>
      <w:pPr>
        <w:ind w:left="2072" w:hanging="328"/>
      </w:pPr>
      <w:rPr>
        <w:rFonts w:hint="default"/>
      </w:rPr>
    </w:lvl>
    <w:lvl w:ilvl="3">
      <w:start w:val="0"/>
      <w:numFmt w:val="bullet"/>
      <w:lvlText w:val="•"/>
      <w:lvlJc w:val="left"/>
      <w:pPr>
        <w:ind w:left="3048" w:hanging="328"/>
      </w:pPr>
      <w:rPr>
        <w:rFonts w:hint="default"/>
      </w:rPr>
    </w:lvl>
    <w:lvl w:ilvl="4">
      <w:start w:val="0"/>
      <w:numFmt w:val="bullet"/>
      <w:lvlText w:val="•"/>
      <w:lvlJc w:val="left"/>
      <w:pPr>
        <w:ind w:left="4024" w:hanging="328"/>
      </w:pPr>
      <w:rPr>
        <w:rFonts w:hint="default"/>
      </w:rPr>
    </w:lvl>
    <w:lvl w:ilvl="5">
      <w:start w:val="0"/>
      <w:numFmt w:val="bullet"/>
      <w:lvlText w:val="•"/>
      <w:lvlJc w:val="left"/>
      <w:pPr>
        <w:ind w:left="5000" w:hanging="328"/>
      </w:pPr>
      <w:rPr>
        <w:rFonts w:hint="default"/>
      </w:rPr>
    </w:lvl>
    <w:lvl w:ilvl="6">
      <w:start w:val="0"/>
      <w:numFmt w:val="bullet"/>
      <w:lvlText w:val="•"/>
      <w:lvlJc w:val="left"/>
      <w:pPr>
        <w:ind w:left="5976" w:hanging="328"/>
      </w:pPr>
      <w:rPr>
        <w:rFonts w:hint="default"/>
      </w:rPr>
    </w:lvl>
    <w:lvl w:ilvl="7">
      <w:start w:val="0"/>
      <w:numFmt w:val="bullet"/>
      <w:lvlText w:val="•"/>
      <w:lvlJc w:val="left"/>
      <w:pPr>
        <w:ind w:left="6952" w:hanging="328"/>
      </w:pPr>
      <w:rPr>
        <w:rFonts w:hint="default"/>
      </w:rPr>
    </w:lvl>
    <w:lvl w:ilvl="8">
      <w:start w:val="0"/>
      <w:numFmt w:val="bullet"/>
      <w:lvlText w:val="•"/>
      <w:lvlJc w:val="left"/>
      <w:pPr>
        <w:ind w:left="7928" w:hanging="328"/>
      </w:pPr>
      <w:rPr>
        <w:rFonts w:hint="default"/>
      </w:rPr>
    </w:lvl>
  </w:abstractNum>
  <w:abstractNum w:abstractNumId="566">
    <w:multiLevelType w:val="hybridMultilevel"/>
    <w:lvl w:ilvl="0">
      <w:start w:val="2"/>
      <w:numFmt w:val="decimal"/>
      <w:lvlText w:val="(%1)"/>
      <w:lvlJc w:val="left"/>
      <w:pPr>
        <w:ind w:left="113" w:hanging="4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565">
    <w:multiLevelType w:val="hybridMultilevel"/>
    <w:lvl w:ilvl="0">
      <w:start w:val="2"/>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5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63">
    <w:multiLevelType w:val="hybridMultilevel"/>
    <w:lvl w:ilvl="0">
      <w:start w:val="2"/>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562">
    <w:multiLevelType w:val="hybridMultilevel"/>
    <w:lvl w:ilvl="0">
      <w:start w:val="2"/>
      <w:numFmt w:val="decimal"/>
      <w:lvlText w:val="(%1)"/>
      <w:lvlJc w:val="left"/>
      <w:pPr>
        <w:ind w:left="113" w:hanging="5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56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6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59">
    <w:multiLevelType w:val="hybridMultilevel"/>
    <w:lvl w:ilvl="0">
      <w:start w:val="2"/>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55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57">
    <w:multiLevelType w:val="hybridMultilevel"/>
    <w:lvl w:ilvl="0">
      <w:start w:val="2"/>
      <w:numFmt w:val="decimal"/>
      <w:lvlText w:val="(%1)"/>
      <w:lvlJc w:val="left"/>
      <w:pPr>
        <w:ind w:left="113" w:hanging="5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2"/>
      </w:pPr>
      <w:rPr>
        <w:rFonts w:hint="default"/>
      </w:rPr>
    </w:lvl>
    <w:lvl w:ilvl="2">
      <w:start w:val="0"/>
      <w:numFmt w:val="bullet"/>
      <w:lvlText w:val="•"/>
      <w:lvlJc w:val="left"/>
      <w:pPr>
        <w:ind w:left="2072" w:hanging="532"/>
      </w:pPr>
      <w:rPr>
        <w:rFonts w:hint="default"/>
      </w:rPr>
    </w:lvl>
    <w:lvl w:ilvl="3">
      <w:start w:val="0"/>
      <w:numFmt w:val="bullet"/>
      <w:lvlText w:val="•"/>
      <w:lvlJc w:val="left"/>
      <w:pPr>
        <w:ind w:left="3048" w:hanging="532"/>
      </w:pPr>
      <w:rPr>
        <w:rFonts w:hint="default"/>
      </w:rPr>
    </w:lvl>
    <w:lvl w:ilvl="4">
      <w:start w:val="0"/>
      <w:numFmt w:val="bullet"/>
      <w:lvlText w:val="•"/>
      <w:lvlJc w:val="left"/>
      <w:pPr>
        <w:ind w:left="4024" w:hanging="532"/>
      </w:pPr>
      <w:rPr>
        <w:rFonts w:hint="default"/>
      </w:rPr>
    </w:lvl>
    <w:lvl w:ilvl="5">
      <w:start w:val="0"/>
      <w:numFmt w:val="bullet"/>
      <w:lvlText w:val="•"/>
      <w:lvlJc w:val="left"/>
      <w:pPr>
        <w:ind w:left="5000" w:hanging="532"/>
      </w:pPr>
      <w:rPr>
        <w:rFonts w:hint="default"/>
      </w:rPr>
    </w:lvl>
    <w:lvl w:ilvl="6">
      <w:start w:val="0"/>
      <w:numFmt w:val="bullet"/>
      <w:lvlText w:val="•"/>
      <w:lvlJc w:val="left"/>
      <w:pPr>
        <w:ind w:left="5976" w:hanging="532"/>
      </w:pPr>
      <w:rPr>
        <w:rFonts w:hint="default"/>
      </w:rPr>
    </w:lvl>
    <w:lvl w:ilvl="7">
      <w:start w:val="0"/>
      <w:numFmt w:val="bullet"/>
      <w:lvlText w:val="•"/>
      <w:lvlJc w:val="left"/>
      <w:pPr>
        <w:ind w:left="6952" w:hanging="532"/>
      </w:pPr>
      <w:rPr>
        <w:rFonts w:hint="default"/>
      </w:rPr>
    </w:lvl>
    <w:lvl w:ilvl="8">
      <w:start w:val="0"/>
      <w:numFmt w:val="bullet"/>
      <w:lvlText w:val="•"/>
      <w:lvlJc w:val="left"/>
      <w:pPr>
        <w:ind w:left="7928" w:hanging="532"/>
      </w:pPr>
      <w:rPr>
        <w:rFonts w:hint="default"/>
      </w:rPr>
    </w:lvl>
  </w:abstractNum>
  <w:abstractNum w:abstractNumId="55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55">
    <w:multiLevelType w:val="hybridMultilevel"/>
    <w:lvl w:ilvl="0">
      <w:start w:val="2"/>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5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5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5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50">
    <w:multiLevelType w:val="hybridMultilevel"/>
    <w:lvl w:ilvl="0">
      <w:start w:val="1"/>
      <w:numFmt w:val="lowerLetter"/>
      <w:lvlText w:val="%1)"/>
      <w:lvlJc w:val="left"/>
      <w:pPr>
        <w:ind w:left="113" w:hanging="36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6"/>
      </w:pPr>
      <w:rPr>
        <w:rFonts w:hint="default"/>
      </w:rPr>
    </w:lvl>
    <w:lvl w:ilvl="2">
      <w:start w:val="0"/>
      <w:numFmt w:val="bullet"/>
      <w:lvlText w:val="•"/>
      <w:lvlJc w:val="left"/>
      <w:pPr>
        <w:ind w:left="2072" w:hanging="366"/>
      </w:pPr>
      <w:rPr>
        <w:rFonts w:hint="default"/>
      </w:rPr>
    </w:lvl>
    <w:lvl w:ilvl="3">
      <w:start w:val="0"/>
      <w:numFmt w:val="bullet"/>
      <w:lvlText w:val="•"/>
      <w:lvlJc w:val="left"/>
      <w:pPr>
        <w:ind w:left="3048" w:hanging="366"/>
      </w:pPr>
      <w:rPr>
        <w:rFonts w:hint="default"/>
      </w:rPr>
    </w:lvl>
    <w:lvl w:ilvl="4">
      <w:start w:val="0"/>
      <w:numFmt w:val="bullet"/>
      <w:lvlText w:val="•"/>
      <w:lvlJc w:val="left"/>
      <w:pPr>
        <w:ind w:left="4024" w:hanging="366"/>
      </w:pPr>
      <w:rPr>
        <w:rFonts w:hint="default"/>
      </w:rPr>
    </w:lvl>
    <w:lvl w:ilvl="5">
      <w:start w:val="0"/>
      <w:numFmt w:val="bullet"/>
      <w:lvlText w:val="•"/>
      <w:lvlJc w:val="left"/>
      <w:pPr>
        <w:ind w:left="5000" w:hanging="366"/>
      </w:pPr>
      <w:rPr>
        <w:rFonts w:hint="default"/>
      </w:rPr>
    </w:lvl>
    <w:lvl w:ilvl="6">
      <w:start w:val="0"/>
      <w:numFmt w:val="bullet"/>
      <w:lvlText w:val="•"/>
      <w:lvlJc w:val="left"/>
      <w:pPr>
        <w:ind w:left="5976" w:hanging="366"/>
      </w:pPr>
      <w:rPr>
        <w:rFonts w:hint="default"/>
      </w:rPr>
    </w:lvl>
    <w:lvl w:ilvl="7">
      <w:start w:val="0"/>
      <w:numFmt w:val="bullet"/>
      <w:lvlText w:val="•"/>
      <w:lvlJc w:val="left"/>
      <w:pPr>
        <w:ind w:left="6952" w:hanging="366"/>
      </w:pPr>
      <w:rPr>
        <w:rFonts w:hint="default"/>
      </w:rPr>
    </w:lvl>
    <w:lvl w:ilvl="8">
      <w:start w:val="0"/>
      <w:numFmt w:val="bullet"/>
      <w:lvlText w:val="•"/>
      <w:lvlJc w:val="left"/>
      <w:pPr>
        <w:ind w:left="7928" w:hanging="366"/>
      </w:pPr>
      <w:rPr>
        <w:rFonts w:hint="default"/>
      </w:rPr>
    </w:lvl>
  </w:abstractNum>
  <w:abstractNum w:abstractNumId="549">
    <w:multiLevelType w:val="hybridMultilevel"/>
    <w:lvl w:ilvl="0">
      <w:start w:val="237"/>
      <w:numFmt w:val="decimal"/>
      <w:lvlText w:val="%1."/>
      <w:lvlJc w:val="left"/>
      <w:pPr>
        <w:ind w:left="984" w:hanging="667"/>
        <w:jc w:val="left"/>
      </w:pPr>
      <w:rPr>
        <w:rFonts w:hint="default" w:ascii="Arial" w:hAnsi="Arial" w:eastAsia="Arial" w:cs="Arial"/>
        <w:b/>
        <w:bCs/>
        <w:spacing w:val="-1"/>
        <w:w w:val="125"/>
        <w:sz w:val="24"/>
        <w:szCs w:val="24"/>
      </w:rPr>
    </w:lvl>
    <w:lvl w:ilvl="1">
      <w:start w:val="0"/>
      <w:numFmt w:val="bullet"/>
      <w:lvlText w:val="•"/>
      <w:lvlJc w:val="left"/>
      <w:pPr>
        <w:ind w:left="1870" w:hanging="667"/>
      </w:pPr>
      <w:rPr>
        <w:rFonts w:hint="default"/>
      </w:rPr>
    </w:lvl>
    <w:lvl w:ilvl="2">
      <w:start w:val="0"/>
      <w:numFmt w:val="bullet"/>
      <w:lvlText w:val="•"/>
      <w:lvlJc w:val="left"/>
      <w:pPr>
        <w:ind w:left="2760" w:hanging="667"/>
      </w:pPr>
      <w:rPr>
        <w:rFonts w:hint="default"/>
      </w:rPr>
    </w:lvl>
    <w:lvl w:ilvl="3">
      <w:start w:val="0"/>
      <w:numFmt w:val="bullet"/>
      <w:lvlText w:val="•"/>
      <w:lvlJc w:val="left"/>
      <w:pPr>
        <w:ind w:left="3650" w:hanging="667"/>
      </w:pPr>
      <w:rPr>
        <w:rFonts w:hint="default"/>
      </w:rPr>
    </w:lvl>
    <w:lvl w:ilvl="4">
      <w:start w:val="0"/>
      <w:numFmt w:val="bullet"/>
      <w:lvlText w:val="•"/>
      <w:lvlJc w:val="left"/>
      <w:pPr>
        <w:ind w:left="4540" w:hanging="667"/>
      </w:pPr>
      <w:rPr>
        <w:rFonts w:hint="default"/>
      </w:rPr>
    </w:lvl>
    <w:lvl w:ilvl="5">
      <w:start w:val="0"/>
      <w:numFmt w:val="bullet"/>
      <w:lvlText w:val="•"/>
      <w:lvlJc w:val="left"/>
      <w:pPr>
        <w:ind w:left="5430" w:hanging="667"/>
      </w:pPr>
      <w:rPr>
        <w:rFonts w:hint="default"/>
      </w:rPr>
    </w:lvl>
    <w:lvl w:ilvl="6">
      <w:start w:val="0"/>
      <w:numFmt w:val="bullet"/>
      <w:lvlText w:val="•"/>
      <w:lvlJc w:val="left"/>
      <w:pPr>
        <w:ind w:left="6320" w:hanging="667"/>
      </w:pPr>
      <w:rPr>
        <w:rFonts w:hint="default"/>
      </w:rPr>
    </w:lvl>
    <w:lvl w:ilvl="7">
      <w:start w:val="0"/>
      <w:numFmt w:val="bullet"/>
      <w:lvlText w:val="•"/>
      <w:lvlJc w:val="left"/>
      <w:pPr>
        <w:ind w:left="7210" w:hanging="667"/>
      </w:pPr>
      <w:rPr>
        <w:rFonts w:hint="default"/>
      </w:rPr>
    </w:lvl>
    <w:lvl w:ilvl="8">
      <w:start w:val="0"/>
      <w:numFmt w:val="bullet"/>
      <w:lvlText w:val="•"/>
      <w:lvlJc w:val="left"/>
      <w:pPr>
        <w:ind w:left="8100" w:hanging="667"/>
      </w:pPr>
      <w:rPr>
        <w:rFonts w:hint="default"/>
      </w:rPr>
    </w:lvl>
  </w:abstractNum>
  <w:abstractNum w:abstractNumId="548">
    <w:multiLevelType w:val="hybridMultilevel"/>
    <w:lvl w:ilvl="0">
      <w:start w:val="3"/>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47">
    <w:multiLevelType w:val="hybridMultilevel"/>
    <w:lvl w:ilvl="0">
      <w:start w:val="1"/>
      <w:numFmt w:val="decimal"/>
      <w:lvlText w:val="(%1)"/>
      <w:lvlJc w:val="left"/>
      <w:pPr>
        <w:ind w:left="113" w:hanging="421"/>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546">
    <w:multiLevelType w:val="hybridMultilevel"/>
    <w:lvl w:ilvl="0">
      <w:start w:val="2"/>
      <w:numFmt w:val="decimal"/>
      <w:lvlText w:val="(%1)"/>
      <w:lvlJc w:val="left"/>
      <w:pPr>
        <w:ind w:left="113" w:hanging="5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54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4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4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4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4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4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3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38">
    <w:multiLevelType w:val="hybridMultilevel"/>
    <w:lvl w:ilvl="0">
      <w:start w:val="3"/>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37">
    <w:multiLevelType w:val="hybridMultilevel"/>
    <w:lvl w:ilvl="0">
      <w:start w:val="1"/>
      <w:numFmt w:val="lowerLetter"/>
      <w:lvlText w:val="%1)"/>
      <w:lvlJc w:val="left"/>
      <w:pPr>
        <w:ind w:left="113" w:hanging="33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9"/>
      </w:pPr>
      <w:rPr>
        <w:rFonts w:hint="default"/>
      </w:rPr>
    </w:lvl>
    <w:lvl w:ilvl="2">
      <w:start w:val="0"/>
      <w:numFmt w:val="bullet"/>
      <w:lvlText w:val="•"/>
      <w:lvlJc w:val="left"/>
      <w:pPr>
        <w:ind w:left="2072" w:hanging="339"/>
      </w:pPr>
      <w:rPr>
        <w:rFonts w:hint="default"/>
      </w:rPr>
    </w:lvl>
    <w:lvl w:ilvl="3">
      <w:start w:val="0"/>
      <w:numFmt w:val="bullet"/>
      <w:lvlText w:val="•"/>
      <w:lvlJc w:val="left"/>
      <w:pPr>
        <w:ind w:left="3048" w:hanging="339"/>
      </w:pPr>
      <w:rPr>
        <w:rFonts w:hint="default"/>
      </w:rPr>
    </w:lvl>
    <w:lvl w:ilvl="4">
      <w:start w:val="0"/>
      <w:numFmt w:val="bullet"/>
      <w:lvlText w:val="•"/>
      <w:lvlJc w:val="left"/>
      <w:pPr>
        <w:ind w:left="4024" w:hanging="339"/>
      </w:pPr>
      <w:rPr>
        <w:rFonts w:hint="default"/>
      </w:rPr>
    </w:lvl>
    <w:lvl w:ilvl="5">
      <w:start w:val="0"/>
      <w:numFmt w:val="bullet"/>
      <w:lvlText w:val="•"/>
      <w:lvlJc w:val="left"/>
      <w:pPr>
        <w:ind w:left="5000" w:hanging="339"/>
      </w:pPr>
      <w:rPr>
        <w:rFonts w:hint="default"/>
      </w:rPr>
    </w:lvl>
    <w:lvl w:ilvl="6">
      <w:start w:val="0"/>
      <w:numFmt w:val="bullet"/>
      <w:lvlText w:val="•"/>
      <w:lvlJc w:val="left"/>
      <w:pPr>
        <w:ind w:left="5976" w:hanging="339"/>
      </w:pPr>
      <w:rPr>
        <w:rFonts w:hint="default"/>
      </w:rPr>
    </w:lvl>
    <w:lvl w:ilvl="7">
      <w:start w:val="0"/>
      <w:numFmt w:val="bullet"/>
      <w:lvlText w:val="•"/>
      <w:lvlJc w:val="left"/>
      <w:pPr>
        <w:ind w:left="6952" w:hanging="339"/>
      </w:pPr>
      <w:rPr>
        <w:rFonts w:hint="default"/>
      </w:rPr>
    </w:lvl>
    <w:lvl w:ilvl="8">
      <w:start w:val="0"/>
      <w:numFmt w:val="bullet"/>
      <w:lvlText w:val="•"/>
      <w:lvlJc w:val="left"/>
      <w:pPr>
        <w:ind w:left="7928" w:hanging="339"/>
      </w:pPr>
      <w:rPr>
        <w:rFonts w:hint="default"/>
      </w:rPr>
    </w:lvl>
  </w:abstractNum>
  <w:abstractNum w:abstractNumId="53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35">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3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33">
    <w:multiLevelType w:val="hybridMultilevel"/>
    <w:lvl w:ilvl="0">
      <w:start w:val="1"/>
      <w:numFmt w:val="lowerLetter"/>
      <w:lvlText w:val="%1)"/>
      <w:lvlJc w:val="left"/>
      <w:pPr>
        <w:ind w:left="113" w:hanging="3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1"/>
      </w:pPr>
      <w:rPr>
        <w:rFonts w:hint="default"/>
      </w:rPr>
    </w:lvl>
    <w:lvl w:ilvl="2">
      <w:start w:val="0"/>
      <w:numFmt w:val="bullet"/>
      <w:lvlText w:val="•"/>
      <w:lvlJc w:val="left"/>
      <w:pPr>
        <w:ind w:left="2072" w:hanging="391"/>
      </w:pPr>
      <w:rPr>
        <w:rFonts w:hint="default"/>
      </w:rPr>
    </w:lvl>
    <w:lvl w:ilvl="3">
      <w:start w:val="0"/>
      <w:numFmt w:val="bullet"/>
      <w:lvlText w:val="•"/>
      <w:lvlJc w:val="left"/>
      <w:pPr>
        <w:ind w:left="3048" w:hanging="391"/>
      </w:pPr>
      <w:rPr>
        <w:rFonts w:hint="default"/>
      </w:rPr>
    </w:lvl>
    <w:lvl w:ilvl="4">
      <w:start w:val="0"/>
      <w:numFmt w:val="bullet"/>
      <w:lvlText w:val="•"/>
      <w:lvlJc w:val="left"/>
      <w:pPr>
        <w:ind w:left="4024" w:hanging="391"/>
      </w:pPr>
      <w:rPr>
        <w:rFonts w:hint="default"/>
      </w:rPr>
    </w:lvl>
    <w:lvl w:ilvl="5">
      <w:start w:val="0"/>
      <w:numFmt w:val="bullet"/>
      <w:lvlText w:val="•"/>
      <w:lvlJc w:val="left"/>
      <w:pPr>
        <w:ind w:left="5000" w:hanging="391"/>
      </w:pPr>
      <w:rPr>
        <w:rFonts w:hint="default"/>
      </w:rPr>
    </w:lvl>
    <w:lvl w:ilvl="6">
      <w:start w:val="0"/>
      <w:numFmt w:val="bullet"/>
      <w:lvlText w:val="•"/>
      <w:lvlJc w:val="left"/>
      <w:pPr>
        <w:ind w:left="5976" w:hanging="391"/>
      </w:pPr>
      <w:rPr>
        <w:rFonts w:hint="default"/>
      </w:rPr>
    </w:lvl>
    <w:lvl w:ilvl="7">
      <w:start w:val="0"/>
      <w:numFmt w:val="bullet"/>
      <w:lvlText w:val="•"/>
      <w:lvlJc w:val="left"/>
      <w:pPr>
        <w:ind w:left="6952" w:hanging="391"/>
      </w:pPr>
      <w:rPr>
        <w:rFonts w:hint="default"/>
      </w:rPr>
    </w:lvl>
    <w:lvl w:ilvl="8">
      <w:start w:val="0"/>
      <w:numFmt w:val="bullet"/>
      <w:lvlText w:val="•"/>
      <w:lvlJc w:val="left"/>
      <w:pPr>
        <w:ind w:left="7928" w:hanging="391"/>
      </w:pPr>
      <w:rPr>
        <w:rFonts w:hint="default"/>
      </w:rPr>
    </w:lvl>
  </w:abstractNum>
  <w:abstractNum w:abstractNumId="53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3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30">
    <w:multiLevelType w:val="hybridMultilevel"/>
    <w:lvl w:ilvl="0">
      <w:start w:val="2"/>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529">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28">
    <w:multiLevelType w:val="hybridMultilevel"/>
    <w:lvl w:ilvl="0">
      <w:start w:val="2"/>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52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26">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525">
    <w:multiLevelType w:val="hybridMultilevel"/>
    <w:lvl w:ilvl="0">
      <w:start w:val="4"/>
      <w:numFmt w:val="decimal"/>
      <w:lvlText w:val="%1."/>
      <w:lvlJc w:val="left"/>
      <w:pPr>
        <w:ind w:left="113" w:hanging="453"/>
        <w:jc w:val="left"/>
      </w:pPr>
      <w:rPr>
        <w:rFonts w:hint="default" w:ascii="Times New Roman" w:hAnsi="Times New Roman" w:eastAsia="Times New Roman" w:cs="Times New Roman"/>
        <w:spacing w:val="-1"/>
        <w:w w:val="127"/>
        <w:sz w:val="24"/>
        <w:szCs w:val="24"/>
      </w:rPr>
    </w:lvl>
    <w:lvl w:ilvl="1">
      <w:start w:val="224"/>
      <w:numFmt w:val="decimal"/>
      <w:lvlText w:val="%2."/>
      <w:lvlJc w:val="left"/>
      <w:pPr>
        <w:ind w:left="984" w:hanging="667"/>
        <w:jc w:val="left"/>
      </w:pPr>
      <w:rPr>
        <w:rFonts w:hint="default" w:ascii="Arial" w:hAnsi="Arial" w:eastAsia="Arial" w:cs="Arial"/>
        <w:b/>
        <w:bCs/>
        <w:spacing w:val="-1"/>
        <w:w w:val="125"/>
        <w:sz w:val="24"/>
        <w:szCs w:val="24"/>
      </w:rPr>
    </w:lvl>
    <w:lvl w:ilvl="2">
      <w:start w:val="0"/>
      <w:numFmt w:val="bullet"/>
      <w:lvlText w:val="•"/>
      <w:lvlJc w:val="left"/>
      <w:pPr>
        <w:ind w:left="2680" w:hanging="667"/>
      </w:pPr>
      <w:rPr>
        <w:rFonts w:hint="default"/>
      </w:rPr>
    </w:lvl>
    <w:lvl w:ilvl="3">
      <w:start w:val="0"/>
      <w:numFmt w:val="bullet"/>
      <w:lvlText w:val="•"/>
      <w:lvlJc w:val="left"/>
      <w:pPr>
        <w:ind w:left="2700" w:hanging="667"/>
      </w:pPr>
      <w:rPr>
        <w:rFonts w:hint="default"/>
      </w:rPr>
    </w:lvl>
    <w:lvl w:ilvl="4">
      <w:start w:val="0"/>
      <w:numFmt w:val="bullet"/>
      <w:lvlText w:val="•"/>
      <w:lvlJc w:val="left"/>
      <w:pPr>
        <w:ind w:left="2920" w:hanging="667"/>
      </w:pPr>
      <w:rPr>
        <w:rFonts w:hint="default"/>
      </w:rPr>
    </w:lvl>
    <w:lvl w:ilvl="5">
      <w:start w:val="0"/>
      <w:numFmt w:val="bullet"/>
      <w:lvlText w:val="•"/>
      <w:lvlJc w:val="left"/>
      <w:pPr>
        <w:ind w:left="3540" w:hanging="667"/>
      </w:pPr>
      <w:rPr>
        <w:rFonts w:hint="default"/>
      </w:rPr>
    </w:lvl>
    <w:lvl w:ilvl="6">
      <w:start w:val="0"/>
      <w:numFmt w:val="bullet"/>
      <w:lvlText w:val="•"/>
      <w:lvlJc w:val="left"/>
      <w:pPr>
        <w:ind w:left="3560" w:hanging="667"/>
      </w:pPr>
      <w:rPr>
        <w:rFonts w:hint="default"/>
      </w:rPr>
    </w:lvl>
    <w:lvl w:ilvl="7">
      <w:start w:val="0"/>
      <w:numFmt w:val="bullet"/>
      <w:lvlText w:val="•"/>
      <w:lvlJc w:val="left"/>
      <w:pPr>
        <w:ind w:left="3720" w:hanging="667"/>
      </w:pPr>
      <w:rPr>
        <w:rFonts w:hint="default"/>
      </w:rPr>
    </w:lvl>
    <w:lvl w:ilvl="8">
      <w:start w:val="0"/>
      <w:numFmt w:val="bullet"/>
      <w:lvlText w:val="•"/>
      <w:lvlJc w:val="left"/>
      <w:pPr>
        <w:ind w:left="3780" w:hanging="667"/>
      </w:pPr>
      <w:rPr>
        <w:rFonts w:hint="default"/>
      </w:rPr>
    </w:lvl>
  </w:abstractNum>
  <w:abstractNum w:abstractNumId="52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23">
    <w:multiLevelType w:val="hybridMultilevel"/>
    <w:lvl w:ilvl="0">
      <w:start w:val="1"/>
      <w:numFmt w:val="lowerLetter"/>
      <w:lvlText w:val="%1)"/>
      <w:lvlJc w:val="left"/>
      <w:pPr>
        <w:ind w:left="113" w:hanging="36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8"/>
      </w:pPr>
      <w:rPr>
        <w:rFonts w:hint="default"/>
      </w:rPr>
    </w:lvl>
    <w:lvl w:ilvl="2">
      <w:start w:val="0"/>
      <w:numFmt w:val="bullet"/>
      <w:lvlText w:val="•"/>
      <w:lvlJc w:val="left"/>
      <w:pPr>
        <w:ind w:left="2072" w:hanging="368"/>
      </w:pPr>
      <w:rPr>
        <w:rFonts w:hint="default"/>
      </w:rPr>
    </w:lvl>
    <w:lvl w:ilvl="3">
      <w:start w:val="0"/>
      <w:numFmt w:val="bullet"/>
      <w:lvlText w:val="•"/>
      <w:lvlJc w:val="left"/>
      <w:pPr>
        <w:ind w:left="3048" w:hanging="368"/>
      </w:pPr>
      <w:rPr>
        <w:rFonts w:hint="default"/>
      </w:rPr>
    </w:lvl>
    <w:lvl w:ilvl="4">
      <w:start w:val="0"/>
      <w:numFmt w:val="bullet"/>
      <w:lvlText w:val="•"/>
      <w:lvlJc w:val="left"/>
      <w:pPr>
        <w:ind w:left="4024" w:hanging="368"/>
      </w:pPr>
      <w:rPr>
        <w:rFonts w:hint="default"/>
      </w:rPr>
    </w:lvl>
    <w:lvl w:ilvl="5">
      <w:start w:val="0"/>
      <w:numFmt w:val="bullet"/>
      <w:lvlText w:val="•"/>
      <w:lvlJc w:val="left"/>
      <w:pPr>
        <w:ind w:left="5000" w:hanging="368"/>
      </w:pPr>
      <w:rPr>
        <w:rFonts w:hint="default"/>
      </w:rPr>
    </w:lvl>
    <w:lvl w:ilvl="6">
      <w:start w:val="0"/>
      <w:numFmt w:val="bullet"/>
      <w:lvlText w:val="•"/>
      <w:lvlJc w:val="left"/>
      <w:pPr>
        <w:ind w:left="5976" w:hanging="368"/>
      </w:pPr>
      <w:rPr>
        <w:rFonts w:hint="default"/>
      </w:rPr>
    </w:lvl>
    <w:lvl w:ilvl="7">
      <w:start w:val="0"/>
      <w:numFmt w:val="bullet"/>
      <w:lvlText w:val="•"/>
      <w:lvlJc w:val="left"/>
      <w:pPr>
        <w:ind w:left="6952" w:hanging="368"/>
      </w:pPr>
      <w:rPr>
        <w:rFonts w:hint="default"/>
      </w:rPr>
    </w:lvl>
    <w:lvl w:ilvl="8">
      <w:start w:val="0"/>
      <w:numFmt w:val="bullet"/>
      <w:lvlText w:val="•"/>
      <w:lvlJc w:val="left"/>
      <w:pPr>
        <w:ind w:left="7928" w:hanging="368"/>
      </w:pPr>
      <w:rPr>
        <w:rFonts w:hint="default"/>
      </w:rPr>
    </w:lvl>
  </w:abstractNum>
  <w:abstractNum w:abstractNumId="52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21">
    <w:multiLevelType w:val="hybridMultilevel"/>
    <w:lvl w:ilvl="0">
      <w:start w:val="2"/>
      <w:numFmt w:val="decimal"/>
      <w:lvlText w:val="(%1)"/>
      <w:lvlJc w:val="left"/>
      <w:pPr>
        <w:ind w:left="113" w:hanging="5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2"/>
      </w:pPr>
      <w:rPr>
        <w:rFonts w:hint="default"/>
      </w:rPr>
    </w:lvl>
    <w:lvl w:ilvl="2">
      <w:start w:val="0"/>
      <w:numFmt w:val="bullet"/>
      <w:lvlText w:val="•"/>
      <w:lvlJc w:val="left"/>
      <w:pPr>
        <w:ind w:left="2072" w:hanging="522"/>
      </w:pPr>
      <w:rPr>
        <w:rFonts w:hint="default"/>
      </w:rPr>
    </w:lvl>
    <w:lvl w:ilvl="3">
      <w:start w:val="0"/>
      <w:numFmt w:val="bullet"/>
      <w:lvlText w:val="•"/>
      <w:lvlJc w:val="left"/>
      <w:pPr>
        <w:ind w:left="3048" w:hanging="522"/>
      </w:pPr>
      <w:rPr>
        <w:rFonts w:hint="default"/>
      </w:rPr>
    </w:lvl>
    <w:lvl w:ilvl="4">
      <w:start w:val="0"/>
      <w:numFmt w:val="bullet"/>
      <w:lvlText w:val="•"/>
      <w:lvlJc w:val="left"/>
      <w:pPr>
        <w:ind w:left="4024" w:hanging="522"/>
      </w:pPr>
      <w:rPr>
        <w:rFonts w:hint="default"/>
      </w:rPr>
    </w:lvl>
    <w:lvl w:ilvl="5">
      <w:start w:val="0"/>
      <w:numFmt w:val="bullet"/>
      <w:lvlText w:val="•"/>
      <w:lvlJc w:val="left"/>
      <w:pPr>
        <w:ind w:left="5000" w:hanging="522"/>
      </w:pPr>
      <w:rPr>
        <w:rFonts w:hint="default"/>
      </w:rPr>
    </w:lvl>
    <w:lvl w:ilvl="6">
      <w:start w:val="0"/>
      <w:numFmt w:val="bullet"/>
      <w:lvlText w:val="•"/>
      <w:lvlJc w:val="left"/>
      <w:pPr>
        <w:ind w:left="5976" w:hanging="522"/>
      </w:pPr>
      <w:rPr>
        <w:rFonts w:hint="default"/>
      </w:rPr>
    </w:lvl>
    <w:lvl w:ilvl="7">
      <w:start w:val="0"/>
      <w:numFmt w:val="bullet"/>
      <w:lvlText w:val="•"/>
      <w:lvlJc w:val="left"/>
      <w:pPr>
        <w:ind w:left="6952" w:hanging="522"/>
      </w:pPr>
      <w:rPr>
        <w:rFonts w:hint="default"/>
      </w:rPr>
    </w:lvl>
    <w:lvl w:ilvl="8">
      <w:start w:val="0"/>
      <w:numFmt w:val="bullet"/>
      <w:lvlText w:val="•"/>
      <w:lvlJc w:val="left"/>
      <w:pPr>
        <w:ind w:left="7928" w:hanging="522"/>
      </w:pPr>
      <w:rPr>
        <w:rFonts w:hint="default"/>
      </w:rPr>
    </w:lvl>
  </w:abstractNum>
  <w:abstractNum w:abstractNumId="520">
    <w:multiLevelType w:val="hybridMultilevel"/>
    <w:lvl w:ilvl="0">
      <w:start w:val="4"/>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1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18">
    <w:multiLevelType w:val="hybridMultilevel"/>
    <w:lvl w:ilvl="0">
      <w:start w:val="2"/>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517">
    <w:multiLevelType w:val="hybridMultilevel"/>
    <w:lvl w:ilvl="0">
      <w:start w:val="2"/>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5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14">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513">
    <w:multiLevelType w:val="hybridMultilevel"/>
    <w:lvl w:ilvl="0">
      <w:start w:val="2"/>
      <w:numFmt w:val="decimal"/>
      <w:lvlText w:val="(%1)"/>
      <w:lvlJc w:val="left"/>
      <w:pPr>
        <w:ind w:left="113" w:hanging="5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1"/>
      </w:pPr>
      <w:rPr>
        <w:rFonts w:hint="default"/>
      </w:rPr>
    </w:lvl>
    <w:lvl w:ilvl="2">
      <w:start w:val="0"/>
      <w:numFmt w:val="bullet"/>
      <w:lvlText w:val="•"/>
      <w:lvlJc w:val="left"/>
      <w:pPr>
        <w:ind w:left="2072" w:hanging="541"/>
      </w:pPr>
      <w:rPr>
        <w:rFonts w:hint="default"/>
      </w:rPr>
    </w:lvl>
    <w:lvl w:ilvl="3">
      <w:start w:val="0"/>
      <w:numFmt w:val="bullet"/>
      <w:lvlText w:val="•"/>
      <w:lvlJc w:val="left"/>
      <w:pPr>
        <w:ind w:left="3048" w:hanging="541"/>
      </w:pPr>
      <w:rPr>
        <w:rFonts w:hint="default"/>
      </w:rPr>
    </w:lvl>
    <w:lvl w:ilvl="4">
      <w:start w:val="0"/>
      <w:numFmt w:val="bullet"/>
      <w:lvlText w:val="•"/>
      <w:lvlJc w:val="left"/>
      <w:pPr>
        <w:ind w:left="4024" w:hanging="541"/>
      </w:pPr>
      <w:rPr>
        <w:rFonts w:hint="default"/>
      </w:rPr>
    </w:lvl>
    <w:lvl w:ilvl="5">
      <w:start w:val="0"/>
      <w:numFmt w:val="bullet"/>
      <w:lvlText w:val="•"/>
      <w:lvlJc w:val="left"/>
      <w:pPr>
        <w:ind w:left="5000" w:hanging="541"/>
      </w:pPr>
      <w:rPr>
        <w:rFonts w:hint="default"/>
      </w:rPr>
    </w:lvl>
    <w:lvl w:ilvl="6">
      <w:start w:val="0"/>
      <w:numFmt w:val="bullet"/>
      <w:lvlText w:val="•"/>
      <w:lvlJc w:val="left"/>
      <w:pPr>
        <w:ind w:left="5976" w:hanging="541"/>
      </w:pPr>
      <w:rPr>
        <w:rFonts w:hint="default"/>
      </w:rPr>
    </w:lvl>
    <w:lvl w:ilvl="7">
      <w:start w:val="0"/>
      <w:numFmt w:val="bullet"/>
      <w:lvlText w:val="•"/>
      <w:lvlJc w:val="left"/>
      <w:pPr>
        <w:ind w:left="6952" w:hanging="541"/>
      </w:pPr>
      <w:rPr>
        <w:rFonts w:hint="default"/>
      </w:rPr>
    </w:lvl>
    <w:lvl w:ilvl="8">
      <w:start w:val="0"/>
      <w:numFmt w:val="bullet"/>
      <w:lvlText w:val="•"/>
      <w:lvlJc w:val="left"/>
      <w:pPr>
        <w:ind w:left="7928" w:hanging="541"/>
      </w:pPr>
      <w:rPr>
        <w:rFonts w:hint="default"/>
      </w:rPr>
    </w:lvl>
  </w:abstractNum>
  <w:abstractNum w:abstractNumId="512">
    <w:multiLevelType w:val="hybridMultilevel"/>
    <w:lvl w:ilvl="0">
      <w:start w:val="2"/>
      <w:numFmt w:val="decimal"/>
      <w:lvlText w:val="(%1)"/>
      <w:lvlJc w:val="left"/>
      <w:pPr>
        <w:ind w:left="113" w:hanging="5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9"/>
      </w:pPr>
      <w:rPr>
        <w:rFonts w:hint="default"/>
      </w:rPr>
    </w:lvl>
    <w:lvl w:ilvl="2">
      <w:start w:val="0"/>
      <w:numFmt w:val="bullet"/>
      <w:lvlText w:val="•"/>
      <w:lvlJc w:val="left"/>
      <w:pPr>
        <w:ind w:left="2072" w:hanging="579"/>
      </w:pPr>
      <w:rPr>
        <w:rFonts w:hint="default"/>
      </w:rPr>
    </w:lvl>
    <w:lvl w:ilvl="3">
      <w:start w:val="0"/>
      <w:numFmt w:val="bullet"/>
      <w:lvlText w:val="•"/>
      <w:lvlJc w:val="left"/>
      <w:pPr>
        <w:ind w:left="3048" w:hanging="579"/>
      </w:pPr>
      <w:rPr>
        <w:rFonts w:hint="default"/>
      </w:rPr>
    </w:lvl>
    <w:lvl w:ilvl="4">
      <w:start w:val="0"/>
      <w:numFmt w:val="bullet"/>
      <w:lvlText w:val="•"/>
      <w:lvlJc w:val="left"/>
      <w:pPr>
        <w:ind w:left="4024" w:hanging="579"/>
      </w:pPr>
      <w:rPr>
        <w:rFonts w:hint="default"/>
      </w:rPr>
    </w:lvl>
    <w:lvl w:ilvl="5">
      <w:start w:val="0"/>
      <w:numFmt w:val="bullet"/>
      <w:lvlText w:val="•"/>
      <w:lvlJc w:val="left"/>
      <w:pPr>
        <w:ind w:left="5000" w:hanging="579"/>
      </w:pPr>
      <w:rPr>
        <w:rFonts w:hint="default"/>
      </w:rPr>
    </w:lvl>
    <w:lvl w:ilvl="6">
      <w:start w:val="0"/>
      <w:numFmt w:val="bullet"/>
      <w:lvlText w:val="•"/>
      <w:lvlJc w:val="left"/>
      <w:pPr>
        <w:ind w:left="5976" w:hanging="579"/>
      </w:pPr>
      <w:rPr>
        <w:rFonts w:hint="default"/>
      </w:rPr>
    </w:lvl>
    <w:lvl w:ilvl="7">
      <w:start w:val="0"/>
      <w:numFmt w:val="bullet"/>
      <w:lvlText w:val="•"/>
      <w:lvlJc w:val="left"/>
      <w:pPr>
        <w:ind w:left="6952" w:hanging="579"/>
      </w:pPr>
      <w:rPr>
        <w:rFonts w:hint="default"/>
      </w:rPr>
    </w:lvl>
    <w:lvl w:ilvl="8">
      <w:start w:val="0"/>
      <w:numFmt w:val="bullet"/>
      <w:lvlText w:val="•"/>
      <w:lvlJc w:val="left"/>
      <w:pPr>
        <w:ind w:left="7928" w:hanging="579"/>
      </w:pPr>
      <w:rPr>
        <w:rFonts w:hint="default"/>
      </w:rPr>
    </w:lvl>
  </w:abstractNum>
  <w:abstractNum w:abstractNumId="51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10">
    <w:multiLevelType w:val="hybridMultilevel"/>
    <w:lvl w:ilvl="0">
      <w:start w:val="1"/>
      <w:numFmt w:val="lowerLetter"/>
      <w:lvlText w:val="%1)"/>
      <w:lvlJc w:val="left"/>
      <w:pPr>
        <w:ind w:left="113" w:hanging="41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1"/>
      </w:pPr>
      <w:rPr>
        <w:rFonts w:hint="default"/>
      </w:rPr>
    </w:lvl>
    <w:lvl w:ilvl="2">
      <w:start w:val="0"/>
      <w:numFmt w:val="bullet"/>
      <w:lvlText w:val="•"/>
      <w:lvlJc w:val="left"/>
      <w:pPr>
        <w:ind w:left="2072" w:hanging="411"/>
      </w:pPr>
      <w:rPr>
        <w:rFonts w:hint="default"/>
      </w:rPr>
    </w:lvl>
    <w:lvl w:ilvl="3">
      <w:start w:val="0"/>
      <w:numFmt w:val="bullet"/>
      <w:lvlText w:val="•"/>
      <w:lvlJc w:val="left"/>
      <w:pPr>
        <w:ind w:left="3048" w:hanging="411"/>
      </w:pPr>
      <w:rPr>
        <w:rFonts w:hint="default"/>
      </w:rPr>
    </w:lvl>
    <w:lvl w:ilvl="4">
      <w:start w:val="0"/>
      <w:numFmt w:val="bullet"/>
      <w:lvlText w:val="•"/>
      <w:lvlJc w:val="left"/>
      <w:pPr>
        <w:ind w:left="4024" w:hanging="411"/>
      </w:pPr>
      <w:rPr>
        <w:rFonts w:hint="default"/>
      </w:rPr>
    </w:lvl>
    <w:lvl w:ilvl="5">
      <w:start w:val="0"/>
      <w:numFmt w:val="bullet"/>
      <w:lvlText w:val="•"/>
      <w:lvlJc w:val="left"/>
      <w:pPr>
        <w:ind w:left="5000" w:hanging="411"/>
      </w:pPr>
      <w:rPr>
        <w:rFonts w:hint="default"/>
      </w:rPr>
    </w:lvl>
    <w:lvl w:ilvl="6">
      <w:start w:val="0"/>
      <w:numFmt w:val="bullet"/>
      <w:lvlText w:val="•"/>
      <w:lvlJc w:val="left"/>
      <w:pPr>
        <w:ind w:left="5976" w:hanging="411"/>
      </w:pPr>
      <w:rPr>
        <w:rFonts w:hint="default"/>
      </w:rPr>
    </w:lvl>
    <w:lvl w:ilvl="7">
      <w:start w:val="0"/>
      <w:numFmt w:val="bullet"/>
      <w:lvlText w:val="•"/>
      <w:lvlJc w:val="left"/>
      <w:pPr>
        <w:ind w:left="6952" w:hanging="411"/>
      </w:pPr>
      <w:rPr>
        <w:rFonts w:hint="default"/>
      </w:rPr>
    </w:lvl>
    <w:lvl w:ilvl="8">
      <w:start w:val="0"/>
      <w:numFmt w:val="bullet"/>
      <w:lvlText w:val="•"/>
      <w:lvlJc w:val="left"/>
      <w:pPr>
        <w:ind w:left="7928" w:hanging="411"/>
      </w:pPr>
      <w:rPr>
        <w:rFonts w:hint="default"/>
      </w:rPr>
    </w:lvl>
  </w:abstractNum>
  <w:abstractNum w:abstractNumId="50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08">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07">
    <w:multiLevelType w:val="hybridMultilevel"/>
    <w:lvl w:ilvl="0">
      <w:start w:val="6"/>
      <w:numFmt w:val="decimal"/>
      <w:lvlText w:val="%1."/>
      <w:lvlJc w:val="left"/>
      <w:pPr>
        <w:ind w:left="113" w:hanging="385"/>
        <w:jc w:val="left"/>
      </w:pPr>
      <w:rPr>
        <w:rFonts w:hint="default" w:ascii="Times New Roman" w:hAnsi="Times New Roman" w:eastAsia="Times New Roman" w:cs="Times New Roman"/>
        <w:spacing w:val="-1"/>
        <w:w w:val="127"/>
        <w:sz w:val="24"/>
        <w:szCs w:val="24"/>
      </w:rPr>
    </w:lvl>
    <w:lvl w:ilvl="1">
      <w:start w:val="215"/>
      <w:numFmt w:val="decimal"/>
      <w:lvlText w:val="%2."/>
      <w:lvlJc w:val="left"/>
      <w:pPr>
        <w:ind w:left="1050" w:hanging="733"/>
        <w:jc w:val="left"/>
      </w:pPr>
      <w:rPr>
        <w:rFonts w:hint="default" w:ascii="Arial" w:hAnsi="Arial" w:eastAsia="Arial" w:cs="Arial"/>
        <w:b/>
        <w:bCs/>
        <w:spacing w:val="-1"/>
        <w:w w:val="125"/>
        <w:sz w:val="24"/>
        <w:szCs w:val="24"/>
      </w:rPr>
    </w:lvl>
    <w:lvl w:ilvl="2">
      <w:start w:val="0"/>
      <w:numFmt w:val="bullet"/>
      <w:lvlText w:val="•"/>
      <w:lvlJc w:val="left"/>
      <w:pPr>
        <w:ind w:left="2780" w:hanging="733"/>
      </w:pPr>
      <w:rPr>
        <w:rFonts w:hint="default"/>
      </w:rPr>
    </w:lvl>
    <w:lvl w:ilvl="3">
      <w:start w:val="0"/>
      <w:numFmt w:val="bullet"/>
      <w:lvlText w:val="•"/>
      <w:lvlJc w:val="left"/>
      <w:pPr>
        <w:ind w:left="3920" w:hanging="733"/>
      </w:pPr>
      <w:rPr>
        <w:rFonts w:hint="default"/>
      </w:rPr>
    </w:lvl>
    <w:lvl w:ilvl="4">
      <w:start w:val="0"/>
      <w:numFmt w:val="bullet"/>
      <w:lvlText w:val="•"/>
      <w:lvlJc w:val="left"/>
      <w:pPr>
        <w:ind w:left="4020" w:hanging="733"/>
      </w:pPr>
      <w:rPr>
        <w:rFonts w:hint="default"/>
      </w:rPr>
    </w:lvl>
    <w:lvl w:ilvl="5">
      <w:start w:val="0"/>
      <w:numFmt w:val="bullet"/>
      <w:lvlText w:val="•"/>
      <w:lvlJc w:val="left"/>
      <w:pPr>
        <w:ind w:left="4120" w:hanging="733"/>
      </w:pPr>
      <w:rPr>
        <w:rFonts w:hint="default"/>
      </w:rPr>
    </w:lvl>
    <w:lvl w:ilvl="6">
      <w:start w:val="0"/>
      <w:numFmt w:val="bullet"/>
      <w:lvlText w:val="•"/>
      <w:lvlJc w:val="left"/>
      <w:pPr>
        <w:ind w:left="5272" w:hanging="733"/>
      </w:pPr>
      <w:rPr>
        <w:rFonts w:hint="default"/>
      </w:rPr>
    </w:lvl>
    <w:lvl w:ilvl="7">
      <w:start w:val="0"/>
      <w:numFmt w:val="bullet"/>
      <w:lvlText w:val="•"/>
      <w:lvlJc w:val="left"/>
      <w:pPr>
        <w:ind w:left="6424" w:hanging="733"/>
      </w:pPr>
      <w:rPr>
        <w:rFonts w:hint="default"/>
      </w:rPr>
    </w:lvl>
    <w:lvl w:ilvl="8">
      <w:start w:val="0"/>
      <w:numFmt w:val="bullet"/>
      <w:lvlText w:val="•"/>
      <w:lvlJc w:val="left"/>
      <w:pPr>
        <w:ind w:left="7576" w:hanging="733"/>
      </w:pPr>
      <w:rPr>
        <w:rFonts w:hint="default"/>
      </w:rPr>
    </w:lvl>
  </w:abstractNum>
  <w:abstractNum w:abstractNumId="506">
    <w:multiLevelType w:val="hybridMultilevel"/>
    <w:lvl w:ilvl="0">
      <w:start w:val="13"/>
      <w:numFmt w:val="decimal"/>
      <w:lvlText w:val="(%1)"/>
      <w:lvlJc w:val="left"/>
      <w:pPr>
        <w:ind w:left="811" w:hanging="494"/>
        <w:jc w:val="left"/>
      </w:pPr>
      <w:rPr>
        <w:rFonts w:hint="default" w:ascii="Times New Roman" w:hAnsi="Times New Roman" w:eastAsia="Times New Roman" w:cs="Times New Roman"/>
        <w:spacing w:val="-1"/>
        <w:w w:val="123"/>
        <w:sz w:val="22"/>
        <w:szCs w:val="22"/>
      </w:rPr>
    </w:lvl>
    <w:lvl w:ilvl="1">
      <w:start w:val="0"/>
      <w:numFmt w:val="bullet"/>
      <w:lvlText w:val="•"/>
      <w:lvlJc w:val="left"/>
      <w:pPr>
        <w:ind w:left="1726" w:hanging="494"/>
      </w:pPr>
      <w:rPr>
        <w:rFonts w:hint="default"/>
      </w:rPr>
    </w:lvl>
    <w:lvl w:ilvl="2">
      <w:start w:val="0"/>
      <w:numFmt w:val="bullet"/>
      <w:lvlText w:val="•"/>
      <w:lvlJc w:val="left"/>
      <w:pPr>
        <w:ind w:left="2632" w:hanging="494"/>
      </w:pPr>
      <w:rPr>
        <w:rFonts w:hint="default"/>
      </w:rPr>
    </w:lvl>
    <w:lvl w:ilvl="3">
      <w:start w:val="0"/>
      <w:numFmt w:val="bullet"/>
      <w:lvlText w:val="•"/>
      <w:lvlJc w:val="left"/>
      <w:pPr>
        <w:ind w:left="3538" w:hanging="494"/>
      </w:pPr>
      <w:rPr>
        <w:rFonts w:hint="default"/>
      </w:rPr>
    </w:lvl>
    <w:lvl w:ilvl="4">
      <w:start w:val="0"/>
      <w:numFmt w:val="bullet"/>
      <w:lvlText w:val="•"/>
      <w:lvlJc w:val="left"/>
      <w:pPr>
        <w:ind w:left="4444" w:hanging="494"/>
      </w:pPr>
      <w:rPr>
        <w:rFonts w:hint="default"/>
      </w:rPr>
    </w:lvl>
    <w:lvl w:ilvl="5">
      <w:start w:val="0"/>
      <w:numFmt w:val="bullet"/>
      <w:lvlText w:val="•"/>
      <w:lvlJc w:val="left"/>
      <w:pPr>
        <w:ind w:left="5350" w:hanging="494"/>
      </w:pPr>
      <w:rPr>
        <w:rFonts w:hint="default"/>
      </w:rPr>
    </w:lvl>
    <w:lvl w:ilvl="6">
      <w:start w:val="0"/>
      <w:numFmt w:val="bullet"/>
      <w:lvlText w:val="•"/>
      <w:lvlJc w:val="left"/>
      <w:pPr>
        <w:ind w:left="6256" w:hanging="494"/>
      </w:pPr>
      <w:rPr>
        <w:rFonts w:hint="default"/>
      </w:rPr>
    </w:lvl>
    <w:lvl w:ilvl="7">
      <w:start w:val="0"/>
      <w:numFmt w:val="bullet"/>
      <w:lvlText w:val="•"/>
      <w:lvlJc w:val="left"/>
      <w:pPr>
        <w:ind w:left="7162" w:hanging="494"/>
      </w:pPr>
      <w:rPr>
        <w:rFonts w:hint="default"/>
      </w:rPr>
    </w:lvl>
    <w:lvl w:ilvl="8">
      <w:start w:val="0"/>
      <w:numFmt w:val="bullet"/>
      <w:lvlText w:val="•"/>
      <w:lvlJc w:val="left"/>
      <w:pPr>
        <w:ind w:left="8068" w:hanging="494"/>
      </w:pPr>
      <w:rPr>
        <w:rFonts w:hint="default"/>
      </w:rPr>
    </w:lvl>
  </w:abstractNum>
  <w:abstractNum w:abstractNumId="50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0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03">
    <w:multiLevelType w:val="hybridMultilevel"/>
    <w:lvl w:ilvl="0">
      <w:start w:val="2"/>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50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0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99">
    <w:multiLevelType w:val="hybridMultilevel"/>
    <w:lvl w:ilvl="0">
      <w:start w:val="1"/>
      <w:numFmt w:val="lowerLetter"/>
      <w:lvlText w:val="%1)"/>
      <w:lvlJc w:val="left"/>
      <w:pPr>
        <w:ind w:left="113" w:hanging="3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8"/>
      </w:pPr>
      <w:rPr>
        <w:rFonts w:hint="default"/>
      </w:rPr>
    </w:lvl>
    <w:lvl w:ilvl="2">
      <w:start w:val="0"/>
      <w:numFmt w:val="bullet"/>
      <w:lvlText w:val="•"/>
      <w:lvlJc w:val="left"/>
      <w:pPr>
        <w:ind w:left="2072" w:hanging="388"/>
      </w:pPr>
      <w:rPr>
        <w:rFonts w:hint="default"/>
      </w:rPr>
    </w:lvl>
    <w:lvl w:ilvl="3">
      <w:start w:val="0"/>
      <w:numFmt w:val="bullet"/>
      <w:lvlText w:val="•"/>
      <w:lvlJc w:val="left"/>
      <w:pPr>
        <w:ind w:left="3048" w:hanging="388"/>
      </w:pPr>
      <w:rPr>
        <w:rFonts w:hint="default"/>
      </w:rPr>
    </w:lvl>
    <w:lvl w:ilvl="4">
      <w:start w:val="0"/>
      <w:numFmt w:val="bullet"/>
      <w:lvlText w:val="•"/>
      <w:lvlJc w:val="left"/>
      <w:pPr>
        <w:ind w:left="4024" w:hanging="388"/>
      </w:pPr>
      <w:rPr>
        <w:rFonts w:hint="default"/>
      </w:rPr>
    </w:lvl>
    <w:lvl w:ilvl="5">
      <w:start w:val="0"/>
      <w:numFmt w:val="bullet"/>
      <w:lvlText w:val="•"/>
      <w:lvlJc w:val="left"/>
      <w:pPr>
        <w:ind w:left="5000" w:hanging="388"/>
      </w:pPr>
      <w:rPr>
        <w:rFonts w:hint="default"/>
      </w:rPr>
    </w:lvl>
    <w:lvl w:ilvl="6">
      <w:start w:val="0"/>
      <w:numFmt w:val="bullet"/>
      <w:lvlText w:val="•"/>
      <w:lvlJc w:val="left"/>
      <w:pPr>
        <w:ind w:left="5976" w:hanging="388"/>
      </w:pPr>
      <w:rPr>
        <w:rFonts w:hint="default"/>
      </w:rPr>
    </w:lvl>
    <w:lvl w:ilvl="7">
      <w:start w:val="0"/>
      <w:numFmt w:val="bullet"/>
      <w:lvlText w:val="•"/>
      <w:lvlJc w:val="left"/>
      <w:pPr>
        <w:ind w:left="6952" w:hanging="388"/>
      </w:pPr>
      <w:rPr>
        <w:rFonts w:hint="default"/>
      </w:rPr>
    </w:lvl>
    <w:lvl w:ilvl="8">
      <w:start w:val="0"/>
      <w:numFmt w:val="bullet"/>
      <w:lvlText w:val="•"/>
      <w:lvlJc w:val="left"/>
      <w:pPr>
        <w:ind w:left="7928" w:hanging="388"/>
      </w:pPr>
      <w:rPr>
        <w:rFonts w:hint="default"/>
      </w:rPr>
    </w:lvl>
  </w:abstractNum>
  <w:abstractNum w:abstractNumId="498">
    <w:multiLevelType w:val="hybridMultilevel"/>
    <w:lvl w:ilvl="0">
      <w:start w:val="2"/>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49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96">
    <w:multiLevelType w:val="hybridMultilevel"/>
    <w:lvl w:ilvl="0">
      <w:start w:val="2"/>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49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94">
    <w:multiLevelType w:val="hybridMultilevel"/>
    <w:lvl w:ilvl="0">
      <w:start w:val="1"/>
      <w:numFmt w:val="lowerLetter"/>
      <w:lvlText w:val="%1)"/>
      <w:lvlJc w:val="left"/>
      <w:pPr>
        <w:ind w:left="113" w:hanging="41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2"/>
      </w:pPr>
      <w:rPr>
        <w:rFonts w:hint="default"/>
      </w:rPr>
    </w:lvl>
    <w:lvl w:ilvl="2">
      <w:start w:val="0"/>
      <w:numFmt w:val="bullet"/>
      <w:lvlText w:val="•"/>
      <w:lvlJc w:val="left"/>
      <w:pPr>
        <w:ind w:left="2072" w:hanging="412"/>
      </w:pPr>
      <w:rPr>
        <w:rFonts w:hint="default"/>
      </w:rPr>
    </w:lvl>
    <w:lvl w:ilvl="3">
      <w:start w:val="0"/>
      <w:numFmt w:val="bullet"/>
      <w:lvlText w:val="•"/>
      <w:lvlJc w:val="left"/>
      <w:pPr>
        <w:ind w:left="3048" w:hanging="412"/>
      </w:pPr>
      <w:rPr>
        <w:rFonts w:hint="default"/>
      </w:rPr>
    </w:lvl>
    <w:lvl w:ilvl="4">
      <w:start w:val="0"/>
      <w:numFmt w:val="bullet"/>
      <w:lvlText w:val="•"/>
      <w:lvlJc w:val="left"/>
      <w:pPr>
        <w:ind w:left="4024" w:hanging="412"/>
      </w:pPr>
      <w:rPr>
        <w:rFonts w:hint="default"/>
      </w:rPr>
    </w:lvl>
    <w:lvl w:ilvl="5">
      <w:start w:val="0"/>
      <w:numFmt w:val="bullet"/>
      <w:lvlText w:val="•"/>
      <w:lvlJc w:val="left"/>
      <w:pPr>
        <w:ind w:left="5000" w:hanging="412"/>
      </w:pPr>
      <w:rPr>
        <w:rFonts w:hint="default"/>
      </w:rPr>
    </w:lvl>
    <w:lvl w:ilvl="6">
      <w:start w:val="0"/>
      <w:numFmt w:val="bullet"/>
      <w:lvlText w:val="•"/>
      <w:lvlJc w:val="left"/>
      <w:pPr>
        <w:ind w:left="5976" w:hanging="412"/>
      </w:pPr>
      <w:rPr>
        <w:rFonts w:hint="default"/>
      </w:rPr>
    </w:lvl>
    <w:lvl w:ilvl="7">
      <w:start w:val="0"/>
      <w:numFmt w:val="bullet"/>
      <w:lvlText w:val="•"/>
      <w:lvlJc w:val="left"/>
      <w:pPr>
        <w:ind w:left="6952" w:hanging="412"/>
      </w:pPr>
      <w:rPr>
        <w:rFonts w:hint="default"/>
      </w:rPr>
    </w:lvl>
    <w:lvl w:ilvl="8">
      <w:start w:val="0"/>
      <w:numFmt w:val="bullet"/>
      <w:lvlText w:val="•"/>
      <w:lvlJc w:val="left"/>
      <w:pPr>
        <w:ind w:left="7928" w:hanging="412"/>
      </w:pPr>
      <w:rPr>
        <w:rFonts w:hint="default"/>
      </w:rPr>
    </w:lvl>
  </w:abstractNum>
  <w:abstractNum w:abstractNumId="49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9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90">
    <w:multiLevelType w:val="hybridMultilevel"/>
    <w:lvl w:ilvl="0">
      <w:start w:val="1"/>
      <w:numFmt w:val="lowerLetter"/>
      <w:lvlText w:val="%1)"/>
      <w:lvlJc w:val="left"/>
      <w:pPr>
        <w:ind w:left="113" w:hanging="4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489">
    <w:multiLevelType w:val="hybridMultilevel"/>
    <w:lvl w:ilvl="0">
      <w:start w:val="1"/>
      <w:numFmt w:val="lowerLetter"/>
      <w:lvlText w:val="%1)"/>
      <w:lvlJc w:val="left"/>
      <w:pPr>
        <w:ind w:left="113" w:hanging="3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9"/>
      </w:pPr>
      <w:rPr>
        <w:rFonts w:hint="default"/>
      </w:rPr>
    </w:lvl>
    <w:lvl w:ilvl="2">
      <w:start w:val="0"/>
      <w:numFmt w:val="bullet"/>
      <w:lvlText w:val="•"/>
      <w:lvlJc w:val="left"/>
      <w:pPr>
        <w:ind w:left="2072" w:hanging="389"/>
      </w:pPr>
      <w:rPr>
        <w:rFonts w:hint="default"/>
      </w:rPr>
    </w:lvl>
    <w:lvl w:ilvl="3">
      <w:start w:val="0"/>
      <w:numFmt w:val="bullet"/>
      <w:lvlText w:val="•"/>
      <w:lvlJc w:val="left"/>
      <w:pPr>
        <w:ind w:left="3048" w:hanging="389"/>
      </w:pPr>
      <w:rPr>
        <w:rFonts w:hint="default"/>
      </w:rPr>
    </w:lvl>
    <w:lvl w:ilvl="4">
      <w:start w:val="0"/>
      <w:numFmt w:val="bullet"/>
      <w:lvlText w:val="•"/>
      <w:lvlJc w:val="left"/>
      <w:pPr>
        <w:ind w:left="4024" w:hanging="389"/>
      </w:pPr>
      <w:rPr>
        <w:rFonts w:hint="default"/>
      </w:rPr>
    </w:lvl>
    <w:lvl w:ilvl="5">
      <w:start w:val="0"/>
      <w:numFmt w:val="bullet"/>
      <w:lvlText w:val="•"/>
      <w:lvlJc w:val="left"/>
      <w:pPr>
        <w:ind w:left="5000" w:hanging="389"/>
      </w:pPr>
      <w:rPr>
        <w:rFonts w:hint="default"/>
      </w:rPr>
    </w:lvl>
    <w:lvl w:ilvl="6">
      <w:start w:val="0"/>
      <w:numFmt w:val="bullet"/>
      <w:lvlText w:val="•"/>
      <w:lvlJc w:val="left"/>
      <w:pPr>
        <w:ind w:left="5976" w:hanging="389"/>
      </w:pPr>
      <w:rPr>
        <w:rFonts w:hint="default"/>
      </w:rPr>
    </w:lvl>
    <w:lvl w:ilvl="7">
      <w:start w:val="0"/>
      <w:numFmt w:val="bullet"/>
      <w:lvlText w:val="•"/>
      <w:lvlJc w:val="left"/>
      <w:pPr>
        <w:ind w:left="6952" w:hanging="389"/>
      </w:pPr>
      <w:rPr>
        <w:rFonts w:hint="default"/>
      </w:rPr>
    </w:lvl>
    <w:lvl w:ilvl="8">
      <w:start w:val="0"/>
      <w:numFmt w:val="bullet"/>
      <w:lvlText w:val="•"/>
      <w:lvlJc w:val="left"/>
      <w:pPr>
        <w:ind w:left="7928" w:hanging="389"/>
      </w:pPr>
      <w:rPr>
        <w:rFonts w:hint="default"/>
      </w:rPr>
    </w:lvl>
  </w:abstractNum>
  <w:abstractNum w:abstractNumId="48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7">
    <w:multiLevelType w:val="hybridMultilevel"/>
    <w:lvl w:ilvl="0">
      <w:start w:val="2"/>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4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5">
    <w:multiLevelType w:val="hybridMultilevel"/>
    <w:lvl w:ilvl="0">
      <w:start w:val="3"/>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8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3">
    <w:multiLevelType w:val="hybridMultilevel"/>
    <w:lvl w:ilvl="0">
      <w:start w:val="2"/>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48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80">
    <w:multiLevelType w:val="hybridMultilevel"/>
    <w:lvl w:ilvl="0">
      <w:start w:val="1"/>
      <w:numFmt w:val="lowerLetter"/>
      <w:lvlText w:val="%1)"/>
      <w:lvlJc w:val="left"/>
      <w:pPr>
        <w:ind w:left="113" w:hanging="41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4"/>
      </w:pPr>
      <w:rPr>
        <w:rFonts w:hint="default"/>
      </w:rPr>
    </w:lvl>
    <w:lvl w:ilvl="2">
      <w:start w:val="0"/>
      <w:numFmt w:val="bullet"/>
      <w:lvlText w:val="•"/>
      <w:lvlJc w:val="left"/>
      <w:pPr>
        <w:ind w:left="2072" w:hanging="414"/>
      </w:pPr>
      <w:rPr>
        <w:rFonts w:hint="default"/>
      </w:rPr>
    </w:lvl>
    <w:lvl w:ilvl="3">
      <w:start w:val="0"/>
      <w:numFmt w:val="bullet"/>
      <w:lvlText w:val="•"/>
      <w:lvlJc w:val="left"/>
      <w:pPr>
        <w:ind w:left="3048" w:hanging="414"/>
      </w:pPr>
      <w:rPr>
        <w:rFonts w:hint="default"/>
      </w:rPr>
    </w:lvl>
    <w:lvl w:ilvl="4">
      <w:start w:val="0"/>
      <w:numFmt w:val="bullet"/>
      <w:lvlText w:val="•"/>
      <w:lvlJc w:val="left"/>
      <w:pPr>
        <w:ind w:left="4024" w:hanging="414"/>
      </w:pPr>
      <w:rPr>
        <w:rFonts w:hint="default"/>
      </w:rPr>
    </w:lvl>
    <w:lvl w:ilvl="5">
      <w:start w:val="0"/>
      <w:numFmt w:val="bullet"/>
      <w:lvlText w:val="•"/>
      <w:lvlJc w:val="left"/>
      <w:pPr>
        <w:ind w:left="5000" w:hanging="414"/>
      </w:pPr>
      <w:rPr>
        <w:rFonts w:hint="default"/>
      </w:rPr>
    </w:lvl>
    <w:lvl w:ilvl="6">
      <w:start w:val="0"/>
      <w:numFmt w:val="bullet"/>
      <w:lvlText w:val="•"/>
      <w:lvlJc w:val="left"/>
      <w:pPr>
        <w:ind w:left="5976" w:hanging="414"/>
      </w:pPr>
      <w:rPr>
        <w:rFonts w:hint="default"/>
      </w:rPr>
    </w:lvl>
    <w:lvl w:ilvl="7">
      <w:start w:val="0"/>
      <w:numFmt w:val="bullet"/>
      <w:lvlText w:val="•"/>
      <w:lvlJc w:val="left"/>
      <w:pPr>
        <w:ind w:left="6952" w:hanging="414"/>
      </w:pPr>
      <w:rPr>
        <w:rFonts w:hint="default"/>
      </w:rPr>
    </w:lvl>
    <w:lvl w:ilvl="8">
      <w:start w:val="0"/>
      <w:numFmt w:val="bullet"/>
      <w:lvlText w:val="•"/>
      <w:lvlJc w:val="left"/>
      <w:pPr>
        <w:ind w:left="7928" w:hanging="414"/>
      </w:pPr>
      <w:rPr>
        <w:rFonts w:hint="default"/>
      </w:rPr>
    </w:lvl>
  </w:abstractNum>
  <w:abstractNum w:abstractNumId="479">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47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77">
    <w:multiLevelType w:val="hybridMultilevel"/>
    <w:lvl w:ilvl="0">
      <w:start w:val="1"/>
      <w:numFmt w:val="lowerLetter"/>
      <w:lvlText w:val="%1)"/>
      <w:lvlJc w:val="left"/>
      <w:pPr>
        <w:ind w:left="113"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0"/>
      </w:pPr>
      <w:rPr>
        <w:rFonts w:hint="default"/>
      </w:rPr>
    </w:lvl>
    <w:lvl w:ilvl="2">
      <w:start w:val="0"/>
      <w:numFmt w:val="bullet"/>
      <w:lvlText w:val="•"/>
      <w:lvlJc w:val="left"/>
      <w:pPr>
        <w:ind w:left="2072" w:hanging="340"/>
      </w:pPr>
      <w:rPr>
        <w:rFonts w:hint="default"/>
      </w:rPr>
    </w:lvl>
    <w:lvl w:ilvl="3">
      <w:start w:val="0"/>
      <w:numFmt w:val="bullet"/>
      <w:lvlText w:val="•"/>
      <w:lvlJc w:val="left"/>
      <w:pPr>
        <w:ind w:left="3048" w:hanging="340"/>
      </w:pPr>
      <w:rPr>
        <w:rFonts w:hint="default"/>
      </w:rPr>
    </w:lvl>
    <w:lvl w:ilvl="4">
      <w:start w:val="0"/>
      <w:numFmt w:val="bullet"/>
      <w:lvlText w:val="•"/>
      <w:lvlJc w:val="left"/>
      <w:pPr>
        <w:ind w:left="4024" w:hanging="340"/>
      </w:pPr>
      <w:rPr>
        <w:rFonts w:hint="default"/>
      </w:rPr>
    </w:lvl>
    <w:lvl w:ilvl="5">
      <w:start w:val="0"/>
      <w:numFmt w:val="bullet"/>
      <w:lvlText w:val="•"/>
      <w:lvlJc w:val="left"/>
      <w:pPr>
        <w:ind w:left="5000" w:hanging="340"/>
      </w:pPr>
      <w:rPr>
        <w:rFonts w:hint="default"/>
      </w:rPr>
    </w:lvl>
    <w:lvl w:ilvl="6">
      <w:start w:val="0"/>
      <w:numFmt w:val="bullet"/>
      <w:lvlText w:val="•"/>
      <w:lvlJc w:val="left"/>
      <w:pPr>
        <w:ind w:left="5976" w:hanging="340"/>
      </w:pPr>
      <w:rPr>
        <w:rFonts w:hint="default"/>
      </w:rPr>
    </w:lvl>
    <w:lvl w:ilvl="7">
      <w:start w:val="0"/>
      <w:numFmt w:val="bullet"/>
      <w:lvlText w:val="•"/>
      <w:lvlJc w:val="left"/>
      <w:pPr>
        <w:ind w:left="6952" w:hanging="340"/>
      </w:pPr>
      <w:rPr>
        <w:rFonts w:hint="default"/>
      </w:rPr>
    </w:lvl>
    <w:lvl w:ilvl="8">
      <w:start w:val="0"/>
      <w:numFmt w:val="bullet"/>
      <w:lvlText w:val="•"/>
      <w:lvlJc w:val="left"/>
      <w:pPr>
        <w:ind w:left="7928" w:hanging="340"/>
      </w:pPr>
      <w:rPr>
        <w:rFonts w:hint="default"/>
      </w:rPr>
    </w:lvl>
  </w:abstractNum>
  <w:abstractNum w:abstractNumId="476">
    <w:multiLevelType w:val="hybridMultilevel"/>
    <w:lvl w:ilvl="0">
      <w:start w:val="2"/>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47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7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73">
    <w:multiLevelType w:val="hybridMultilevel"/>
    <w:lvl w:ilvl="0">
      <w:start w:val="1"/>
      <w:numFmt w:val="lowerLetter"/>
      <w:lvlText w:val="%1)"/>
      <w:lvlJc w:val="left"/>
      <w:pPr>
        <w:ind w:left="113" w:hanging="32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7"/>
      </w:pPr>
      <w:rPr>
        <w:rFonts w:hint="default"/>
      </w:rPr>
    </w:lvl>
    <w:lvl w:ilvl="2">
      <w:start w:val="0"/>
      <w:numFmt w:val="bullet"/>
      <w:lvlText w:val="•"/>
      <w:lvlJc w:val="left"/>
      <w:pPr>
        <w:ind w:left="2072" w:hanging="327"/>
      </w:pPr>
      <w:rPr>
        <w:rFonts w:hint="default"/>
      </w:rPr>
    </w:lvl>
    <w:lvl w:ilvl="3">
      <w:start w:val="0"/>
      <w:numFmt w:val="bullet"/>
      <w:lvlText w:val="•"/>
      <w:lvlJc w:val="left"/>
      <w:pPr>
        <w:ind w:left="3048" w:hanging="327"/>
      </w:pPr>
      <w:rPr>
        <w:rFonts w:hint="default"/>
      </w:rPr>
    </w:lvl>
    <w:lvl w:ilvl="4">
      <w:start w:val="0"/>
      <w:numFmt w:val="bullet"/>
      <w:lvlText w:val="•"/>
      <w:lvlJc w:val="left"/>
      <w:pPr>
        <w:ind w:left="4024" w:hanging="327"/>
      </w:pPr>
      <w:rPr>
        <w:rFonts w:hint="default"/>
      </w:rPr>
    </w:lvl>
    <w:lvl w:ilvl="5">
      <w:start w:val="0"/>
      <w:numFmt w:val="bullet"/>
      <w:lvlText w:val="•"/>
      <w:lvlJc w:val="left"/>
      <w:pPr>
        <w:ind w:left="5000" w:hanging="327"/>
      </w:pPr>
      <w:rPr>
        <w:rFonts w:hint="default"/>
      </w:rPr>
    </w:lvl>
    <w:lvl w:ilvl="6">
      <w:start w:val="0"/>
      <w:numFmt w:val="bullet"/>
      <w:lvlText w:val="•"/>
      <w:lvlJc w:val="left"/>
      <w:pPr>
        <w:ind w:left="5976" w:hanging="327"/>
      </w:pPr>
      <w:rPr>
        <w:rFonts w:hint="default"/>
      </w:rPr>
    </w:lvl>
    <w:lvl w:ilvl="7">
      <w:start w:val="0"/>
      <w:numFmt w:val="bullet"/>
      <w:lvlText w:val="•"/>
      <w:lvlJc w:val="left"/>
      <w:pPr>
        <w:ind w:left="6952" w:hanging="327"/>
      </w:pPr>
      <w:rPr>
        <w:rFonts w:hint="default"/>
      </w:rPr>
    </w:lvl>
    <w:lvl w:ilvl="8">
      <w:start w:val="0"/>
      <w:numFmt w:val="bullet"/>
      <w:lvlText w:val="•"/>
      <w:lvlJc w:val="left"/>
      <w:pPr>
        <w:ind w:left="7928" w:hanging="327"/>
      </w:pPr>
      <w:rPr>
        <w:rFonts w:hint="default"/>
      </w:rPr>
    </w:lvl>
  </w:abstractNum>
  <w:abstractNum w:abstractNumId="472">
    <w:multiLevelType w:val="hybridMultilevel"/>
    <w:lvl w:ilvl="0">
      <w:start w:val="1"/>
      <w:numFmt w:val="lowerLetter"/>
      <w:lvlText w:val="%1)"/>
      <w:lvlJc w:val="left"/>
      <w:pPr>
        <w:ind w:left="113" w:hanging="3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7"/>
      </w:pPr>
      <w:rPr>
        <w:rFonts w:hint="default"/>
      </w:rPr>
    </w:lvl>
    <w:lvl w:ilvl="2">
      <w:start w:val="0"/>
      <w:numFmt w:val="bullet"/>
      <w:lvlText w:val="•"/>
      <w:lvlJc w:val="left"/>
      <w:pPr>
        <w:ind w:left="2072" w:hanging="337"/>
      </w:pPr>
      <w:rPr>
        <w:rFonts w:hint="default"/>
      </w:rPr>
    </w:lvl>
    <w:lvl w:ilvl="3">
      <w:start w:val="0"/>
      <w:numFmt w:val="bullet"/>
      <w:lvlText w:val="•"/>
      <w:lvlJc w:val="left"/>
      <w:pPr>
        <w:ind w:left="3048" w:hanging="337"/>
      </w:pPr>
      <w:rPr>
        <w:rFonts w:hint="default"/>
      </w:rPr>
    </w:lvl>
    <w:lvl w:ilvl="4">
      <w:start w:val="0"/>
      <w:numFmt w:val="bullet"/>
      <w:lvlText w:val="•"/>
      <w:lvlJc w:val="left"/>
      <w:pPr>
        <w:ind w:left="4024" w:hanging="337"/>
      </w:pPr>
      <w:rPr>
        <w:rFonts w:hint="default"/>
      </w:rPr>
    </w:lvl>
    <w:lvl w:ilvl="5">
      <w:start w:val="0"/>
      <w:numFmt w:val="bullet"/>
      <w:lvlText w:val="•"/>
      <w:lvlJc w:val="left"/>
      <w:pPr>
        <w:ind w:left="5000" w:hanging="337"/>
      </w:pPr>
      <w:rPr>
        <w:rFonts w:hint="default"/>
      </w:rPr>
    </w:lvl>
    <w:lvl w:ilvl="6">
      <w:start w:val="0"/>
      <w:numFmt w:val="bullet"/>
      <w:lvlText w:val="•"/>
      <w:lvlJc w:val="left"/>
      <w:pPr>
        <w:ind w:left="5976" w:hanging="337"/>
      </w:pPr>
      <w:rPr>
        <w:rFonts w:hint="default"/>
      </w:rPr>
    </w:lvl>
    <w:lvl w:ilvl="7">
      <w:start w:val="0"/>
      <w:numFmt w:val="bullet"/>
      <w:lvlText w:val="•"/>
      <w:lvlJc w:val="left"/>
      <w:pPr>
        <w:ind w:left="6952" w:hanging="337"/>
      </w:pPr>
      <w:rPr>
        <w:rFonts w:hint="default"/>
      </w:rPr>
    </w:lvl>
    <w:lvl w:ilvl="8">
      <w:start w:val="0"/>
      <w:numFmt w:val="bullet"/>
      <w:lvlText w:val="•"/>
      <w:lvlJc w:val="left"/>
      <w:pPr>
        <w:ind w:left="7928" w:hanging="337"/>
      </w:pPr>
      <w:rPr>
        <w:rFonts w:hint="default"/>
      </w:rPr>
    </w:lvl>
  </w:abstractNum>
  <w:abstractNum w:abstractNumId="47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69">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68">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4"/>
      <w:numFmt w:val="decimal"/>
      <w:lvlText w:val="(%2)"/>
      <w:lvlJc w:val="left"/>
      <w:pPr>
        <w:ind w:left="113" w:hanging="435"/>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467">
    <w:multiLevelType w:val="hybridMultilevel"/>
    <w:lvl w:ilvl="0">
      <w:start w:val="2"/>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466">
    <w:multiLevelType w:val="hybridMultilevel"/>
    <w:lvl w:ilvl="0">
      <w:start w:val="1"/>
      <w:numFmt w:val="lowerLetter"/>
      <w:lvlText w:val="%1)"/>
      <w:lvlJc w:val="left"/>
      <w:pPr>
        <w:ind w:left="113" w:hanging="34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9"/>
      </w:pPr>
      <w:rPr>
        <w:rFonts w:hint="default"/>
      </w:rPr>
    </w:lvl>
    <w:lvl w:ilvl="2">
      <w:start w:val="0"/>
      <w:numFmt w:val="bullet"/>
      <w:lvlText w:val="•"/>
      <w:lvlJc w:val="left"/>
      <w:pPr>
        <w:ind w:left="2072" w:hanging="349"/>
      </w:pPr>
      <w:rPr>
        <w:rFonts w:hint="default"/>
      </w:rPr>
    </w:lvl>
    <w:lvl w:ilvl="3">
      <w:start w:val="0"/>
      <w:numFmt w:val="bullet"/>
      <w:lvlText w:val="•"/>
      <w:lvlJc w:val="left"/>
      <w:pPr>
        <w:ind w:left="3048" w:hanging="349"/>
      </w:pPr>
      <w:rPr>
        <w:rFonts w:hint="default"/>
      </w:rPr>
    </w:lvl>
    <w:lvl w:ilvl="4">
      <w:start w:val="0"/>
      <w:numFmt w:val="bullet"/>
      <w:lvlText w:val="•"/>
      <w:lvlJc w:val="left"/>
      <w:pPr>
        <w:ind w:left="4024" w:hanging="349"/>
      </w:pPr>
      <w:rPr>
        <w:rFonts w:hint="default"/>
      </w:rPr>
    </w:lvl>
    <w:lvl w:ilvl="5">
      <w:start w:val="0"/>
      <w:numFmt w:val="bullet"/>
      <w:lvlText w:val="•"/>
      <w:lvlJc w:val="left"/>
      <w:pPr>
        <w:ind w:left="5000" w:hanging="349"/>
      </w:pPr>
      <w:rPr>
        <w:rFonts w:hint="default"/>
      </w:rPr>
    </w:lvl>
    <w:lvl w:ilvl="6">
      <w:start w:val="0"/>
      <w:numFmt w:val="bullet"/>
      <w:lvlText w:val="•"/>
      <w:lvlJc w:val="left"/>
      <w:pPr>
        <w:ind w:left="5976" w:hanging="349"/>
      </w:pPr>
      <w:rPr>
        <w:rFonts w:hint="default"/>
      </w:rPr>
    </w:lvl>
    <w:lvl w:ilvl="7">
      <w:start w:val="0"/>
      <w:numFmt w:val="bullet"/>
      <w:lvlText w:val="•"/>
      <w:lvlJc w:val="left"/>
      <w:pPr>
        <w:ind w:left="6952" w:hanging="349"/>
      </w:pPr>
      <w:rPr>
        <w:rFonts w:hint="default"/>
      </w:rPr>
    </w:lvl>
    <w:lvl w:ilvl="8">
      <w:start w:val="0"/>
      <w:numFmt w:val="bullet"/>
      <w:lvlText w:val="•"/>
      <w:lvlJc w:val="left"/>
      <w:pPr>
        <w:ind w:left="7928" w:hanging="349"/>
      </w:pPr>
      <w:rPr>
        <w:rFonts w:hint="default"/>
      </w:rPr>
    </w:lvl>
  </w:abstractNum>
  <w:abstractNum w:abstractNumId="465">
    <w:multiLevelType w:val="hybridMultilevel"/>
    <w:lvl w:ilvl="0">
      <w:start w:val="2"/>
      <w:numFmt w:val="decimal"/>
      <w:lvlText w:val="(%1)"/>
      <w:lvlJc w:val="left"/>
      <w:pPr>
        <w:ind w:left="113" w:hanging="5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9"/>
      </w:pPr>
      <w:rPr>
        <w:rFonts w:hint="default"/>
      </w:rPr>
    </w:lvl>
    <w:lvl w:ilvl="2">
      <w:start w:val="0"/>
      <w:numFmt w:val="bullet"/>
      <w:lvlText w:val="•"/>
      <w:lvlJc w:val="left"/>
      <w:pPr>
        <w:ind w:left="2072" w:hanging="539"/>
      </w:pPr>
      <w:rPr>
        <w:rFonts w:hint="default"/>
      </w:rPr>
    </w:lvl>
    <w:lvl w:ilvl="3">
      <w:start w:val="0"/>
      <w:numFmt w:val="bullet"/>
      <w:lvlText w:val="•"/>
      <w:lvlJc w:val="left"/>
      <w:pPr>
        <w:ind w:left="3048" w:hanging="539"/>
      </w:pPr>
      <w:rPr>
        <w:rFonts w:hint="default"/>
      </w:rPr>
    </w:lvl>
    <w:lvl w:ilvl="4">
      <w:start w:val="0"/>
      <w:numFmt w:val="bullet"/>
      <w:lvlText w:val="•"/>
      <w:lvlJc w:val="left"/>
      <w:pPr>
        <w:ind w:left="4024" w:hanging="539"/>
      </w:pPr>
      <w:rPr>
        <w:rFonts w:hint="default"/>
      </w:rPr>
    </w:lvl>
    <w:lvl w:ilvl="5">
      <w:start w:val="0"/>
      <w:numFmt w:val="bullet"/>
      <w:lvlText w:val="•"/>
      <w:lvlJc w:val="left"/>
      <w:pPr>
        <w:ind w:left="5000" w:hanging="539"/>
      </w:pPr>
      <w:rPr>
        <w:rFonts w:hint="default"/>
      </w:rPr>
    </w:lvl>
    <w:lvl w:ilvl="6">
      <w:start w:val="0"/>
      <w:numFmt w:val="bullet"/>
      <w:lvlText w:val="•"/>
      <w:lvlJc w:val="left"/>
      <w:pPr>
        <w:ind w:left="5976" w:hanging="539"/>
      </w:pPr>
      <w:rPr>
        <w:rFonts w:hint="default"/>
      </w:rPr>
    </w:lvl>
    <w:lvl w:ilvl="7">
      <w:start w:val="0"/>
      <w:numFmt w:val="bullet"/>
      <w:lvlText w:val="•"/>
      <w:lvlJc w:val="left"/>
      <w:pPr>
        <w:ind w:left="6952" w:hanging="539"/>
      </w:pPr>
      <w:rPr>
        <w:rFonts w:hint="default"/>
      </w:rPr>
    </w:lvl>
    <w:lvl w:ilvl="8">
      <w:start w:val="0"/>
      <w:numFmt w:val="bullet"/>
      <w:lvlText w:val="•"/>
      <w:lvlJc w:val="left"/>
      <w:pPr>
        <w:ind w:left="7928" w:hanging="539"/>
      </w:pPr>
      <w:rPr>
        <w:rFonts w:hint="default"/>
      </w:rPr>
    </w:lvl>
  </w:abstractNum>
  <w:abstractNum w:abstractNumId="4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63">
    <w:multiLevelType w:val="hybridMultilevel"/>
    <w:lvl w:ilvl="0">
      <w:start w:val="2"/>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0"/>
      </w:pPr>
      <w:rPr>
        <w:rFonts w:hint="default"/>
      </w:rPr>
    </w:lvl>
    <w:lvl w:ilvl="2">
      <w:start w:val="0"/>
      <w:numFmt w:val="bullet"/>
      <w:lvlText w:val="•"/>
      <w:lvlJc w:val="left"/>
      <w:pPr>
        <w:ind w:left="2072" w:hanging="530"/>
      </w:pPr>
      <w:rPr>
        <w:rFonts w:hint="default"/>
      </w:rPr>
    </w:lvl>
    <w:lvl w:ilvl="3">
      <w:start w:val="0"/>
      <w:numFmt w:val="bullet"/>
      <w:lvlText w:val="•"/>
      <w:lvlJc w:val="left"/>
      <w:pPr>
        <w:ind w:left="3048" w:hanging="530"/>
      </w:pPr>
      <w:rPr>
        <w:rFonts w:hint="default"/>
      </w:rPr>
    </w:lvl>
    <w:lvl w:ilvl="4">
      <w:start w:val="0"/>
      <w:numFmt w:val="bullet"/>
      <w:lvlText w:val="•"/>
      <w:lvlJc w:val="left"/>
      <w:pPr>
        <w:ind w:left="4024" w:hanging="530"/>
      </w:pPr>
      <w:rPr>
        <w:rFonts w:hint="default"/>
      </w:rPr>
    </w:lvl>
    <w:lvl w:ilvl="5">
      <w:start w:val="0"/>
      <w:numFmt w:val="bullet"/>
      <w:lvlText w:val="•"/>
      <w:lvlJc w:val="left"/>
      <w:pPr>
        <w:ind w:left="5000" w:hanging="530"/>
      </w:pPr>
      <w:rPr>
        <w:rFonts w:hint="default"/>
      </w:rPr>
    </w:lvl>
    <w:lvl w:ilvl="6">
      <w:start w:val="0"/>
      <w:numFmt w:val="bullet"/>
      <w:lvlText w:val="•"/>
      <w:lvlJc w:val="left"/>
      <w:pPr>
        <w:ind w:left="5976" w:hanging="530"/>
      </w:pPr>
      <w:rPr>
        <w:rFonts w:hint="default"/>
      </w:rPr>
    </w:lvl>
    <w:lvl w:ilvl="7">
      <w:start w:val="0"/>
      <w:numFmt w:val="bullet"/>
      <w:lvlText w:val="•"/>
      <w:lvlJc w:val="left"/>
      <w:pPr>
        <w:ind w:left="6952" w:hanging="530"/>
      </w:pPr>
      <w:rPr>
        <w:rFonts w:hint="default"/>
      </w:rPr>
    </w:lvl>
    <w:lvl w:ilvl="8">
      <w:start w:val="0"/>
      <w:numFmt w:val="bullet"/>
      <w:lvlText w:val="•"/>
      <w:lvlJc w:val="left"/>
      <w:pPr>
        <w:ind w:left="7928" w:hanging="530"/>
      </w:pPr>
      <w:rPr>
        <w:rFonts w:hint="default"/>
      </w:rPr>
    </w:lvl>
  </w:abstractNum>
  <w:abstractNum w:abstractNumId="462">
    <w:multiLevelType w:val="hybridMultilevel"/>
    <w:lvl w:ilvl="0">
      <w:start w:val="2"/>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46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60">
    <w:multiLevelType w:val="hybridMultilevel"/>
    <w:lvl w:ilvl="0">
      <w:start w:val="2"/>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459">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5"/>
      </w:pPr>
      <w:rPr>
        <w:rFonts w:hint="default"/>
      </w:rPr>
    </w:lvl>
    <w:lvl w:ilvl="2">
      <w:start w:val="0"/>
      <w:numFmt w:val="bullet"/>
      <w:lvlText w:val="•"/>
      <w:lvlJc w:val="left"/>
      <w:pPr>
        <w:ind w:left="2072" w:hanging="405"/>
      </w:pPr>
      <w:rPr>
        <w:rFonts w:hint="default"/>
      </w:rPr>
    </w:lvl>
    <w:lvl w:ilvl="3">
      <w:start w:val="0"/>
      <w:numFmt w:val="bullet"/>
      <w:lvlText w:val="•"/>
      <w:lvlJc w:val="left"/>
      <w:pPr>
        <w:ind w:left="3048" w:hanging="405"/>
      </w:pPr>
      <w:rPr>
        <w:rFonts w:hint="default"/>
      </w:rPr>
    </w:lvl>
    <w:lvl w:ilvl="4">
      <w:start w:val="0"/>
      <w:numFmt w:val="bullet"/>
      <w:lvlText w:val="•"/>
      <w:lvlJc w:val="left"/>
      <w:pPr>
        <w:ind w:left="4024" w:hanging="405"/>
      </w:pPr>
      <w:rPr>
        <w:rFonts w:hint="default"/>
      </w:rPr>
    </w:lvl>
    <w:lvl w:ilvl="5">
      <w:start w:val="0"/>
      <w:numFmt w:val="bullet"/>
      <w:lvlText w:val="•"/>
      <w:lvlJc w:val="left"/>
      <w:pPr>
        <w:ind w:left="5000" w:hanging="405"/>
      </w:pPr>
      <w:rPr>
        <w:rFonts w:hint="default"/>
      </w:rPr>
    </w:lvl>
    <w:lvl w:ilvl="6">
      <w:start w:val="0"/>
      <w:numFmt w:val="bullet"/>
      <w:lvlText w:val="•"/>
      <w:lvlJc w:val="left"/>
      <w:pPr>
        <w:ind w:left="5976" w:hanging="405"/>
      </w:pPr>
      <w:rPr>
        <w:rFonts w:hint="default"/>
      </w:rPr>
    </w:lvl>
    <w:lvl w:ilvl="7">
      <w:start w:val="0"/>
      <w:numFmt w:val="bullet"/>
      <w:lvlText w:val="•"/>
      <w:lvlJc w:val="left"/>
      <w:pPr>
        <w:ind w:left="6952" w:hanging="405"/>
      </w:pPr>
      <w:rPr>
        <w:rFonts w:hint="default"/>
      </w:rPr>
    </w:lvl>
    <w:lvl w:ilvl="8">
      <w:start w:val="0"/>
      <w:numFmt w:val="bullet"/>
      <w:lvlText w:val="•"/>
      <w:lvlJc w:val="left"/>
      <w:pPr>
        <w:ind w:left="7928" w:hanging="405"/>
      </w:pPr>
      <w:rPr>
        <w:rFonts w:hint="default"/>
      </w:rPr>
    </w:lvl>
  </w:abstractNum>
  <w:abstractNum w:abstractNumId="458">
    <w:multiLevelType w:val="hybridMultilevel"/>
    <w:lvl w:ilvl="0">
      <w:start w:val="1"/>
      <w:numFmt w:val="lowerLetter"/>
      <w:lvlText w:val="%1)"/>
      <w:lvlJc w:val="left"/>
      <w:pPr>
        <w:ind w:left="113" w:hanging="32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9"/>
      </w:pPr>
      <w:rPr>
        <w:rFonts w:hint="default"/>
      </w:rPr>
    </w:lvl>
    <w:lvl w:ilvl="2">
      <w:start w:val="0"/>
      <w:numFmt w:val="bullet"/>
      <w:lvlText w:val="•"/>
      <w:lvlJc w:val="left"/>
      <w:pPr>
        <w:ind w:left="2072" w:hanging="329"/>
      </w:pPr>
      <w:rPr>
        <w:rFonts w:hint="default"/>
      </w:rPr>
    </w:lvl>
    <w:lvl w:ilvl="3">
      <w:start w:val="0"/>
      <w:numFmt w:val="bullet"/>
      <w:lvlText w:val="•"/>
      <w:lvlJc w:val="left"/>
      <w:pPr>
        <w:ind w:left="3048" w:hanging="329"/>
      </w:pPr>
      <w:rPr>
        <w:rFonts w:hint="default"/>
      </w:rPr>
    </w:lvl>
    <w:lvl w:ilvl="4">
      <w:start w:val="0"/>
      <w:numFmt w:val="bullet"/>
      <w:lvlText w:val="•"/>
      <w:lvlJc w:val="left"/>
      <w:pPr>
        <w:ind w:left="4024" w:hanging="329"/>
      </w:pPr>
      <w:rPr>
        <w:rFonts w:hint="default"/>
      </w:rPr>
    </w:lvl>
    <w:lvl w:ilvl="5">
      <w:start w:val="0"/>
      <w:numFmt w:val="bullet"/>
      <w:lvlText w:val="•"/>
      <w:lvlJc w:val="left"/>
      <w:pPr>
        <w:ind w:left="5000" w:hanging="329"/>
      </w:pPr>
      <w:rPr>
        <w:rFonts w:hint="default"/>
      </w:rPr>
    </w:lvl>
    <w:lvl w:ilvl="6">
      <w:start w:val="0"/>
      <w:numFmt w:val="bullet"/>
      <w:lvlText w:val="•"/>
      <w:lvlJc w:val="left"/>
      <w:pPr>
        <w:ind w:left="5976" w:hanging="329"/>
      </w:pPr>
      <w:rPr>
        <w:rFonts w:hint="default"/>
      </w:rPr>
    </w:lvl>
    <w:lvl w:ilvl="7">
      <w:start w:val="0"/>
      <w:numFmt w:val="bullet"/>
      <w:lvlText w:val="•"/>
      <w:lvlJc w:val="left"/>
      <w:pPr>
        <w:ind w:left="6952" w:hanging="329"/>
      </w:pPr>
      <w:rPr>
        <w:rFonts w:hint="default"/>
      </w:rPr>
    </w:lvl>
    <w:lvl w:ilvl="8">
      <w:start w:val="0"/>
      <w:numFmt w:val="bullet"/>
      <w:lvlText w:val="•"/>
      <w:lvlJc w:val="left"/>
      <w:pPr>
        <w:ind w:left="7928" w:hanging="329"/>
      </w:pPr>
      <w:rPr>
        <w:rFonts w:hint="default"/>
      </w:rPr>
    </w:lvl>
  </w:abstractNum>
  <w:abstractNum w:abstractNumId="456">
    <w:multiLevelType w:val="hybridMultilevel"/>
    <w:lvl w:ilvl="0">
      <w:start w:val="2"/>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455">
    <w:multiLevelType w:val="hybridMultilevel"/>
    <w:lvl w:ilvl="0">
      <w:start w:val="2"/>
      <w:numFmt w:val="decimal"/>
      <w:lvlText w:val="(%1)"/>
      <w:lvlJc w:val="left"/>
      <w:pPr>
        <w:ind w:left="113" w:hanging="601"/>
        <w:jc w:val="right"/>
      </w:pPr>
      <w:rPr>
        <w:rFonts w:hint="default" w:ascii="Times New Roman" w:hAnsi="Times New Roman" w:eastAsia="Times New Roman" w:cs="Times New Roman"/>
        <w:spacing w:val="-1"/>
        <w:w w:val="121"/>
        <w:sz w:val="24"/>
        <w:szCs w:val="24"/>
      </w:rPr>
    </w:lvl>
    <w:lvl w:ilvl="1">
      <w:start w:val="2"/>
      <w:numFmt w:val="decimal"/>
      <w:lvlText w:val="(%2)"/>
      <w:lvlJc w:val="left"/>
      <w:pPr>
        <w:ind w:left="113" w:hanging="455"/>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45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53">
    <w:multiLevelType w:val="hybridMultilevel"/>
    <w:lvl w:ilvl="0">
      <w:start w:val="1"/>
      <w:numFmt w:val="lowerLetter"/>
      <w:lvlText w:val="%1)"/>
      <w:lvlJc w:val="left"/>
      <w:pPr>
        <w:ind w:left="113" w:hanging="38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7"/>
      </w:pPr>
      <w:rPr>
        <w:rFonts w:hint="default"/>
      </w:rPr>
    </w:lvl>
    <w:lvl w:ilvl="2">
      <w:start w:val="0"/>
      <w:numFmt w:val="bullet"/>
      <w:lvlText w:val="•"/>
      <w:lvlJc w:val="left"/>
      <w:pPr>
        <w:ind w:left="2072" w:hanging="387"/>
      </w:pPr>
      <w:rPr>
        <w:rFonts w:hint="default"/>
      </w:rPr>
    </w:lvl>
    <w:lvl w:ilvl="3">
      <w:start w:val="0"/>
      <w:numFmt w:val="bullet"/>
      <w:lvlText w:val="•"/>
      <w:lvlJc w:val="left"/>
      <w:pPr>
        <w:ind w:left="3048" w:hanging="387"/>
      </w:pPr>
      <w:rPr>
        <w:rFonts w:hint="default"/>
      </w:rPr>
    </w:lvl>
    <w:lvl w:ilvl="4">
      <w:start w:val="0"/>
      <w:numFmt w:val="bullet"/>
      <w:lvlText w:val="•"/>
      <w:lvlJc w:val="left"/>
      <w:pPr>
        <w:ind w:left="4024" w:hanging="387"/>
      </w:pPr>
      <w:rPr>
        <w:rFonts w:hint="default"/>
      </w:rPr>
    </w:lvl>
    <w:lvl w:ilvl="5">
      <w:start w:val="0"/>
      <w:numFmt w:val="bullet"/>
      <w:lvlText w:val="•"/>
      <w:lvlJc w:val="left"/>
      <w:pPr>
        <w:ind w:left="5000" w:hanging="387"/>
      </w:pPr>
      <w:rPr>
        <w:rFonts w:hint="default"/>
      </w:rPr>
    </w:lvl>
    <w:lvl w:ilvl="6">
      <w:start w:val="0"/>
      <w:numFmt w:val="bullet"/>
      <w:lvlText w:val="•"/>
      <w:lvlJc w:val="left"/>
      <w:pPr>
        <w:ind w:left="5976" w:hanging="387"/>
      </w:pPr>
      <w:rPr>
        <w:rFonts w:hint="default"/>
      </w:rPr>
    </w:lvl>
    <w:lvl w:ilvl="7">
      <w:start w:val="0"/>
      <w:numFmt w:val="bullet"/>
      <w:lvlText w:val="•"/>
      <w:lvlJc w:val="left"/>
      <w:pPr>
        <w:ind w:left="6952" w:hanging="387"/>
      </w:pPr>
      <w:rPr>
        <w:rFonts w:hint="default"/>
      </w:rPr>
    </w:lvl>
    <w:lvl w:ilvl="8">
      <w:start w:val="0"/>
      <w:numFmt w:val="bullet"/>
      <w:lvlText w:val="•"/>
      <w:lvlJc w:val="left"/>
      <w:pPr>
        <w:ind w:left="7928" w:hanging="387"/>
      </w:pPr>
      <w:rPr>
        <w:rFonts w:hint="default"/>
      </w:rPr>
    </w:lvl>
  </w:abstractNum>
  <w:abstractNum w:abstractNumId="452">
    <w:multiLevelType w:val="hybridMultilevel"/>
    <w:lvl w:ilvl="0">
      <w:start w:val="2"/>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45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5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4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48">
    <w:multiLevelType w:val="hybridMultilevel"/>
    <w:lvl w:ilvl="0">
      <w:start w:val="2"/>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447">
    <w:multiLevelType w:val="hybridMultilevel"/>
    <w:lvl w:ilvl="0">
      <w:start w:val="1"/>
      <w:numFmt w:val="lowerLetter"/>
      <w:lvlText w:val="%1)"/>
      <w:lvlJc w:val="left"/>
      <w:pPr>
        <w:ind w:left="113" w:hanging="3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2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928" w:hanging="360"/>
      </w:pPr>
      <w:rPr>
        <w:rFonts w:hint="default"/>
      </w:rPr>
    </w:lvl>
  </w:abstractNum>
  <w:abstractNum w:abstractNumId="446">
    <w:multiLevelType w:val="hybridMultilevel"/>
    <w:lvl w:ilvl="0">
      <w:start w:val="2"/>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44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44">
    <w:multiLevelType w:val="hybridMultilevel"/>
    <w:lvl w:ilvl="0">
      <w:start w:val="1"/>
      <w:numFmt w:val="lowerLetter"/>
      <w:lvlText w:val="%1)"/>
      <w:lvlJc w:val="left"/>
      <w:pPr>
        <w:ind w:left="113" w:hanging="4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44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42">
    <w:multiLevelType w:val="hybridMultilevel"/>
    <w:lvl w:ilvl="0">
      <w:start w:val="4"/>
      <w:numFmt w:val="decimal"/>
      <w:lvlText w:val="(%1)"/>
      <w:lvlJc w:val="left"/>
      <w:pPr>
        <w:ind w:left="113" w:hanging="5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7"/>
      </w:pPr>
      <w:rPr>
        <w:rFonts w:hint="default"/>
      </w:rPr>
    </w:lvl>
    <w:lvl w:ilvl="2">
      <w:start w:val="0"/>
      <w:numFmt w:val="bullet"/>
      <w:lvlText w:val="•"/>
      <w:lvlJc w:val="left"/>
      <w:pPr>
        <w:ind w:left="2072" w:hanging="577"/>
      </w:pPr>
      <w:rPr>
        <w:rFonts w:hint="default"/>
      </w:rPr>
    </w:lvl>
    <w:lvl w:ilvl="3">
      <w:start w:val="0"/>
      <w:numFmt w:val="bullet"/>
      <w:lvlText w:val="•"/>
      <w:lvlJc w:val="left"/>
      <w:pPr>
        <w:ind w:left="3048" w:hanging="577"/>
      </w:pPr>
      <w:rPr>
        <w:rFonts w:hint="default"/>
      </w:rPr>
    </w:lvl>
    <w:lvl w:ilvl="4">
      <w:start w:val="0"/>
      <w:numFmt w:val="bullet"/>
      <w:lvlText w:val="•"/>
      <w:lvlJc w:val="left"/>
      <w:pPr>
        <w:ind w:left="4024" w:hanging="577"/>
      </w:pPr>
      <w:rPr>
        <w:rFonts w:hint="default"/>
      </w:rPr>
    </w:lvl>
    <w:lvl w:ilvl="5">
      <w:start w:val="0"/>
      <w:numFmt w:val="bullet"/>
      <w:lvlText w:val="•"/>
      <w:lvlJc w:val="left"/>
      <w:pPr>
        <w:ind w:left="5000" w:hanging="577"/>
      </w:pPr>
      <w:rPr>
        <w:rFonts w:hint="default"/>
      </w:rPr>
    </w:lvl>
    <w:lvl w:ilvl="6">
      <w:start w:val="0"/>
      <w:numFmt w:val="bullet"/>
      <w:lvlText w:val="•"/>
      <w:lvlJc w:val="left"/>
      <w:pPr>
        <w:ind w:left="5976" w:hanging="577"/>
      </w:pPr>
      <w:rPr>
        <w:rFonts w:hint="default"/>
      </w:rPr>
    </w:lvl>
    <w:lvl w:ilvl="7">
      <w:start w:val="0"/>
      <w:numFmt w:val="bullet"/>
      <w:lvlText w:val="•"/>
      <w:lvlJc w:val="left"/>
      <w:pPr>
        <w:ind w:left="6952" w:hanging="577"/>
      </w:pPr>
      <w:rPr>
        <w:rFonts w:hint="default"/>
      </w:rPr>
    </w:lvl>
    <w:lvl w:ilvl="8">
      <w:start w:val="0"/>
      <w:numFmt w:val="bullet"/>
      <w:lvlText w:val="•"/>
      <w:lvlJc w:val="left"/>
      <w:pPr>
        <w:ind w:left="7928" w:hanging="577"/>
      </w:pPr>
      <w:rPr>
        <w:rFonts w:hint="default"/>
      </w:rPr>
    </w:lvl>
  </w:abstractNum>
  <w:abstractNum w:abstractNumId="44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40">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39">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38">
    <w:multiLevelType w:val="hybridMultilevel"/>
    <w:lvl w:ilvl="0">
      <w:start w:val="1"/>
      <w:numFmt w:val="lowerLetter"/>
      <w:lvlText w:val="%1)"/>
      <w:lvlJc w:val="left"/>
      <w:pPr>
        <w:ind w:left="113" w:hanging="3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9"/>
      </w:pPr>
      <w:rPr>
        <w:rFonts w:hint="default"/>
      </w:rPr>
    </w:lvl>
    <w:lvl w:ilvl="2">
      <w:start w:val="0"/>
      <w:numFmt w:val="bullet"/>
      <w:lvlText w:val="•"/>
      <w:lvlJc w:val="left"/>
      <w:pPr>
        <w:ind w:left="2072" w:hanging="389"/>
      </w:pPr>
      <w:rPr>
        <w:rFonts w:hint="default"/>
      </w:rPr>
    </w:lvl>
    <w:lvl w:ilvl="3">
      <w:start w:val="0"/>
      <w:numFmt w:val="bullet"/>
      <w:lvlText w:val="•"/>
      <w:lvlJc w:val="left"/>
      <w:pPr>
        <w:ind w:left="3048" w:hanging="389"/>
      </w:pPr>
      <w:rPr>
        <w:rFonts w:hint="default"/>
      </w:rPr>
    </w:lvl>
    <w:lvl w:ilvl="4">
      <w:start w:val="0"/>
      <w:numFmt w:val="bullet"/>
      <w:lvlText w:val="•"/>
      <w:lvlJc w:val="left"/>
      <w:pPr>
        <w:ind w:left="4024" w:hanging="389"/>
      </w:pPr>
      <w:rPr>
        <w:rFonts w:hint="default"/>
      </w:rPr>
    </w:lvl>
    <w:lvl w:ilvl="5">
      <w:start w:val="0"/>
      <w:numFmt w:val="bullet"/>
      <w:lvlText w:val="•"/>
      <w:lvlJc w:val="left"/>
      <w:pPr>
        <w:ind w:left="5000" w:hanging="389"/>
      </w:pPr>
      <w:rPr>
        <w:rFonts w:hint="default"/>
      </w:rPr>
    </w:lvl>
    <w:lvl w:ilvl="6">
      <w:start w:val="0"/>
      <w:numFmt w:val="bullet"/>
      <w:lvlText w:val="•"/>
      <w:lvlJc w:val="left"/>
      <w:pPr>
        <w:ind w:left="5976" w:hanging="389"/>
      </w:pPr>
      <w:rPr>
        <w:rFonts w:hint="default"/>
      </w:rPr>
    </w:lvl>
    <w:lvl w:ilvl="7">
      <w:start w:val="0"/>
      <w:numFmt w:val="bullet"/>
      <w:lvlText w:val="•"/>
      <w:lvlJc w:val="left"/>
      <w:pPr>
        <w:ind w:left="6952" w:hanging="389"/>
      </w:pPr>
      <w:rPr>
        <w:rFonts w:hint="default"/>
      </w:rPr>
    </w:lvl>
    <w:lvl w:ilvl="8">
      <w:start w:val="0"/>
      <w:numFmt w:val="bullet"/>
      <w:lvlText w:val="•"/>
      <w:lvlJc w:val="left"/>
      <w:pPr>
        <w:ind w:left="7928" w:hanging="389"/>
      </w:pPr>
      <w:rPr>
        <w:rFonts w:hint="default"/>
      </w:rPr>
    </w:lvl>
  </w:abstractNum>
  <w:abstractNum w:abstractNumId="437">
    <w:multiLevelType w:val="hybridMultilevel"/>
    <w:lvl w:ilvl="0">
      <w:start w:val="1"/>
      <w:numFmt w:val="lowerLetter"/>
      <w:lvlText w:val="%1)"/>
      <w:lvlJc w:val="left"/>
      <w:pPr>
        <w:ind w:left="113" w:hanging="48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436">
    <w:multiLevelType w:val="hybridMultilevel"/>
    <w:lvl w:ilvl="0">
      <w:start w:val="1"/>
      <w:numFmt w:val="lowerLetter"/>
      <w:lvlText w:val="%1)"/>
      <w:lvlJc w:val="left"/>
      <w:pPr>
        <w:ind w:left="113" w:hanging="3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8"/>
      </w:pPr>
      <w:rPr>
        <w:rFonts w:hint="default"/>
      </w:rPr>
    </w:lvl>
    <w:lvl w:ilvl="2">
      <w:start w:val="0"/>
      <w:numFmt w:val="bullet"/>
      <w:lvlText w:val="•"/>
      <w:lvlJc w:val="left"/>
      <w:pPr>
        <w:ind w:left="2072" w:hanging="338"/>
      </w:pPr>
      <w:rPr>
        <w:rFonts w:hint="default"/>
      </w:rPr>
    </w:lvl>
    <w:lvl w:ilvl="3">
      <w:start w:val="0"/>
      <w:numFmt w:val="bullet"/>
      <w:lvlText w:val="•"/>
      <w:lvlJc w:val="left"/>
      <w:pPr>
        <w:ind w:left="3048" w:hanging="338"/>
      </w:pPr>
      <w:rPr>
        <w:rFonts w:hint="default"/>
      </w:rPr>
    </w:lvl>
    <w:lvl w:ilvl="4">
      <w:start w:val="0"/>
      <w:numFmt w:val="bullet"/>
      <w:lvlText w:val="•"/>
      <w:lvlJc w:val="left"/>
      <w:pPr>
        <w:ind w:left="4024" w:hanging="338"/>
      </w:pPr>
      <w:rPr>
        <w:rFonts w:hint="default"/>
      </w:rPr>
    </w:lvl>
    <w:lvl w:ilvl="5">
      <w:start w:val="0"/>
      <w:numFmt w:val="bullet"/>
      <w:lvlText w:val="•"/>
      <w:lvlJc w:val="left"/>
      <w:pPr>
        <w:ind w:left="5000" w:hanging="338"/>
      </w:pPr>
      <w:rPr>
        <w:rFonts w:hint="default"/>
      </w:rPr>
    </w:lvl>
    <w:lvl w:ilvl="6">
      <w:start w:val="0"/>
      <w:numFmt w:val="bullet"/>
      <w:lvlText w:val="•"/>
      <w:lvlJc w:val="left"/>
      <w:pPr>
        <w:ind w:left="5976" w:hanging="338"/>
      </w:pPr>
      <w:rPr>
        <w:rFonts w:hint="default"/>
      </w:rPr>
    </w:lvl>
    <w:lvl w:ilvl="7">
      <w:start w:val="0"/>
      <w:numFmt w:val="bullet"/>
      <w:lvlText w:val="•"/>
      <w:lvlJc w:val="left"/>
      <w:pPr>
        <w:ind w:left="6952" w:hanging="338"/>
      </w:pPr>
      <w:rPr>
        <w:rFonts w:hint="default"/>
      </w:rPr>
    </w:lvl>
    <w:lvl w:ilvl="8">
      <w:start w:val="0"/>
      <w:numFmt w:val="bullet"/>
      <w:lvlText w:val="•"/>
      <w:lvlJc w:val="left"/>
      <w:pPr>
        <w:ind w:left="7928" w:hanging="338"/>
      </w:pPr>
      <w:rPr>
        <w:rFonts w:hint="default"/>
      </w:rPr>
    </w:lvl>
  </w:abstractNum>
  <w:abstractNum w:abstractNumId="435">
    <w:multiLevelType w:val="hybridMultilevel"/>
    <w:lvl w:ilvl="0">
      <w:start w:val="10"/>
      <w:numFmt w:val="lowerLetter"/>
      <w:lvlText w:val="%1)"/>
      <w:lvlJc w:val="left"/>
      <w:pPr>
        <w:ind w:left="486" w:hanging="170"/>
        <w:jc w:val="left"/>
      </w:pPr>
      <w:rPr>
        <w:rFonts w:hint="default" w:ascii="Times New Roman" w:hAnsi="Times New Roman" w:eastAsia="Times New Roman" w:cs="Times New Roman"/>
        <w:i/>
        <w:spacing w:val="-1"/>
        <w:w w:val="114"/>
        <w:sz w:val="22"/>
        <w:szCs w:val="22"/>
      </w:rPr>
    </w:lvl>
    <w:lvl w:ilvl="1">
      <w:start w:val="0"/>
      <w:numFmt w:val="bullet"/>
      <w:lvlText w:val="•"/>
      <w:lvlJc w:val="left"/>
      <w:pPr>
        <w:ind w:left="1420" w:hanging="170"/>
      </w:pPr>
      <w:rPr>
        <w:rFonts w:hint="default"/>
      </w:rPr>
    </w:lvl>
    <w:lvl w:ilvl="2">
      <w:start w:val="0"/>
      <w:numFmt w:val="bullet"/>
      <w:lvlText w:val="•"/>
      <w:lvlJc w:val="left"/>
      <w:pPr>
        <w:ind w:left="2360" w:hanging="170"/>
      </w:pPr>
      <w:rPr>
        <w:rFonts w:hint="default"/>
      </w:rPr>
    </w:lvl>
    <w:lvl w:ilvl="3">
      <w:start w:val="0"/>
      <w:numFmt w:val="bullet"/>
      <w:lvlText w:val="•"/>
      <w:lvlJc w:val="left"/>
      <w:pPr>
        <w:ind w:left="3300" w:hanging="170"/>
      </w:pPr>
      <w:rPr>
        <w:rFonts w:hint="default"/>
      </w:rPr>
    </w:lvl>
    <w:lvl w:ilvl="4">
      <w:start w:val="0"/>
      <w:numFmt w:val="bullet"/>
      <w:lvlText w:val="•"/>
      <w:lvlJc w:val="left"/>
      <w:pPr>
        <w:ind w:left="4240" w:hanging="170"/>
      </w:pPr>
      <w:rPr>
        <w:rFonts w:hint="default"/>
      </w:rPr>
    </w:lvl>
    <w:lvl w:ilvl="5">
      <w:start w:val="0"/>
      <w:numFmt w:val="bullet"/>
      <w:lvlText w:val="•"/>
      <w:lvlJc w:val="left"/>
      <w:pPr>
        <w:ind w:left="5180" w:hanging="170"/>
      </w:pPr>
      <w:rPr>
        <w:rFonts w:hint="default"/>
      </w:rPr>
    </w:lvl>
    <w:lvl w:ilvl="6">
      <w:start w:val="0"/>
      <w:numFmt w:val="bullet"/>
      <w:lvlText w:val="•"/>
      <w:lvlJc w:val="left"/>
      <w:pPr>
        <w:ind w:left="6120" w:hanging="170"/>
      </w:pPr>
      <w:rPr>
        <w:rFonts w:hint="default"/>
      </w:rPr>
    </w:lvl>
    <w:lvl w:ilvl="7">
      <w:start w:val="0"/>
      <w:numFmt w:val="bullet"/>
      <w:lvlText w:val="•"/>
      <w:lvlJc w:val="left"/>
      <w:pPr>
        <w:ind w:left="7060" w:hanging="170"/>
      </w:pPr>
      <w:rPr>
        <w:rFonts w:hint="default"/>
      </w:rPr>
    </w:lvl>
    <w:lvl w:ilvl="8">
      <w:start w:val="0"/>
      <w:numFmt w:val="bullet"/>
      <w:lvlText w:val="•"/>
      <w:lvlJc w:val="left"/>
      <w:pPr>
        <w:ind w:left="8000" w:hanging="170"/>
      </w:pPr>
      <w:rPr>
        <w:rFonts w:hint="default"/>
      </w:rPr>
    </w:lvl>
  </w:abstractNum>
  <w:abstractNum w:abstractNumId="43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33">
    <w:multiLevelType w:val="hybridMultilevel"/>
    <w:lvl w:ilvl="0">
      <w:start w:val="1"/>
      <w:numFmt w:val="lowerLetter"/>
      <w:lvlText w:val="%1)"/>
      <w:lvlJc w:val="left"/>
      <w:pPr>
        <w:ind w:left="113" w:hanging="3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5"/>
      </w:pPr>
      <w:rPr>
        <w:rFonts w:hint="default"/>
      </w:rPr>
    </w:lvl>
    <w:lvl w:ilvl="2">
      <w:start w:val="0"/>
      <w:numFmt w:val="bullet"/>
      <w:lvlText w:val="•"/>
      <w:lvlJc w:val="left"/>
      <w:pPr>
        <w:ind w:left="2072" w:hanging="395"/>
      </w:pPr>
      <w:rPr>
        <w:rFonts w:hint="default"/>
      </w:rPr>
    </w:lvl>
    <w:lvl w:ilvl="3">
      <w:start w:val="0"/>
      <w:numFmt w:val="bullet"/>
      <w:lvlText w:val="•"/>
      <w:lvlJc w:val="left"/>
      <w:pPr>
        <w:ind w:left="3048" w:hanging="395"/>
      </w:pPr>
      <w:rPr>
        <w:rFonts w:hint="default"/>
      </w:rPr>
    </w:lvl>
    <w:lvl w:ilvl="4">
      <w:start w:val="0"/>
      <w:numFmt w:val="bullet"/>
      <w:lvlText w:val="•"/>
      <w:lvlJc w:val="left"/>
      <w:pPr>
        <w:ind w:left="4024" w:hanging="395"/>
      </w:pPr>
      <w:rPr>
        <w:rFonts w:hint="default"/>
      </w:rPr>
    </w:lvl>
    <w:lvl w:ilvl="5">
      <w:start w:val="0"/>
      <w:numFmt w:val="bullet"/>
      <w:lvlText w:val="•"/>
      <w:lvlJc w:val="left"/>
      <w:pPr>
        <w:ind w:left="5000" w:hanging="395"/>
      </w:pPr>
      <w:rPr>
        <w:rFonts w:hint="default"/>
      </w:rPr>
    </w:lvl>
    <w:lvl w:ilvl="6">
      <w:start w:val="0"/>
      <w:numFmt w:val="bullet"/>
      <w:lvlText w:val="•"/>
      <w:lvlJc w:val="left"/>
      <w:pPr>
        <w:ind w:left="5976" w:hanging="395"/>
      </w:pPr>
      <w:rPr>
        <w:rFonts w:hint="default"/>
      </w:rPr>
    </w:lvl>
    <w:lvl w:ilvl="7">
      <w:start w:val="0"/>
      <w:numFmt w:val="bullet"/>
      <w:lvlText w:val="•"/>
      <w:lvlJc w:val="left"/>
      <w:pPr>
        <w:ind w:left="6952" w:hanging="395"/>
      </w:pPr>
      <w:rPr>
        <w:rFonts w:hint="default"/>
      </w:rPr>
    </w:lvl>
    <w:lvl w:ilvl="8">
      <w:start w:val="0"/>
      <w:numFmt w:val="bullet"/>
      <w:lvlText w:val="•"/>
      <w:lvlJc w:val="left"/>
      <w:pPr>
        <w:ind w:left="7928" w:hanging="395"/>
      </w:pPr>
      <w:rPr>
        <w:rFonts w:hint="default"/>
      </w:rPr>
    </w:lvl>
  </w:abstractNum>
  <w:abstractNum w:abstractNumId="43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3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30">
    <w:multiLevelType w:val="hybridMultilevel"/>
    <w:lvl w:ilvl="0">
      <w:start w:val="1"/>
      <w:numFmt w:val="lowerLetter"/>
      <w:lvlText w:val="%1)"/>
      <w:lvlJc w:val="left"/>
      <w:pPr>
        <w:ind w:left="113" w:hanging="3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2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928" w:hanging="360"/>
      </w:pPr>
      <w:rPr>
        <w:rFonts w:hint="default"/>
      </w:rPr>
    </w:lvl>
  </w:abstractNum>
  <w:abstractNum w:abstractNumId="429">
    <w:multiLevelType w:val="hybridMultilevel"/>
    <w:lvl w:ilvl="0">
      <w:start w:val="2"/>
      <w:numFmt w:val="decimal"/>
      <w:lvlText w:val="(%1)"/>
      <w:lvlJc w:val="left"/>
      <w:pPr>
        <w:ind w:left="113" w:hanging="5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1"/>
      </w:pPr>
      <w:rPr>
        <w:rFonts w:hint="default"/>
      </w:rPr>
    </w:lvl>
    <w:lvl w:ilvl="2">
      <w:start w:val="0"/>
      <w:numFmt w:val="bullet"/>
      <w:lvlText w:val="•"/>
      <w:lvlJc w:val="left"/>
      <w:pPr>
        <w:ind w:left="2072" w:hanging="571"/>
      </w:pPr>
      <w:rPr>
        <w:rFonts w:hint="default"/>
      </w:rPr>
    </w:lvl>
    <w:lvl w:ilvl="3">
      <w:start w:val="0"/>
      <w:numFmt w:val="bullet"/>
      <w:lvlText w:val="•"/>
      <w:lvlJc w:val="left"/>
      <w:pPr>
        <w:ind w:left="3048" w:hanging="571"/>
      </w:pPr>
      <w:rPr>
        <w:rFonts w:hint="default"/>
      </w:rPr>
    </w:lvl>
    <w:lvl w:ilvl="4">
      <w:start w:val="0"/>
      <w:numFmt w:val="bullet"/>
      <w:lvlText w:val="•"/>
      <w:lvlJc w:val="left"/>
      <w:pPr>
        <w:ind w:left="4024" w:hanging="571"/>
      </w:pPr>
      <w:rPr>
        <w:rFonts w:hint="default"/>
      </w:rPr>
    </w:lvl>
    <w:lvl w:ilvl="5">
      <w:start w:val="0"/>
      <w:numFmt w:val="bullet"/>
      <w:lvlText w:val="•"/>
      <w:lvlJc w:val="left"/>
      <w:pPr>
        <w:ind w:left="5000" w:hanging="571"/>
      </w:pPr>
      <w:rPr>
        <w:rFonts w:hint="default"/>
      </w:rPr>
    </w:lvl>
    <w:lvl w:ilvl="6">
      <w:start w:val="0"/>
      <w:numFmt w:val="bullet"/>
      <w:lvlText w:val="•"/>
      <w:lvlJc w:val="left"/>
      <w:pPr>
        <w:ind w:left="5976" w:hanging="571"/>
      </w:pPr>
      <w:rPr>
        <w:rFonts w:hint="default"/>
      </w:rPr>
    </w:lvl>
    <w:lvl w:ilvl="7">
      <w:start w:val="0"/>
      <w:numFmt w:val="bullet"/>
      <w:lvlText w:val="•"/>
      <w:lvlJc w:val="left"/>
      <w:pPr>
        <w:ind w:left="6952" w:hanging="571"/>
      </w:pPr>
      <w:rPr>
        <w:rFonts w:hint="default"/>
      </w:rPr>
    </w:lvl>
    <w:lvl w:ilvl="8">
      <w:start w:val="0"/>
      <w:numFmt w:val="bullet"/>
      <w:lvlText w:val="•"/>
      <w:lvlJc w:val="left"/>
      <w:pPr>
        <w:ind w:left="7928" w:hanging="571"/>
      </w:pPr>
      <w:rPr>
        <w:rFonts w:hint="default"/>
      </w:rPr>
    </w:lvl>
  </w:abstractNum>
  <w:abstractNum w:abstractNumId="42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7">
    <w:multiLevelType w:val="hybridMultilevel"/>
    <w:lvl w:ilvl="0">
      <w:start w:val="1"/>
      <w:numFmt w:val="lowerLetter"/>
      <w:lvlText w:val="%1)"/>
      <w:lvlJc w:val="left"/>
      <w:pPr>
        <w:ind w:left="113" w:hanging="44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4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21">
    <w:multiLevelType w:val="hybridMultilevel"/>
    <w:lvl w:ilvl="0">
      <w:start w:val="2"/>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4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8">
    <w:multiLevelType w:val="hybridMultilevel"/>
    <w:lvl w:ilvl="0">
      <w:start w:val="2"/>
      <w:numFmt w:val="decimal"/>
      <w:lvlText w:val="(%1)"/>
      <w:lvlJc w:val="left"/>
      <w:pPr>
        <w:ind w:left="113" w:hanging="6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9"/>
      </w:pPr>
      <w:rPr>
        <w:rFonts w:hint="default"/>
      </w:rPr>
    </w:lvl>
    <w:lvl w:ilvl="2">
      <w:start w:val="0"/>
      <w:numFmt w:val="bullet"/>
      <w:lvlText w:val="•"/>
      <w:lvlJc w:val="left"/>
      <w:pPr>
        <w:ind w:left="2072" w:hanging="619"/>
      </w:pPr>
      <w:rPr>
        <w:rFonts w:hint="default"/>
      </w:rPr>
    </w:lvl>
    <w:lvl w:ilvl="3">
      <w:start w:val="0"/>
      <w:numFmt w:val="bullet"/>
      <w:lvlText w:val="•"/>
      <w:lvlJc w:val="left"/>
      <w:pPr>
        <w:ind w:left="3048" w:hanging="619"/>
      </w:pPr>
      <w:rPr>
        <w:rFonts w:hint="default"/>
      </w:rPr>
    </w:lvl>
    <w:lvl w:ilvl="4">
      <w:start w:val="0"/>
      <w:numFmt w:val="bullet"/>
      <w:lvlText w:val="•"/>
      <w:lvlJc w:val="left"/>
      <w:pPr>
        <w:ind w:left="4024" w:hanging="619"/>
      </w:pPr>
      <w:rPr>
        <w:rFonts w:hint="default"/>
      </w:rPr>
    </w:lvl>
    <w:lvl w:ilvl="5">
      <w:start w:val="0"/>
      <w:numFmt w:val="bullet"/>
      <w:lvlText w:val="•"/>
      <w:lvlJc w:val="left"/>
      <w:pPr>
        <w:ind w:left="5000" w:hanging="619"/>
      </w:pPr>
      <w:rPr>
        <w:rFonts w:hint="default"/>
      </w:rPr>
    </w:lvl>
    <w:lvl w:ilvl="6">
      <w:start w:val="0"/>
      <w:numFmt w:val="bullet"/>
      <w:lvlText w:val="•"/>
      <w:lvlJc w:val="left"/>
      <w:pPr>
        <w:ind w:left="5976" w:hanging="619"/>
      </w:pPr>
      <w:rPr>
        <w:rFonts w:hint="default"/>
      </w:rPr>
    </w:lvl>
    <w:lvl w:ilvl="7">
      <w:start w:val="0"/>
      <w:numFmt w:val="bullet"/>
      <w:lvlText w:val="•"/>
      <w:lvlJc w:val="left"/>
      <w:pPr>
        <w:ind w:left="6952" w:hanging="619"/>
      </w:pPr>
      <w:rPr>
        <w:rFonts w:hint="default"/>
      </w:rPr>
    </w:lvl>
    <w:lvl w:ilvl="8">
      <w:start w:val="0"/>
      <w:numFmt w:val="bullet"/>
      <w:lvlText w:val="•"/>
      <w:lvlJc w:val="left"/>
      <w:pPr>
        <w:ind w:left="7928" w:hanging="619"/>
      </w:pPr>
      <w:rPr>
        <w:rFonts w:hint="default"/>
      </w:rPr>
    </w:lvl>
  </w:abstractNum>
  <w:abstractNum w:abstractNumId="417">
    <w:multiLevelType w:val="hybridMultilevel"/>
    <w:lvl w:ilvl="0">
      <w:start w:val="1"/>
      <w:numFmt w:val="lowerLetter"/>
      <w:lvlText w:val="%1)"/>
      <w:lvlJc w:val="left"/>
      <w:pPr>
        <w:ind w:left="113" w:hanging="4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4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4">
    <w:multiLevelType w:val="hybridMultilevel"/>
    <w:lvl w:ilvl="0">
      <w:start w:val="1"/>
      <w:numFmt w:val="lowerLetter"/>
      <w:lvlText w:val="%1)"/>
      <w:lvlJc w:val="left"/>
      <w:pPr>
        <w:ind w:left="113" w:hanging="39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9"/>
      </w:pPr>
      <w:rPr>
        <w:rFonts w:hint="default"/>
      </w:rPr>
    </w:lvl>
    <w:lvl w:ilvl="2">
      <w:start w:val="0"/>
      <w:numFmt w:val="bullet"/>
      <w:lvlText w:val="•"/>
      <w:lvlJc w:val="left"/>
      <w:pPr>
        <w:ind w:left="2072" w:hanging="399"/>
      </w:pPr>
      <w:rPr>
        <w:rFonts w:hint="default"/>
      </w:rPr>
    </w:lvl>
    <w:lvl w:ilvl="3">
      <w:start w:val="0"/>
      <w:numFmt w:val="bullet"/>
      <w:lvlText w:val="•"/>
      <w:lvlJc w:val="left"/>
      <w:pPr>
        <w:ind w:left="3048" w:hanging="399"/>
      </w:pPr>
      <w:rPr>
        <w:rFonts w:hint="default"/>
      </w:rPr>
    </w:lvl>
    <w:lvl w:ilvl="4">
      <w:start w:val="0"/>
      <w:numFmt w:val="bullet"/>
      <w:lvlText w:val="•"/>
      <w:lvlJc w:val="left"/>
      <w:pPr>
        <w:ind w:left="4024" w:hanging="399"/>
      </w:pPr>
      <w:rPr>
        <w:rFonts w:hint="default"/>
      </w:rPr>
    </w:lvl>
    <w:lvl w:ilvl="5">
      <w:start w:val="0"/>
      <w:numFmt w:val="bullet"/>
      <w:lvlText w:val="•"/>
      <w:lvlJc w:val="left"/>
      <w:pPr>
        <w:ind w:left="5000" w:hanging="399"/>
      </w:pPr>
      <w:rPr>
        <w:rFonts w:hint="default"/>
      </w:rPr>
    </w:lvl>
    <w:lvl w:ilvl="6">
      <w:start w:val="0"/>
      <w:numFmt w:val="bullet"/>
      <w:lvlText w:val="•"/>
      <w:lvlJc w:val="left"/>
      <w:pPr>
        <w:ind w:left="5976" w:hanging="399"/>
      </w:pPr>
      <w:rPr>
        <w:rFonts w:hint="default"/>
      </w:rPr>
    </w:lvl>
    <w:lvl w:ilvl="7">
      <w:start w:val="0"/>
      <w:numFmt w:val="bullet"/>
      <w:lvlText w:val="•"/>
      <w:lvlJc w:val="left"/>
      <w:pPr>
        <w:ind w:left="6952" w:hanging="399"/>
      </w:pPr>
      <w:rPr>
        <w:rFonts w:hint="default"/>
      </w:rPr>
    </w:lvl>
    <w:lvl w:ilvl="8">
      <w:start w:val="0"/>
      <w:numFmt w:val="bullet"/>
      <w:lvlText w:val="•"/>
      <w:lvlJc w:val="left"/>
      <w:pPr>
        <w:ind w:left="7928" w:hanging="399"/>
      </w:pPr>
      <w:rPr>
        <w:rFonts w:hint="default"/>
      </w:rPr>
    </w:lvl>
  </w:abstractNum>
  <w:abstractNum w:abstractNumId="413">
    <w:multiLevelType w:val="hybridMultilevel"/>
    <w:lvl w:ilvl="0">
      <w:start w:val="1"/>
      <w:numFmt w:val="lowerLetter"/>
      <w:lvlText w:val="%1)"/>
      <w:lvlJc w:val="left"/>
      <w:pPr>
        <w:ind w:left="113" w:hanging="33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0"/>
      </w:pPr>
      <w:rPr>
        <w:rFonts w:hint="default"/>
      </w:rPr>
    </w:lvl>
    <w:lvl w:ilvl="2">
      <w:start w:val="0"/>
      <w:numFmt w:val="bullet"/>
      <w:lvlText w:val="•"/>
      <w:lvlJc w:val="left"/>
      <w:pPr>
        <w:ind w:left="2072" w:hanging="330"/>
      </w:pPr>
      <w:rPr>
        <w:rFonts w:hint="default"/>
      </w:rPr>
    </w:lvl>
    <w:lvl w:ilvl="3">
      <w:start w:val="0"/>
      <w:numFmt w:val="bullet"/>
      <w:lvlText w:val="•"/>
      <w:lvlJc w:val="left"/>
      <w:pPr>
        <w:ind w:left="3048" w:hanging="330"/>
      </w:pPr>
      <w:rPr>
        <w:rFonts w:hint="default"/>
      </w:rPr>
    </w:lvl>
    <w:lvl w:ilvl="4">
      <w:start w:val="0"/>
      <w:numFmt w:val="bullet"/>
      <w:lvlText w:val="•"/>
      <w:lvlJc w:val="left"/>
      <w:pPr>
        <w:ind w:left="4024" w:hanging="330"/>
      </w:pPr>
      <w:rPr>
        <w:rFonts w:hint="default"/>
      </w:rPr>
    </w:lvl>
    <w:lvl w:ilvl="5">
      <w:start w:val="0"/>
      <w:numFmt w:val="bullet"/>
      <w:lvlText w:val="•"/>
      <w:lvlJc w:val="left"/>
      <w:pPr>
        <w:ind w:left="5000" w:hanging="330"/>
      </w:pPr>
      <w:rPr>
        <w:rFonts w:hint="default"/>
      </w:rPr>
    </w:lvl>
    <w:lvl w:ilvl="6">
      <w:start w:val="0"/>
      <w:numFmt w:val="bullet"/>
      <w:lvlText w:val="•"/>
      <w:lvlJc w:val="left"/>
      <w:pPr>
        <w:ind w:left="5976" w:hanging="330"/>
      </w:pPr>
      <w:rPr>
        <w:rFonts w:hint="default"/>
      </w:rPr>
    </w:lvl>
    <w:lvl w:ilvl="7">
      <w:start w:val="0"/>
      <w:numFmt w:val="bullet"/>
      <w:lvlText w:val="•"/>
      <w:lvlJc w:val="left"/>
      <w:pPr>
        <w:ind w:left="6952" w:hanging="330"/>
      </w:pPr>
      <w:rPr>
        <w:rFonts w:hint="default"/>
      </w:rPr>
    </w:lvl>
    <w:lvl w:ilvl="8">
      <w:start w:val="0"/>
      <w:numFmt w:val="bullet"/>
      <w:lvlText w:val="•"/>
      <w:lvlJc w:val="left"/>
      <w:pPr>
        <w:ind w:left="7928" w:hanging="330"/>
      </w:pPr>
      <w:rPr>
        <w:rFonts w:hint="default"/>
      </w:rPr>
    </w:lvl>
  </w:abstractNum>
  <w:abstractNum w:abstractNumId="412">
    <w:multiLevelType w:val="hybridMultilevel"/>
    <w:lvl w:ilvl="0">
      <w:start w:val="1"/>
      <w:numFmt w:val="lowerLetter"/>
      <w:lvlText w:val="%1)"/>
      <w:lvlJc w:val="left"/>
      <w:pPr>
        <w:ind w:left="113" w:hanging="4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41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0">
    <w:multiLevelType w:val="hybridMultilevel"/>
    <w:lvl w:ilvl="0">
      <w:start w:val="2"/>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409">
    <w:multiLevelType w:val="hybridMultilevel"/>
    <w:lvl w:ilvl="0">
      <w:start w:val="1"/>
      <w:numFmt w:val="lowerLetter"/>
      <w:lvlText w:val="%1)"/>
      <w:lvlJc w:val="left"/>
      <w:pPr>
        <w:ind w:left="113" w:hanging="46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408">
    <w:multiLevelType w:val="hybridMultilevel"/>
    <w:lvl w:ilvl="0">
      <w:start w:val="1"/>
      <w:numFmt w:val="lowerLetter"/>
      <w:lvlText w:val="%1)"/>
      <w:lvlJc w:val="left"/>
      <w:pPr>
        <w:ind w:left="113" w:hanging="36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8"/>
      </w:pPr>
      <w:rPr>
        <w:rFonts w:hint="default"/>
      </w:rPr>
    </w:lvl>
    <w:lvl w:ilvl="2">
      <w:start w:val="0"/>
      <w:numFmt w:val="bullet"/>
      <w:lvlText w:val="•"/>
      <w:lvlJc w:val="left"/>
      <w:pPr>
        <w:ind w:left="2072" w:hanging="368"/>
      </w:pPr>
      <w:rPr>
        <w:rFonts w:hint="default"/>
      </w:rPr>
    </w:lvl>
    <w:lvl w:ilvl="3">
      <w:start w:val="0"/>
      <w:numFmt w:val="bullet"/>
      <w:lvlText w:val="•"/>
      <w:lvlJc w:val="left"/>
      <w:pPr>
        <w:ind w:left="3048" w:hanging="368"/>
      </w:pPr>
      <w:rPr>
        <w:rFonts w:hint="default"/>
      </w:rPr>
    </w:lvl>
    <w:lvl w:ilvl="4">
      <w:start w:val="0"/>
      <w:numFmt w:val="bullet"/>
      <w:lvlText w:val="•"/>
      <w:lvlJc w:val="left"/>
      <w:pPr>
        <w:ind w:left="4024" w:hanging="368"/>
      </w:pPr>
      <w:rPr>
        <w:rFonts w:hint="default"/>
      </w:rPr>
    </w:lvl>
    <w:lvl w:ilvl="5">
      <w:start w:val="0"/>
      <w:numFmt w:val="bullet"/>
      <w:lvlText w:val="•"/>
      <w:lvlJc w:val="left"/>
      <w:pPr>
        <w:ind w:left="5000" w:hanging="368"/>
      </w:pPr>
      <w:rPr>
        <w:rFonts w:hint="default"/>
      </w:rPr>
    </w:lvl>
    <w:lvl w:ilvl="6">
      <w:start w:val="0"/>
      <w:numFmt w:val="bullet"/>
      <w:lvlText w:val="•"/>
      <w:lvlJc w:val="left"/>
      <w:pPr>
        <w:ind w:left="5976" w:hanging="368"/>
      </w:pPr>
      <w:rPr>
        <w:rFonts w:hint="default"/>
      </w:rPr>
    </w:lvl>
    <w:lvl w:ilvl="7">
      <w:start w:val="0"/>
      <w:numFmt w:val="bullet"/>
      <w:lvlText w:val="•"/>
      <w:lvlJc w:val="left"/>
      <w:pPr>
        <w:ind w:left="6952" w:hanging="368"/>
      </w:pPr>
      <w:rPr>
        <w:rFonts w:hint="default"/>
      </w:rPr>
    </w:lvl>
    <w:lvl w:ilvl="8">
      <w:start w:val="0"/>
      <w:numFmt w:val="bullet"/>
      <w:lvlText w:val="•"/>
      <w:lvlJc w:val="left"/>
      <w:pPr>
        <w:ind w:left="7928" w:hanging="368"/>
      </w:pPr>
      <w:rPr>
        <w:rFonts w:hint="default"/>
      </w:rPr>
    </w:lvl>
  </w:abstractNum>
  <w:abstractNum w:abstractNumId="407">
    <w:multiLevelType w:val="hybridMultilevel"/>
    <w:lvl w:ilvl="0">
      <w:start w:val="1"/>
      <w:numFmt w:val="lowerLetter"/>
      <w:lvlText w:val="%1)"/>
      <w:lvlJc w:val="left"/>
      <w:pPr>
        <w:ind w:left="113" w:hanging="39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6"/>
      </w:pPr>
      <w:rPr>
        <w:rFonts w:hint="default"/>
      </w:rPr>
    </w:lvl>
    <w:lvl w:ilvl="2">
      <w:start w:val="0"/>
      <w:numFmt w:val="bullet"/>
      <w:lvlText w:val="•"/>
      <w:lvlJc w:val="left"/>
      <w:pPr>
        <w:ind w:left="2072" w:hanging="396"/>
      </w:pPr>
      <w:rPr>
        <w:rFonts w:hint="default"/>
      </w:rPr>
    </w:lvl>
    <w:lvl w:ilvl="3">
      <w:start w:val="0"/>
      <w:numFmt w:val="bullet"/>
      <w:lvlText w:val="•"/>
      <w:lvlJc w:val="left"/>
      <w:pPr>
        <w:ind w:left="3048" w:hanging="396"/>
      </w:pPr>
      <w:rPr>
        <w:rFonts w:hint="default"/>
      </w:rPr>
    </w:lvl>
    <w:lvl w:ilvl="4">
      <w:start w:val="0"/>
      <w:numFmt w:val="bullet"/>
      <w:lvlText w:val="•"/>
      <w:lvlJc w:val="left"/>
      <w:pPr>
        <w:ind w:left="4024" w:hanging="396"/>
      </w:pPr>
      <w:rPr>
        <w:rFonts w:hint="default"/>
      </w:rPr>
    </w:lvl>
    <w:lvl w:ilvl="5">
      <w:start w:val="0"/>
      <w:numFmt w:val="bullet"/>
      <w:lvlText w:val="•"/>
      <w:lvlJc w:val="left"/>
      <w:pPr>
        <w:ind w:left="5000" w:hanging="396"/>
      </w:pPr>
      <w:rPr>
        <w:rFonts w:hint="default"/>
      </w:rPr>
    </w:lvl>
    <w:lvl w:ilvl="6">
      <w:start w:val="0"/>
      <w:numFmt w:val="bullet"/>
      <w:lvlText w:val="•"/>
      <w:lvlJc w:val="left"/>
      <w:pPr>
        <w:ind w:left="5976"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28" w:hanging="396"/>
      </w:pPr>
      <w:rPr>
        <w:rFonts w:hint="default"/>
      </w:rPr>
    </w:lvl>
  </w:abstractNum>
  <w:abstractNum w:abstractNumId="40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05">
    <w:multiLevelType w:val="hybridMultilevel"/>
    <w:lvl w:ilvl="0">
      <w:start w:val="1"/>
      <w:numFmt w:val="lowerLetter"/>
      <w:lvlText w:val="%1)"/>
      <w:lvlJc w:val="left"/>
      <w:pPr>
        <w:ind w:left="113" w:hanging="41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6"/>
      </w:pPr>
      <w:rPr>
        <w:rFonts w:hint="default"/>
      </w:rPr>
    </w:lvl>
    <w:lvl w:ilvl="2">
      <w:start w:val="0"/>
      <w:numFmt w:val="bullet"/>
      <w:lvlText w:val="•"/>
      <w:lvlJc w:val="left"/>
      <w:pPr>
        <w:ind w:left="2072" w:hanging="416"/>
      </w:pPr>
      <w:rPr>
        <w:rFonts w:hint="default"/>
      </w:rPr>
    </w:lvl>
    <w:lvl w:ilvl="3">
      <w:start w:val="0"/>
      <w:numFmt w:val="bullet"/>
      <w:lvlText w:val="•"/>
      <w:lvlJc w:val="left"/>
      <w:pPr>
        <w:ind w:left="3048" w:hanging="416"/>
      </w:pPr>
      <w:rPr>
        <w:rFonts w:hint="default"/>
      </w:rPr>
    </w:lvl>
    <w:lvl w:ilvl="4">
      <w:start w:val="0"/>
      <w:numFmt w:val="bullet"/>
      <w:lvlText w:val="•"/>
      <w:lvlJc w:val="left"/>
      <w:pPr>
        <w:ind w:left="4024" w:hanging="416"/>
      </w:pPr>
      <w:rPr>
        <w:rFonts w:hint="default"/>
      </w:rPr>
    </w:lvl>
    <w:lvl w:ilvl="5">
      <w:start w:val="0"/>
      <w:numFmt w:val="bullet"/>
      <w:lvlText w:val="•"/>
      <w:lvlJc w:val="left"/>
      <w:pPr>
        <w:ind w:left="5000" w:hanging="416"/>
      </w:pPr>
      <w:rPr>
        <w:rFonts w:hint="default"/>
      </w:rPr>
    </w:lvl>
    <w:lvl w:ilvl="6">
      <w:start w:val="0"/>
      <w:numFmt w:val="bullet"/>
      <w:lvlText w:val="•"/>
      <w:lvlJc w:val="left"/>
      <w:pPr>
        <w:ind w:left="5976" w:hanging="416"/>
      </w:pPr>
      <w:rPr>
        <w:rFonts w:hint="default"/>
      </w:rPr>
    </w:lvl>
    <w:lvl w:ilvl="7">
      <w:start w:val="0"/>
      <w:numFmt w:val="bullet"/>
      <w:lvlText w:val="•"/>
      <w:lvlJc w:val="left"/>
      <w:pPr>
        <w:ind w:left="6952" w:hanging="416"/>
      </w:pPr>
      <w:rPr>
        <w:rFonts w:hint="default"/>
      </w:rPr>
    </w:lvl>
    <w:lvl w:ilvl="8">
      <w:start w:val="0"/>
      <w:numFmt w:val="bullet"/>
      <w:lvlText w:val="•"/>
      <w:lvlJc w:val="left"/>
      <w:pPr>
        <w:ind w:left="7928" w:hanging="416"/>
      </w:pPr>
      <w:rPr>
        <w:rFonts w:hint="default"/>
      </w:rPr>
    </w:lvl>
  </w:abstractNum>
  <w:abstractNum w:abstractNumId="404">
    <w:multiLevelType w:val="hybridMultilevel"/>
    <w:lvl w:ilvl="0">
      <w:start w:val="2"/>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403">
    <w:multiLevelType w:val="hybridMultilevel"/>
    <w:lvl w:ilvl="0">
      <w:start w:val="2"/>
      <w:numFmt w:val="decimal"/>
      <w:lvlText w:val="(%1)"/>
      <w:lvlJc w:val="left"/>
      <w:pPr>
        <w:ind w:left="746"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29"/>
      </w:pPr>
      <w:rPr>
        <w:rFonts w:hint="default"/>
      </w:rPr>
    </w:lvl>
    <w:lvl w:ilvl="2">
      <w:start w:val="0"/>
      <w:numFmt w:val="bullet"/>
      <w:lvlText w:val="•"/>
      <w:lvlJc w:val="left"/>
      <w:pPr>
        <w:ind w:left="2568" w:hanging="429"/>
      </w:pPr>
      <w:rPr>
        <w:rFonts w:hint="default"/>
      </w:rPr>
    </w:lvl>
    <w:lvl w:ilvl="3">
      <w:start w:val="0"/>
      <w:numFmt w:val="bullet"/>
      <w:lvlText w:val="•"/>
      <w:lvlJc w:val="left"/>
      <w:pPr>
        <w:ind w:left="3482" w:hanging="429"/>
      </w:pPr>
      <w:rPr>
        <w:rFonts w:hint="default"/>
      </w:rPr>
    </w:lvl>
    <w:lvl w:ilvl="4">
      <w:start w:val="0"/>
      <w:numFmt w:val="bullet"/>
      <w:lvlText w:val="•"/>
      <w:lvlJc w:val="left"/>
      <w:pPr>
        <w:ind w:left="4396" w:hanging="429"/>
      </w:pPr>
      <w:rPr>
        <w:rFonts w:hint="default"/>
      </w:rPr>
    </w:lvl>
    <w:lvl w:ilvl="5">
      <w:start w:val="0"/>
      <w:numFmt w:val="bullet"/>
      <w:lvlText w:val="•"/>
      <w:lvlJc w:val="left"/>
      <w:pPr>
        <w:ind w:left="5310" w:hanging="429"/>
      </w:pPr>
      <w:rPr>
        <w:rFonts w:hint="default"/>
      </w:rPr>
    </w:lvl>
    <w:lvl w:ilvl="6">
      <w:start w:val="0"/>
      <w:numFmt w:val="bullet"/>
      <w:lvlText w:val="•"/>
      <w:lvlJc w:val="left"/>
      <w:pPr>
        <w:ind w:left="6224" w:hanging="429"/>
      </w:pPr>
      <w:rPr>
        <w:rFonts w:hint="default"/>
      </w:rPr>
    </w:lvl>
    <w:lvl w:ilvl="7">
      <w:start w:val="0"/>
      <w:numFmt w:val="bullet"/>
      <w:lvlText w:val="•"/>
      <w:lvlJc w:val="left"/>
      <w:pPr>
        <w:ind w:left="7138" w:hanging="429"/>
      </w:pPr>
      <w:rPr>
        <w:rFonts w:hint="default"/>
      </w:rPr>
    </w:lvl>
    <w:lvl w:ilvl="8">
      <w:start w:val="0"/>
      <w:numFmt w:val="bullet"/>
      <w:lvlText w:val="•"/>
      <w:lvlJc w:val="left"/>
      <w:pPr>
        <w:ind w:left="8052" w:hanging="429"/>
      </w:pPr>
      <w:rPr>
        <w:rFonts w:hint="default"/>
      </w:rPr>
    </w:lvl>
  </w:abstractNum>
  <w:abstractNum w:abstractNumId="40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01">
    <w:multiLevelType w:val="hybridMultilevel"/>
    <w:lvl w:ilvl="0">
      <w:start w:val="1"/>
      <w:numFmt w:val="lowerLetter"/>
      <w:lvlText w:val="%1)"/>
      <w:lvlJc w:val="left"/>
      <w:pPr>
        <w:ind w:left="113" w:hanging="37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8"/>
      </w:pPr>
      <w:rPr>
        <w:rFonts w:hint="default"/>
      </w:rPr>
    </w:lvl>
    <w:lvl w:ilvl="2">
      <w:start w:val="0"/>
      <w:numFmt w:val="bullet"/>
      <w:lvlText w:val="•"/>
      <w:lvlJc w:val="left"/>
      <w:pPr>
        <w:ind w:left="2072" w:hanging="378"/>
      </w:pPr>
      <w:rPr>
        <w:rFonts w:hint="default"/>
      </w:rPr>
    </w:lvl>
    <w:lvl w:ilvl="3">
      <w:start w:val="0"/>
      <w:numFmt w:val="bullet"/>
      <w:lvlText w:val="•"/>
      <w:lvlJc w:val="left"/>
      <w:pPr>
        <w:ind w:left="3048" w:hanging="378"/>
      </w:pPr>
      <w:rPr>
        <w:rFonts w:hint="default"/>
      </w:rPr>
    </w:lvl>
    <w:lvl w:ilvl="4">
      <w:start w:val="0"/>
      <w:numFmt w:val="bullet"/>
      <w:lvlText w:val="•"/>
      <w:lvlJc w:val="left"/>
      <w:pPr>
        <w:ind w:left="4024" w:hanging="378"/>
      </w:pPr>
      <w:rPr>
        <w:rFonts w:hint="default"/>
      </w:rPr>
    </w:lvl>
    <w:lvl w:ilvl="5">
      <w:start w:val="0"/>
      <w:numFmt w:val="bullet"/>
      <w:lvlText w:val="•"/>
      <w:lvlJc w:val="left"/>
      <w:pPr>
        <w:ind w:left="5000" w:hanging="378"/>
      </w:pPr>
      <w:rPr>
        <w:rFonts w:hint="default"/>
      </w:rPr>
    </w:lvl>
    <w:lvl w:ilvl="6">
      <w:start w:val="0"/>
      <w:numFmt w:val="bullet"/>
      <w:lvlText w:val="•"/>
      <w:lvlJc w:val="left"/>
      <w:pPr>
        <w:ind w:left="5976" w:hanging="378"/>
      </w:pPr>
      <w:rPr>
        <w:rFonts w:hint="default"/>
      </w:rPr>
    </w:lvl>
    <w:lvl w:ilvl="7">
      <w:start w:val="0"/>
      <w:numFmt w:val="bullet"/>
      <w:lvlText w:val="•"/>
      <w:lvlJc w:val="left"/>
      <w:pPr>
        <w:ind w:left="6952" w:hanging="378"/>
      </w:pPr>
      <w:rPr>
        <w:rFonts w:hint="default"/>
      </w:rPr>
    </w:lvl>
    <w:lvl w:ilvl="8">
      <w:start w:val="0"/>
      <w:numFmt w:val="bullet"/>
      <w:lvlText w:val="•"/>
      <w:lvlJc w:val="left"/>
      <w:pPr>
        <w:ind w:left="7928" w:hanging="378"/>
      </w:pPr>
      <w:rPr>
        <w:rFonts w:hint="default"/>
      </w:rPr>
    </w:lvl>
  </w:abstractNum>
  <w:abstractNum w:abstractNumId="400">
    <w:multiLevelType w:val="hybridMultilevel"/>
    <w:lvl w:ilvl="0">
      <w:start w:val="1"/>
      <w:numFmt w:val="lowerLetter"/>
      <w:lvlText w:val="%1)"/>
      <w:lvlJc w:val="left"/>
      <w:pPr>
        <w:ind w:left="113"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0"/>
      </w:pPr>
      <w:rPr>
        <w:rFonts w:hint="default"/>
      </w:rPr>
    </w:lvl>
    <w:lvl w:ilvl="2">
      <w:start w:val="0"/>
      <w:numFmt w:val="bullet"/>
      <w:lvlText w:val="•"/>
      <w:lvlJc w:val="left"/>
      <w:pPr>
        <w:ind w:left="2072" w:hanging="340"/>
      </w:pPr>
      <w:rPr>
        <w:rFonts w:hint="default"/>
      </w:rPr>
    </w:lvl>
    <w:lvl w:ilvl="3">
      <w:start w:val="0"/>
      <w:numFmt w:val="bullet"/>
      <w:lvlText w:val="•"/>
      <w:lvlJc w:val="left"/>
      <w:pPr>
        <w:ind w:left="3048" w:hanging="340"/>
      </w:pPr>
      <w:rPr>
        <w:rFonts w:hint="default"/>
      </w:rPr>
    </w:lvl>
    <w:lvl w:ilvl="4">
      <w:start w:val="0"/>
      <w:numFmt w:val="bullet"/>
      <w:lvlText w:val="•"/>
      <w:lvlJc w:val="left"/>
      <w:pPr>
        <w:ind w:left="4024" w:hanging="340"/>
      </w:pPr>
      <w:rPr>
        <w:rFonts w:hint="default"/>
      </w:rPr>
    </w:lvl>
    <w:lvl w:ilvl="5">
      <w:start w:val="0"/>
      <w:numFmt w:val="bullet"/>
      <w:lvlText w:val="•"/>
      <w:lvlJc w:val="left"/>
      <w:pPr>
        <w:ind w:left="5000" w:hanging="340"/>
      </w:pPr>
      <w:rPr>
        <w:rFonts w:hint="default"/>
      </w:rPr>
    </w:lvl>
    <w:lvl w:ilvl="6">
      <w:start w:val="0"/>
      <w:numFmt w:val="bullet"/>
      <w:lvlText w:val="•"/>
      <w:lvlJc w:val="left"/>
      <w:pPr>
        <w:ind w:left="5976" w:hanging="340"/>
      </w:pPr>
      <w:rPr>
        <w:rFonts w:hint="default"/>
      </w:rPr>
    </w:lvl>
    <w:lvl w:ilvl="7">
      <w:start w:val="0"/>
      <w:numFmt w:val="bullet"/>
      <w:lvlText w:val="•"/>
      <w:lvlJc w:val="left"/>
      <w:pPr>
        <w:ind w:left="6952" w:hanging="340"/>
      </w:pPr>
      <w:rPr>
        <w:rFonts w:hint="default"/>
      </w:rPr>
    </w:lvl>
    <w:lvl w:ilvl="8">
      <w:start w:val="0"/>
      <w:numFmt w:val="bullet"/>
      <w:lvlText w:val="•"/>
      <w:lvlJc w:val="left"/>
      <w:pPr>
        <w:ind w:left="7928" w:hanging="340"/>
      </w:pPr>
      <w:rPr>
        <w:rFonts w:hint="default"/>
      </w:rPr>
    </w:lvl>
  </w:abstractNum>
  <w:abstractNum w:abstractNumId="399">
    <w:multiLevelType w:val="hybridMultilevel"/>
    <w:lvl w:ilvl="0">
      <w:start w:val="2"/>
      <w:numFmt w:val="decimal"/>
      <w:lvlText w:val="(%1)"/>
      <w:lvlJc w:val="left"/>
      <w:pPr>
        <w:ind w:left="113" w:hanging="5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6"/>
      </w:pPr>
      <w:rPr>
        <w:rFonts w:hint="default"/>
      </w:rPr>
    </w:lvl>
    <w:lvl w:ilvl="2">
      <w:start w:val="0"/>
      <w:numFmt w:val="bullet"/>
      <w:lvlText w:val="•"/>
      <w:lvlJc w:val="left"/>
      <w:pPr>
        <w:ind w:left="2072" w:hanging="536"/>
      </w:pPr>
      <w:rPr>
        <w:rFonts w:hint="default"/>
      </w:rPr>
    </w:lvl>
    <w:lvl w:ilvl="3">
      <w:start w:val="0"/>
      <w:numFmt w:val="bullet"/>
      <w:lvlText w:val="•"/>
      <w:lvlJc w:val="left"/>
      <w:pPr>
        <w:ind w:left="3048" w:hanging="536"/>
      </w:pPr>
      <w:rPr>
        <w:rFonts w:hint="default"/>
      </w:rPr>
    </w:lvl>
    <w:lvl w:ilvl="4">
      <w:start w:val="0"/>
      <w:numFmt w:val="bullet"/>
      <w:lvlText w:val="•"/>
      <w:lvlJc w:val="left"/>
      <w:pPr>
        <w:ind w:left="4024" w:hanging="536"/>
      </w:pPr>
      <w:rPr>
        <w:rFonts w:hint="default"/>
      </w:rPr>
    </w:lvl>
    <w:lvl w:ilvl="5">
      <w:start w:val="0"/>
      <w:numFmt w:val="bullet"/>
      <w:lvlText w:val="•"/>
      <w:lvlJc w:val="left"/>
      <w:pPr>
        <w:ind w:left="5000" w:hanging="536"/>
      </w:pPr>
      <w:rPr>
        <w:rFonts w:hint="default"/>
      </w:rPr>
    </w:lvl>
    <w:lvl w:ilvl="6">
      <w:start w:val="0"/>
      <w:numFmt w:val="bullet"/>
      <w:lvlText w:val="•"/>
      <w:lvlJc w:val="left"/>
      <w:pPr>
        <w:ind w:left="5976" w:hanging="536"/>
      </w:pPr>
      <w:rPr>
        <w:rFonts w:hint="default"/>
      </w:rPr>
    </w:lvl>
    <w:lvl w:ilvl="7">
      <w:start w:val="0"/>
      <w:numFmt w:val="bullet"/>
      <w:lvlText w:val="•"/>
      <w:lvlJc w:val="left"/>
      <w:pPr>
        <w:ind w:left="6952" w:hanging="536"/>
      </w:pPr>
      <w:rPr>
        <w:rFonts w:hint="default"/>
      </w:rPr>
    </w:lvl>
    <w:lvl w:ilvl="8">
      <w:start w:val="0"/>
      <w:numFmt w:val="bullet"/>
      <w:lvlText w:val="•"/>
      <w:lvlJc w:val="left"/>
      <w:pPr>
        <w:ind w:left="7928" w:hanging="536"/>
      </w:pPr>
      <w:rPr>
        <w:rFonts w:hint="default"/>
      </w:rPr>
    </w:lvl>
  </w:abstractNum>
  <w:abstractNum w:abstractNumId="39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7">
    <w:multiLevelType w:val="hybridMultilevel"/>
    <w:lvl w:ilvl="0">
      <w:start w:val="1"/>
      <w:numFmt w:val="lowerLetter"/>
      <w:lvlText w:val="%1)"/>
      <w:lvlJc w:val="left"/>
      <w:pPr>
        <w:ind w:left="113" w:hanging="50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7"/>
      </w:pPr>
      <w:rPr>
        <w:rFonts w:hint="default"/>
      </w:rPr>
    </w:lvl>
    <w:lvl w:ilvl="2">
      <w:start w:val="0"/>
      <w:numFmt w:val="bullet"/>
      <w:lvlText w:val="•"/>
      <w:lvlJc w:val="left"/>
      <w:pPr>
        <w:ind w:left="2072" w:hanging="507"/>
      </w:pPr>
      <w:rPr>
        <w:rFonts w:hint="default"/>
      </w:rPr>
    </w:lvl>
    <w:lvl w:ilvl="3">
      <w:start w:val="0"/>
      <w:numFmt w:val="bullet"/>
      <w:lvlText w:val="•"/>
      <w:lvlJc w:val="left"/>
      <w:pPr>
        <w:ind w:left="3048" w:hanging="507"/>
      </w:pPr>
      <w:rPr>
        <w:rFonts w:hint="default"/>
      </w:rPr>
    </w:lvl>
    <w:lvl w:ilvl="4">
      <w:start w:val="0"/>
      <w:numFmt w:val="bullet"/>
      <w:lvlText w:val="•"/>
      <w:lvlJc w:val="left"/>
      <w:pPr>
        <w:ind w:left="4024" w:hanging="507"/>
      </w:pPr>
      <w:rPr>
        <w:rFonts w:hint="default"/>
      </w:rPr>
    </w:lvl>
    <w:lvl w:ilvl="5">
      <w:start w:val="0"/>
      <w:numFmt w:val="bullet"/>
      <w:lvlText w:val="•"/>
      <w:lvlJc w:val="left"/>
      <w:pPr>
        <w:ind w:left="5000" w:hanging="507"/>
      </w:pPr>
      <w:rPr>
        <w:rFonts w:hint="default"/>
      </w:rPr>
    </w:lvl>
    <w:lvl w:ilvl="6">
      <w:start w:val="0"/>
      <w:numFmt w:val="bullet"/>
      <w:lvlText w:val="•"/>
      <w:lvlJc w:val="left"/>
      <w:pPr>
        <w:ind w:left="5976" w:hanging="507"/>
      </w:pPr>
      <w:rPr>
        <w:rFonts w:hint="default"/>
      </w:rPr>
    </w:lvl>
    <w:lvl w:ilvl="7">
      <w:start w:val="0"/>
      <w:numFmt w:val="bullet"/>
      <w:lvlText w:val="•"/>
      <w:lvlJc w:val="left"/>
      <w:pPr>
        <w:ind w:left="6952" w:hanging="507"/>
      </w:pPr>
      <w:rPr>
        <w:rFonts w:hint="default"/>
      </w:rPr>
    </w:lvl>
    <w:lvl w:ilvl="8">
      <w:start w:val="0"/>
      <w:numFmt w:val="bullet"/>
      <w:lvlText w:val="•"/>
      <w:lvlJc w:val="left"/>
      <w:pPr>
        <w:ind w:left="7928" w:hanging="507"/>
      </w:pPr>
      <w:rPr>
        <w:rFonts w:hint="default"/>
      </w:rPr>
    </w:lvl>
  </w:abstractNum>
  <w:abstractNum w:abstractNumId="396">
    <w:multiLevelType w:val="hybridMultilevel"/>
    <w:lvl w:ilvl="0">
      <w:start w:val="2"/>
      <w:numFmt w:val="decimal"/>
      <w:lvlText w:val="(%1)"/>
      <w:lvlJc w:val="left"/>
      <w:pPr>
        <w:ind w:left="113" w:hanging="469"/>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39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9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9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90">
    <w:multiLevelType w:val="hybridMultilevel"/>
    <w:lvl w:ilvl="0">
      <w:start w:val="2"/>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38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8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87">
    <w:multiLevelType w:val="hybridMultilevel"/>
    <w:lvl w:ilvl="0">
      <w:start w:val="2"/>
      <w:numFmt w:val="decimal"/>
      <w:lvlText w:val="(%1)"/>
      <w:lvlJc w:val="left"/>
      <w:pPr>
        <w:ind w:left="113" w:hanging="5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7"/>
      </w:pPr>
      <w:rPr>
        <w:rFonts w:hint="default"/>
      </w:rPr>
    </w:lvl>
    <w:lvl w:ilvl="2">
      <w:start w:val="0"/>
      <w:numFmt w:val="bullet"/>
      <w:lvlText w:val="•"/>
      <w:lvlJc w:val="left"/>
      <w:pPr>
        <w:ind w:left="2072" w:hanging="547"/>
      </w:pPr>
      <w:rPr>
        <w:rFonts w:hint="default"/>
      </w:rPr>
    </w:lvl>
    <w:lvl w:ilvl="3">
      <w:start w:val="0"/>
      <w:numFmt w:val="bullet"/>
      <w:lvlText w:val="•"/>
      <w:lvlJc w:val="left"/>
      <w:pPr>
        <w:ind w:left="3048" w:hanging="547"/>
      </w:pPr>
      <w:rPr>
        <w:rFonts w:hint="default"/>
      </w:rPr>
    </w:lvl>
    <w:lvl w:ilvl="4">
      <w:start w:val="0"/>
      <w:numFmt w:val="bullet"/>
      <w:lvlText w:val="•"/>
      <w:lvlJc w:val="left"/>
      <w:pPr>
        <w:ind w:left="4024" w:hanging="547"/>
      </w:pPr>
      <w:rPr>
        <w:rFonts w:hint="default"/>
      </w:rPr>
    </w:lvl>
    <w:lvl w:ilvl="5">
      <w:start w:val="0"/>
      <w:numFmt w:val="bullet"/>
      <w:lvlText w:val="•"/>
      <w:lvlJc w:val="left"/>
      <w:pPr>
        <w:ind w:left="5000" w:hanging="547"/>
      </w:pPr>
      <w:rPr>
        <w:rFonts w:hint="default"/>
      </w:rPr>
    </w:lvl>
    <w:lvl w:ilvl="6">
      <w:start w:val="0"/>
      <w:numFmt w:val="bullet"/>
      <w:lvlText w:val="•"/>
      <w:lvlJc w:val="left"/>
      <w:pPr>
        <w:ind w:left="5976" w:hanging="547"/>
      </w:pPr>
      <w:rPr>
        <w:rFonts w:hint="default"/>
      </w:rPr>
    </w:lvl>
    <w:lvl w:ilvl="7">
      <w:start w:val="0"/>
      <w:numFmt w:val="bullet"/>
      <w:lvlText w:val="•"/>
      <w:lvlJc w:val="left"/>
      <w:pPr>
        <w:ind w:left="6952" w:hanging="547"/>
      </w:pPr>
      <w:rPr>
        <w:rFonts w:hint="default"/>
      </w:rPr>
    </w:lvl>
    <w:lvl w:ilvl="8">
      <w:start w:val="0"/>
      <w:numFmt w:val="bullet"/>
      <w:lvlText w:val="•"/>
      <w:lvlJc w:val="left"/>
      <w:pPr>
        <w:ind w:left="7928" w:hanging="547"/>
      </w:pPr>
      <w:rPr>
        <w:rFonts w:hint="default"/>
      </w:rPr>
    </w:lvl>
  </w:abstractNum>
  <w:abstractNum w:abstractNumId="385">
    <w:multiLevelType w:val="hybridMultilevel"/>
    <w:lvl w:ilvl="0">
      <w:start w:val="4"/>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2"/>
      <w:numFmt w:val="decimal"/>
      <w:lvlText w:val="(%2)"/>
      <w:lvlJc w:val="left"/>
      <w:pPr>
        <w:ind w:left="113" w:hanging="481"/>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384">
    <w:multiLevelType w:val="hybridMultilevel"/>
    <w:lvl w:ilvl="0">
      <w:start w:val="1"/>
      <w:numFmt w:val="lowerLetter"/>
      <w:lvlText w:val="%1)"/>
      <w:lvlJc w:val="left"/>
      <w:pPr>
        <w:ind w:left="113" w:hanging="45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383">
    <w:multiLevelType w:val="hybridMultilevel"/>
    <w:lvl w:ilvl="0">
      <w:start w:val="2"/>
      <w:numFmt w:val="decimal"/>
      <w:lvlText w:val="(%1)"/>
      <w:lvlJc w:val="left"/>
      <w:pPr>
        <w:ind w:left="529" w:hanging="416"/>
        <w:jc w:val="left"/>
      </w:pPr>
      <w:rPr>
        <w:rFonts w:hint="default" w:ascii="Times New Roman" w:hAnsi="Times New Roman" w:eastAsia="Times New Roman" w:cs="Times New Roman"/>
        <w:spacing w:val="-1"/>
        <w:w w:val="121"/>
        <w:sz w:val="24"/>
        <w:szCs w:val="24"/>
      </w:rPr>
    </w:lvl>
    <w:lvl w:ilvl="1">
      <w:start w:val="5"/>
      <w:numFmt w:val="decimal"/>
      <w:lvlText w:val="(%2)"/>
      <w:lvlJc w:val="left"/>
      <w:pPr>
        <w:ind w:left="113" w:hanging="422"/>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680" w:hanging="422"/>
      </w:pPr>
      <w:rPr>
        <w:rFonts w:hint="default"/>
      </w:rPr>
    </w:lvl>
    <w:lvl w:ilvl="3">
      <w:start w:val="0"/>
      <w:numFmt w:val="bullet"/>
      <w:lvlText w:val="•"/>
      <w:lvlJc w:val="left"/>
      <w:pPr>
        <w:ind w:left="1830" w:hanging="422"/>
      </w:pPr>
      <w:rPr>
        <w:rFonts w:hint="default"/>
      </w:rPr>
    </w:lvl>
    <w:lvl w:ilvl="4">
      <w:start w:val="0"/>
      <w:numFmt w:val="bullet"/>
      <w:lvlText w:val="•"/>
      <w:lvlJc w:val="left"/>
      <w:pPr>
        <w:ind w:left="2980" w:hanging="422"/>
      </w:pPr>
      <w:rPr>
        <w:rFonts w:hint="default"/>
      </w:rPr>
    </w:lvl>
    <w:lvl w:ilvl="5">
      <w:start w:val="0"/>
      <w:numFmt w:val="bullet"/>
      <w:lvlText w:val="•"/>
      <w:lvlJc w:val="left"/>
      <w:pPr>
        <w:ind w:left="4130" w:hanging="422"/>
      </w:pPr>
      <w:rPr>
        <w:rFonts w:hint="default"/>
      </w:rPr>
    </w:lvl>
    <w:lvl w:ilvl="6">
      <w:start w:val="0"/>
      <w:numFmt w:val="bullet"/>
      <w:lvlText w:val="•"/>
      <w:lvlJc w:val="left"/>
      <w:pPr>
        <w:ind w:left="5280" w:hanging="422"/>
      </w:pPr>
      <w:rPr>
        <w:rFonts w:hint="default"/>
      </w:rPr>
    </w:lvl>
    <w:lvl w:ilvl="7">
      <w:start w:val="0"/>
      <w:numFmt w:val="bullet"/>
      <w:lvlText w:val="•"/>
      <w:lvlJc w:val="left"/>
      <w:pPr>
        <w:ind w:left="6430" w:hanging="422"/>
      </w:pPr>
      <w:rPr>
        <w:rFonts w:hint="default"/>
      </w:rPr>
    </w:lvl>
    <w:lvl w:ilvl="8">
      <w:start w:val="0"/>
      <w:numFmt w:val="bullet"/>
      <w:lvlText w:val="•"/>
      <w:lvlJc w:val="left"/>
      <w:pPr>
        <w:ind w:left="7580" w:hanging="422"/>
      </w:pPr>
      <w:rPr>
        <w:rFonts w:hint="default"/>
      </w:rPr>
    </w:lvl>
  </w:abstractNum>
  <w:abstractNum w:abstractNumId="382">
    <w:multiLevelType w:val="hybridMultilevel"/>
    <w:lvl w:ilvl="0">
      <w:start w:val="2"/>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381">
    <w:multiLevelType w:val="hybridMultilevel"/>
    <w:lvl w:ilvl="0">
      <w:start w:val="5"/>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8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7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8">
    <w:multiLevelType w:val="hybridMultilevel"/>
    <w:lvl w:ilvl="0">
      <w:start w:val="1"/>
      <w:numFmt w:val="lowerLetter"/>
      <w:lvlText w:val="%1)"/>
      <w:lvlJc w:val="left"/>
      <w:pPr>
        <w:ind w:left="113" w:hanging="392"/>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2"/>
      </w:pPr>
      <w:rPr>
        <w:rFonts w:hint="default"/>
      </w:rPr>
    </w:lvl>
    <w:lvl w:ilvl="2">
      <w:start w:val="0"/>
      <w:numFmt w:val="bullet"/>
      <w:lvlText w:val="•"/>
      <w:lvlJc w:val="left"/>
      <w:pPr>
        <w:ind w:left="2072" w:hanging="392"/>
      </w:pPr>
      <w:rPr>
        <w:rFonts w:hint="default"/>
      </w:rPr>
    </w:lvl>
    <w:lvl w:ilvl="3">
      <w:start w:val="0"/>
      <w:numFmt w:val="bullet"/>
      <w:lvlText w:val="•"/>
      <w:lvlJc w:val="left"/>
      <w:pPr>
        <w:ind w:left="3048" w:hanging="392"/>
      </w:pPr>
      <w:rPr>
        <w:rFonts w:hint="default"/>
      </w:rPr>
    </w:lvl>
    <w:lvl w:ilvl="4">
      <w:start w:val="0"/>
      <w:numFmt w:val="bullet"/>
      <w:lvlText w:val="•"/>
      <w:lvlJc w:val="left"/>
      <w:pPr>
        <w:ind w:left="4024" w:hanging="392"/>
      </w:pPr>
      <w:rPr>
        <w:rFonts w:hint="default"/>
      </w:rPr>
    </w:lvl>
    <w:lvl w:ilvl="5">
      <w:start w:val="0"/>
      <w:numFmt w:val="bullet"/>
      <w:lvlText w:val="•"/>
      <w:lvlJc w:val="left"/>
      <w:pPr>
        <w:ind w:left="5000" w:hanging="392"/>
      </w:pPr>
      <w:rPr>
        <w:rFonts w:hint="default"/>
      </w:rPr>
    </w:lvl>
    <w:lvl w:ilvl="6">
      <w:start w:val="0"/>
      <w:numFmt w:val="bullet"/>
      <w:lvlText w:val="•"/>
      <w:lvlJc w:val="left"/>
      <w:pPr>
        <w:ind w:left="5976" w:hanging="392"/>
      </w:pPr>
      <w:rPr>
        <w:rFonts w:hint="default"/>
      </w:rPr>
    </w:lvl>
    <w:lvl w:ilvl="7">
      <w:start w:val="0"/>
      <w:numFmt w:val="bullet"/>
      <w:lvlText w:val="•"/>
      <w:lvlJc w:val="left"/>
      <w:pPr>
        <w:ind w:left="6952" w:hanging="392"/>
      </w:pPr>
      <w:rPr>
        <w:rFonts w:hint="default"/>
      </w:rPr>
    </w:lvl>
    <w:lvl w:ilvl="8">
      <w:start w:val="0"/>
      <w:numFmt w:val="bullet"/>
      <w:lvlText w:val="•"/>
      <w:lvlJc w:val="left"/>
      <w:pPr>
        <w:ind w:left="7928" w:hanging="392"/>
      </w:pPr>
      <w:rPr>
        <w:rFonts w:hint="default"/>
      </w:rPr>
    </w:lvl>
  </w:abstractNum>
  <w:abstractNum w:abstractNumId="377">
    <w:multiLevelType w:val="hybridMultilevel"/>
    <w:lvl w:ilvl="0">
      <w:start w:val="2"/>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6">
    <w:multiLevelType w:val="hybridMultilevel"/>
    <w:lvl w:ilvl="0">
      <w:start w:val="2"/>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375">
    <w:multiLevelType w:val="hybridMultilevel"/>
    <w:lvl w:ilvl="0">
      <w:start w:val="6"/>
      <w:numFmt w:val="lowerLetter"/>
      <w:lvlText w:val="%1)"/>
      <w:lvlJc w:val="left"/>
      <w:pPr>
        <w:ind w:left="576" w:hanging="259"/>
        <w:jc w:val="left"/>
      </w:pPr>
      <w:rPr>
        <w:rFonts w:hint="default" w:ascii="Times New Roman" w:hAnsi="Times New Roman" w:eastAsia="Times New Roman" w:cs="Times New Roman"/>
        <w:i/>
        <w:spacing w:val="-1"/>
        <w:w w:val="124"/>
        <w:sz w:val="24"/>
        <w:szCs w:val="24"/>
      </w:rPr>
    </w:lvl>
    <w:lvl w:ilvl="1">
      <w:start w:val="0"/>
      <w:numFmt w:val="bullet"/>
      <w:lvlText w:val="•"/>
      <w:lvlJc w:val="left"/>
      <w:pPr>
        <w:ind w:left="1510" w:hanging="259"/>
      </w:pPr>
      <w:rPr>
        <w:rFonts w:hint="default"/>
      </w:rPr>
    </w:lvl>
    <w:lvl w:ilvl="2">
      <w:start w:val="0"/>
      <w:numFmt w:val="bullet"/>
      <w:lvlText w:val="•"/>
      <w:lvlJc w:val="left"/>
      <w:pPr>
        <w:ind w:left="2440" w:hanging="259"/>
      </w:pPr>
      <w:rPr>
        <w:rFonts w:hint="default"/>
      </w:rPr>
    </w:lvl>
    <w:lvl w:ilvl="3">
      <w:start w:val="0"/>
      <w:numFmt w:val="bullet"/>
      <w:lvlText w:val="•"/>
      <w:lvlJc w:val="left"/>
      <w:pPr>
        <w:ind w:left="3370" w:hanging="259"/>
      </w:pPr>
      <w:rPr>
        <w:rFonts w:hint="default"/>
      </w:rPr>
    </w:lvl>
    <w:lvl w:ilvl="4">
      <w:start w:val="0"/>
      <w:numFmt w:val="bullet"/>
      <w:lvlText w:val="•"/>
      <w:lvlJc w:val="left"/>
      <w:pPr>
        <w:ind w:left="4300" w:hanging="259"/>
      </w:pPr>
      <w:rPr>
        <w:rFonts w:hint="default"/>
      </w:rPr>
    </w:lvl>
    <w:lvl w:ilvl="5">
      <w:start w:val="0"/>
      <w:numFmt w:val="bullet"/>
      <w:lvlText w:val="•"/>
      <w:lvlJc w:val="left"/>
      <w:pPr>
        <w:ind w:left="5230" w:hanging="259"/>
      </w:pPr>
      <w:rPr>
        <w:rFonts w:hint="default"/>
      </w:rPr>
    </w:lvl>
    <w:lvl w:ilvl="6">
      <w:start w:val="0"/>
      <w:numFmt w:val="bullet"/>
      <w:lvlText w:val="•"/>
      <w:lvlJc w:val="left"/>
      <w:pPr>
        <w:ind w:left="6160" w:hanging="259"/>
      </w:pPr>
      <w:rPr>
        <w:rFonts w:hint="default"/>
      </w:rPr>
    </w:lvl>
    <w:lvl w:ilvl="7">
      <w:start w:val="0"/>
      <w:numFmt w:val="bullet"/>
      <w:lvlText w:val="•"/>
      <w:lvlJc w:val="left"/>
      <w:pPr>
        <w:ind w:left="7090" w:hanging="259"/>
      </w:pPr>
      <w:rPr>
        <w:rFonts w:hint="default"/>
      </w:rPr>
    </w:lvl>
    <w:lvl w:ilvl="8">
      <w:start w:val="0"/>
      <w:numFmt w:val="bullet"/>
      <w:lvlText w:val="•"/>
      <w:lvlJc w:val="left"/>
      <w:pPr>
        <w:ind w:left="8020" w:hanging="259"/>
      </w:pPr>
      <w:rPr>
        <w:rFonts w:hint="default"/>
      </w:rPr>
    </w:lvl>
  </w:abstractNum>
  <w:abstractNum w:abstractNumId="374">
    <w:multiLevelType w:val="hybridMultilevel"/>
    <w:lvl w:ilvl="0">
      <w:start w:val="1"/>
      <w:numFmt w:val="lowerLetter"/>
      <w:lvlText w:val="%1)"/>
      <w:lvlJc w:val="left"/>
      <w:pPr>
        <w:ind w:left="113" w:hanging="49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37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71">
    <w:multiLevelType w:val="hybridMultilevel"/>
    <w:lvl w:ilvl="0">
      <w:start w:val="1"/>
      <w:numFmt w:val="lowerLetter"/>
      <w:lvlText w:val="%1)"/>
      <w:lvlJc w:val="left"/>
      <w:pPr>
        <w:ind w:left="113" w:hanging="542"/>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42"/>
      </w:pPr>
      <w:rPr>
        <w:rFonts w:hint="default"/>
      </w:rPr>
    </w:lvl>
    <w:lvl w:ilvl="2">
      <w:start w:val="0"/>
      <w:numFmt w:val="bullet"/>
      <w:lvlText w:val="•"/>
      <w:lvlJc w:val="left"/>
      <w:pPr>
        <w:ind w:left="2072" w:hanging="542"/>
      </w:pPr>
      <w:rPr>
        <w:rFonts w:hint="default"/>
      </w:rPr>
    </w:lvl>
    <w:lvl w:ilvl="3">
      <w:start w:val="0"/>
      <w:numFmt w:val="bullet"/>
      <w:lvlText w:val="•"/>
      <w:lvlJc w:val="left"/>
      <w:pPr>
        <w:ind w:left="3048" w:hanging="542"/>
      </w:pPr>
      <w:rPr>
        <w:rFonts w:hint="default"/>
      </w:rPr>
    </w:lvl>
    <w:lvl w:ilvl="4">
      <w:start w:val="0"/>
      <w:numFmt w:val="bullet"/>
      <w:lvlText w:val="•"/>
      <w:lvlJc w:val="left"/>
      <w:pPr>
        <w:ind w:left="4024" w:hanging="542"/>
      </w:pPr>
      <w:rPr>
        <w:rFonts w:hint="default"/>
      </w:rPr>
    </w:lvl>
    <w:lvl w:ilvl="5">
      <w:start w:val="0"/>
      <w:numFmt w:val="bullet"/>
      <w:lvlText w:val="•"/>
      <w:lvlJc w:val="left"/>
      <w:pPr>
        <w:ind w:left="5000" w:hanging="542"/>
      </w:pPr>
      <w:rPr>
        <w:rFonts w:hint="default"/>
      </w:rPr>
    </w:lvl>
    <w:lvl w:ilvl="6">
      <w:start w:val="0"/>
      <w:numFmt w:val="bullet"/>
      <w:lvlText w:val="•"/>
      <w:lvlJc w:val="left"/>
      <w:pPr>
        <w:ind w:left="5976" w:hanging="542"/>
      </w:pPr>
      <w:rPr>
        <w:rFonts w:hint="default"/>
      </w:rPr>
    </w:lvl>
    <w:lvl w:ilvl="7">
      <w:start w:val="0"/>
      <w:numFmt w:val="bullet"/>
      <w:lvlText w:val="•"/>
      <w:lvlJc w:val="left"/>
      <w:pPr>
        <w:ind w:left="6952" w:hanging="542"/>
      </w:pPr>
      <w:rPr>
        <w:rFonts w:hint="default"/>
      </w:rPr>
    </w:lvl>
    <w:lvl w:ilvl="8">
      <w:start w:val="0"/>
      <w:numFmt w:val="bullet"/>
      <w:lvlText w:val="•"/>
      <w:lvlJc w:val="left"/>
      <w:pPr>
        <w:ind w:left="7928" w:hanging="542"/>
      </w:pPr>
      <w:rPr>
        <w:rFonts w:hint="default"/>
      </w:rPr>
    </w:lvl>
  </w:abstractNum>
  <w:abstractNum w:abstractNumId="3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69">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6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67">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66">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65">
    <w:multiLevelType w:val="hybridMultilevel"/>
    <w:lvl w:ilvl="0">
      <w:start w:val="2"/>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3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63">
    <w:multiLevelType w:val="hybridMultilevel"/>
    <w:lvl w:ilvl="0">
      <w:start w:val="1"/>
      <w:numFmt w:val="lowerLetter"/>
      <w:lvlText w:val="%1)"/>
      <w:lvlJc w:val="left"/>
      <w:pPr>
        <w:ind w:left="113" w:hanging="3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7"/>
      </w:pPr>
      <w:rPr>
        <w:rFonts w:hint="default"/>
      </w:rPr>
    </w:lvl>
    <w:lvl w:ilvl="2">
      <w:start w:val="0"/>
      <w:numFmt w:val="bullet"/>
      <w:lvlText w:val="•"/>
      <w:lvlJc w:val="left"/>
      <w:pPr>
        <w:ind w:left="2072" w:hanging="357"/>
      </w:pPr>
      <w:rPr>
        <w:rFonts w:hint="default"/>
      </w:rPr>
    </w:lvl>
    <w:lvl w:ilvl="3">
      <w:start w:val="0"/>
      <w:numFmt w:val="bullet"/>
      <w:lvlText w:val="•"/>
      <w:lvlJc w:val="left"/>
      <w:pPr>
        <w:ind w:left="3048" w:hanging="357"/>
      </w:pPr>
      <w:rPr>
        <w:rFonts w:hint="default"/>
      </w:rPr>
    </w:lvl>
    <w:lvl w:ilvl="4">
      <w:start w:val="0"/>
      <w:numFmt w:val="bullet"/>
      <w:lvlText w:val="•"/>
      <w:lvlJc w:val="left"/>
      <w:pPr>
        <w:ind w:left="4024" w:hanging="357"/>
      </w:pPr>
      <w:rPr>
        <w:rFonts w:hint="default"/>
      </w:rPr>
    </w:lvl>
    <w:lvl w:ilvl="5">
      <w:start w:val="0"/>
      <w:numFmt w:val="bullet"/>
      <w:lvlText w:val="•"/>
      <w:lvlJc w:val="left"/>
      <w:pPr>
        <w:ind w:left="5000" w:hanging="357"/>
      </w:pPr>
      <w:rPr>
        <w:rFonts w:hint="default"/>
      </w:rPr>
    </w:lvl>
    <w:lvl w:ilvl="6">
      <w:start w:val="0"/>
      <w:numFmt w:val="bullet"/>
      <w:lvlText w:val="•"/>
      <w:lvlJc w:val="left"/>
      <w:pPr>
        <w:ind w:left="5976" w:hanging="357"/>
      </w:pPr>
      <w:rPr>
        <w:rFonts w:hint="default"/>
      </w:rPr>
    </w:lvl>
    <w:lvl w:ilvl="7">
      <w:start w:val="0"/>
      <w:numFmt w:val="bullet"/>
      <w:lvlText w:val="•"/>
      <w:lvlJc w:val="left"/>
      <w:pPr>
        <w:ind w:left="6952" w:hanging="357"/>
      </w:pPr>
      <w:rPr>
        <w:rFonts w:hint="default"/>
      </w:rPr>
    </w:lvl>
    <w:lvl w:ilvl="8">
      <w:start w:val="0"/>
      <w:numFmt w:val="bullet"/>
      <w:lvlText w:val="•"/>
      <w:lvlJc w:val="left"/>
      <w:pPr>
        <w:ind w:left="7928" w:hanging="357"/>
      </w:pPr>
      <w:rPr>
        <w:rFonts w:hint="default"/>
      </w:rPr>
    </w:lvl>
  </w:abstractNum>
  <w:abstractNum w:abstractNumId="362">
    <w:multiLevelType w:val="hybridMultilevel"/>
    <w:lvl w:ilvl="0">
      <w:start w:val="6"/>
      <w:numFmt w:val="decimal"/>
      <w:lvlText w:val="(%1)"/>
      <w:lvlJc w:val="left"/>
      <w:pPr>
        <w:ind w:left="113" w:hanging="4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361">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6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59">
    <w:multiLevelType w:val="hybridMultilevel"/>
    <w:lvl w:ilvl="0">
      <w:start w:val="2"/>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358">
    <w:multiLevelType w:val="hybridMultilevel"/>
    <w:lvl w:ilvl="0">
      <w:start w:val="2"/>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357">
    <w:multiLevelType w:val="hybridMultilevel"/>
    <w:lvl w:ilvl="0">
      <w:start w:val="158"/>
      <w:numFmt w:val="decimal"/>
      <w:lvlText w:val="%1."/>
      <w:lvlJc w:val="left"/>
      <w:pPr>
        <w:ind w:left="113" w:hanging="795"/>
        <w:jc w:val="left"/>
      </w:pPr>
      <w:rPr>
        <w:rFonts w:hint="default" w:ascii="Arial" w:hAnsi="Arial" w:eastAsia="Arial" w:cs="Arial"/>
        <w:b/>
        <w:bCs/>
        <w:spacing w:val="-1"/>
        <w:w w:val="125"/>
        <w:sz w:val="24"/>
        <w:szCs w:val="24"/>
      </w:rPr>
    </w:lvl>
    <w:lvl w:ilvl="1">
      <w:start w:val="0"/>
      <w:numFmt w:val="bullet"/>
      <w:lvlText w:val="•"/>
      <w:lvlJc w:val="left"/>
      <w:pPr>
        <w:ind w:left="4480" w:hanging="795"/>
      </w:pPr>
      <w:rPr>
        <w:rFonts w:hint="default"/>
      </w:rPr>
    </w:lvl>
    <w:lvl w:ilvl="2">
      <w:start w:val="0"/>
      <w:numFmt w:val="bullet"/>
      <w:lvlText w:val="•"/>
      <w:lvlJc w:val="left"/>
      <w:pPr>
        <w:ind w:left="4580" w:hanging="795"/>
      </w:pPr>
      <w:rPr>
        <w:rFonts w:hint="default"/>
      </w:rPr>
    </w:lvl>
    <w:lvl w:ilvl="3">
      <w:start w:val="0"/>
      <w:numFmt w:val="bullet"/>
      <w:lvlText w:val="•"/>
      <w:lvlJc w:val="left"/>
      <w:pPr>
        <w:ind w:left="5242" w:hanging="795"/>
      </w:pPr>
      <w:rPr>
        <w:rFonts w:hint="default"/>
      </w:rPr>
    </w:lvl>
    <w:lvl w:ilvl="4">
      <w:start w:val="0"/>
      <w:numFmt w:val="bullet"/>
      <w:lvlText w:val="•"/>
      <w:lvlJc w:val="left"/>
      <w:pPr>
        <w:ind w:left="5905" w:hanging="795"/>
      </w:pPr>
      <w:rPr>
        <w:rFonts w:hint="default"/>
      </w:rPr>
    </w:lvl>
    <w:lvl w:ilvl="5">
      <w:start w:val="0"/>
      <w:numFmt w:val="bullet"/>
      <w:lvlText w:val="•"/>
      <w:lvlJc w:val="left"/>
      <w:pPr>
        <w:ind w:left="6567" w:hanging="795"/>
      </w:pPr>
      <w:rPr>
        <w:rFonts w:hint="default"/>
      </w:rPr>
    </w:lvl>
    <w:lvl w:ilvl="6">
      <w:start w:val="0"/>
      <w:numFmt w:val="bullet"/>
      <w:lvlText w:val="•"/>
      <w:lvlJc w:val="left"/>
      <w:pPr>
        <w:ind w:left="7230" w:hanging="795"/>
      </w:pPr>
      <w:rPr>
        <w:rFonts w:hint="default"/>
      </w:rPr>
    </w:lvl>
    <w:lvl w:ilvl="7">
      <w:start w:val="0"/>
      <w:numFmt w:val="bullet"/>
      <w:lvlText w:val="•"/>
      <w:lvlJc w:val="left"/>
      <w:pPr>
        <w:ind w:left="7892" w:hanging="795"/>
      </w:pPr>
      <w:rPr>
        <w:rFonts w:hint="default"/>
      </w:rPr>
    </w:lvl>
    <w:lvl w:ilvl="8">
      <w:start w:val="0"/>
      <w:numFmt w:val="bullet"/>
      <w:lvlText w:val="•"/>
      <w:lvlJc w:val="left"/>
      <w:pPr>
        <w:ind w:left="8555" w:hanging="795"/>
      </w:pPr>
      <w:rPr>
        <w:rFonts w:hint="default"/>
      </w:rPr>
    </w:lvl>
  </w:abstractNum>
  <w:abstractNum w:abstractNumId="35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55">
    <w:multiLevelType w:val="hybridMultilevel"/>
    <w:lvl w:ilvl="0">
      <w:start w:val="1"/>
      <w:numFmt w:val="lowerLetter"/>
      <w:lvlText w:val="%1)"/>
      <w:lvlJc w:val="left"/>
      <w:pPr>
        <w:ind w:left="113" w:hanging="4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3"/>
      </w:pPr>
      <w:rPr>
        <w:rFonts w:hint="default"/>
      </w:rPr>
    </w:lvl>
    <w:lvl w:ilvl="2">
      <w:start w:val="0"/>
      <w:numFmt w:val="bullet"/>
      <w:lvlText w:val="•"/>
      <w:lvlJc w:val="left"/>
      <w:pPr>
        <w:ind w:left="2072" w:hanging="413"/>
      </w:pPr>
      <w:rPr>
        <w:rFonts w:hint="default"/>
      </w:rPr>
    </w:lvl>
    <w:lvl w:ilvl="3">
      <w:start w:val="0"/>
      <w:numFmt w:val="bullet"/>
      <w:lvlText w:val="•"/>
      <w:lvlJc w:val="left"/>
      <w:pPr>
        <w:ind w:left="3048" w:hanging="413"/>
      </w:pPr>
      <w:rPr>
        <w:rFonts w:hint="default"/>
      </w:rPr>
    </w:lvl>
    <w:lvl w:ilvl="4">
      <w:start w:val="0"/>
      <w:numFmt w:val="bullet"/>
      <w:lvlText w:val="•"/>
      <w:lvlJc w:val="left"/>
      <w:pPr>
        <w:ind w:left="4024" w:hanging="413"/>
      </w:pPr>
      <w:rPr>
        <w:rFonts w:hint="default"/>
      </w:rPr>
    </w:lvl>
    <w:lvl w:ilvl="5">
      <w:start w:val="0"/>
      <w:numFmt w:val="bullet"/>
      <w:lvlText w:val="•"/>
      <w:lvlJc w:val="left"/>
      <w:pPr>
        <w:ind w:left="5000" w:hanging="413"/>
      </w:pPr>
      <w:rPr>
        <w:rFonts w:hint="default"/>
      </w:rPr>
    </w:lvl>
    <w:lvl w:ilvl="6">
      <w:start w:val="0"/>
      <w:numFmt w:val="bullet"/>
      <w:lvlText w:val="•"/>
      <w:lvlJc w:val="left"/>
      <w:pPr>
        <w:ind w:left="5976" w:hanging="413"/>
      </w:pPr>
      <w:rPr>
        <w:rFonts w:hint="default"/>
      </w:rPr>
    </w:lvl>
    <w:lvl w:ilvl="7">
      <w:start w:val="0"/>
      <w:numFmt w:val="bullet"/>
      <w:lvlText w:val="•"/>
      <w:lvlJc w:val="left"/>
      <w:pPr>
        <w:ind w:left="6952" w:hanging="413"/>
      </w:pPr>
      <w:rPr>
        <w:rFonts w:hint="default"/>
      </w:rPr>
    </w:lvl>
    <w:lvl w:ilvl="8">
      <w:start w:val="0"/>
      <w:numFmt w:val="bullet"/>
      <w:lvlText w:val="•"/>
      <w:lvlJc w:val="left"/>
      <w:pPr>
        <w:ind w:left="7928" w:hanging="413"/>
      </w:pPr>
      <w:rPr>
        <w:rFonts w:hint="default"/>
      </w:rPr>
    </w:lvl>
  </w:abstractNum>
  <w:abstractNum w:abstractNumId="354">
    <w:multiLevelType w:val="hybridMultilevel"/>
    <w:lvl w:ilvl="0">
      <w:start w:val="1"/>
      <w:numFmt w:val="decimal"/>
      <w:lvlText w:val="(%1)"/>
      <w:lvlJc w:val="left"/>
      <w:pPr>
        <w:ind w:left="666" w:hanging="520"/>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445" w:hanging="520"/>
      </w:pPr>
      <w:rPr>
        <w:rFonts w:hint="default"/>
      </w:rPr>
    </w:lvl>
    <w:lvl w:ilvl="2">
      <w:start w:val="0"/>
      <w:numFmt w:val="bullet"/>
      <w:lvlText w:val="•"/>
      <w:lvlJc w:val="left"/>
      <w:pPr>
        <w:ind w:left="2230" w:hanging="520"/>
      </w:pPr>
      <w:rPr>
        <w:rFonts w:hint="default"/>
      </w:rPr>
    </w:lvl>
    <w:lvl w:ilvl="3">
      <w:start w:val="0"/>
      <w:numFmt w:val="bullet"/>
      <w:lvlText w:val="•"/>
      <w:lvlJc w:val="left"/>
      <w:pPr>
        <w:ind w:left="3015" w:hanging="520"/>
      </w:pPr>
      <w:rPr>
        <w:rFonts w:hint="default"/>
      </w:rPr>
    </w:lvl>
    <w:lvl w:ilvl="4">
      <w:start w:val="0"/>
      <w:numFmt w:val="bullet"/>
      <w:lvlText w:val="•"/>
      <w:lvlJc w:val="left"/>
      <w:pPr>
        <w:ind w:left="3800" w:hanging="520"/>
      </w:pPr>
      <w:rPr>
        <w:rFonts w:hint="default"/>
      </w:rPr>
    </w:lvl>
    <w:lvl w:ilvl="5">
      <w:start w:val="0"/>
      <w:numFmt w:val="bullet"/>
      <w:lvlText w:val="•"/>
      <w:lvlJc w:val="left"/>
      <w:pPr>
        <w:ind w:left="4585" w:hanging="520"/>
      </w:pPr>
      <w:rPr>
        <w:rFonts w:hint="default"/>
      </w:rPr>
    </w:lvl>
    <w:lvl w:ilvl="6">
      <w:start w:val="0"/>
      <w:numFmt w:val="bullet"/>
      <w:lvlText w:val="•"/>
      <w:lvlJc w:val="left"/>
      <w:pPr>
        <w:ind w:left="5370" w:hanging="520"/>
      </w:pPr>
      <w:rPr>
        <w:rFonts w:hint="default"/>
      </w:rPr>
    </w:lvl>
    <w:lvl w:ilvl="7">
      <w:start w:val="0"/>
      <w:numFmt w:val="bullet"/>
      <w:lvlText w:val="•"/>
      <w:lvlJc w:val="left"/>
      <w:pPr>
        <w:ind w:left="6156" w:hanging="520"/>
      </w:pPr>
      <w:rPr>
        <w:rFonts w:hint="default"/>
      </w:rPr>
    </w:lvl>
    <w:lvl w:ilvl="8">
      <w:start w:val="0"/>
      <w:numFmt w:val="bullet"/>
      <w:lvlText w:val="•"/>
      <w:lvlJc w:val="left"/>
      <w:pPr>
        <w:ind w:left="6941" w:hanging="520"/>
      </w:pPr>
      <w:rPr>
        <w:rFonts w:hint="default"/>
      </w:rPr>
    </w:lvl>
  </w:abstractNum>
  <w:abstractNum w:abstractNumId="3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52">
    <w:multiLevelType w:val="hybridMultilevel"/>
    <w:lvl w:ilvl="0">
      <w:start w:val="1"/>
      <w:numFmt w:val="lowerLetter"/>
      <w:lvlText w:val="%1)"/>
      <w:lvlJc w:val="left"/>
      <w:pPr>
        <w:ind w:left="113" w:hanging="4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351">
    <w:multiLevelType w:val="hybridMultilevel"/>
    <w:lvl w:ilvl="0">
      <w:start w:val="1"/>
      <w:numFmt w:val="lowerLetter"/>
      <w:lvlText w:val="%1)"/>
      <w:lvlJc w:val="left"/>
      <w:pPr>
        <w:ind w:left="113" w:hanging="38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6"/>
      </w:pPr>
      <w:rPr>
        <w:rFonts w:hint="default"/>
      </w:rPr>
    </w:lvl>
    <w:lvl w:ilvl="2">
      <w:start w:val="0"/>
      <w:numFmt w:val="bullet"/>
      <w:lvlText w:val="•"/>
      <w:lvlJc w:val="left"/>
      <w:pPr>
        <w:ind w:left="2072" w:hanging="386"/>
      </w:pPr>
      <w:rPr>
        <w:rFonts w:hint="default"/>
      </w:rPr>
    </w:lvl>
    <w:lvl w:ilvl="3">
      <w:start w:val="0"/>
      <w:numFmt w:val="bullet"/>
      <w:lvlText w:val="•"/>
      <w:lvlJc w:val="left"/>
      <w:pPr>
        <w:ind w:left="3048" w:hanging="386"/>
      </w:pPr>
      <w:rPr>
        <w:rFonts w:hint="default"/>
      </w:rPr>
    </w:lvl>
    <w:lvl w:ilvl="4">
      <w:start w:val="0"/>
      <w:numFmt w:val="bullet"/>
      <w:lvlText w:val="•"/>
      <w:lvlJc w:val="left"/>
      <w:pPr>
        <w:ind w:left="4024" w:hanging="386"/>
      </w:pPr>
      <w:rPr>
        <w:rFonts w:hint="default"/>
      </w:rPr>
    </w:lvl>
    <w:lvl w:ilvl="5">
      <w:start w:val="0"/>
      <w:numFmt w:val="bullet"/>
      <w:lvlText w:val="•"/>
      <w:lvlJc w:val="left"/>
      <w:pPr>
        <w:ind w:left="5000" w:hanging="386"/>
      </w:pPr>
      <w:rPr>
        <w:rFonts w:hint="default"/>
      </w:rPr>
    </w:lvl>
    <w:lvl w:ilvl="6">
      <w:start w:val="0"/>
      <w:numFmt w:val="bullet"/>
      <w:lvlText w:val="•"/>
      <w:lvlJc w:val="left"/>
      <w:pPr>
        <w:ind w:left="5976" w:hanging="386"/>
      </w:pPr>
      <w:rPr>
        <w:rFonts w:hint="default"/>
      </w:rPr>
    </w:lvl>
    <w:lvl w:ilvl="7">
      <w:start w:val="0"/>
      <w:numFmt w:val="bullet"/>
      <w:lvlText w:val="•"/>
      <w:lvlJc w:val="left"/>
      <w:pPr>
        <w:ind w:left="6952" w:hanging="386"/>
      </w:pPr>
      <w:rPr>
        <w:rFonts w:hint="default"/>
      </w:rPr>
    </w:lvl>
    <w:lvl w:ilvl="8">
      <w:start w:val="0"/>
      <w:numFmt w:val="bullet"/>
      <w:lvlText w:val="•"/>
      <w:lvlJc w:val="left"/>
      <w:pPr>
        <w:ind w:left="7928" w:hanging="386"/>
      </w:pPr>
      <w:rPr>
        <w:rFonts w:hint="default"/>
      </w:rPr>
    </w:lvl>
  </w:abstractNum>
  <w:abstractNum w:abstractNumId="350">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3"/>
      <w:numFmt w:val="decimal"/>
      <w:lvlText w:val="(%2)"/>
      <w:lvlJc w:val="left"/>
      <w:pPr>
        <w:ind w:left="113" w:hanging="506"/>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349">
    <w:multiLevelType w:val="hybridMultilevel"/>
    <w:lvl w:ilvl="0">
      <w:start w:val="1"/>
      <w:numFmt w:val="lowerLetter"/>
      <w:lvlText w:val="%1)"/>
      <w:lvlJc w:val="left"/>
      <w:pPr>
        <w:ind w:left="113" w:hanging="4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348">
    <w:multiLevelType w:val="hybridMultilevel"/>
    <w:lvl w:ilvl="0">
      <w:start w:val="1"/>
      <w:numFmt w:val="lowerLetter"/>
      <w:lvlText w:val="%1)"/>
      <w:lvlJc w:val="left"/>
      <w:pPr>
        <w:ind w:left="113" w:hanging="40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5"/>
      </w:pPr>
      <w:rPr>
        <w:rFonts w:hint="default"/>
      </w:rPr>
    </w:lvl>
    <w:lvl w:ilvl="2">
      <w:start w:val="0"/>
      <w:numFmt w:val="bullet"/>
      <w:lvlText w:val="•"/>
      <w:lvlJc w:val="left"/>
      <w:pPr>
        <w:ind w:left="2072" w:hanging="405"/>
      </w:pPr>
      <w:rPr>
        <w:rFonts w:hint="default"/>
      </w:rPr>
    </w:lvl>
    <w:lvl w:ilvl="3">
      <w:start w:val="0"/>
      <w:numFmt w:val="bullet"/>
      <w:lvlText w:val="•"/>
      <w:lvlJc w:val="left"/>
      <w:pPr>
        <w:ind w:left="3048" w:hanging="405"/>
      </w:pPr>
      <w:rPr>
        <w:rFonts w:hint="default"/>
      </w:rPr>
    </w:lvl>
    <w:lvl w:ilvl="4">
      <w:start w:val="0"/>
      <w:numFmt w:val="bullet"/>
      <w:lvlText w:val="•"/>
      <w:lvlJc w:val="left"/>
      <w:pPr>
        <w:ind w:left="4024" w:hanging="405"/>
      </w:pPr>
      <w:rPr>
        <w:rFonts w:hint="default"/>
      </w:rPr>
    </w:lvl>
    <w:lvl w:ilvl="5">
      <w:start w:val="0"/>
      <w:numFmt w:val="bullet"/>
      <w:lvlText w:val="•"/>
      <w:lvlJc w:val="left"/>
      <w:pPr>
        <w:ind w:left="5000" w:hanging="405"/>
      </w:pPr>
      <w:rPr>
        <w:rFonts w:hint="default"/>
      </w:rPr>
    </w:lvl>
    <w:lvl w:ilvl="6">
      <w:start w:val="0"/>
      <w:numFmt w:val="bullet"/>
      <w:lvlText w:val="•"/>
      <w:lvlJc w:val="left"/>
      <w:pPr>
        <w:ind w:left="5976" w:hanging="405"/>
      </w:pPr>
      <w:rPr>
        <w:rFonts w:hint="default"/>
      </w:rPr>
    </w:lvl>
    <w:lvl w:ilvl="7">
      <w:start w:val="0"/>
      <w:numFmt w:val="bullet"/>
      <w:lvlText w:val="•"/>
      <w:lvlJc w:val="left"/>
      <w:pPr>
        <w:ind w:left="6952" w:hanging="405"/>
      </w:pPr>
      <w:rPr>
        <w:rFonts w:hint="default"/>
      </w:rPr>
    </w:lvl>
    <w:lvl w:ilvl="8">
      <w:start w:val="0"/>
      <w:numFmt w:val="bullet"/>
      <w:lvlText w:val="•"/>
      <w:lvlJc w:val="left"/>
      <w:pPr>
        <w:ind w:left="7928" w:hanging="405"/>
      </w:pPr>
      <w:rPr>
        <w:rFonts w:hint="default"/>
      </w:rPr>
    </w:lvl>
  </w:abstractNum>
  <w:abstractNum w:abstractNumId="34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4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4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4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43">
    <w:multiLevelType w:val="hybridMultilevel"/>
    <w:lvl w:ilvl="0">
      <w:start w:val="2"/>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3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41">
    <w:multiLevelType w:val="hybridMultilevel"/>
    <w:lvl w:ilvl="0">
      <w:start w:val="1"/>
      <w:numFmt w:val="lowerLetter"/>
      <w:lvlText w:val="%1)"/>
      <w:lvlJc w:val="left"/>
      <w:pPr>
        <w:ind w:left="113" w:hanging="49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340">
    <w:multiLevelType w:val="hybridMultilevel"/>
    <w:lvl w:ilvl="0">
      <w:start w:val="1"/>
      <w:numFmt w:val="lowerLetter"/>
      <w:lvlText w:val="%1)"/>
      <w:lvlJc w:val="left"/>
      <w:pPr>
        <w:ind w:left="113" w:hanging="3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1"/>
      </w:pPr>
      <w:rPr>
        <w:rFonts w:hint="default"/>
      </w:rPr>
    </w:lvl>
    <w:lvl w:ilvl="2">
      <w:start w:val="0"/>
      <w:numFmt w:val="bullet"/>
      <w:lvlText w:val="•"/>
      <w:lvlJc w:val="left"/>
      <w:pPr>
        <w:ind w:left="2072" w:hanging="331"/>
      </w:pPr>
      <w:rPr>
        <w:rFonts w:hint="default"/>
      </w:rPr>
    </w:lvl>
    <w:lvl w:ilvl="3">
      <w:start w:val="0"/>
      <w:numFmt w:val="bullet"/>
      <w:lvlText w:val="•"/>
      <w:lvlJc w:val="left"/>
      <w:pPr>
        <w:ind w:left="3048" w:hanging="331"/>
      </w:pPr>
      <w:rPr>
        <w:rFonts w:hint="default"/>
      </w:rPr>
    </w:lvl>
    <w:lvl w:ilvl="4">
      <w:start w:val="0"/>
      <w:numFmt w:val="bullet"/>
      <w:lvlText w:val="•"/>
      <w:lvlJc w:val="left"/>
      <w:pPr>
        <w:ind w:left="4024" w:hanging="331"/>
      </w:pPr>
      <w:rPr>
        <w:rFonts w:hint="default"/>
      </w:rPr>
    </w:lvl>
    <w:lvl w:ilvl="5">
      <w:start w:val="0"/>
      <w:numFmt w:val="bullet"/>
      <w:lvlText w:val="•"/>
      <w:lvlJc w:val="left"/>
      <w:pPr>
        <w:ind w:left="5000" w:hanging="331"/>
      </w:pPr>
      <w:rPr>
        <w:rFonts w:hint="default"/>
      </w:rPr>
    </w:lvl>
    <w:lvl w:ilvl="6">
      <w:start w:val="0"/>
      <w:numFmt w:val="bullet"/>
      <w:lvlText w:val="•"/>
      <w:lvlJc w:val="left"/>
      <w:pPr>
        <w:ind w:left="5976" w:hanging="331"/>
      </w:pPr>
      <w:rPr>
        <w:rFonts w:hint="default"/>
      </w:rPr>
    </w:lvl>
    <w:lvl w:ilvl="7">
      <w:start w:val="0"/>
      <w:numFmt w:val="bullet"/>
      <w:lvlText w:val="•"/>
      <w:lvlJc w:val="left"/>
      <w:pPr>
        <w:ind w:left="6952" w:hanging="331"/>
      </w:pPr>
      <w:rPr>
        <w:rFonts w:hint="default"/>
      </w:rPr>
    </w:lvl>
    <w:lvl w:ilvl="8">
      <w:start w:val="0"/>
      <w:numFmt w:val="bullet"/>
      <w:lvlText w:val="•"/>
      <w:lvlJc w:val="left"/>
      <w:pPr>
        <w:ind w:left="7928" w:hanging="331"/>
      </w:pPr>
      <w:rPr>
        <w:rFonts w:hint="default"/>
      </w:rPr>
    </w:lvl>
  </w:abstractNum>
  <w:abstractNum w:abstractNumId="339">
    <w:multiLevelType w:val="hybridMultilevel"/>
    <w:lvl w:ilvl="0">
      <w:start w:val="2"/>
      <w:numFmt w:val="decimal"/>
      <w:lvlText w:val="(%1)"/>
      <w:lvlJc w:val="left"/>
      <w:pPr>
        <w:ind w:left="113" w:hanging="5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338">
    <w:multiLevelType w:val="hybridMultilevel"/>
    <w:lvl w:ilvl="0">
      <w:start w:val="2"/>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33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36">
    <w:multiLevelType w:val="hybridMultilevel"/>
    <w:lvl w:ilvl="0">
      <w:start w:val="2"/>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33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34">
    <w:multiLevelType w:val="hybridMultilevel"/>
    <w:lvl w:ilvl="0">
      <w:start w:val="2"/>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333">
    <w:multiLevelType w:val="hybridMultilevel"/>
    <w:lvl w:ilvl="0">
      <w:start w:val="1"/>
      <w:numFmt w:val="lowerLetter"/>
      <w:lvlText w:val="%1)"/>
      <w:lvlJc w:val="left"/>
      <w:pPr>
        <w:ind w:left="113" w:hanging="37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2"/>
      </w:pPr>
      <w:rPr>
        <w:rFonts w:hint="default"/>
      </w:rPr>
    </w:lvl>
    <w:lvl w:ilvl="2">
      <w:start w:val="0"/>
      <w:numFmt w:val="bullet"/>
      <w:lvlText w:val="•"/>
      <w:lvlJc w:val="left"/>
      <w:pPr>
        <w:ind w:left="2072" w:hanging="372"/>
      </w:pPr>
      <w:rPr>
        <w:rFonts w:hint="default"/>
      </w:rPr>
    </w:lvl>
    <w:lvl w:ilvl="3">
      <w:start w:val="0"/>
      <w:numFmt w:val="bullet"/>
      <w:lvlText w:val="•"/>
      <w:lvlJc w:val="left"/>
      <w:pPr>
        <w:ind w:left="3048" w:hanging="372"/>
      </w:pPr>
      <w:rPr>
        <w:rFonts w:hint="default"/>
      </w:rPr>
    </w:lvl>
    <w:lvl w:ilvl="4">
      <w:start w:val="0"/>
      <w:numFmt w:val="bullet"/>
      <w:lvlText w:val="•"/>
      <w:lvlJc w:val="left"/>
      <w:pPr>
        <w:ind w:left="4024" w:hanging="372"/>
      </w:pPr>
      <w:rPr>
        <w:rFonts w:hint="default"/>
      </w:rPr>
    </w:lvl>
    <w:lvl w:ilvl="5">
      <w:start w:val="0"/>
      <w:numFmt w:val="bullet"/>
      <w:lvlText w:val="•"/>
      <w:lvlJc w:val="left"/>
      <w:pPr>
        <w:ind w:left="5000" w:hanging="372"/>
      </w:pPr>
      <w:rPr>
        <w:rFonts w:hint="default"/>
      </w:rPr>
    </w:lvl>
    <w:lvl w:ilvl="6">
      <w:start w:val="0"/>
      <w:numFmt w:val="bullet"/>
      <w:lvlText w:val="•"/>
      <w:lvlJc w:val="left"/>
      <w:pPr>
        <w:ind w:left="5976" w:hanging="372"/>
      </w:pPr>
      <w:rPr>
        <w:rFonts w:hint="default"/>
      </w:rPr>
    </w:lvl>
    <w:lvl w:ilvl="7">
      <w:start w:val="0"/>
      <w:numFmt w:val="bullet"/>
      <w:lvlText w:val="•"/>
      <w:lvlJc w:val="left"/>
      <w:pPr>
        <w:ind w:left="6952" w:hanging="372"/>
      </w:pPr>
      <w:rPr>
        <w:rFonts w:hint="default"/>
      </w:rPr>
    </w:lvl>
    <w:lvl w:ilvl="8">
      <w:start w:val="0"/>
      <w:numFmt w:val="bullet"/>
      <w:lvlText w:val="•"/>
      <w:lvlJc w:val="left"/>
      <w:pPr>
        <w:ind w:left="7928" w:hanging="372"/>
      </w:pPr>
      <w:rPr>
        <w:rFonts w:hint="default"/>
      </w:rPr>
    </w:lvl>
  </w:abstractNum>
  <w:abstractNum w:abstractNumId="332">
    <w:multiLevelType w:val="hybridMultilevel"/>
    <w:lvl w:ilvl="0">
      <w:start w:val="1"/>
      <w:numFmt w:val="lowerLetter"/>
      <w:lvlText w:val="%1)"/>
      <w:lvlJc w:val="left"/>
      <w:pPr>
        <w:ind w:left="113" w:hanging="3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7"/>
      </w:pPr>
      <w:rPr>
        <w:rFonts w:hint="default"/>
      </w:rPr>
    </w:lvl>
    <w:lvl w:ilvl="2">
      <w:start w:val="0"/>
      <w:numFmt w:val="bullet"/>
      <w:lvlText w:val="•"/>
      <w:lvlJc w:val="left"/>
      <w:pPr>
        <w:ind w:left="2072" w:hanging="317"/>
      </w:pPr>
      <w:rPr>
        <w:rFonts w:hint="default"/>
      </w:rPr>
    </w:lvl>
    <w:lvl w:ilvl="3">
      <w:start w:val="0"/>
      <w:numFmt w:val="bullet"/>
      <w:lvlText w:val="•"/>
      <w:lvlJc w:val="left"/>
      <w:pPr>
        <w:ind w:left="3048" w:hanging="317"/>
      </w:pPr>
      <w:rPr>
        <w:rFonts w:hint="default"/>
      </w:rPr>
    </w:lvl>
    <w:lvl w:ilvl="4">
      <w:start w:val="0"/>
      <w:numFmt w:val="bullet"/>
      <w:lvlText w:val="•"/>
      <w:lvlJc w:val="left"/>
      <w:pPr>
        <w:ind w:left="402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76" w:hanging="317"/>
      </w:pPr>
      <w:rPr>
        <w:rFonts w:hint="default"/>
      </w:rPr>
    </w:lvl>
    <w:lvl w:ilvl="7">
      <w:start w:val="0"/>
      <w:numFmt w:val="bullet"/>
      <w:lvlText w:val="•"/>
      <w:lvlJc w:val="left"/>
      <w:pPr>
        <w:ind w:left="6952" w:hanging="317"/>
      </w:pPr>
      <w:rPr>
        <w:rFonts w:hint="default"/>
      </w:rPr>
    </w:lvl>
    <w:lvl w:ilvl="8">
      <w:start w:val="0"/>
      <w:numFmt w:val="bullet"/>
      <w:lvlText w:val="•"/>
      <w:lvlJc w:val="left"/>
      <w:pPr>
        <w:ind w:left="7928" w:hanging="317"/>
      </w:pPr>
      <w:rPr>
        <w:rFonts w:hint="default"/>
      </w:rPr>
    </w:lvl>
  </w:abstractNum>
  <w:abstractNum w:abstractNumId="331">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30">
    <w:multiLevelType w:val="hybridMultilevel"/>
    <w:lvl w:ilvl="0">
      <w:start w:val="1"/>
      <w:numFmt w:val="lowerLetter"/>
      <w:lvlText w:val="%1)"/>
      <w:lvlJc w:val="left"/>
      <w:pPr>
        <w:ind w:left="113" w:hanging="4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329">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328">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8"/>
      </w:pPr>
      <w:rPr>
        <w:rFonts w:hint="default"/>
      </w:rPr>
    </w:lvl>
    <w:lvl w:ilvl="2">
      <w:start w:val="0"/>
      <w:numFmt w:val="bullet"/>
      <w:lvlText w:val="•"/>
      <w:lvlJc w:val="left"/>
      <w:pPr>
        <w:ind w:left="2072" w:hanging="328"/>
      </w:pPr>
      <w:rPr>
        <w:rFonts w:hint="default"/>
      </w:rPr>
    </w:lvl>
    <w:lvl w:ilvl="3">
      <w:start w:val="0"/>
      <w:numFmt w:val="bullet"/>
      <w:lvlText w:val="•"/>
      <w:lvlJc w:val="left"/>
      <w:pPr>
        <w:ind w:left="3048" w:hanging="328"/>
      </w:pPr>
      <w:rPr>
        <w:rFonts w:hint="default"/>
      </w:rPr>
    </w:lvl>
    <w:lvl w:ilvl="4">
      <w:start w:val="0"/>
      <w:numFmt w:val="bullet"/>
      <w:lvlText w:val="•"/>
      <w:lvlJc w:val="left"/>
      <w:pPr>
        <w:ind w:left="4024" w:hanging="328"/>
      </w:pPr>
      <w:rPr>
        <w:rFonts w:hint="default"/>
      </w:rPr>
    </w:lvl>
    <w:lvl w:ilvl="5">
      <w:start w:val="0"/>
      <w:numFmt w:val="bullet"/>
      <w:lvlText w:val="•"/>
      <w:lvlJc w:val="left"/>
      <w:pPr>
        <w:ind w:left="5000" w:hanging="328"/>
      </w:pPr>
      <w:rPr>
        <w:rFonts w:hint="default"/>
      </w:rPr>
    </w:lvl>
    <w:lvl w:ilvl="6">
      <w:start w:val="0"/>
      <w:numFmt w:val="bullet"/>
      <w:lvlText w:val="•"/>
      <w:lvlJc w:val="left"/>
      <w:pPr>
        <w:ind w:left="5976" w:hanging="328"/>
      </w:pPr>
      <w:rPr>
        <w:rFonts w:hint="default"/>
      </w:rPr>
    </w:lvl>
    <w:lvl w:ilvl="7">
      <w:start w:val="0"/>
      <w:numFmt w:val="bullet"/>
      <w:lvlText w:val="•"/>
      <w:lvlJc w:val="left"/>
      <w:pPr>
        <w:ind w:left="6952" w:hanging="328"/>
      </w:pPr>
      <w:rPr>
        <w:rFonts w:hint="default"/>
      </w:rPr>
    </w:lvl>
    <w:lvl w:ilvl="8">
      <w:start w:val="0"/>
      <w:numFmt w:val="bullet"/>
      <w:lvlText w:val="•"/>
      <w:lvlJc w:val="left"/>
      <w:pPr>
        <w:ind w:left="7928" w:hanging="328"/>
      </w:pPr>
      <w:rPr>
        <w:rFonts w:hint="default"/>
      </w:rPr>
    </w:lvl>
  </w:abstractNum>
  <w:abstractNum w:abstractNumId="327">
    <w:multiLevelType w:val="hybridMultilevel"/>
    <w:lvl w:ilvl="0">
      <w:start w:val="1"/>
      <w:numFmt w:val="lowerLetter"/>
      <w:lvlText w:val="%1)"/>
      <w:lvlJc w:val="left"/>
      <w:pPr>
        <w:ind w:left="113" w:hanging="3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0"/>
      </w:pPr>
      <w:rPr>
        <w:rFonts w:hint="default"/>
      </w:rPr>
    </w:lvl>
    <w:lvl w:ilvl="2">
      <w:start w:val="0"/>
      <w:numFmt w:val="bullet"/>
      <w:lvlText w:val="•"/>
      <w:lvlJc w:val="left"/>
      <w:pPr>
        <w:ind w:left="2072" w:hanging="320"/>
      </w:pPr>
      <w:rPr>
        <w:rFonts w:hint="default"/>
      </w:rPr>
    </w:lvl>
    <w:lvl w:ilvl="3">
      <w:start w:val="0"/>
      <w:numFmt w:val="bullet"/>
      <w:lvlText w:val="•"/>
      <w:lvlJc w:val="left"/>
      <w:pPr>
        <w:ind w:left="3048" w:hanging="320"/>
      </w:pPr>
      <w:rPr>
        <w:rFonts w:hint="default"/>
      </w:rPr>
    </w:lvl>
    <w:lvl w:ilvl="4">
      <w:start w:val="0"/>
      <w:numFmt w:val="bullet"/>
      <w:lvlText w:val="•"/>
      <w:lvlJc w:val="left"/>
      <w:pPr>
        <w:ind w:left="4024" w:hanging="320"/>
      </w:pPr>
      <w:rPr>
        <w:rFonts w:hint="default"/>
      </w:rPr>
    </w:lvl>
    <w:lvl w:ilvl="5">
      <w:start w:val="0"/>
      <w:numFmt w:val="bullet"/>
      <w:lvlText w:val="•"/>
      <w:lvlJc w:val="left"/>
      <w:pPr>
        <w:ind w:left="5000" w:hanging="320"/>
      </w:pPr>
      <w:rPr>
        <w:rFonts w:hint="default"/>
      </w:rPr>
    </w:lvl>
    <w:lvl w:ilvl="6">
      <w:start w:val="0"/>
      <w:numFmt w:val="bullet"/>
      <w:lvlText w:val="•"/>
      <w:lvlJc w:val="left"/>
      <w:pPr>
        <w:ind w:left="5976" w:hanging="320"/>
      </w:pPr>
      <w:rPr>
        <w:rFonts w:hint="default"/>
      </w:rPr>
    </w:lvl>
    <w:lvl w:ilvl="7">
      <w:start w:val="0"/>
      <w:numFmt w:val="bullet"/>
      <w:lvlText w:val="•"/>
      <w:lvlJc w:val="left"/>
      <w:pPr>
        <w:ind w:left="6952" w:hanging="320"/>
      </w:pPr>
      <w:rPr>
        <w:rFonts w:hint="default"/>
      </w:rPr>
    </w:lvl>
    <w:lvl w:ilvl="8">
      <w:start w:val="0"/>
      <w:numFmt w:val="bullet"/>
      <w:lvlText w:val="•"/>
      <w:lvlJc w:val="left"/>
      <w:pPr>
        <w:ind w:left="7928" w:hanging="320"/>
      </w:pPr>
      <w:rPr>
        <w:rFonts w:hint="default"/>
      </w:rPr>
    </w:lvl>
  </w:abstractNum>
  <w:abstractNum w:abstractNumId="326">
    <w:multiLevelType w:val="hybridMultilevel"/>
    <w:lvl w:ilvl="0">
      <w:start w:val="1"/>
      <w:numFmt w:val="lowerLetter"/>
      <w:lvlText w:val="%1)"/>
      <w:lvlJc w:val="left"/>
      <w:pPr>
        <w:ind w:left="113" w:hanging="47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325">
    <w:multiLevelType w:val="hybridMultilevel"/>
    <w:lvl w:ilvl="0">
      <w:start w:val="2"/>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324">
    <w:multiLevelType w:val="hybridMultilevel"/>
    <w:lvl w:ilvl="0">
      <w:start w:val="2"/>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32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22">
    <w:multiLevelType w:val="hybridMultilevel"/>
    <w:lvl w:ilvl="0">
      <w:start w:val="1"/>
      <w:numFmt w:val="lowerLetter"/>
      <w:lvlText w:val="%1)"/>
      <w:lvlJc w:val="left"/>
      <w:pPr>
        <w:ind w:left="113" w:hanging="3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6"/>
      </w:pPr>
      <w:rPr>
        <w:rFonts w:hint="default"/>
      </w:rPr>
    </w:lvl>
    <w:lvl w:ilvl="2">
      <w:start w:val="0"/>
      <w:numFmt w:val="bullet"/>
      <w:lvlText w:val="•"/>
      <w:lvlJc w:val="left"/>
      <w:pPr>
        <w:ind w:left="2072" w:hanging="346"/>
      </w:pPr>
      <w:rPr>
        <w:rFonts w:hint="default"/>
      </w:rPr>
    </w:lvl>
    <w:lvl w:ilvl="3">
      <w:start w:val="0"/>
      <w:numFmt w:val="bullet"/>
      <w:lvlText w:val="•"/>
      <w:lvlJc w:val="left"/>
      <w:pPr>
        <w:ind w:left="3048" w:hanging="346"/>
      </w:pPr>
      <w:rPr>
        <w:rFonts w:hint="default"/>
      </w:rPr>
    </w:lvl>
    <w:lvl w:ilvl="4">
      <w:start w:val="0"/>
      <w:numFmt w:val="bullet"/>
      <w:lvlText w:val="•"/>
      <w:lvlJc w:val="left"/>
      <w:pPr>
        <w:ind w:left="4024" w:hanging="346"/>
      </w:pPr>
      <w:rPr>
        <w:rFonts w:hint="default"/>
      </w:rPr>
    </w:lvl>
    <w:lvl w:ilvl="5">
      <w:start w:val="0"/>
      <w:numFmt w:val="bullet"/>
      <w:lvlText w:val="•"/>
      <w:lvlJc w:val="left"/>
      <w:pPr>
        <w:ind w:left="5000" w:hanging="346"/>
      </w:pPr>
      <w:rPr>
        <w:rFonts w:hint="default"/>
      </w:rPr>
    </w:lvl>
    <w:lvl w:ilvl="6">
      <w:start w:val="0"/>
      <w:numFmt w:val="bullet"/>
      <w:lvlText w:val="•"/>
      <w:lvlJc w:val="left"/>
      <w:pPr>
        <w:ind w:left="5976" w:hanging="346"/>
      </w:pPr>
      <w:rPr>
        <w:rFonts w:hint="default"/>
      </w:rPr>
    </w:lvl>
    <w:lvl w:ilvl="7">
      <w:start w:val="0"/>
      <w:numFmt w:val="bullet"/>
      <w:lvlText w:val="•"/>
      <w:lvlJc w:val="left"/>
      <w:pPr>
        <w:ind w:left="6952" w:hanging="346"/>
      </w:pPr>
      <w:rPr>
        <w:rFonts w:hint="default"/>
      </w:rPr>
    </w:lvl>
    <w:lvl w:ilvl="8">
      <w:start w:val="0"/>
      <w:numFmt w:val="bullet"/>
      <w:lvlText w:val="•"/>
      <w:lvlJc w:val="left"/>
      <w:pPr>
        <w:ind w:left="7928" w:hanging="346"/>
      </w:pPr>
      <w:rPr>
        <w:rFonts w:hint="default"/>
      </w:rPr>
    </w:lvl>
  </w:abstractNum>
  <w:abstractNum w:abstractNumId="320">
    <w:multiLevelType w:val="hybridMultilevel"/>
    <w:lvl w:ilvl="0">
      <w:start w:val="7"/>
      <w:numFmt w:val="upperRoman"/>
      <w:lvlText w:val="%1."/>
      <w:lvlJc w:val="left"/>
      <w:pPr>
        <w:ind w:left="628" w:hanging="515"/>
        <w:jc w:val="right"/>
      </w:pPr>
      <w:rPr>
        <w:rFonts w:hint="default"/>
        <w:spacing w:val="-1"/>
        <w:w w:val="111"/>
      </w:rPr>
    </w:lvl>
    <w:lvl w:ilvl="1">
      <w:start w:val="0"/>
      <w:numFmt w:val="bullet"/>
      <w:lvlText w:val="•"/>
      <w:lvlJc w:val="left"/>
      <w:pPr>
        <w:ind w:left="1546" w:hanging="515"/>
      </w:pPr>
      <w:rPr>
        <w:rFonts w:hint="default"/>
      </w:rPr>
    </w:lvl>
    <w:lvl w:ilvl="2">
      <w:start w:val="0"/>
      <w:numFmt w:val="bullet"/>
      <w:lvlText w:val="•"/>
      <w:lvlJc w:val="left"/>
      <w:pPr>
        <w:ind w:left="2472" w:hanging="515"/>
      </w:pPr>
      <w:rPr>
        <w:rFonts w:hint="default"/>
      </w:rPr>
    </w:lvl>
    <w:lvl w:ilvl="3">
      <w:start w:val="0"/>
      <w:numFmt w:val="bullet"/>
      <w:lvlText w:val="•"/>
      <w:lvlJc w:val="left"/>
      <w:pPr>
        <w:ind w:left="3398" w:hanging="515"/>
      </w:pPr>
      <w:rPr>
        <w:rFonts w:hint="default"/>
      </w:rPr>
    </w:lvl>
    <w:lvl w:ilvl="4">
      <w:start w:val="0"/>
      <w:numFmt w:val="bullet"/>
      <w:lvlText w:val="•"/>
      <w:lvlJc w:val="left"/>
      <w:pPr>
        <w:ind w:left="4324" w:hanging="515"/>
      </w:pPr>
      <w:rPr>
        <w:rFonts w:hint="default"/>
      </w:rPr>
    </w:lvl>
    <w:lvl w:ilvl="5">
      <w:start w:val="0"/>
      <w:numFmt w:val="bullet"/>
      <w:lvlText w:val="•"/>
      <w:lvlJc w:val="left"/>
      <w:pPr>
        <w:ind w:left="5250" w:hanging="515"/>
      </w:pPr>
      <w:rPr>
        <w:rFonts w:hint="default"/>
      </w:rPr>
    </w:lvl>
    <w:lvl w:ilvl="6">
      <w:start w:val="0"/>
      <w:numFmt w:val="bullet"/>
      <w:lvlText w:val="•"/>
      <w:lvlJc w:val="left"/>
      <w:pPr>
        <w:ind w:left="6176" w:hanging="515"/>
      </w:pPr>
      <w:rPr>
        <w:rFonts w:hint="default"/>
      </w:rPr>
    </w:lvl>
    <w:lvl w:ilvl="7">
      <w:start w:val="0"/>
      <w:numFmt w:val="bullet"/>
      <w:lvlText w:val="•"/>
      <w:lvlJc w:val="left"/>
      <w:pPr>
        <w:ind w:left="7102" w:hanging="515"/>
      </w:pPr>
      <w:rPr>
        <w:rFonts w:hint="default"/>
      </w:rPr>
    </w:lvl>
    <w:lvl w:ilvl="8">
      <w:start w:val="0"/>
      <w:numFmt w:val="bullet"/>
      <w:lvlText w:val="•"/>
      <w:lvlJc w:val="left"/>
      <w:pPr>
        <w:ind w:left="8028" w:hanging="515"/>
      </w:pPr>
      <w:rPr>
        <w:rFonts w:hint="default"/>
      </w:rPr>
    </w:lvl>
  </w:abstractNum>
  <w:abstractNum w:abstractNumId="319">
    <w:multiLevelType w:val="hybridMultilevel"/>
    <w:lvl w:ilvl="0">
      <w:start w:val="1"/>
      <w:numFmt w:val="lowerLetter"/>
      <w:lvlText w:val="%1)"/>
      <w:lvlJc w:val="left"/>
      <w:pPr>
        <w:ind w:left="657"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82" w:hanging="340"/>
      </w:pPr>
      <w:rPr>
        <w:rFonts w:hint="default"/>
      </w:rPr>
    </w:lvl>
    <w:lvl w:ilvl="2">
      <w:start w:val="0"/>
      <w:numFmt w:val="bullet"/>
      <w:lvlText w:val="•"/>
      <w:lvlJc w:val="left"/>
      <w:pPr>
        <w:ind w:left="2504" w:hanging="340"/>
      </w:pPr>
      <w:rPr>
        <w:rFonts w:hint="default"/>
      </w:rPr>
    </w:lvl>
    <w:lvl w:ilvl="3">
      <w:start w:val="0"/>
      <w:numFmt w:val="bullet"/>
      <w:lvlText w:val="•"/>
      <w:lvlJc w:val="left"/>
      <w:pPr>
        <w:ind w:left="3426" w:hanging="340"/>
      </w:pPr>
      <w:rPr>
        <w:rFonts w:hint="default"/>
      </w:rPr>
    </w:lvl>
    <w:lvl w:ilvl="4">
      <w:start w:val="0"/>
      <w:numFmt w:val="bullet"/>
      <w:lvlText w:val="•"/>
      <w:lvlJc w:val="left"/>
      <w:pPr>
        <w:ind w:left="4348" w:hanging="340"/>
      </w:pPr>
      <w:rPr>
        <w:rFonts w:hint="default"/>
      </w:rPr>
    </w:lvl>
    <w:lvl w:ilvl="5">
      <w:start w:val="0"/>
      <w:numFmt w:val="bullet"/>
      <w:lvlText w:val="•"/>
      <w:lvlJc w:val="left"/>
      <w:pPr>
        <w:ind w:left="5270" w:hanging="340"/>
      </w:pPr>
      <w:rPr>
        <w:rFonts w:hint="default"/>
      </w:rPr>
    </w:lvl>
    <w:lvl w:ilvl="6">
      <w:start w:val="0"/>
      <w:numFmt w:val="bullet"/>
      <w:lvlText w:val="•"/>
      <w:lvlJc w:val="left"/>
      <w:pPr>
        <w:ind w:left="6192" w:hanging="340"/>
      </w:pPr>
      <w:rPr>
        <w:rFonts w:hint="default"/>
      </w:rPr>
    </w:lvl>
    <w:lvl w:ilvl="7">
      <w:start w:val="0"/>
      <w:numFmt w:val="bullet"/>
      <w:lvlText w:val="•"/>
      <w:lvlJc w:val="left"/>
      <w:pPr>
        <w:ind w:left="7114" w:hanging="340"/>
      </w:pPr>
      <w:rPr>
        <w:rFonts w:hint="default"/>
      </w:rPr>
    </w:lvl>
    <w:lvl w:ilvl="8">
      <w:start w:val="0"/>
      <w:numFmt w:val="bullet"/>
      <w:lvlText w:val="•"/>
      <w:lvlJc w:val="left"/>
      <w:pPr>
        <w:ind w:left="8036" w:hanging="340"/>
      </w:pPr>
      <w:rPr>
        <w:rFonts w:hint="default"/>
      </w:rPr>
    </w:lvl>
  </w:abstractNum>
  <w:abstractNum w:abstractNumId="318">
    <w:multiLevelType w:val="hybridMultilevel"/>
    <w:lvl w:ilvl="0">
      <w:start w:val="1"/>
      <w:numFmt w:val="lowerLetter"/>
      <w:lvlText w:val="%1)"/>
      <w:lvlJc w:val="left"/>
      <w:pPr>
        <w:ind w:left="113" w:hanging="35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1"/>
      </w:pPr>
      <w:rPr>
        <w:rFonts w:hint="default"/>
      </w:rPr>
    </w:lvl>
    <w:lvl w:ilvl="2">
      <w:start w:val="0"/>
      <w:numFmt w:val="bullet"/>
      <w:lvlText w:val="•"/>
      <w:lvlJc w:val="left"/>
      <w:pPr>
        <w:ind w:left="2072" w:hanging="351"/>
      </w:pPr>
      <w:rPr>
        <w:rFonts w:hint="default"/>
      </w:rPr>
    </w:lvl>
    <w:lvl w:ilvl="3">
      <w:start w:val="0"/>
      <w:numFmt w:val="bullet"/>
      <w:lvlText w:val="•"/>
      <w:lvlJc w:val="left"/>
      <w:pPr>
        <w:ind w:left="3048" w:hanging="351"/>
      </w:pPr>
      <w:rPr>
        <w:rFonts w:hint="default"/>
      </w:rPr>
    </w:lvl>
    <w:lvl w:ilvl="4">
      <w:start w:val="0"/>
      <w:numFmt w:val="bullet"/>
      <w:lvlText w:val="•"/>
      <w:lvlJc w:val="left"/>
      <w:pPr>
        <w:ind w:left="4024" w:hanging="351"/>
      </w:pPr>
      <w:rPr>
        <w:rFonts w:hint="default"/>
      </w:rPr>
    </w:lvl>
    <w:lvl w:ilvl="5">
      <w:start w:val="0"/>
      <w:numFmt w:val="bullet"/>
      <w:lvlText w:val="•"/>
      <w:lvlJc w:val="left"/>
      <w:pPr>
        <w:ind w:left="5000" w:hanging="351"/>
      </w:pPr>
      <w:rPr>
        <w:rFonts w:hint="default"/>
      </w:rPr>
    </w:lvl>
    <w:lvl w:ilvl="6">
      <w:start w:val="0"/>
      <w:numFmt w:val="bullet"/>
      <w:lvlText w:val="•"/>
      <w:lvlJc w:val="left"/>
      <w:pPr>
        <w:ind w:left="5976" w:hanging="351"/>
      </w:pPr>
      <w:rPr>
        <w:rFonts w:hint="default"/>
      </w:rPr>
    </w:lvl>
    <w:lvl w:ilvl="7">
      <w:start w:val="0"/>
      <w:numFmt w:val="bullet"/>
      <w:lvlText w:val="•"/>
      <w:lvlJc w:val="left"/>
      <w:pPr>
        <w:ind w:left="6952" w:hanging="351"/>
      </w:pPr>
      <w:rPr>
        <w:rFonts w:hint="default"/>
      </w:rPr>
    </w:lvl>
    <w:lvl w:ilvl="8">
      <w:start w:val="0"/>
      <w:numFmt w:val="bullet"/>
      <w:lvlText w:val="•"/>
      <w:lvlJc w:val="left"/>
      <w:pPr>
        <w:ind w:left="7928" w:hanging="351"/>
      </w:pPr>
      <w:rPr>
        <w:rFonts w:hint="default"/>
      </w:rPr>
    </w:lvl>
  </w:abstractNum>
  <w:abstractNum w:abstractNumId="317">
    <w:multiLevelType w:val="hybridMultilevel"/>
    <w:lvl w:ilvl="0">
      <w:start w:val="1"/>
      <w:numFmt w:val="lowerLetter"/>
      <w:lvlText w:val="%1)"/>
      <w:lvlJc w:val="left"/>
      <w:pPr>
        <w:ind w:left="113" w:hanging="3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4"/>
      </w:pPr>
      <w:rPr>
        <w:rFonts w:hint="default"/>
      </w:rPr>
    </w:lvl>
    <w:lvl w:ilvl="2">
      <w:start w:val="0"/>
      <w:numFmt w:val="bullet"/>
      <w:lvlText w:val="•"/>
      <w:lvlJc w:val="left"/>
      <w:pPr>
        <w:ind w:left="2072" w:hanging="394"/>
      </w:pPr>
      <w:rPr>
        <w:rFonts w:hint="default"/>
      </w:rPr>
    </w:lvl>
    <w:lvl w:ilvl="3">
      <w:start w:val="0"/>
      <w:numFmt w:val="bullet"/>
      <w:lvlText w:val="•"/>
      <w:lvlJc w:val="left"/>
      <w:pPr>
        <w:ind w:left="3048" w:hanging="394"/>
      </w:pPr>
      <w:rPr>
        <w:rFonts w:hint="default"/>
      </w:rPr>
    </w:lvl>
    <w:lvl w:ilvl="4">
      <w:start w:val="0"/>
      <w:numFmt w:val="bullet"/>
      <w:lvlText w:val="•"/>
      <w:lvlJc w:val="left"/>
      <w:pPr>
        <w:ind w:left="4024" w:hanging="394"/>
      </w:pPr>
      <w:rPr>
        <w:rFonts w:hint="default"/>
      </w:rPr>
    </w:lvl>
    <w:lvl w:ilvl="5">
      <w:start w:val="0"/>
      <w:numFmt w:val="bullet"/>
      <w:lvlText w:val="•"/>
      <w:lvlJc w:val="left"/>
      <w:pPr>
        <w:ind w:left="5000" w:hanging="394"/>
      </w:pPr>
      <w:rPr>
        <w:rFonts w:hint="default"/>
      </w:rPr>
    </w:lvl>
    <w:lvl w:ilvl="6">
      <w:start w:val="0"/>
      <w:numFmt w:val="bullet"/>
      <w:lvlText w:val="•"/>
      <w:lvlJc w:val="left"/>
      <w:pPr>
        <w:ind w:left="5976" w:hanging="394"/>
      </w:pPr>
      <w:rPr>
        <w:rFonts w:hint="default"/>
      </w:rPr>
    </w:lvl>
    <w:lvl w:ilvl="7">
      <w:start w:val="0"/>
      <w:numFmt w:val="bullet"/>
      <w:lvlText w:val="•"/>
      <w:lvlJc w:val="left"/>
      <w:pPr>
        <w:ind w:left="6952" w:hanging="394"/>
      </w:pPr>
      <w:rPr>
        <w:rFonts w:hint="default"/>
      </w:rPr>
    </w:lvl>
    <w:lvl w:ilvl="8">
      <w:start w:val="0"/>
      <w:numFmt w:val="bullet"/>
      <w:lvlText w:val="•"/>
      <w:lvlJc w:val="left"/>
      <w:pPr>
        <w:ind w:left="7928" w:hanging="394"/>
      </w:pPr>
      <w:rPr>
        <w:rFonts w:hint="default"/>
      </w:rPr>
    </w:lvl>
  </w:abstractNum>
  <w:abstractNum w:abstractNumId="31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15">
    <w:multiLevelType w:val="hybridMultilevel"/>
    <w:lvl w:ilvl="0">
      <w:start w:val="2"/>
      <w:numFmt w:val="decimal"/>
      <w:lvlText w:val="(%1)"/>
      <w:lvlJc w:val="left"/>
      <w:pPr>
        <w:ind w:left="113" w:hanging="6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74"/>
      </w:pPr>
      <w:rPr>
        <w:rFonts w:hint="default"/>
      </w:rPr>
    </w:lvl>
    <w:lvl w:ilvl="2">
      <w:start w:val="0"/>
      <w:numFmt w:val="bullet"/>
      <w:lvlText w:val="•"/>
      <w:lvlJc w:val="left"/>
      <w:pPr>
        <w:ind w:left="2072" w:hanging="674"/>
      </w:pPr>
      <w:rPr>
        <w:rFonts w:hint="default"/>
      </w:rPr>
    </w:lvl>
    <w:lvl w:ilvl="3">
      <w:start w:val="0"/>
      <w:numFmt w:val="bullet"/>
      <w:lvlText w:val="•"/>
      <w:lvlJc w:val="left"/>
      <w:pPr>
        <w:ind w:left="3048" w:hanging="674"/>
      </w:pPr>
      <w:rPr>
        <w:rFonts w:hint="default"/>
      </w:rPr>
    </w:lvl>
    <w:lvl w:ilvl="4">
      <w:start w:val="0"/>
      <w:numFmt w:val="bullet"/>
      <w:lvlText w:val="•"/>
      <w:lvlJc w:val="left"/>
      <w:pPr>
        <w:ind w:left="4024" w:hanging="674"/>
      </w:pPr>
      <w:rPr>
        <w:rFonts w:hint="default"/>
      </w:rPr>
    </w:lvl>
    <w:lvl w:ilvl="5">
      <w:start w:val="0"/>
      <w:numFmt w:val="bullet"/>
      <w:lvlText w:val="•"/>
      <w:lvlJc w:val="left"/>
      <w:pPr>
        <w:ind w:left="5000" w:hanging="674"/>
      </w:pPr>
      <w:rPr>
        <w:rFonts w:hint="default"/>
      </w:rPr>
    </w:lvl>
    <w:lvl w:ilvl="6">
      <w:start w:val="0"/>
      <w:numFmt w:val="bullet"/>
      <w:lvlText w:val="•"/>
      <w:lvlJc w:val="left"/>
      <w:pPr>
        <w:ind w:left="5976" w:hanging="674"/>
      </w:pPr>
      <w:rPr>
        <w:rFonts w:hint="default"/>
      </w:rPr>
    </w:lvl>
    <w:lvl w:ilvl="7">
      <w:start w:val="0"/>
      <w:numFmt w:val="bullet"/>
      <w:lvlText w:val="•"/>
      <w:lvlJc w:val="left"/>
      <w:pPr>
        <w:ind w:left="6952" w:hanging="674"/>
      </w:pPr>
      <w:rPr>
        <w:rFonts w:hint="default"/>
      </w:rPr>
    </w:lvl>
    <w:lvl w:ilvl="8">
      <w:start w:val="0"/>
      <w:numFmt w:val="bullet"/>
      <w:lvlText w:val="•"/>
      <w:lvlJc w:val="left"/>
      <w:pPr>
        <w:ind w:left="7928" w:hanging="674"/>
      </w:pPr>
      <w:rPr>
        <w:rFonts w:hint="default"/>
      </w:rPr>
    </w:lvl>
  </w:abstractNum>
  <w:abstractNum w:abstractNumId="31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13">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31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11">
    <w:multiLevelType w:val="hybridMultilevel"/>
    <w:lvl w:ilvl="0">
      <w:start w:val="1"/>
      <w:numFmt w:val="lowerLetter"/>
      <w:lvlText w:val="%1)"/>
      <w:lvlJc w:val="left"/>
      <w:pPr>
        <w:ind w:left="113" w:hanging="3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8"/>
      </w:pPr>
      <w:rPr>
        <w:rFonts w:hint="default"/>
      </w:rPr>
    </w:lvl>
    <w:lvl w:ilvl="2">
      <w:start w:val="0"/>
      <w:numFmt w:val="bullet"/>
      <w:lvlText w:val="•"/>
      <w:lvlJc w:val="left"/>
      <w:pPr>
        <w:ind w:left="2072" w:hanging="328"/>
      </w:pPr>
      <w:rPr>
        <w:rFonts w:hint="default"/>
      </w:rPr>
    </w:lvl>
    <w:lvl w:ilvl="3">
      <w:start w:val="0"/>
      <w:numFmt w:val="bullet"/>
      <w:lvlText w:val="•"/>
      <w:lvlJc w:val="left"/>
      <w:pPr>
        <w:ind w:left="3048" w:hanging="328"/>
      </w:pPr>
      <w:rPr>
        <w:rFonts w:hint="default"/>
      </w:rPr>
    </w:lvl>
    <w:lvl w:ilvl="4">
      <w:start w:val="0"/>
      <w:numFmt w:val="bullet"/>
      <w:lvlText w:val="•"/>
      <w:lvlJc w:val="left"/>
      <w:pPr>
        <w:ind w:left="4024" w:hanging="328"/>
      </w:pPr>
      <w:rPr>
        <w:rFonts w:hint="default"/>
      </w:rPr>
    </w:lvl>
    <w:lvl w:ilvl="5">
      <w:start w:val="0"/>
      <w:numFmt w:val="bullet"/>
      <w:lvlText w:val="•"/>
      <w:lvlJc w:val="left"/>
      <w:pPr>
        <w:ind w:left="5000" w:hanging="328"/>
      </w:pPr>
      <w:rPr>
        <w:rFonts w:hint="default"/>
      </w:rPr>
    </w:lvl>
    <w:lvl w:ilvl="6">
      <w:start w:val="0"/>
      <w:numFmt w:val="bullet"/>
      <w:lvlText w:val="•"/>
      <w:lvlJc w:val="left"/>
      <w:pPr>
        <w:ind w:left="5976" w:hanging="328"/>
      </w:pPr>
      <w:rPr>
        <w:rFonts w:hint="default"/>
      </w:rPr>
    </w:lvl>
    <w:lvl w:ilvl="7">
      <w:start w:val="0"/>
      <w:numFmt w:val="bullet"/>
      <w:lvlText w:val="•"/>
      <w:lvlJc w:val="left"/>
      <w:pPr>
        <w:ind w:left="6952" w:hanging="328"/>
      </w:pPr>
      <w:rPr>
        <w:rFonts w:hint="default"/>
      </w:rPr>
    </w:lvl>
    <w:lvl w:ilvl="8">
      <w:start w:val="0"/>
      <w:numFmt w:val="bullet"/>
      <w:lvlText w:val="•"/>
      <w:lvlJc w:val="left"/>
      <w:pPr>
        <w:ind w:left="7928" w:hanging="328"/>
      </w:pPr>
      <w:rPr>
        <w:rFonts w:hint="default"/>
      </w:rPr>
    </w:lvl>
  </w:abstractNum>
  <w:abstractNum w:abstractNumId="310">
    <w:multiLevelType w:val="hybridMultilevel"/>
    <w:lvl w:ilvl="0">
      <w:start w:val="2"/>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309">
    <w:multiLevelType w:val="hybridMultilevel"/>
    <w:lvl w:ilvl="0">
      <w:start w:val="1"/>
      <w:numFmt w:val="lowerLetter"/>
      <w:lvlText w:val="%1)"/>
      <w:lvlJc w:val="left"/>
      <w:pPr>
        <w:ind w:left="113" w:hanging="4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308">
    <w:multiLevelType w:val="hybridMultilevel"/>
    <w:lvl w:ilvl="0">
      <w:start w:val="2"/>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307">
    <w:multiLevelType w:val="hybridMultilevel"/>
    <w:lvl w:ilvl="0">
      <w:start w:val="1"/>
      <w:numFmt w:val="lowerLetter"/>
      <w:lvlText w:val="%1)"/>
      <w:lvlJc w:val="left"/>
      <w:pPr>
        <w:ind w:left="113" w:hanging="51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30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05">
    <w:multiLevelType w:val="hybridMultilevel"/>
    <w:lvl w:ilvl="0">
      <w:start w:val="2"/>
      <w:numFmt w:val="decimal"/>
      <w:lvlText w:val="(%1)"/>
      <w:lvlJc w:val="left"/>
      <w:pPr>
        <w:ind w:left="113" w:hanging="6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4"/>
      </w:pPr>
      <w:rPr>
        <w:rFonts w:hint="default"/>
      </w:rPr>
    </w:lvl>
    <w:lvl w:ilvl="2">
      <w:start w:val="0"/>
      <w:numFmt w:val="bullet"/>
      <w:lvlText w:val="•"/>
      <w:lvlJc w:val="left"/>
      <w:pPr>
        <w:ind w:left="2072" w:hanging="614"/>
      </w:pPr>
      <w:rPr>
        <w:rFonts w:hint="default"/>
      </w:rPr>
    </w:lvl>
    <w:lvl w:ilvl="3">
      <w:start w:val="0"/>
      <w:numFmt w:val="bullet"/>
      <w:lvlText w:val="•"/>
      <w:lvlJc w:val="left"/>
      <w:pPr>
        <w:ind w:left="3048" w:hanging="614"/>
      </w:pPr>
      <w:rPr>
        <w:rFonts w:hint="default"/>
      </w:rPr>
    </w:lvl>
    <w:lvl w:ilvl="4">
      <w:start w:val="0"/>
      <w:numFmt w:val="bullet"/>
      <w:lvlText w:val="•"/>
      <w:lvlJc w:val="left"/>
      <w:pPr>
        <w:ind w:left="4024" w:hanging="614"/>
      </w:pPr>
      <w:rPr>
        <w:rFonts w:hint="default"/>
      </w:rPr>
    </w:lvl>
    <w:lvl w:ilvl="5">
      <w:start w:val="0"/>
      <w:numFmt w:val="bullet"/>
      <w:lvlText w:val="•"/>
      <w:lvlJc w:val="left"/>
      <w:pPr>
        <w:ind w:left="5000" w:hanging="614"/>
      </w:pPr>
      <w:rPr>
        <w:rFonts w:hint="default"/>
      </w:rPr>
    </w:lvl>
    <w:lvl w:ilvl="6">
      <w:start w:val="0"/>
      <w:numFmt w:val="bullet"/>
      <w:lvlText w:val="•"/>
      <w:lvlJc w:val="left"/>
      <w:pPr>
        <w:ind w:left="5976" w:hanging="614"/>
      </w:pPr>
      <w:rPr>
        <w:rFonts w:hint="default"/>
      </w:rPr>
    </w:lvl>
    <w:lvl w:ilvl="7">
      <w:start w:val="0"/>
      <w:numFmt w:val="bullet"/>
      <w:lvlText w:val="•"/>
      <w:lvlJc w:val="left"/>
      <w:pPr>
        <w:ind w:left="6952" w:hanging="614"/>
      </w:pPr>
      <w:rPr>
        <w:rFonts w:hint="default"/>
      </w:rPr>
    </w:lvl>
    <w:lvl w:ilvl="8">
      <w:start w:val="0"/>
      <w:numFmt w:val="bullet"/>
      <w:lvlText w:val="•"/>
      <w:lvlJc w:val="left"/>
      <w:pPr>
        <w:ind w:left="7928" w:hanging="614"/>
      </w:pPr>
      <w:rPr>
        <w:rFonts w:hint="default"/>
      </w:rPr>
    </w:lvl>
  </w:abstractNum>
  <w:abstractNum w:abstractNumId="304">
    <w:multiLevelType w:val="hybridMultilevel"/>
    <w:lvl w:ilvl="0">
      <w:start w:val="2"/>
      <w:numFmt w:val="decimal"/>
      <w:lvlText w:val="(%1)"/>
      <w:lvlJc w:val="left"/>
      <w:pPr>
        <w:ind w:left="113" w:hanging="5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9"/>
      </w:pPr>
      <w:rPr>
        <w:rFonts w:hint="default"/>
      </w:rPr>
    </w:lvl>
    <w:lvl w:ilvl="2">
      <w:start w:val="0"/>
      <w:numFmt w:val="bullet"/>
      <w:lvlText w:val="•"/>
      <w:lvlJc w:val="left"/>
      <w:pPr>
        <w:ind w:left="2072" w:hanging="589"/>
      </w:pPr>
      <w:rPr>
        <w:rFonts w:hint="default"/>
      </w:rPr>
    </w:lvl>
    <w:lvl w:ilvl="3">
      <w:start w:val="0"/>
      <w:numFmt w:val="bullet"/>
      <w:lvlText w:val="•"/>
      <w:lvlJc w:val="left"/>
      <w:pPr>
        <w:ind w:left="3048" w:hanging="589"/>
      </w:pPr>
      <w:rPr>
        <w:rFonts w:hint="default"/>
      </w:rPr>
    </w:lvl>
    <w:lvl w:ilvl="4">
      <w:start w:val="0"/>
      <w:numFmt w:val="bullet"/>
      <w:lvlText w:val="•"/>
      <w:lvlJc w:val="left"/>
      <w:pPr>
        <w:ind w:left="4024" w:hanging="589"/>
      </w:pPr>
      <w:rPr>
        <w:rFonts w:hint="default"/>
      </w:rPr>
    </w:lvl>
    <w:lvl w:ilvl="5">
      <w:start w:val="0"/>
      <w:numFmt w:val="bullet"/>
      <w:lvlText w:val="•"/>
      <w:lvlJc w:val="left"/>
      <w:pPr>
        <w:ind w:left="5000" w:hanging="589"/>
      </w:pPr>
      <w:rPr>
        <w:rFonts w:hint="default"/>
      </w:rPr>
    </w:lvl>
    <w:lvl w:ilvl="6">
      <w:start w:val="0"/>
      <w:numFmt w:val="bullet"/>
      <w:lvlText w:val="•"/>
      <w:lvlJc w:val="left"/>
      <w:pPr>
        <w:ind w:left="5976" w:hanging="589"/>
      </w:pPr>
      <w:rPr>
        <w:rFonts w:hint="default"/>
      </w:rPr>
    </w:lvl>
    <w:lvl w:ilvl="7">
      <w:start w:val="0"/>
      <w:numFmt w:val="bullet"/>
      <w:lvlText w:val="•"/>
      <w:lvlJc w:val="left"/>
      <w:pPr>
        <w:ind w:left="6952" w:hanging="589"/>
      </w:pPr>
      <w:rPr>
        <w:rFonts w:hint="default"/>
      </w:rPr>
    </w:lvl>
    <w:lvl w:ilvl="8">
      <w:start w:val="0"/>
      <w:numFmt w:val="bullet"/>
      <w:lvlText w:val="•"/>
      <w:lvlJc w:val="left"/>
      <w:pPr>
        <w:ind w:left="7928" w:hanging="589"/>
      </w:pPr>
      <w:rPr>
        <w:rFonts w:hint="default"/>
      </w:rPr>
    </w:lvl>
  </w:abstractNum>
  <w:abstractNum w:abstractNumId="30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02">
    <w:multiLevelType w:val="hybridMultilevel"/>
    <w:lvl w:ilvl="0">
      <w:start w:val="1"/>
      <w:numFmt w:val="lowerLetter"/>
      <w:lvlText w:val="%1)"/>
      <w:lvlJc w:val="left"/>
      <w:pPr>
        <w:ind w:left="113" w:hanging="42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301">
    <w:multiLevelType w:val="hybridMultilevel"/>
    <w:lvl w:ilvl="0">
      <w:start w:val="1"/>
      <w:numFmt w:val="lowerLetter"/>
      <w:lvlText w:val="%1)"/>
      <w:lvlJc w:val="left"/>
      <w:pPr>
        <w:ind w:left="113" w:hanging="31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4"/>
      </w:pPr>
      <w:rPr>
        <w:rFonts w:hint="default"/>
      </w:rPr>
    </w:lvl>
    <w:lvl w:ilvl="2">
      <w:start w:val="0"/>
      <w:numFmt w:val="bullet"/>
      <w:lvlText w:val="•"/>
      <w:lvlJc w:val="left"/>
      <w:pPr>
        <w:ind w:left="2072" w:hanging="314"/>
      </w:pPr>
      <w:rPr>
        <w:rFonts w:hint="default"/>
      </w:rPr>
    </w:lvl>
    <w:lvl w:ilvl="3">
      <w:start w:val="0"/>
      <w:numFmt w:val="bullet"/>
      <w:lvlText w:val="•"/>
      <w:lvlJc w:val="left"/>
      <w:pPr>
        <w:ind w:left="3048" w:hanging="314"/>
      </w:pPr>
      <w:rPr>
        <w:rFonts w:hint="default"/>
      </w:rPr>
    </w:lvl>
    <w:lvl w:ilvl="4">
      <w:start w:val="0"/>
      <w:numFmt w:val="bullet"/>
      <w:lvlText w:val="•"/>
      <w:lvlJc w:val="left"/>
      <w:pPr>
        <w:ind w:left="4024" w:hanging="314"/>
      </w:pPr>
      <w:rPr>
        <w:rFonts w:hint="default"/>
      </w:rPr>
    </w:lvl>
    <w:lvl w:ilvl="5">
      <w:start w:val="0"/>
      <w:numFmt w:val="bullet"/>
      <w:lvlText w:val="•"/>
      <w:lvlJc w:val="left"/>
      <w:pPr>
        <w:ind w:left="5000" w:hanging="314"/>
      </w:pPr>
      <w:rPr>
        <w:rFonts w:hint="default"/>
      </w:rPr>
    </w:lvl>
    <w:lvl w:ilvl="6">
      <w:start w:val="0"/>
      <w:numFmt w:val="bullet"/>
      <w:lvlText w:val="•"/>
      <w:lvlJc w:val="left"/>
      <w:pPr>
        <w:ind w:left="5976" w:hanging="314"/>
      </w:pPr>
      <w:rPr>
        <w:rFonts w:hint="default"/>
      </w:rPr>
    </w:lvl>
    <w:lvl w:ilvl="7">
      <w:start w:val="0"/>
      <w:numFmt w:val="bullet"/>
      <w:lvlText w:val="•"/>
      <w:lvlJc w:val="left"/>
      <w:pPr>
        <w:ind w:left="6952" w:hanging="314"/>
      </w:pPr>
      <w:rPr>
        <w:rFonts w:hint="default"/>
      </w:rPr>
    </w:lvl>
    <w:lvl w:ilvl="8">
      <w:start w:val="0"/>
      <w:numFmt w:val="bullet"/>
      <w:lvlText w:val="•"/>
      <w:lvlJc w:val="left"/>
      <w:pPr>
        <w:ind w:left="7928" w:hanging="314"/>
      </w:pPr>
      <w:rPr>
        <w:rFonts w:hint="default"/>
      </w:rPr>
    </w:lvl>
  </w:abstractNum>
  <w:abstractNum w:abstractNumId="300">
    <w:multiLevelType w:val="hybridMultilevel"/>
    <w:lvl w:ilvl="0">
      <w:start w:val="1"/>
      <w:numFmt w:val="lowerLetter"/>
      <w:lvlText w:val="%1)"/>
      <w:lvlJc w:val="left"/>
      <w:pPr>
        <w:ind w:left="113" w:hanging="50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9"/>
      </w:pPr>
      <w:rPr>
        <w:rFonts w:hint="default"/>
      </w:rPr>
    </w:lvl>
    <w:lvl w:ilvl="2">
      <w:start w:val="0"/>
      <w:numFmt w:val="bullet"/>
      <w:lvlText w:val="•"/>
      <w:lvlJc w:val="left"/>
      <w:pPr>
        <w:ind w:left="2072" w:hanging="509"/>
      </w:pPr>
      <w:rPr>
        <w:rFonts w:hint="default"/>
      </w:rPr>
    </w:lvl>
    <w:lvl w:ilvl="3">
      <w:start w:val="0"/>
      <w:numFmt w:val="bullet"/>
      <w:lvlText w:val="•"/>
      <w:lvlJc w:val="left"/>
      <w:pPr>
        <w:ind w:left="3048" w:hanging="509"/>
      </w:pPr>
      <w:rPr>
        <w:rFonts w:hint="default"/>
      </w:rPr>
    </w:lvl>
    <w:lvl w:ilvl="4">
      <w:start w:val="0"/>
      <w:numFmt w:val="bullet"/>
      <w:lvlText w:val="•"/>
      <w:lvlJc w:val="left"/>
      <w:pPr>
        <w:ind w:left="4024" w:hanging="509"/>
      </w:pPr>
      <w:rPr>
        <w:rFonts w:hint="default"/>
      </w:rPr>
    </w:lvl>
    <w:lvl w:ilvl="5">
      <w:start w:val="0"/>
      <w:numFmt w:val="bullet"/>
      <w:lvlText w:val="•"/>
      <w:lvlJc w:val="left"/>
      <w:pPr>
        <w:ind w:left="5000" w:hanging="509"/>
      </w:pPr>
      <w:rPr>
        <w:rFonts w:hint="default"/>
      </w:rPr>
    </w:lvl>
    <w:lvl w:ilvl="6">
      <w:start w:val="0"/>
      <w:numFmt w:val="bullet"/>
      <w:lvlText w:val="•"/>
      <w:lvlJc w:val="left"/>
      <w:pPr>
        <w:ind w:left="5976" w:hanging="509"/>
      </w:pPr>
      <w:rPr>
        <w:rFonts w:hint="default"/>
      </w:rPr>
    </w:lvl>
    <w:lvl w:ilvl="7">
      <w:start w:val="0"/>
      <w:numFmt w:val="bullet"/>
      <w:lvlText w:val="•"/>
      <w:lvlJc w:val="left"/>
      <w:pPr>
        <w:ind w:left="6952" w:hanging="509"/>
      </w:pPr>
      <w:rPr>
        <w:rFonts w:hint="default"/>
      </w:rPr>
    </w:lvl>
    <w:lvl w:ilvl="8">
      <w:start w:val="0"/>
      <w:numFmt w:val="bullet"/>
      <w:lvlText w:val="•"/>
      <w:lvlJc w:val="left"/>
      <w:pPr>
        <w:ind w:left="7928" w:hanging="509"/>
      </w:pPr>
      <w:rPr>
        <w:rFonts w:hint="default"/>
      </w:rPr>
    </w:lvl>
  </w:abstractNum>
  <w:abstractNum w:abstractNumId="299">
    <w:multiLevelType w:val="hybridMultilevel"/>
    <w:lvl w:ilvl="0">
      <w:start w:val="1"/>
      <w:numFmt w:val="lowerLetter"/>
      <w:lvlText w:val="%1)"/>
      <w:lvlJc w:val="left"/>
      <w:pPr>
        <w:ind w:left="113" w:hanging="36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9"/>
      </w:pPr>
      <w:rPr>
        <w:rFonts w:hint="default"/>
      </w:rPr>
    </w:lvl>
    <w:lvl w:ilvl="2">
      <w:start w:val="0"/>
      <w:numFmt w:val="bullet"/>
      <w:lvlText w:val="•"/>
      <w:lvlJc w:val="left"/>
      <w:pPr>
        <w:ind w:left="2072" w:hanging="369"/>
      </w:pPr>
      <w:rPr>
        <w:rFonts w:hint="default"/>
      </w:rPr>
    </w:lvl>
    <w:lvl w:ilvl="3">
      <w:start w:val="0"/>
      <w:numFmt w:val="bullet"/>
      <w:lvlText w:val="•"/>
      <w:lvlJc w:val="left"/>
      <w:pPr>
        <w:ind w:left="3048" w:hanging="369"/>
      </w:pPr>
      <w:rPr>
        <w:rFonts w:hint="default"/>
      </w:rPr>
    </w:lvl>
    <w:lvl w:ilvl="4">
      <w:start w:val="0"/>
      <w:numFmt w:val="bullet"/>
      <w:lvlText w:val="•"/>
      <w:lvlJc w:val="left"/>
      <w:pPr>
        <w:ind w:left="4024" w:hanging="369"/>
      </w:pPr>
      <w:rPr>
        <w:rFonts w:hint="default"/>
      </w:rPr>
    </w:lvl>
    <w:lvl w:ilvl="5">
      <w:start w:val="0"/>
      <w:numFmt w:val="bullet"/>
      <w:lvlText w:val="•"/>
      <w:lvlJc w:val="left"/>
      <w:pPr>
        <w:ind w:left="5000" w:hanging="369"/>
      </w:pPr>
      <w:rPr>
        <w:rFonts w:hint="default"/>
      </w:rPr>
    </w:lvl>
    <w:lvl w:ilvl="6">
      <w:start w:val="0"/>
      <w:numFmt w:val="bullet"/>
      <w:lvlText w:val="•"/>
      <w:lvlJc w:val="left"/>
      <w:pPr>
        <w:ind w:left="5976" w:hanging="369"/>
      </w:pPr>
      <w:rPr>
        <w:rFonts w:hint="default"/>
      </w:rPr>
    </w:lvl>
    <w:lvl w:ilvl="7">
      <w:start w:val="0"/>
      <w:numFmt w:val="bullet"/>
      <w:lvlText w:val="•"/>
      <w:lvlJc w:val="left"/>
      <w:pPr>
        <w:ind w:left="6952" w:hanging="369"/>
      </w:pPr>
      <w:rPr>
        <w:rFonts w:hint="default"/>
      </w:rPr>
    </w:lvl>
    <w:lvl w:ilvl="8">
      <w:start w:val="0"/>
      <w:numFmt w:val="bullet"/>
      <w:lvlText w:val="•"/>
      <w:lvlJc w:val="left"/>
      <w:pPr>
        <w:ind w:left="7928" w:hanging="369"/>
      </w:pPr>
      <w:rPr>
        <w:rFonts w:hint="default"/>
      </w:rPr>
    </w:lvl>
  </w:abstractNum>
  <w:abstractNum w:abstractNumId="298">
    <w:multiLevelType w:val="hybridMultilevel"/>
    <w:lvl w:ilvl="0">
      <w:start w:val="2"/>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297">
    <w:multiLevelType w:val="hybridMultilevel"/>
    <w:lvl w:ilvl="0">
      <w:start w:val="1"/>
      <w:numFmt w:val="lowerLetter"/>
      <w:lvlText w:val="%1)"/>
      <w:lvlJc w:val="left"/>
      <w:pPr>
        <w:ind w:left="113" w:hanging="5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48"/>
      </w:pPr>
      <w:rPr>
        <w:rFonts w:hint="default"/>
      </w:rPr>
    </w:lvl>
    <w:lvl w:ilvl="2">
      <w:start w:val="0"/>
      <w:numFmt w:val="bullet"/>
      <w:lvlText w:val="•"/>
      <w:lvlJc w:val="left"/>
      <w:pPr>
        <w:ind w:left="2072" w:hanging="548"/>
      </w:pPr>
      <w:rPr>
        <w:rFonts w:hint="default"/>
      </w:rPr>
    </w:lvl>
    <w:lvl w:ilvl="3">
      <w:start w:val="0"/>
      <w:numFmt w:val="bullet"/>
      <w:lvlText w:val="•"/>
      <w:lvlJc w:val="left"/>
      <w:pPr>
        <w:ind w:left="3048" w:hanging="548"/>
      </w:pPr>
      <w:rPr>
        <w:rFonts w:hint="default"/>
      </w:rPr>
    </w:lvl>
    <w:lvl w:ilvl="4">
      <w:start w:val="0"/>
      <w:numFmt w:val="bullet"/>
      <w:lvlText w:val="•"/>
      <w:lvlJc w:val="left"/>
      <w:pPr>
        <w:ind w:left="4024" w:hanging="548"/>
      </w:pPr>
      <w:rPr>
        <w:rFonts w:hint="default"/>
      </w:rPr>
    </w:lvl>
    <w:lvl w:ilvl="5">
      <w:start w:val="0"/>
      <w:numFmt w:val="bullet"/>
      <w:lvlText w:val="•"/>
      <w:lvlJc w:val="left"/>
      <w:pPr>
        <w:ind w:left="5000" w:hanging="548"/>
      </w:pPr>
      <w:rPr>
        <w:rFonts w:hint="default"/>
      </w:rPr>
    </w:lvl>
    <w:lvl w:ilvl="6">
      <w:start w:val="0"/>
      <w:numFmt w:val="bullet"/>
      <w:lvlText w:val="•"/>
      <w:lvlJc w:val="left"/>
      <w:pPr>
        <w:ind w:left="5976" w:hanging="548"/>
      </w:pPr>
      <w:rPr>
        <w:rFonts w:hint="default"/>
      </w:rPr>
    </w:lvl>
    <w:lvl w:ilvl="7">
      <w:start w:val="0"/>
      <w:numFmt w:val="bullet"/>
      <w:lvlText w:val="•"/>
      <w:lvlJc w:val="left"/>
      <w:pPr>
        <w:ind w:left="6952" w:hanging="548"/>
      </w:pPr>
      <w:rPr>
        <w:rFonts w:hint="default"/>
      </w:rPr>
    </w:lvl>
    <w:lvl w:ilvl="8">
      <w:start w:val="0"/>
      <w:numFmt w:val="bullet"/>
      <w:lvlText w:val="•"/>
      <w:lvlJc w:val="left"/>
      <w:pPr>
        <w:ind w:left="7928" w:hanging="548"/>
      </w:pPr>
      <w:rPr>
        <w:rFonts w:hint="default"/>
      </w:rPr>
    </w:lvl>
  </w:abstractNum>
  <w:abstractNum w:abstractNumId="296">
    <w:multiLevelType w:val="hybridMultilevel"/>
    <w:lvl w:ilvl="0">
      <w:start w:val="2"/>
      <w:numFmt w:val="decimal"/>
      <w:lvlText w:val="(%1)"/>
      <w:lvlJc w:val="left"/>
      <w:pPr>
        <w:ind w:left="113" w:hanging="5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8"/>
      </w:pPr>
      <w:rPr>
        <w:rFonts w:hint="default"/>
      </w:rPr>
    </w:lvl>
    <w:lvl w:ilvl="2">
      <w:start w:val="0"/>
      <w:numFmt w:val="bullet"/>
      <w:lvlText w:val="•"/>
      <w:lvlJc w:val="left"/>
      <w:pPr>
        <w:ind w:left="2072" w:hanging="578"/>
      </w:pPr>
      <w:rPr>
        <w:rFonts w:hint="default"/>
      </w:rPr>
    </w:lvl>
    <w:lvl w:ilvl="3">
      <w:start w:val="0"/>
      <w:numFmt w:val="bullet"/>
      <w:lvlText w:val="•"/>
      <w:lvlJc w:val="left"/>
      <w:pPr>
        <w:ind w:left="3048" w:hanging="578"/>
      </w:pPr>
      <w:rPr>
        <w:rFonts w:hint="default"/>
      </w:rPr>
    </w:lvl>
    <w:lvl w:ilvl="4">
      <w:start w:val="0"/>
      <w:numFmt w:val="bullet"/>
      <w:lvlText w:val="•"/>
      <w:lvlJc w:val="left"/>
      <w:pPr>
        <w:ind w:left="4024" w:hanging="578"/>
      </w:pPr>
      <w:rPr>
        <w:rFonts w:hint="default"/>
      </w:rPr>
    </w:lvl>
    <w:lvl w:ilvl="5">
      <w:start w:val="0"/>
      <w:numFmt w:val="bullet"/>
      <w:lvlText w:val="•"/>
      <w:lvlJc w:val="left"/>
      <w:pPr>
        <w:ind w:left="5000" w:hanging="578"/>
      </w:pPr>
      <w:rPr>
        <w:rFonts w:hint="default"/>
      </w:rPr>
    </w:lvl>
    <w:lvl w:ilvl="6">
      <w:start w:val="0"/>
      <w:numFmt w:val="bullet"/>
      <w:lvlText w:val="•"/>
      <w:lvlJc w:val="left"/>
      <w:pPr>
        <w:ind w:left="5976" w:hanging="578"/>
      </w:pPr>
      <w:rPr>
        <w:rFonts w:hint="default"/>
      </w:rPr>
    </w:lvl>
    <w:lvl w:ilvl="7">
      <w:start w:val="0"/>
      <w:numFmt w:val="bullet"/>
      <w:lvlText w:val="•"/>
      <w:lvlJc w:val="left"/>
      <w:pPr>
        <w:ind w:left="6952" w:hanging="578"/>
      </w:pPr>
      <w:rPr>
        <w:rFonts w:hint="default"/>
      </w:rPr>
    </w:lvl>
    <w:lvl w:ilvl="8">
      <w:start w:val="0"/>
      <w:numFmt w:val="bullet"/>
      <w:lvlText w:val="•"/>
      <w:lvlJc w:val="left"/>
      <w:pPr>
        <w:ind w:left="7928" w:hanging="578"/>
      </w:pPr>
      <w:rPr>
        <w:rFonts w:hint="default"/>
      </w:rPr>
    </w:lvl>
  </w:abstractNum>
  <w:abstractNum w:abstractNumId="29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94">
    <w:multiLevelType w:val="hybridMultilevel"/>
    <w:lvl w:ilvl="0">
      <w:start w:val="1"/>
      <w:numFmt w:val="lowerLetter"/>
      <w:lvlText w:val="%1)"/>
      <w:lvlJc w:val="left"/>
      <w:pPr>
        <w:ind w:left="113" w:hanging="4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29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92">
    <w:multiLevelType w:val="hybridMultilevel"/>
    <w:lvl w:ilvl="0">
      <w:start w:val="1"/>
      <w:numFmt w:val="lowerLetter"/>
      <w:lvlText w:val="%1)"/>
      <w:lvlJc w:val="left"/>
      <w:pPr>
        <w:ind w:left="113" w:hanging="31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9"/>
      </w:pPr>
      <w:rPr>
        <w:rFonts w:hint="default"/>
      </w:rPr>
    </w:lvl>
    <w:lvl w:ilvl="2">
      <w:start w:val="0"/>
      <w:numFmt w:val="bullet"/>
      <w:lvlText w:val="•"/>
      <w:lvlJc w:val="left"/>
      <w:pPr>
        <w:ind w:left="2072" w:hanging="319"/>
      </w:pPr>
      <w:rPr>
        <w:rFonts w:hint="default"/>
      </w:rPr>
    </w:lvl>
    <w:lvl w:ilvl="3">
      <w:start w:val="0"/>
      <w:numFmt w:val="bullet"/>
      <w:lvlText w:val="•"/>
      <w:lvlJc w:val="left"/>
      <w:pPr>
        <w:ind w:left="3048" w:hanging="319"/>
      </w:pPr>
      <w:rPr>
        <w:rFonts w:hint="default"/>
      </w:rPr>
    </w:lvl>
    <w:lvl w:ilvl="4">
      <w:start w:val="0"/>
      <w:numFmt w:val="bullet"/>
      <w:lvlText w:val="•"/>
      <w:lvlJc w:val="left"/>
      <w:pPr>
        <w:ind w:left="4024" w:hanging="319"/>
      </w:pPr>
      <w:rPr>
        <w:rFonts w:hint="default"/>
      </w:rPr>
    </w:lvl>
    <w:lvl w:ilvl="5">
      <w:start w:val="0"/>
      <w:numFmt w:val="bullet"/>
      <w:lvlText w:val="•"/>
      <w:lvlJc w:val="left"/>
      <w:pPr>
        <w:ind w:left="5000" w:hanging="319"/>
      </w:pPr>
      <w:rPr>
        <w:rFonts w:hint="default"/>
      </w:rPr>
    </w:lvl>
    <w:lvl w:ilvl="6">
      <w:start w:val="0"/>
      <w:numFmt w:val="bullet"/>
      <w:lvlText w:val="•"/>
      <w:lvlJc w:val="left"/>
      <w:pPr>
        <w:ind w:left="5976" w:hanging="319"/>
      </w:pPr>
      <w:rPr>
        <w:rFonts w:hint="default"/>
      </w:rPr>
    </w:lvl>
    <w:lvl w:ilvl="7">
      <w:start w:val="0"/>
      <w:numFmt w:val="bullet"/>
      <w:lvlText w:val="•"/>
      <w:lvlJc w:val="left"/>
      <w:pPr>
        <w:ind w:left="6952" w:hanging="319"/>
      </w:pPr>
      <w:rPr>
        <w:rFonts w:hint="default"/>
      </w:rPr>
    </w:lvl>
    <w:lvl w:ilvl="8">
      <w:start w:val="0"/>
      <w:numFmt w:val="bullet"/>
      <w:lvlText w:val="•"/>
      <w:lvlJc w:val="left"/>
      <w:pPr>
        <w:ind w:left="7928" w:hanging="319"/>
      </w:pPr>
      <w:rPr>
        <w:rFonts w:hint="default"/>
      </w:rPr>
    </w:lvl>
  </w:abstractNum>
  <w:abstractNum w:abstractNumId="291">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29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88">
    <w:multiLevelType w:val="hybridMultilevel"/>
    <w:lvl w:ilvl="0">
      <w:start w:val="1"/>
      <w:numFmt w:val="lowerLetter"/>
      <w:lvlText w:val="%1)"/>
      <w:lvlJc w:val="left"/>
      <w:pPr>
        <w:ind w:left="113" w:hanging="40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2"/>
      </w:pPr>
      <w:rPr>
        <w:rFonts w:hint="default"/>
      </w:rPr>
    </w:lvl>
    <w:lvl w:ilvl="2">
      <w:start w:val="0"/>
      <w:numFmt w:val="bullet"/>
      <w:lvlText w:val="•"/>
      <w:lvlJc w:val="left"/>
      <w:pPr>
        <w:ind w:left="2072" w:hanging="402"/>
      </w:pPr>
      <w:rPr>
        <w:rFonts w:hint="default"/>
      </w:rPr>
    </w:lvl>
    <w:lvl w:ilvl="3">
      <w:start w:val="0"/>
      <w:numFmt w:val="bullet"/>
      <w:lvlText w:val="•"/>
      <w:lvlJc w:val="left"/>
      <w:pPr>
        <w:ind w:left="3048" w:hanging="402"/>
      </w:pPr>
      <w:rPr>
        <w:rFonts w:hint="default"/>
      </w:rPr>
    </w:lvl>
    <w:lvl w:ilvl="4">
      <w:start w:val="0"/>
      <w:numFmt w:val="bullet"/>
      <w:lvlText w:val="•"/>
      <w:lvlJc w:val="left"/>
      <w:pPr>
        <w:ind w:left="4024" w:hanging="402"/>
      </w:pPr>
      <w:rPr>
        <w:rFonts w:hint="default"/>
      </w:rPr>
    </w:lvl>
    <w:lvl w:ilvl="5">
      <w:start w:val="0"/>
      <w:numFmt w:val="bullet"/>
      <w:lvlText w:val="•"/>
      <w:lvlJc w:val="left"/>
      <w:pPr>
        <w:ind w:left="5000" w:hanging="402"/>
      </w:pPr>
      <w:rPr>
        <w:rFonts w:hint="default"/>
      </w:rPr>
    </w:lvl>
    <w:lvl w:ilvl="6">
      <w:start w:val="0"/>
      <w:numFmt w:val="bullet"/>
      <w:lvlText w:val="•"/>
      <w:lvlJc w:val="left"/>
      <w:pPr>
        <w:ind w:left="5976" w:hanging="402"/>
      </w:pPr>
      <w:rPr>
        <w:rFonts w:hint="default"/>
      </w:rPr>
    </w:lvl>
    <w:lvl w:ilvl="7">
      <w:start w:val="0"/>
      <w:numFmt w:val="bullet"/>
      <w:lvlText w:val="•"/>
      <w:lvlJc w:val="left"/>
      <w:pPr>
        <w:ind w:left="6952" w:hanging="402"/>
      </w:pPr>
      <w:rPr>
        <w:rFonts w:hint="default"/>
      </w:rPr>
    </w:lvl>
    <w:lvl w:ilvl="8">
      <w:start w:val="0"/>
      <w:numFmt w:val="bullet"/>
      <w:lvlText w:val="•"/>
      <w:lvlJc w:val="left"/>
      <w:pPr>
        <w:ind w:left="7928" w:hanging="402"/>
      </w:pPr>
      <w:rPr>
        <w:rFonts w:hint="default"/>
      </w:rPr>
    </w:lvl>
  </w:abstractNum>
  <w:abstractNum w:abstractNumId="287">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86">
    <w:multiLevelType w:val="hybridMultilevel"/>
    <w:lvl w:ilvl="0">
      <w:start w:val="2"/>
      <w:numFmt w:val="decimal"/>
      <w:lvlText w:val="(%1)"/>
      <w:lvlJc w:val="left"/>
      <w:pPr>
        <w:ind w:left="113" w:hanging="5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285">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284">
    <w:multiLevelType w:val="hybridMultilevel"/>
    <w:lvl w:ilvl="0">
      <w:start w:val="1"/>
      <w:numFmt w:val="lowerLetter"/>
      <w:lvlText w:val="%1)"/>
      <w:lvlJc w:val="left"/>
      <w:pPr>
        <w:ind w:left="113" w:hanging="40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8"/>
      </w:pPr>
      <w:rPr>
        <w:rFonts w:hint="default"/>
      </w:rPr>
    </w:lvl>
    <w:lvl w:ilvl="2">
      <w:start w:val="0"/>
      <w:numFmt w:val="bullet"/>
      <w:lvlText w:val="•"/>
      <w:lvlJc w:val="left"/>
      <w:pPr>
        <w:ind w:left="2072" w:hanging="408"/>
      </w:pPr>
      <w:rPr>
        <w:rFonts w:hint="default"/>
      </w:rPr>
    </w:lvl>
    <w:lvl w:ilvl="3">
      <w:start w:val="0"/>
      <w:numFmt w:val="bullet"/>
      <w:lvlText w:val="•"/>
      <w:lvlJc w:val="left"/>
      <w:pPr>
        <w:ind w:left="3048" w:hanging="408"/>
      </w:pPr>
      <w:rPr>
        <w:rFonts w:hint="default"/>
      </w:rPr>
    </w:lvl>
    <w:lvl w:ilvl="4">
      <w:start w:val="0"/>
      <w:numFmt w:val="bullet"/>
      <w:lvlText w:val="•"/>
      <w:lvlJc w:val="left"/>
      <w:pPr>
        <w:ind w:left="4024" w:hanging="408"/>
      </w:pPr>
      <w:rPr>
        <w:rFonts w:hint="default"/>
      </w:rPr>
    </w:lvl>
    <w:lvl w:ilvl="5">
      <w:start w:val="0"/>
      <w:numFmt w:val="bullet"/>
      <w:lvlText w:val="•"/>
      <w:lvlJc w:val="left"/>
      <w:pPr>
        <w:ind w:left="5000" w:hanging="408"/>
      </w:pPr>
      <w:rPr>
        <w:rFonts w:hint="default"/>
      </w:rPr>
    </w:lvl>
    <w:lvl w:ilvl="6">
      <w:start w:val="0"/>
      <w:numFmt w:val="bullet"/>
      <w:lvlText w:val="•"/>
      <w:lvlJc w:val="left"/>
      <w:pPr>
        <w:ind w:left="5976" w:hanging="408"/>
      </w:pPr>
      <w:rPr>
        <w:rFonts w:hint="default"/>
      </w:rPr>
    </w:lvl>
    <w:lvl w:ilvl="7">
      <w:start w:val="0"/>
      <w:numFmt w:val="bullet"/>
      <w:lvlText w:val="•"/>
      <w:lvlJc w:val="left"/>
      <w:pPr>
        <w:ind w:left="6952" w:hanging="408"/>
      </w:pPr>
      <w:rPr>
        <w:rFonts w:hint="default"/>
      </w:rPr>
    </w:lvl>
    <w:lvl w:ilvl="8">
      <w:start w:val="0"/>
      <w:numFmt w:val="bullet"/>
      <w:lvlText w:val="•"/>
      <w:lvlJc w:val="left"/>
      <w:pPr>
        <w:ind w:left="7928" w:hanging="408"/>
      </w:pPr>
      <w:rPr>
        <w:rFonts w:hint="default"/>
      </w:rPr>
    </w:lvl>
  </w:abstractNum>
  <w:abstractNum w:abstractNumId="283">
    <w:multiLevelType w:val="hybridMultilevel"/>
    <w:lvl w:ilvl="0">
      <w:start w:val="1"/>
      <w:numFmt w:val="lowerLetter"/>
      <w:lvlText w:val="%1)"/>
      <w:lvlJc w:val="left"/>
      <w:pPr>
        <w:ind w:left="113" w:hanging="37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8"/>
      </w:pPr>
      <w:rPr>
        <w:rFonts w:hint="default"/>
      </w:rPr>
    </w:lvl>
    <w:lvl w:ilvl="2">
      <w:start w:val="0"/>
      <w:numFmt w:val="bullet"/>
      <w:lvlText w:val="•"/>
      <w:lvlJc w:val="left"/>
      <w:pPr>
        <w:ind w:left="2072" w:hanging="378"/>
      </w:pPr>
      <w:rPr>
        <w:rFonts w:hint="default"/>
      </w:rPr>
    </w:lvl>
    <w:lvl w:ilvl="3">
      <w:start w:val="0"/>
      <w:numFmt w:val="bullet"/>
      <w:lvlText w:val="•"/>
      <w:lvlJc w:val="left"/>
      <w:pPr>
        <w:ind w:left="3048" w:hanging="378"/>
      </w:pPr>
      <w:rPr>
        <w:rFonts w:hint="default"/>
      </w:rPr>
    </w:lvl>
    <w:lvl w:ilvl="4">
      <w:start w:val="0"/>
      <w:numFmt w:val="bullet"/>
      <w:lvlText w:val="•"/>
      <w:lvlJc w:val="left"/>
      <w:pPr>
        <w:ind w:left="4024" w:hanging="378"/>
      </w:pPr>
      <w:rPr>
        <w:rFonts w:hint="default"/>
      </w:rPr>
    </w:lvl>
    <w:lvl w:ilvl="5">
      <w:start w:val="0"/>
      <w:numFmt w:val="bullet"/>
      <w:lvlText w:val="•"/>
      <w:lvlJc w:val="left"/>
      <w:pPr>
        <w:ind w:left="5000" w:hanging="378"/>
      </w:pPr>
      <w:rPr>
        <w:rFonts w:hint="default"/>
      </w:rPr>
    </w:lvl>
    <w:lvl w:ilvl="6">
      <w:start w:val="0"/>
      <w:numFmt w:val="bullet"/>
      <w:lvlText w:val="•"/>
      <w:lvlJc w:val="left"/>
      <w:pPr>
        <w:ind w:left="5976" w:hanging="378"/>
      </w:pPr>
      <w:rPr>
        <w:rFonts w:hint="default"/>
      </w:rPr>
    </w:lvl>
    <w:lvl w:ilvl="7">
      <w:start w:val="0"/>
      <w:numFmt w:val="bullet"/>
      <w:lvlText w:val="•"/>
      <w:lvlJc w:val="left"/>
      <w:pPr>
        <w:ind w:left="6952" w:hanging="378"/>
      </w:pPr>
      <w:rPr>
        <w:rFonts w:hint="default"/>
      </w:rPr>
    </w:lvl>
    <w:lvl w:ilvl="8">
      <w:start w:val="0"/>
      <w:numFmt w:val="bullet"/>
      <w:lvlText w:val="•"/>
      <w:lvlJc w:val="left"/>
      <w:pPr>
        <w:ind w:left="7928" w:hanging="378"/>
      </w:pPr>
      <w:rPr>
        <w:rFonts w:hint="default"/>
      </w:rPr>
    </w:lvl>
  </w:abstractNum>
  <w:abstractNum w:abstractNumId="28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1">
    <w:multiLevelType w:val="hybridMultilevel"/>
    <w:lvl w:ilvl="0">
      <w:start w:val="1"/>
      <w:numFmt w:val="lowerLetter"/>
      <w:lvlText w:val="%1)"/>
      <w:lvlJc w:val="left"/>
      <w:pPr>
        <w:ind w:left="113" w:hanging="68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681"/>
      </w:pPr>
      <w:rPr>
        <w:rFonts w:hint="default"/>
      </w:rPr>
    </w:lvl>
    <w:lvl w:ilvl="2">
      <w:start w:val="0"/>
      <w:numFmt w:val="bullet"/>
      <w:lvlText w:val="•"/>
      <w:lvlJc w:val="left"/>
      <w:pPr>
        <w:ind w:left="2072" w:hanging="681"/>
      </w:pPr>
      <w:rPr>
        <w:rFonts w:hint="default"/>
      </w:rPr>
    </w:lvl>
    <w:lvl w:ilvl="3">
      <w:start w:val="0"/>
      <w:numFmt w:val="bullet"/>
      <w:lvlText w:val="•"/>
      <w:lvlJc w:val="left"/>
      <w:pPr>
        <w:ind w:left="3048" w:hanging="681"/>
      </w:pPr>
      <w:rPr>
        <w:rFonts w:hint="default"/>
      </w:rPr>
    </w:lvl>
    <w:lvl w:ilvl="4">
      <w:start w:val="0"/>
      <w:numFmt w:val="bullet"/>
      <w:lvlText w:val="•"/>
      <w:lvlJc w:val="left"/>
      <w:pPr>
        <w:ind w:left="4024" w:hanging="681"/>
      </w:pPr>
      <w:rPr>
        <w:rFonts w:hint="default"/>
      </w:rPr>
    </w:lvl>
    <w:lvl w:ilvl="5">
      <w:start w:val="0"/>
      <w:numFmt w:val="bullet"/>
      <w:lvlText w:val="•"/>
      <w:lvlJc w:val="left"/>
      <w:pPr>
        <w:ind w:left="5000" w:hanging="681"/>
      </w:pPr>
      <w:rPr>
        <w:rFonts w:hint="default"/>
      </w:rPr>
    </w:lvl>
    <w:lvl w:ilvl="6">
      <w:start w:val="0"/>
      <w:numFmt w:val="bullet"/>
      <w:lvlText w:val="•"/>
      <w:lvlJc w:val="left"/>
      <w:pPr>
        <w:ind w:left="5976" w:hanging="681"/>
      </w:pPr>
      <w:rPr>
        <w:rFonts w:hint="default"/>
      </w:rPr>
    </w:lvl>
    <w:lvl w:ilvl="7">
      <w:start w:val="0"/>
      <w:numFmt w:val="bullet"/>
      <w:lvlText w:val="•"/>
      <w:lvlJc w:val="left"/>
      <w:pPr>
        <w:ind w:left="6952" w:hanging="681"/>
      </w:pPr>
      <w:rPr>
        <w:rFonts w:hint="default"/>
      </w:rPr>
    </w:lvl>
    <w:lvl w:ilvl="8">
      <w:start w:val="0"/>
      <w:numFmt w:val="bullet"/>
      <w:lvlText w:val="•"/>
      <w:lvlJc w:val="left"/>
      <w:pPr>
        <w:ind w:left="7928" w:hanging="681"/>
      </w:pPr>
      <w:rPr>
        <w:rFonts w:hint="default"/>
      </w:rPr>
    </w:lvl>
  </w:abstractNum>
  <w:abstractNum w:abstractNumId="28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79">
    <w:multiLevelType w:val="hybridMultilevel"/>
    <w:lvl w:ilvl="0">
      <w:start w:val="2"/>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27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7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7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7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74">
    <w:multiLevelType w:val="hybridMultilevel"/>
    <w:lvl w:ilvl="0">
      <w:start w:val="1"/>
      <w:numFmt w:val="lowerLetter"/>
      <w:lvlText w:val="%1)"/>
      <w:lvlJc w:val="left"/>
      <w:pPr>
        <w:ind w:left="113" w:hanging="4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273">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72">
    <w:multiLevelType w:val="hybridMultilevel"/>
    <w:lvl w:ilvl="0">
      <w:start w:val="2"/>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271">
    <w:multiLevelType w:val="hybridMultilevel"/>
    <w:lvl w:ilvl="0">
      <w:start w:val="1"/>
      <w:numFmt w:val="lowerLetter"/>
      <w:lvlText w:val="%1)"/>
      <w:lvlJc w:val="left"/>
      <w:pPr>
        <w:ind w:left="113" w:hanging="32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7"/>
      </w:pPr>
      <w:rPr>
        <w:rFonts w:hint="default"/>
      </w:rPr>
    </w:lvl>
    <w:lvl w:ilvl="2">
      <w:start w:val="0"/>
      <w:numFmt w:val="bullet"/>
      <w:lvlText w:val="•"/>
      <w:lvlJc w:val="left"/>
      <w:pPr>
        <w:ind w:left="2072" w:hanging="327"/>
      </w:pPr>
      <w:rPr>
        <w:rFonts w:hint="default"/>
      </w:rPr>
    </w:lvl>
    <w:lvl w:ilvl="3">
      <w:start w:val="0"/>
      <w:numFmt w:val="bullet"/>
      <w:lvlText w:val="•"/>
      <w:lvlJc w:val="left"/>
      <w:pPr>
        <w:ind w:left="3048" w:hanging="327"/>
      </w:pPr>
      <w:rPr>
        <w:rFonts w:hint="default"/>
      </w:rPr>
    </w:lvl>
    <w:lvl w:ilvl="4">
      <w:start w:val="0"/>
      <w:numFmt w:val="bullet"/>
      <w:lvlText w:val="•"/>
      <w:lvlJc w:val="left"/>
      <w:pPr>
        <w:ind w:left="4024" w:hanging="327"/>
      </w:pPr>
      <w:rPr>
        <w:rFonts w:hint="default"/>
      </w:rPr>
    </w:lvl>
    <w:lvl w:ilvl="5">
      <w:start w:val="0"/>
      <w:numFmt w:val="bullet"/>
      <w:lvlText w:val="•"/>
      <w:lvlJc w:val="left"/>
      <w:pPr>
        <w:ind w:left="5000" w:hanging="327"/>
      </w:pPr>
      <w:rPr>
        <w:rFonts w:hint="default"/>
      </w:rPr>
    </w:lvl>
    <w:lvl w:ilvl="6">
      <w:start w:val="0"/>
      <w:numFmt w:val="bullet"/>
      <w:lvlText w:val="•"/>
      <w:lvlJc w:val="left"/>
      <w:pPr>
        <w:ind w:left="5976" w:hanging="327"/>
      </w:pPr>
      <w:rPr>
        <w:rFonts w:hint="default"/>
      </w:rPr>
    </w:lvl>
    <w:lvl w:ilvl="7">
      <w:start w:val="0"/>
      <w:numFmt w:val="bullet"/>
      <w:lvlText w:val="•"/>
      <w:lvlJc w:val="left"/>
      <w:pPr>
        <w:ind w:left="6952" w:hanging="327"/>
      </w:pPr>
      <w:rPr>
        <w:rFonts w:hint="default"/>
      </w:rPr>
    </w:lvl>
    <w:lvl w:ilvl="8">
      <w:start w:val="0"/>
      <w:numFmt w:val="bullet"/>
      <w:lvlText w:val="•"/>
      <w:lvlJc w:val="left"/>
      <w:pPr>
        <w:ind w:left="7928" w:hanging="327"/>
      </w:pPr>
      <w:rPr>
        <w:rFonts w:hint="default"/>
      </w:rPr>
    </w:lvl>
  </w:abstractNum>
  <w:abstractNum w:abstractNumId="2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69">
    <w:multiLevelType w:val="hybridMultilevel"/>
    <w:lvl w:ilvl="0">
      <w:start w:val="10"/>
      <w:numFmt w:val="lowerLetter"/>
      <w:lvlText w:val="%1)"/>
      <w:lvlJc w:val="left"/>
      <w:pPr>
        <w:ind w:left="113" w:hanging="270"/>
        <w:jc w:val="left"/>
      </w:pPr>
      <w:rPr>
        <w:rFonts w:hint="default" w:ascii="Times New Roman" w:hAnsi="Times New Roman" w:eastAsia="Times New Roman" w:cs="Times New Roman"/>
        <w:i/>
        <w:spacing w:val="-1"/>
        <w:w w:val="114"/>
        <w:sz w:val="24"/>
        <w:szCs w:val="24"/>
      </w:rPr>
    </w:lvl>
    <w:lvl w:ilvl="1">
      <w:start w:val="0"/>
      <w:numFmt w:val="bullet"/>
      <w:lvlText w:val="•"/>
      <w:lvlJc w:val="left"/>
      <w:pPr>
        <w:ind w:left="1096" w:hanging="270"/>
      </w:pPr>
      <w:rPr>
        <w:rFonts w:hint="default"/>
      </w:rPr>
    </w:lvl>
    <w:lvl w:ilvl="2">
      <w:start w:val="0"/>
      <w:numFmt w:val="bullet"/>
      <w:lvlText w:val="•"/>
      <w:lvlJc w:val="left"/>
      <w:pPr>
        <w:ind w:left="2072" w:hanging="270"/>
      </w:pPr>
      <w:rPr>
        <w:rFonts w:hint="default"/>
      </w:rPr>
    </w:lvl>
    <w:lvl w:ilvl="3">
      <w:start w:val="0"/>
      <w:numFmt w:val="bullet"/>
      <w:lvlText w:val="•"/>
      <w:lvlJc w:val="left"/>
      <w:pPr>
        <w:ind w:left="3048" w:hanging="270"/>
      </w:pPr>
      <w:rPr>
        <w:rFonts w:hint="default"/>
      </w:rPr>
    </w:lvl>
    <w:lvl w:ilvl="4">
      <w:start w:val="0"/>
      <w:numFmt w:val="bullet"/>
      <w:lvlText w:val="•"/>
      <w:lvlJc w:val="left"/>
      <w:pPr>
        <w:ind w:left="4024" w:hanging="270"/>
      </w:pPr>
      <w:rPr>
        <w:rFonts w:hint="default"/>
      </w:rPr>
    </w:lvl>
    <w:lvl w:ilvl="5">
      <w:start w:val="0"/>
      <w:numFmt w:val="bullet"/>
      <w:lvlText w:val="•"/>
      <w:lvlJc w:val="left"/>
      <w:pPr>
        <w:ind w:left="5000" w:hanging="270"/>
      </w:pPr>
      <w:rPr>
        <w:rFonts w:hint="default"/>
      </w:rPr>
    </w:lvl>
    <w:lvl w:ilvl="6">
      <w:start w:val="0"/>
      <w:numFmt w:val="bullet"/>
      <w:lvlText w:val="•"/>
      <w:lvlJc w:val="left"/>
      <w:pPr>
        <w:ind w:left="5976" w:hanging="270"/>
      </w:pPr>
      <w:rPr>
        <w:rFonts w:hint="default"/>
      </w:rPr>
    </w:lvl>
    <w:lvl w:ilvl="7">
      <w:start w:val="0"/>
      <w:numFmt w:val="bullet"/>
      <w:lvlText w:val="•"/>
      <w:lvlJc w:val="left"/>
      <w:pPr>
        <w:ind w:left="6952" w:hanging="270"/>
      </w:pPr>
      <w:rPr>
        <w:rFonts w:hint="default"/>
      </w:rPr>
    </w:lvl>
    <w:lvl w:ilvl="8">
      <w:start w:val="0"/>
      <w:numFmt w:val="bullet"/>
      <w:lvlText w:val="•"/>
      <w:lvlJc w:val="left"/>
      <w:pPr>
        <w:ind w:left="7928" w:hanging="270"/>
      </w:pPr>
      <w:rPr>
        <w:rFonts w:hint="default"/>
      </w:rPr>
    </w:lvl>
  </w:abstractNum>
  <w:abstractNum w:abstractNumId="268">
    <w:multiLevelType w:val="hybridMultilevel"/>
    <w:lvl w:ilvl="0">
      <w:start w:val="1"/>
      <w:numFmt w:val="lowerLetter"/>
      <w:lvlText w:val="%1)"/>
      <w:lvlJc w:val="left"/>
      <w:pPr>
        <w:ind w:left="113" w:hanging="35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6"/>
      </w:pPr>
      <w:rPr>
        <w:rFonts w:hint="default"/>
      </w:rPr>
    </w:lvl>
    <w:lvl w:ilvl="2">
      <w:start w:val="0"/>
      <w:numFmt w:val="bullet"/>
      <w:lvlText w:val="•"/>
      <w:lvlJc w:val="left"/>
      <w:pPr>
        <w:ind w:left="2072" w:hanging="356"/>
      </w:pPr>
      <w:rPr>
        <w:rFonts w:hint="default"/>
      </w:rPr>
    </w:lvl>
    <w:lvl w:ilvl="3">
      <w:start w:val="0"/>
      <w:numFmt w:val="bullet"/>
      <w:lvlText w:val="•"/>
      <w:lvlJc w:val="left"/>
      <w:pPr>
        <w:ind w:left="3048" w:hanging="356"/>
      </w:pPr>
      <w:rPr>
        <w:rFonts w:hint="default"/>
      </w:rPr>
    </w:lvl>
    <w:lvl w:ilvl="4">
      <w:start w:val="0"/>
      <w:numFmt w:val="bullet"/>
      <w:lvlText w:val="•"/>
      <w:lvlJc w:val="left"/>
      <w:pPr>
        <w:ind w:left="4024" w:hanging="356"/>
      </w:pPr>
      <w:rPr>
        <w:rFonts w:hint="default"/>
      </w:rPr>
    </w:lvl>
    <w:lvl w:ilvl="5">
      <w:start w:val="0"/>
      <w:numFmt w:val="bullet"/>
      <w:lvlText w:val="•"/>
      <w:lvlJc w:val="left"/>
      <w:pPr>
        <w:ind w:left="5000" w:hanging="356"/>
      </w:pPr>
      <w:rPr>
        <w:rFonts w:hint="default"/>
      </w:rPr>
    </w:lvl>
    <w:lvl w:ilvl="6">
      <w:start w:val="0"/>
      <w:numFmt w:val="bullet"/>
      <w:lvlText w:val="•"/>
      <w:lvlJc w:val="left"/>
      <w:pPr>
        <w:ind w:left="5976" w:hanging="356"/>
      </w:pPr>
      <w:rPr>
        <w:rFonts w:hint="default"/>
      </w:rPr>
    </w:lvl>
    <w:lvl w:ilvl="7">
      <w:start w:val="0"/>
      <w:numFmt w:val="bullet"/>
      <w:lvlText w:val="•"/>
      <w:lvlJc w:val="left"/>
      <w:pPr>
        <w:ind w:left="6952" w:hanging="356"/>
      </w:pPr>
      <w:rPr>
        <w:rFonts w:hint="default"/>
      </w:rPr>
    </w:lvl>
    <w:lvl w:ilvl="8">
      <w:start w:val="0"/>
      <w:numFmt w:val="bullet"/>
      <w:lvlText w:val="•"/>
      <w:lvlJc w:val="left"/>
      <w:pPr>
        <w:ind w:left="7928" w:hanging="356"/>
      </w:pPr>
      <w:rPr>
        <w:rFonts w:hint="default"/>
      </w:rPr>
    </w:lvl>
  </w:abstractNum>
  <w:abstractNum w:abstractNumId="267">
    <w:multiLevelType w:val="hybridMultilevel"/>
    <w:lvl w:ilvl="0">
      <w:start w:val="2"/>
      <w:numFmt w:val="decimal"/>
      <w:lvlText w:val="(%1)"/>
      <w:lvlJc w:val="left"/>
      <w:pPr>
        <w:ind w:left="113" w:hanging="4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26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65">
    <w:multiLevelType w:val="hybridMultilevel"/>
    <w:lvl w:ilvl="0">
      <w:start w:val="2"/>
      <w:numFmt w:val="decimal"/>
      <w:lvlText w:val="(%1)"/>
      <w:lvlJc w:val="left"/>
      <w:pPr>
        <w:ind w:left="113" w:hanging="5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6"/>
      </w:pPr>
      <w:rPr>
        <w:rFonts w:hint="default"/>
      </w:rPr>
    </w:lvl>
    <w:lvl w:ilvl="2">
      <w:start w:val="0"/>
      <w:numFmt w:val="bullet"/>
      <w:lvlText w:val="•"/>
      <w:lvlJc w:val="left"/>
      <w:pPr>
        <w:ind w:left="2072" w:hanging="536"/>
      </w:pPr>
      <w:rPr>
        <w:rFonts w:hint="default"/>
      </w:rPr>
    </w:lvl>
    <w:lvl w:ilvl="3">
      <w:start w:val="0"/>
      <w:numFmt w:val="bullet"/>
      <w:lvlText w:val="•"/>
      <w:lvlJc w:val="left"/>
      <w:pPr>
        <w:ind w:left="3048" w:hanging="536"/>
      </w:pPr>
      <w:rPr>
        <w:rFonts w:hint="default"/>
      </w:rPr>
    </w:lvl>
    <w:lvl w:ilvl="4">
      <w:start w:val="0"/>
      <w:numFmt w:val="bullet"/>
      <w:lvlText w:val="•"/>
      <w:lvlJc w:val="left"/>
      <w:pPr>
        <w:ind w:left="4024" w:hanging="536"/>
      </w:pPr>
      <w:rPr>
        <w:rFonts w:hint="default"/>
      </w:rPr>
    </w:lvl>
    <w:lvl w:ilvl="5">
      <w:start w:val="0"/>
      <w:numFmt w:val="bullet"/>
      <w:lvlText w:val="•"/>
      <w:lvlJc w:val="left"/>
      <w:pPr>
        <w:ind w:left="5000" w:hanging="536"/>
      </w:pPr>
      <w:rPr>
        <w:rFonts w:hint="default"/>
      </w:rPr>
    </w:lvl>
    <w:lvl w:ilvl="6">
      <w:start w:val="0"/>
      <w:numFmt w:val="bullet"/>
      <w:lvlText w:val="•"/>
      <w:lvlJc w:val="left"/>
      <w:pPr>
        <w:ind w:left="5976" w:hanging="536"/>
      </w:pPr>
      <w:rPr>
        <w:rFonts w:hint="default"/>
      </w:rPr>
    </w:lvl>
    <w:lvl w:ilvl="7">
      <w:start w:val="0"/>
      <w:numFmt w:val="bullet"/>
      <w:lvlText w:val="•"/>
      <w:lvlJc w:val="left"/>
      <w:pPr>
        <w:ind w:left="6952" w:hanging="536"/>
      </w:pPr>
      <w:rPr>
        <w:rFonts w:hint="default"/>
      </w:rPr>
    </w:lvl>
    <w:lvl w:ilvl="8">
      <w:start w:val="0"/>
      <w:numFmt w:val="bullet"/>
      <w:lvlText w:val="•"/>
      <w:lvlJc w:val="left"/>
      <w:pPr>
        <w:ind w:left="7928" w:hanging="536"/>
      </w:pPr>
      <w:rPr>
        <w:rFonts w:hint="default"/>
      </w:rPr>
    </w:lvl>
  </w:abstractNum>
  <w:abstractNum w:abstractNumId="2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63">
    <w:multiLevelType w:val="hybridMultilevel"/>
    <w:lvl w:ilvl="0">
      <w:start w:val="2"/>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262">
    <w:multiLevelType w:val="hybridMultilevel"/>
    <w:lvl w:ilvl="0">
      <w:start w:val="1"/>
      <w:numFmt w:val="lowerLetter"/>
      <w:lvlText w:val="%1)"/>
      <w:lvlJc w:val="left"/>
      <w:pPr>
        <w:ind w:left="113" w:hanging="4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261">
    <w:multiLevelType w:val="hybridMultilevel"/>
    <w:lvl w:ilvl="0">
      <w:start w:val="2"/>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260">
    <w:multiLevelType w:val="hybridMultilevel"/>
    <w:lvl w:ilvl="0">
      <w:start w:val="1"/>
      <w:numFmt w:val="lowerLetter"/>
      <w:lvlText w:val="%1)"/>
      <w:lvlJc w:val="left"/>
      <w:pPr>
        <w:ind w:left="113" w:hanging="3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7"/>
      </w:pPr>
      <w:rPr>
        <w:rFonts w:hint="default"/>
      </w:rPr>
    </w:lvl>
    <w:lvl w:ilvl="2">
      <w:start w:val="0"/>
      <w:numFmt w:val="bullet"/>
      <w:lvlText w:val="•"/>
      <w:lvlJc w:val="left"/>
      <w:pPr>
        <w:ind w:left="2072" w:hanging="317"/>
      </w:pPr>
      <w:rPr>
        <w:rFonts w:hint="default"/>
      </w:rPr>
    </w:lvl>
    <w:lvl w:ilvl="3">
      <w:start w:val="0"/>
      <w:numFmt w:val="bullet"/>
      <w:lvlText w:val="•"/>
      <w:lvlJc w:val="left"/>
      <w:pPr>
        <w:ind w:left="3048" w:hanging="317"/>
      </w:pPr>
      <w:rPr>
        <w:rFonts w:hint="default"/>
      </w:rPr>
    </w:lvl>
    <w:lvl w:ilvl="4">
      <w:start w:val="0"/>
      <w:numFmt w:val="bullet"/>
      <w:lvlText w:val="•"/>
      <w:lvlJc w:val="left"/>
      <w:pPr>
        <w:ind w:left="402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76" w:hanging="317"/>
      </w:pPr>
      <w:rPr>
        <w:rFonts w:hint="default"/>
      </w:rPr>
    </w:lvl>
    <w:lvl w:ilvl="7">
      <w:start w:val="0"/>
      <w:numFmt w:val="bullet"/>
      <w:lvlText w:val="•"/>
      <w:lvlJc w:val="left"/>
      <w:pPr>
        <w:ind w:left="6952" w:hanging="317"/>
      </w:pPr>
      <w:rPr>
        <w:rFonts w:hint="default"/>
      </w:rPr>
    </w:lvl>
    <w:lvl w:ilvl="8">
      <w:start w:val="0"/>
      <w:numFmt w:val="bullet"/>
      <w:lvlText w:val="•"/>
      <w:lvlJc w:val="left"/>
      <w:pPr>
        <w:ind w:left="7928" w:hanging="317"/>
      </w:pPr>
      <w:rPr>
        <w:rFonts w:hint="default"/>
      </w:rPr>
    </w:lvl>
  </w:abstractNum>
  <w:abstractNum w:abstractNumId="259">
    <w:multiLevelType w:val="hybridMultilevel"/>
    <w:lvl w:ilvl="0">
      <w:start w:val="2"/>
      <w:numFmt w:val="decimal"/>
      <w:lvlText w:val="(%1)"/>
      <w:lvlJc w:val="left"/>
      <w:pPr>
        <w:ind w:left="113" w:hanging="5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1"/>
      </w:pPr>
      <w:rPr>
        <w:rFonts w:hint="default"/>
      </w:rPr>
    </w:lvl>
    <w:lvl w:ilvl="2">
      <w:start w:val="0"/>
      <w:numFmt w:val="bullet"/>
      <w:lvlText w:val="•"/>
      <w:lvlJc w:val="left"/>
      <w:pPr>
        <w:ind w:left="2072" w:hanging="551"/>
      </w:pPr>
      <w:rPr>
        <w:rFonts w:hint="default"/>
      </w:rPr>
    </w:lvl>
    <w:lvl w:ilvl="3">
      <w:start w:val="0"/>
      <w:numFmt w:val="bullet"/>
      <w:lvlText w:val="•"/>
      <w:lvlJc w:val="left"/>
      <w:pPr>
        <w:ind w:left="3048" w:hanging="551"/>
      </w:pPr>
      <w:rPr>
        <w:rFonts w:hint="default"/>
      </w:rPr>
    </w:lvl>
    <w:lvl w:ilvl="4">
      <w:start w:val="0"/>
      <w:numFmt w:val="bullet"/>
      <w:lvlText w:val="•"/>
      <w:lvlJc w:val="left"/>
      <w:pPr>
        <w:ind w:left="4024" w:hanging="551"/>
      </w:pPr>
      <w:rPr>
        <w:rFonts w:hint="default"/>
      </w:rPr>
    </w:lvl>
    <w:lvl w:ilvl="5">
      <w:start w:val="0"/>
      <w:numFmt w:val="bullet"/>
      <w:lvlText w:val="•"/>
      <w:lvlJc w:val="left"/>
      <w:pPr>
        <w:ind w:left="5000" w:hanging="551"/>
      </w:pPr>
      <w:rPr>
        <w:rFonts w:hint="default"/>
      </w:rPr>
    </w:lvl>
    <w:lvl w:ilvl="6">
      <w:start w:val="0"/>
      <w:numFmt w:val="bullet"/>
      <w:lvlText w:val="•"/>
      <w:lvlJc w:val="left"/>
      <w:pPr>
        <w:ind w:left="5976" w:hanging="551"/>
      </w:pPr>
      <w:rPr>
        <w:rFonts w:hint="default"/>
      </w:rPr>
    </w:lvl>
    <w:lvl w:ilvl="7">
      <w:start w:val="0"/>
      <w:numFmt w:val="bullet"/>
      <w:lvlText w:val="•"/>
      <w:lvlJc w:val="left"/>
      <w:pPr>
        <w:ind w:left="6952" w:hanging="551"/>
      </w:pPr>
      <w:rPr>
        <w:rFonts w:hint="default"/>
      </w:rPr>
    </w:lvl>
    <w:lvl w:ilvl="8">
      <w:start w:val="0"/>
      <w:numFmt w:val="bullet"/>
      <w:lvlText w:val="•"/>
      <w:lvlJc w:val="left"/>
      <w:pPr>
        <w:ind w:left="7928" w:hanging="551"/>
      </w:pPr>
      <w:rPr>
        <w:rFonts w:hint="default"/>
      </w:rPr>
    </w:lvl>
  </w:abstractNum>
  <w:abstractNum w:abstractNumId="258">
    <w:multiLevelType w:val="hybridMultilevel"/>
    <w:lvl w:ilvl="0">
      <w:start w:val="2"/>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257">
    <w:multiLevelType w:val="hybridMultilevel"/>
    <w:lvl w:ilvl="0">
      <w:start w:val="1"/>
      <w:numFmt w:val="lowerLetter"/>
      <w:lvlText w:val="%1)"/>
      <w:lvlJc w:val="left"/>
      <w:pPr>
        <w:ind w:left="113" w:hanging="36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7"/>
      </w:pPr>
      <w:rPr>
        <w:rFonts w:hint="default"/>
      </w:rPr>
    </w:lvl>
    <w:lvl w:ilvl="2">
      <w:start w:val="0"/>
      <w:numFmt w:val="bullet"/>
      <w:lvlText w:val="•"/>
      <w:lvlJc w:val="left"/>
      <w:pPr>
        <w:ind w:left="2072" w:hanging="367"/>
      </w:pPr>
      <w:rPr>
        <w:rFonts w:hint="default"/>
      </w:rPr>
    </w:lvl>
    <w:lvl w:ilvl="3">
      <w:start w:val="0"/>
      <w:numFmt w:val="bullet"/>
      <w:lvlText w:val="•"/>
      <w:lvlJc w:val="left"/>
      <w:pPr>
        <w:ind w:left="3048" w:hanging="367"/>
      </w:pPr>
      <w:rPr>
        <w:rFonts w:hint="default"/>
      </w:rPr>
    </w:lvl>
    <w:lvl w:ilvl="4">
      <w:start w:val="0"/>
      <w:numFmt w:val="bullet"/>
      <w:lvlText w:val="•"/>
      <w:lvlJc w:val="left"/>
      <w:pPr>
        <w:ind w:left="4024" w:hanging="367"/>
      </w:pPr>
      <w:rPr>
        <w:rFonts w:hint="default"/>
      </w:rPr>
    </w:lvl>
    <w:lvl w:ilvl="5">
      <w:start w:val="0"/>
      <w:numFmt w:val="bullet"/>
      <w:lvlText w:val="•"/>
      <w:lvlJc w:val="left"/>
      <w:pPr>
        <w:ind w:left="5000" w:hanging="367"/>
      </w:pPr>
      <w:rPr>
        <w:rFonts w:hint="default"/>
      </w:rPr>
    </w:lvl>
    <w:lvl w:ilvl="6">
      <w:start w:val="0"/>
      <w:numFmt w:val="bullet"/>
      <w:lvlText w:val="•"/>
      <w:lvlJc w:val="left"/>
      <w:pPr>
        <w:ind w:left="5976" w:hanging="367"/>
      </w:pPr>
      <w:rPr>
        <w:rFonts w:hint="default"/>
      </w:rPr>
    </w:lvl>
    <w:lvl w:ilvl="7">
      <w:start w:val="0"/>
      <w:numFmt w:val="bullet"/>
      <w:lvlText w:val="•"/>
      <w:lvlJc w:val="left"/>
      <w:pPr>
        <w:ind w:left="6952" w:hanging="367"/>
      </w:pPr>
      <w:rPr>
        <w:rFonts w:hint="default"/>
      </w:rPr>
    </w:lvl>
    <w:lvl w:ilvl="8">
      <w:start w:val="0"/>
      <w:numFmt w:val="bullet"/>
      <w:lvlText w:val="•"/>
      <w:lvlJc w:val="left"/>
      <w:pPr>
        <w:ind w:left="7928" w:hanging="367"/>
      </w:pPr>
      <w:rPr>
        <w:rFonts w:hint="default"/>
      </w:rPr>
    </w:lvl>
  </w:abstractNum>
  <w:abstractNum w:abstractNumId="256">
    <w:multiLevelType w:val="hybridMultilevel"/>
    <w:lvl w:ilvl="0">
      <w:start w:val="1"/>
      <w:numFmt w:val="lowerLetter"/>
      <w:lvlText w:val="%1)"/>
      <w:lvlJc w:val="left"/>
      <w:pPr>
        <w:ind w:left="113" w:hanging="44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255">
    <w:multiLevelType w:val="hybridMultilevel"/>
    <w:lvl w:ilvl="0">
      <w:start w:val="1"/>
      <w:numFmt w:val="lowerLetter"/>
      <w:lvlText w:val="%1)"/>
      <w:lvlJc w:val="left"/>
      <w:pPr>
        <w:ind w:left="113" w:hanging="32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5"/>
      </w:pPr>
      <w:rPr>
        <w:rFonts w:hint="default"/>
      </w:rPr>
    </w:lvl>
    <w:lvl w:ilvl="2">
      <w:start w:val="0"/>
      <w:numFmt w:val="bullet"/>
      <w:lvlText w:val="•"/>
      <w:lvlJc w:val="left"/>
      <w:pPr>
        <w:ind w:left="2072" w:hanging="325"/>
      </w:pPr>
      <w:rPr>
        <w:rFonts w:hint="default"/>
      </w:rPr>
    </w:lvl>
    <w:lvl w:ilvl="3">
      <w:start w:val="0"/>
      <w:numFmt w:val="bullet"/>
      <w:lvlText w:val="•"/>
      <w:lvlJc w:val="left"/>
      <w:pPr>
        <w:ind w:left="3048" w:hanging="325"/>
      </w:pPr>
      <w:rPr>
        <w:rFonts w:hint="default"/>
      </w:rPr>
    </w:lvl>
    <w:lvl w:ilvl="4">
      <w:start w:val="0"/>
      <w:numFmt w:val="bullet"/>
      <w:lvlText w:val="•"/>
      <w:lvlJc w:val="left"/>
      <w:pPr>
        <w:ind w:left="4024" w:hanging="325"/>
      </w:pPr>
      <w:rPr>
        <w:rFonts w:hint="default"/>
      </w:rPr>
    </w:lvl>
    <w:lvl w:ilvl="5">
      <w:start w:val="0"/>
      <w:numFmt w:val="bullet"/>
      <w:lvlText w:val="•"/>
      <w:lvlJc w:val="left"/>
      <w:pPr>
        <w:ind w:left="5000" w:hanging="325"/>
      </w:pPr>
      <w:rPr>
        <w:rFonts w:hint="default"/>
      </w:rPr>
    </w:lvl>
    <w:lvl w:ilvl="6">
      <w:start w:val="0"/>
      <w:numFmt w:val="bullet"/>
      <w:lvlText w:val="•"/>
      <w:lvlJc w:val="left"/>
      <w:pPr>
        <w:ind w:left="5976" w:hanging="325"/>
      </w:pPr>
      <w:rPr>
        <w:rFonts w:hint="default"/>
      </w:rPr>
    </w:lvl>
    <w:lvl w:ilvl="7">
      <w:start w:val="0"/>
      <w:numFmt w:val="bullet"/>
      <w:lvlText w:val="•"/>
      <w:lvlJc w:val="left"/>
      <w:pPr>
        <w:ind w:left="6952" w:hanging="325"/>
      </w:pPr>
      <w:rPr>
        <w:rFonts w:hint="default"/>
      </w:rPr>
    </w:lvl>
    <w:lvl w:ilvl="8">
      <w:start w:val="0"/>
      <w:numFmt w:val="bullet"/>
      <w:lvlText w:val="•"/>
      <w:lvlJc w:val="left"/>
      <w:pPr>
        <w:ind w:left="7928" w:hanging="325"/>
      </w:pPr>
      <w:rPr>
        <w:rFonts w:hint="default"/>
      </w:rPr>
    </w:lvl>
  </w:abstractNum>
  <w:abstractNum w:abstractNumId="254">
    <w:multiLevelType w:val="hybridMultilevel"/>
    <w:lvl w:ilvl="0">
      <w:start w:val="2"/>
      <w:numFmt w:val="decimal"/>
      <w:lvlText w:val="(%1)"/>
      <w:lvlJc w:val="left"/>
      <w:pPr>
        <w:ind w:left="113" w:hanging="5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2"/>
      </w:pPr>
      <w:rPr>
        <w:rFonts w:hint="default"/>
      </w:rPr>
    </w:lvl>
    <w:lvl w:ilvl="2">
      <w:start w:val="0"/>
      <w:numFmt w:val="bullet"/>
      <w:lvlText w:val="•"/>
      <w:lvlJc w:val="left"/>
      <w:pPr>
        <w:ind w:left="2072" w:hanging="572"/>
      </w:pPr>
      <w:rPr>
        <w:rFonts w:hint="default"/>
      </w:rPr>
    </w:lvl>
    <w:lvl w:ilvl="3">
      <w:start w:val="0"/>
      <w:numFmt w:val="bullet"/>
      <w:lvlText w:val="•"/>
      <w:lvlJc w:val="left"/>
      <w:pPr>
        <w:ind w:left="3048" w:hanging="572"/>
      </w:pPr>
      <w:rPr>
        <w:rFonts w:hint="default"/>
      </w:rPr>
    </w:lvl>
    <w:lvl w:ilvl="4">
      <w:start w:val="0"/>
      <w:numFmt w:val="bullet"/>
      <w:lvlText w:val="•"/>
      <w:lvlJc w:val="left"/>
      <w:pPr>
        <w:ind w:left="4024" w:hanging="572"/>
      </w:pPr>
      <w:rPr>
        <w:rFonts w:hint="default"/>
      </w:rPr>
    </w:lvl>
    <w:lvl w:ilvl="5">
      <w:start w:val="0"/>
      <w:numFmt w:val="bullet"/>
      <w:lvlText w:val="•"/>
      <w:lvlJc w:val="left"/>
      <w:pPr>
        <w:ind w:left="5000" w:hanging="572"/>
      </w:pPr>
      <w:rPr>
        <w:rFonts w:hint="default"/>
      </w:rPr>
    </w:lvl>
    <w:lvl w:ilvl="6">
      <w:start w:val="0"/>
      <w:numFmt w:val="bullet"/>
      <w:lvlText w:val="•"/>
      <w:lvlJc w:val="left"/>
      <w:pPr>
        <w:ind w:left="5976" w:hanging="572"/>
      </w:pPr>
      <w:rPr>
        <w:rFonts w:hint="default"/>
      </w:rPr>
    </w:lvl>
    <w:lvl w:ilvl="7">
      <w:start w:val="0"/>
      <w:numFmt w:val="bullet"/>
      <w:lvlText w:val="•"/>
      <w:lvlJc w:val="left"/>
      <w:pPr>
        <w:ind w:left="6952" w:hanging="572"/>
      </w:pPr>
      <w:rPr>
        <w:rFonts w:hint="default"/>
      </w:rPr>
    </w:lvl>
    <w:lvl w:ilvl="8">
      <w:start w:val="0"/>
      <w:numFmt w:val="bullet"/>
      <w:lvlText w:val="•"/>
      <w:lvlJc w:val="left"/>
      <w:pPr>
        <w:ind w:left="7928" w:hanging="572"/>
      </w:pPr>
      <w:rPr>
        <w:rFonts w:hint="default"/>
      </w:rPr>
    </w:lvl>
  </w:abstractNum>
  <w:abstractNum w:abstractNumId="2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52">
    <w:multiLevelType w:val="hybridMultilevel"/>
    <w:lvl w:ilvl="0">
      <w:start w:val="1"/>
      <w:numFmt w:val="lowerLetter"/>
      <w:lvlText w:val="%1)"/>
      <w:lvlJc w:val="left"/>
      <w:pPr>
        <w:ind w:left="113" w:hanging="3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5"/>
      </w:pPr>
      <w:rPr>
        <w:rFonts w:hint="default"/>
      </w:rPr>
    </w:lvl>
    <w:lvl w:ilvl="2">
      <w:start w:val="0"/>
      <w:numFmt w:val="bullet"/>
      <w:lvlText w:val="•"/>
      <w:lvlJc w:val="left"/>
      <w:pPr>
        <w:ind w:left="2072" w:hanging="335"/>
      </w:pPr>
      <w:rPr>
        <w:rFonts w:hint="default"/>
      </w:rPr>
    </w:lvl>
    <w:lvl w:ilvl="3">
      <w:start w:val="0"/>
      <w:numFmt w:val="bullet"/>
      <w:lvlText w:val="•"/>
      <w:lvlJc w:val="left"/>
      <w:pPr>
        <w:ind w:left="3048" w:hanging="335"/>
      </w:pPr>
      <w:rPr>
        <w:rFonts w:hint="default"/>
      </w:rPr>
    </w:lvl>
    <w:lvl w:ilvl="4">
      <w:start w:val="0"/>
      <w:numFmt w:val="bullet"/>
      <w:lvlText w:val="•"/>
      <w:lvlJc w:val="left"/>
      <w:pPr>
        <w:ind w:left="4024" w:hanging="335"/>
      </w:pPr>
      <w:rPr>
        <w:rFonts w:hint="default"/>
      </w:rPr>
    </w:lvl>
    <w:lvl w:ilvl="5">
      <w:start w:val="0"/>
      <w:numFmt w:val="bullet"/>
      <w:lvlText w:val="•"/>
      <w:lvlJc w:val="left"/>
      <w:pPr>
        <w:ind w:left="5000" w:hanging="335"/>
      </w:pPr>
      <w:rPr>
        <w:rFonts w:hint="default"/>
      </w:rPr>
    </w:lvl>
    <w:lvl w:ilvl="6">
      <w:start w:val="0"/>
      <w:numFmt w:val="bullet"/>
      <w:lvlText w:val="•"/>
      <w:lvlJc w:val="left"/>
      <w:pPr>
        <w:ind w:left="5976" w:hanging="335"/>
      </w:pPr>
      <w:rPr>
        <w:rFonts w:hint="default"/>
      </w:rPr>
    </w:lvl>
    <w:lvl w:ilvl="7">
      <w:start w:val="0"/>
      <w:numFmt w:val="bullet"/>
      <w:lvlText w:val="•"/>
      <w:lvlJc w:val="left"/>
      <w:pPr>
        <w:ind w:left="6952" w:hanging="335"/>
      </w:pPr>
      <w:rPr>
        <w:rFonts w:hint="default"/>
      </w:rPr>
    </w:lvl>
    <w:lvl w:ilvl="8">
      <w:start w:val="0"/>
      <w:numFmt w:val="bullet"/>
      <w:lvlText w:val="•"/>
      <w:lvlJc w:val="left"/>
      <w:pPr>
        <w:ind w:left="7928" w:hanging="335"/>
      </w:pPr>
      <w:rPr>
        <w:rFonts w:hint="default"/>
      </w:rPr>
    </w:lvl>
  </w:abstractNum>
  <w:abstractNum w:abstractNumId="251">
    <w:multiLevelType w:val="hybridMultilevel"/>
    <w:lvl w:ilvl="0">
      <w:start w:val="2"/>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25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4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8">
    <w:multiLevelType w:val="hybridMultilevel"/>
    <w:lvl w:ilvl="0">
      <w:start w:val="1"/>
      <w:numFmt w:val="lowerLetter"/>
      <w:lvlText w:val="%1)"/>
      <w:lvlJc w:val="left"/>
      <w:pPr>
        <w:ind w:left="113" w:hanging="47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247">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246">
    <w:multiLevelType w:val="hybridMultilevel"/>
    <w:lvl w:ilvl="0">
      <w:start w:val="2"/>
      <w:numFmt w:val="decimal"/>
      <w:lvlText w:val="(%1)"/>
      <w:lvlJc w:val="left"/>
      <w:pPr>
        <w:ind w:left="113" w:hanging="5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245">
    <w:multiLevelType w:val="hybridMultilevel"/>
    <w:lvl w:ilvl="0">
      <w:start w:val="1"/>
      <w:numFmt w:val="lowerLetter"/>
      <w:lvlText w:val="%1)"/>
      <w:lvlJc w:val="left"/>
      <w:pPr>
        <w:ind w:left="113" w:hanging="33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2"/>
      </w:pPr>
      <w:rPr>
        <w:rFonts w:hint="default"/>
      </w:rPr>
    </w:lvl>
    <w:lvl w:ilvl="2">
      <w:start w:val="0"/>
      <w:numFmt w:val="bullet"/>
      <w:lvlText w:val="•"/>
      <w:lvlJc w:val="left"/>
      <w:pPr>
        <w:ind w:left="2072" w:hanging="332"/>
      </w:pPr>
      <w:rPr>
        <w:rFonts w:hint="default"/>
      </w:rPr>
    </w:lvl>
    <w:lvl w:ilvl="3">
      <w:start w:val="0"/>
      <w:numFmt w:val="bullet"/>
      <w:lvlText w:val="•"/>
      <w:lvlJc w:val="left"/>
      <w:pPr>
        <w:ind w:left="3048" w:hanging="332"/>
      </w:pPr>
      <w:rPr>
        <w:rFonts w:hint="default"/>
      </w:rPr>
    </w:lvl>
    <w:lvl w:ilvl="4">
      <w:start w:val="0"/>
      <w:numFmt w:val="bullet"/>
      <w:lvlText w:val="•"/>
      <w:lvlJc w:val="left"/>
      <w:pPr>
        <w:ind w:left="4024" w:hanging="332"/>
      </w:pPr>
      <w:rPr>
        <w:rFonts w:hint="default"/>
      </w:rPr>
    </w:lvl>
    <w:lvl w:ilvl="5">
      <w:start w:val="0"/>
      <w:numFmt w:val="bullet"/>
      <w:lvlText w:val="•"/>
      <w:lvlJc w:val="left"/>
      <w:pPr>
        <w:ind w:left="5000" w:hanging="332"/>
      </w:pPr>
      <w:rPr>
        <w:rFonts w:hint="default"/>
      </w:rPr>
    </w:lvl>
    <w:lvl w:ilvl="6">
      <w:start w:val="0"/>
      <w:numFmt w:val="bullet"/>
      <w:lvlText w:val="•"/>
      <w:lvlJc w:val="left"/>
      <w:pPr>
        <w:ind w:left="5976" w:hanging="332"/>
      </w:pPr>
      <w:rPr>
        <w:rFonts w:hint="default"/>
      </w:rPr>
    </w:lvl>
    <w:lvl w:ilvl="7">
      <w:start w:val="0"/>
      <w:numFmt w:val="bullet"/>
      <w:lvlText w:val="•"/>
      <w:lvlJc w:val="left"/>
      <w:pPr>
        <w:ind w:left="6952" w:hanging="332"/>
      </w:pPr>
      <w:rPr>
        <w:rFonts w:hint="default"/>
      </w:rPr>
    </w:lvl>
    <w:lvl w:ilvl="8">
      <w:start w:val="0"/>
      <w:numFmt w:val="bullet"/>
      <w:lvlText w:val="•"/>
      <w:lvlJc w:val="left"/>
      <w:pPr>
        <w:ind w:left="7928" w:hanging="332"/>
      </w:pPr>
      <w:rPr>
        <w:rFonts w:hint="default"/>
      </w:rPr>
    </w:lvl>
  </w:abstractNum>
  <w:abstractNum w:abstractNumId="24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42">
    <w:multiLevelType w:val="hybridMultilevel"/>
    <w:lvl w:ilvl="0">
      <w:start w:val="1"/>
      <w:numFmt w:val="lowerLetter"/>
      <w:lvlText w:val="%1)"/>
      <w:lvlJc w:val="left"/>
      <w:pPr>
        <w:ind w:left="113" w:hanging="34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9"/>
      </w:pPr>
      <w:rPr>
        <w:rFonts w:hint="default"/>
      </w:rPr>
    </w:lvl>
    <w:lvl w:ilvl="2">
      <w:start w:val="0"/>
      <w:numFmt w:val="bullet"/>
      <w:lvlText w:val="•"/>
      <w:lvlJc w:val="left"/>
      <w:pPr>
        <w:ind w:left="2072" w:hanging="349"/>
      </w:pPr>
      <w:rPr>
        <w:rFonts w:hint="default"/>
      </w:rPr>
    </w:lvl>
    <w:lvl w:ilvl="3">
      <w:start w:val="0"/>
      <w:numFmt w:val="bullet"/>
      <w:lvlText w:val="•"/>
      <w:lvlJc w:val="left"/>
      <w:pPr>
        <w:ind w:left="3048" w:hanging="349"/>
      </w:pPr>
      <w:rPr>
        <w:rFonts w:hint="default"/>
      </w:rPr>
    </w:lvl>
    <w:lvl w:ilvl="4">
      <w:start w:val="0"/>
      <w:numFmt w:val="bullet"/>
      <w:lvlText w:val="•"/>
      <w:lvlJc w:val="left"/>
      <w:pPr>
        <w:ind w:left="4024" w:hanging="349"/>
      </w:pPr>
      <w:rPr>
        <w:rFonts w:hint="default"/>
      </w:rPr>
    </w:lvl>
    <w:lvl w:ilvl="5">
      <w:start w:val="0"/>
      <w:numFmt w:val="bullet"/>
      <w:lvlText w:val="•"/>
      <w:lvlJc w:val="left"/>
      <w:pPr>
        <w:ind w:left="5000" w:hanging="349"/>
      </w:pPr>
      <w:rPr>
        <w:rFonts w:hint="default"/>
      </w:rPr>
    </w:lvl>
    <w:lvl w:ilvl="6">
      <w:start w:val="0"/>
      <w:numFmt w:val="bullet"/>
      <w:lvlText w:val="•"/>
      <w:lvlJc w:val="left"/>
      <w:pPr>
        <w:ind w:left="5976" w:hanging="349"/>
      </w:pPr>
      <w:rPr>
        <w:rFonts w:hint="default"/>
      </w:rPr>
    </w:lvl>
    <w:lvl w:ilvl="7">
      <w:start w:val="0"/>
      <w:numFmt w:val="bullet"/>
      <w:lvlText w:val="•"/>
      <w:lvlJc w:val="left"/>
      <w:pPr>
        <w:ind w:left="6952" w:hanging="349"/>
      </w:pPr>
      <w:rPr>
        <w:rFonts w:hint="default"/>
      </w:rPr>
    </w:lvl>
    <w:lvl w:ilvl="8">
      <w:start w:val="0"/>
      <w:numFmt w:val="bullet"/>
      <w:lvlText w:val="•"/>
      <w:lvlJc w:val="left"/>
      <w:pPr>
        <w:ind w:left="7928" w:hanging="349"/>
      </w:pPr>
      <w:rPr>
        <w:rFonts w:hint="default"/>
      </w:rPr>
    </w:lvl>
  </w:abstractNum>
  <w:abstractNum w:abstractNumId="241">
    <w:multiLevelType w:val="hybridMultilevel"/>
    <w:lvl w:ilvl="0">
      <w:start w:val="1"/>
      <w:numFmt w:val="lowerLetter"/>
      <w:lvlText w:val="%1)"/>
      <w:lvlJc w:val="left"/>
      <w:pPr>
        <w:ind w:left="113" w:hanging="37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1"/>
      </w:pPr>
      <w:rPr>
        <w:rFonts w:hint="default"/>
      </w:rPr>
    </w:lvl>
    <w:lvl w:ilvl="2">
      <w:start w:val="0"/>
      <w:numFmt w:val="bullet"/>
      <w:lvlText w:val="•"/>
      <w:lvlJc w:val="left"/>
      <w:pPr>
        <w:ind w:left="2072" w:hanging="371"/>
      </w:pPr>
      <w:rPr>
        <w:rFonts w:hint="default"/>
      </w:rPr>
    </w:lvl>
    <w:lvl w:ilvl="3">
      <w:start w:val="0"/>
      <w:numFmt w:val="bullet"/>
      <w:lvlText w:val="•"/>
      <w:lvlJc w:val="left"/>
      <w:pPr>
        <w:ind w:left="3048" w:hanging="371"/>
      </w:pPr>
      <w:rPr>
        <w:rFonts w:hint="default"/>
      </w:rPr>
    </w:lvl>
    <w:lvl w:ilvl="4">
      <w:start w:val="0"/>
      <w:numFmt w:val="bullet"/>
      <w:lvlText w:val="•"/>
      <w:lvlJc w:val="left"/>
      <w:pPr>
        <w:ind w:left="4024" w:hanging="371"/>
      </w:pPr>
      <w:rPr>
        <w:rFonts w:hint="default"/>
      </w:rPr>
    </w:lvl>
    <w:lvl w:ilvl="5">
      <w:start w:val="0"/>
      <w:numFmt w:val="bullet"/>
      <w:lvlText w:val="•"/>
      <w:lvlJc w:val="left"/>
      <w:pPr>
        <w:ind w:left="5000" w:hanging="371"/>
      </w:pPr>
      <w:rPr>
        <w:rFonts w:hint="default"/>
      </w:rPr>
    </w:lvl>
    <w:lvl w:ilvl="6">
      <w:start w:val="0"/>
      <w:numFmt w:val="bullet"/>
      <w:lvlText w:val="•"/>
      <w:lvlJc w:val="left"/>
      <w:pPr>
        <w:ind w:left="5976" w:hanging="371"/>
      </w:pPr>
      <w:rPr>
        <w:rFonts w:hint="default"/>
      </w:rPr>
    </w:lvl>
    <w:lvl w:ilvl="7">
      <w:start w:val="0"/>
      <w:numFmt w:val="bullet"/>
      <w:lvlText w:val="•"/>
      <w:lvlJc w:val="left"/>
      <w:pPr>
        <w:ind w:left="6952" w:hanging="371"/>
      </w:pPr>
      <w:rPr>
        <w:rFonts w:hint="default"/>
      </w:rPr>
    </w:lvl>
    <w:lvl w:ilvl="8">
      <w:start w:val="0"/>
      <w:numFmt w:val="bullet"/>
      <w:lvlText w:val="•"/>
      <w:lvlJc w:val="left"/>
      <w:pPr>
        <w:ind w:left="7928" w:hanging="371"/>
      </w:pPr>
      <w:rPr>
        <w:rFonts w:hint="default"/>
      </w:rPr>
    </w:lvl>
  </w:abstractNum>
  <w:abstractNum w:abstractNumId="24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39">
    <w:multiLevelType w:val="hybridMultilevel"/>
    <w:lvl w:ilvl="0">
      <w:start w:val="1"/>
      <w:numFmt w:val="lowerLetter"/>
      <w:lvlText w:val="%1)"/>
      <w:lvlJc w:val="left"/>
      <w:pPr>
        <w:ind w:left="113" w:hanging="46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238">
    <w:multiLevelType w:val="hybridMultilevel"/>
    <w:lvl w:ilvl="0">
      <w:start w:val="2"/>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23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36">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35">
    <w:multiLevelType w:val="hybridMultilevel"/>
    <w:lvl w:ilvl="0">
      <w:start w:val="1"/>
      <w:numFmt w:val="lowerLetter"/>
      <w:lvlText w:val="%1)"/>
      <w:lvlJc w:val="left"/>
      <w:pPr>
        <w:ind w:left="113" w:hanging="35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2"/>
      </w:pPr>
      <w:rPr>
        <w:rFonts w:hint="default"/>
      </w:rPr>
    </w:lvl>
    <w:lvl w:ilvl="2">
      <w:start w:val="0"/>
      <w:numFmt w:val="bullet"/>
      <w:lvlText w:val="•"/>
      <w:lvlJc w:val="left"/>
      <w:pPr>
        <w:ind w:left="2072" w:hanging="352"/>
      </w:pPr>
      <w:rPr>
        <w:rFonts w:hint="default"/>
      </w:rPr>
    </w:lvl>
    <w:lvl w:ilvl="3">
      <w:start w:val="0"/>
      <w:numFmt w:val="bullet"/>
      <w:lvlText w:val="•"/>
      <w:lvlJc w:val="left"/>
      <w:pPr>
        <w:ind w:left="3048" w:hanging="352"/>
      </w:pPr>
      <w:rPr>
        <w:rFonts w:hint="default"/>
      </w:rPr>
    </w:lvl>
    <w:lvl w:ilvl="4">
      <w:start w:val="0"/>
      <w:numFmt w:val="bullet"/>
      <w:lvlText w:val="•"/>
      <w:lvlJc w:val="left"/>
      <w:pPr>
        <w:ind w:left="4024" w:hanging="352"/>
      </w:pPr>
      <w:rPr>
        <w:rFonts w:hint="default"/>
      </w:rPr>
    </w:lvl>
    <w:lvl w:ilvl="5">
      <w:start w:val="0"/>
      <w:numFmt w:val="bullet"/>
      <w:lvlText w:val="•"/>
      <w:lvlJc w:val="left"/>
      <w:pPr>
        <w:ind w:left="5000" w:hanging="352"/>
      </w:pPr>
      <w:rPr>
        <w:rFonts w:hint="default"/>
      </w:rPr>
    </w:lvl>
    <w:lvl w:ilvl="6">
      <w:start w:val="0"/>
      <w:numFmt w:val="bullet"/>
      <w:lvlText w:val="•"/>
      <w:lvlJc w:val="left"/>
      <w:pPr>
        <w:ind w:left="5976" w:hanging="352"/>
      </w:pPr>
      <w:rPr>
        <w:rFonts w:hint="default"/>
      </w:rPr>
    </w:lvl>
    <w:lvl w:ilvl="7">
      <w:start w:val="0"/>
      <w:numFmt w:val="bullet"/>
      <w:lvlText w:val="•"/>
      <w:lvlJc w:val="left"/>
      <w:pPr>
        <w:ind w:left="6952" w:hanging="352"/>
      </w:pPr>
      <w:rPr>
        <w:rFonts w:hint="default"/>
      </w:rPr>
    </w:lvl>
    <w:lvl w:ilvl="8">
      <w:start w:val="0"/>
      <w:numFmt w:val="bullet"/>
      <w:lvlText w:val="•"/>
      <w:lvlJc w:val="left"/>
      <w:pPr>
        <w:ind w:left="7928" w:hanging="352"/>
      </w:pPr>
      <w:rPr>
        <w:rFonts w:hint="default"/>
      </w:rPr>
    </w:lvl>
  </w:abstractNum>
  <w:abstractNum w:abstractNumId="23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33">
    <w:multiLevelType w:val="hybridMultilevel"/>
    <w:lvl w:ilvl="0">
      <w:start w:val="1"/>
      <w:numFmt w:val="decimal"/>
      <w:lvlText w:val="(%1)"/>
      <w:lvlJc w:val="left"/>
      <w:pPr>
        <w:ind w:left="113" w:hanging="453"/>
        <w:jc w:val="left"/>
      </w:pPr>
      <w:rPr>
        <w:rFonts w:hint="default" w:ascii="Times New Roman" w:hAnsi="Times New Roman" w:eastAsia="Times New Roman" w:cs="Times New Roman"/>
        <w:spacing w:val="-1"/>
        <w:w w:val="121"/>
        <w:sz w:val="24"/>
        <w:szCs w:val="24"/>
      </w:rPr>
    </w:lvl>
    <w:lvl w:ilvl="1">
      <w:start w:val="4"/>
      <w:numFmt w:val="decimal"/>
      <w:lvlText w:val="(%2)"/>
      <w:lvlJc w:val="left"/>
      <w:pPr>
        <w:ind w:left="113" w:hanging="341"/>
        <w:jc w:val="left"/>
      </w:pPr>
      <w:rPr>
        <w:rFonts w:hint="default" w:ascii="Times New Roman" w:hAnsi="Times New Roman" w:eastAsia="Times New Roman" w:cs="Times New Roman"/>
        <w:spacing w:val="-1"/>
        <w:w w:val="121"/>
        <w:sz w:val="22"/>
        <w:szCs w:val="22"/>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232">
    <w:multiLevelType w:val="hybridMultilevel"/>
    <w:lvl w:ilvl="0">
      <w:start w:val="2"/>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2"/>
      </w:pPr>
      <w:rPr>
        <w:rFonts w:hint="default"/>
      </w:rPr>
    </w:lvl>
    <w:lvl w:ilvl="2">
      <w:start w:val="0"/>
      <w:numFmt w:val="bullet"/>
      <w:lvlText w:val="•"/>
      <w:lvlJc w:val="left"/>
      <w:pPr>
        <w:ind w:left="2072" w:hanging="502"/>
      </w:pPr>
      <w:rPr>
        <w:rFonts w:hint="default"/>
      </w:rPr>
    </w:lvl>
    <w:lvl w:ilvl="3">
      <w:start w:val="0"/>
      <w:numFmt w:val="bullet"/>
      <w:lvlText w:val="•"/>
      <w:lvlJc w:val="left"/>
      <w:pPr>
        <w:ind w:left="3048" w:hanging="502"/>
      </w:pPr>
      <w:rPr>
        <w:rFonts w:hint="default"/>
      </w:rPr>
    </w:lvl>
    <w:lvl w:ilvl="4">
      <w:start w:val="0"/>
      <w:numFmt w:val="bullet"/>
      <w:lvlText w:val="•"/>
      <w:lvlJc w:val="left"/>
      <w:pPr>
        <w:ind w:left="4024" w:hanging="502"/>
      </w:pPr>
      <w:rPr>
        <w:rFonts w:hint="default"/>
      </w:rPr>
    </w:lvl>
    <w:lvl w:ilvl="5">
      <w:start w:val="0"/>
      <w:numFmt w:val="bullet"/>
      <w:lvlText w:val="•"/>
      <w:lvlJc w:val="left"/>
      <w:pPr>
        <w:ind w:left="5000" w:hanging="502"/>
      </w:pPr>
      <w:rPr>
        <w:rFonts w:hint="default"/>
      </w:rPr>
    </w:lvl>
    <w:lvl w:ilvl="6">
      <w:start w:val="0"/>
      <w:numFmt w:val="bullet"/>
      <w:lvlText w:val="•"/>
      <w:lvlJc w:val="left"/>
      <w:pPr>
        <w:ind w:left="5976" w:hanging="502"/>
      </w:pPr>
      <w:rPr>
        <w:rFonts w:hint="default"/>
      </w:rPr>
    </w:lvl>
    <w:lvl w:ilvl="7">
      <w:start w:val="0"/>
      <w:numFmt w:val="bullet"/>
      <w:lvlText w:val="•"/>
      <w:lvlJc w:val="left"/>
      <w:pPr>
        <w:ind w:left="6952" w:hanging="502"/>
      </w:pPr>
      <w:rPr>
        <w:rFonts w:hint="default"/>
      </w:rPr>
    </w:lvl>
    <w:lvl w:ilvl="8">
      <w:start w:val="0"/>
      <w:numFmt w:val="bullet"/>
      <w:lvlText w:val="•"/>
      <w:lvlJc w:val="left"/>
      <w:pPr>
        <w:ind w:left="7928" w:hanging="502"/>
      </w:pPr>
      <w:rPr>
        <w:rFonts w:hint="default"/>
      </w:rPr>
    </w:lvl>
  </w:abstractNum>
  <w:abstractNum w:abstractNumId="231">
    <w:multiLevelType w:val="hybridMultilevel"/>
    <w:lvl w:ilvl="0">
      <w:start w:val="1"/>
      <w:numFmt w:val="lowerLetter"/>
      <w:lvlText w:val="%1)"/>
      <w:lvlJc w:val="left"/>
      <w:pPr>
        <w:ind w:left="113" w:hanging="44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23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9">
    <w:multiLevelType w:val="hybridMultilevel"/>
    <w:lvl w:ilvl="0">
      <w:start w:val="2"/>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0"/>
      </w:pPr>
      <w:rPr>
        <w:rFonts w:hint="default"/>
      </w:rPr>
    </w:lvl>
    <w:lvl w:ilvl="2">
      <w:start w:val="0"/>
      <w:numFmt w:val="bullet"/>
      <w:lvlText w:val="•"/>
      <w:lvlJc w:val="left"/>
      <w:pPr>
        <w:ind w:left="2072" w:hanging="500"/>
      </w:pPr>
      <w:rPr>
        <w:rFonts w:hint="default"/>
      </w:rPr>
    </w:lvl>
    <w:lvl w:ilvl="3">
      <w:start w:val="0"/>
      <w:numFmt w:val="bullet"/>
      <w:lvlText w:val="•"/>
      <w:lvlJc w:val="left"/>
      <w:pPr>
        <w:ind w:left="3048" w:hanging="500"/>
      </w:pPr>
      <w:rPr>
        <w:rFonts w:hint="default"/>
      </w:rPr>
    </w:lvl>
    <w:lvl w:ilvl="4">
      <w:start w:val="0"/>
      <w:numFmt w:val="bullet"/>
      <w:lvlText w:val="•"/>
      <w:lvlJc w:val="left"/>
      <w:pPr>
        <w:ind w:left="4024" w:hanging="500"/>
      </w:pPr>
      <w:rPr>
        <w:rFonts w:hint="default"/>
      </w:rPr>
    </w:lvl>
    <w:lvl w:ilvl="5">
      <w:start w:val="0"/>
      <w:numFmt w:val="bullet"/>
      <w:lvlText w:val="•"/>
      <w:lvlJc w:val="left"/>
      <w:pPr>
        <w:ind w:left="5000" w:hanging="500"/>
      </w:pPr>
      <w:rPr>
        <w:rFonts w:hint="default"/>
      </w:rPr>
    </w:lvl>
    <w:lvl w:ilvl="6">
      <w:start w:val="0"/>
      <w:numFmt w:val="bullet"/>
      <w:lvlText w:val="•"/>
      <w:lvlJc w:val="left"/>
      <w:pPr>
        <w:ind w:left="5976" w:hanging="500"/>
      </w:pPr>
      <w:rPr>
        <w:rFonts w:hint="default"/>
      </w:rPr>
    </w:lvl>
    <w:lvl w:ilvl="7">
      <w:start w:val="0"/>
      <w:numFmt w:val="bullet"/>
      <w:lvlText w:val="•"/>
      <w:lvlJc w:val="left"/>
      <w:pPr>
        <w:ind w:left="6952" w:hanging="500"/>
      </w:pPr>
      <w:rPr>
        <w:rFonts w:hint="default"/>
      </w:rPr>
    </w:lvl>
    <w:lvl w:ilvl="8">
      <w:start w:val="0"/>
      <w:numFmt w:val="bullet"/>
      <w:lvlText w:val="•"/>
      <w:lvlJc w:val="left"/>
      <w:pPr>
        <w:ind w:left="7928" w:hanging="500"/>
      </w:pPr>
      <w:rPr>
        <w:rFonts w:hint="default"/>
      </w:rPr>
    </w:lvl>
  </w:abstractNum>
  <w:abstractNum w:abstractNumId="228">
    <w:multiLevelType w:val="hybridMultilevel"/>
    <w:lvl w:ilvl="0">
      <w:start w:val="1"/>
      <w:numFmt w:val="lowerLetter"/>
      <w:lvlText w:val="%1)"/>
      <w:lvlJc w:val="left"/>
      <w:pPr>
        <w:ind w:left="113" w:hanging="38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5"/>
      </w:pPr>
      <w:rPr>
        <w:rFonts w:hint="default"/>
      </w:rPr>
    </w:lvl>
    <w:lvl w:ilvl="2">
      <w:start w:val="0"/>
      <w:numFmt w:val="bullet"/>
      <w:lvlText w:val="•"/>
      <w:lvlJc w:val="left"/>
      <w:pPr>
        <w:ind w:left="2072" w:hanging="385"/>
      </w:pPr>
      <w:rPr>
        <w:rFonts w:hint="default"/>
      </w:rPr>
    </w:lvl>
    <w:lvl w:ilvl="3">
      <w:start w:val="0"/>
      <w:numFmt w:val="bullet"/>
      <w:lvlText w:val="•"/>
      <w:lvlJc w:val="left"/>
      <w:pPr>
        <w:ind w:left="3048" w:hanging="385"/>
      </w:pPr>
      <w:rPr>
        <w:rFonts w:hint="default"/>
      </w:rPr>
    </w:lvl>
    <w:lvl w:ilvl="4">
      <w:start w:val="0"/>
      <w:numFmt w:val="bullet"/>
      <w:lvlText w:val="•"/>
      <w:lvlJc w:val="left"/>
      <w:pPr>
        <w:ind w:left="4024" w:hanging="385"/>
      </w:pPr>
      <w:rPr>
        <w:rFonts w:hint="default"/>
      </w:rPr>
    </w:lvl>
    <w:lvl w:ilvl="5">
      <w:start w:val="0"/>
      <w:numFmt w:val="bullet"/>
      <w:lvlText w:val="•"/>
      <w:lvlJc w:val="left"/>
      <w:pPr>
        <w:ind w:left="5000" w:hanging="385"/>
      </w:pPr>
      <w:rPr>
        <w:rFonts w:hint="default"/>
      </w:rPr>
    </w:lvl>
    <w:lvl w:ilvl="6">
      <w:start w:val="0"/>
      <w:numFmt w:val="bullet"/>
      <w:lvlText w:val="•"/>
      <w:lvlJc w:val="left"/>
      <w:pPr>
        <w:ind w:left="5976" w:hanging="385"/>
      </w:pPr>
      <w:rPr>
        <w:rFonts w:hint="default"/>
      </w:rPr>
    </w:lvl>
    <w:lvl w:ilvl="7">
      <w:start w:val="0"/>
      <w:numFmt w:val="bullet"/>
      <w:lvlText w:val="•"/>
      <w:lvlJc w:val="left"/>
      <w:pPr>
        <w:ind w:left="6952" w:hanging="385"/>
      </w:pPr>
      <w:rPr>
        <w:rFonts w:hint="default"/>
      </w:rPr>
    </w:lvl>
    <w:lvl w:ilvl="8">
      <w:start w:val="0"/>
      <w:numFmt w:val="bullet"/>
      <w:lvlText w:val="•"/>
      <w:lvlJc w:val="left"/>
      <w:pPr>
        <w:ind w:left="7928" w:hanging="385"/>
      </w:pPr>
      <w:rPr>
        <w:rFonts w:hint="default"/>
      </w:rPr>
    </w:lvl>
  </w:abstractNum>
  <w:abstractNum w:abstractNumId="227">
    <w:multiLevelType w:val="hybridMultilevel"/>
    <w:lvl w:ilvl="0">
      <w:start w:val="2"/>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2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4">
    <w:multiLevelType w:val="hybridMultilevel"/>
    <w:lvl w:ilvl="0">
      <w:start w:val="1"/>
      <w:numFmt w:val="lowerLetter"/>
      <w:lvlText w:val="%1)"/>
      <w:lvlJc w:val="left"/>
      <w:pPr>
        <w:ind w:left="113" w:hanging="3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4"/>
      </w:pPr>
      <w:rPr>
        <w:rFonts w:hint="default"/>
      </w:rPr>
    </w:lvl>
    <w:lvl w:ilvl="2">
      <w:start w:val="0"/>
      <w:numFmt w:val="bullet"/>
      <w:lvlText w:val="•"/>
      <w:lvlJc w:val="left"/>
      <w:pPr>
        <w:ind w:left="2072" w:hanging="394"/>
      </w:pPr>
      <w:rPr>
        <w:rFonts w:hint="default"/>
      </w:rPr>
    </w:lvl>
    <w:lvl w:ilvl="3">
      <w:start w:val="0"/>
      <w:numFmt w:val="bullet"/>
      <w:lvlText w:val="•"/>
      <w:lvlJc w:val="left"/>
      <w:pPr>
        <w:ind w:left="3048" w:hanging="394"/>
      </w:pPr>
      <w:rPr>
        <w:rFonts w:hint="default"/>
      </w:rPr>
    </w:lvl>
    <w:lvl w:ilvl="4">
      <w:start w:val="0"/>
      <w:numFmt w:val="bullet"/>
      <w:lvlText w:val="•"/>
      <w:lvlJc w:val="left"/>
      <w:pPr>
        <w:ind w:left="4024" w:hanging="394"/>
      </w:pPr>
      <w:rPr>
        <w:rFonts w:hint="default"/>
      </w:rPr>
    </w:lvl>
    <w:lvl w:ilvl="5">
      <w:start w:val="0"/>
      <w:numFmt w:val="bullet"/>
      <w:lvlText w:val="•"/>
      <w:lvlJc w:val="left"/>
      <w:pPr>
        <w:ind w:left="5000" w:hanging="394"/>
      </w:pPr>
      <w:rPr>
        <w:rFonts w:hint="default"/>
      </w:rPr>
    </w:lvl>
    <w:lvl w:ilvl="6">
      <w:start w:val="0"/>
      <w:numFmt w:val="bullet"/>
      <w:lvlText w:val="•"/>
      <w:lvlJc w:val="left"/>
      <w:pPr>
        <w:ind w:left="5976" w:hanging="394"/>
      </w:pPr>
      <w:rPr>
        <w:rFonts w:hint="default"/>
      </w:rPr>
    </w:lvl>
    <w:lvl w:ilvl="7">
      <w:start w:val="0"/>
      <w:numFmt w:val="bullet"/>
      <w:lvlText w:val="•"/>
      <w:lvlJc w:val="left"/>
      <w:pPr>
        <w:ind w:left="6952" w:hanging="394"/>
      </w:pPr>
      <w:rPr>
        <w:rFonts w:hint="default"/>
      </w:rPr>
    </w:lvl>
    <w:lvl w:ilvl="8">
      <w:start w:val="0"/>
      <w:numFmt w:val="bullet"/>
      <w:lvlText w:val="•"/>
      <w:lvlJc w:val="left"/>
      <w:pPr>
        <w:ind w:left="7928" w:hanging="394"/>
      </w:pPr>
      <w:rPr>
        <w:rFonts w:hint="default"/>
      </w:rPr>
    </w:lvl>
  </w:abstractNum>
  <w:abstractNum w:abstractNumId="22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2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19">
    <w:multiLevelType w:val="hybridMultilevel"/>
    <w:lvl w:ilvl="0">
      <w:start w:val="2"/>
      <w:numFmt w:val="decimal"/>
      <w:lvlText w:val="(%1)"/>
      <w:lvlJc w:val="left"/>
      <w:pPr>
        <w:ind w:left="113" w:hanging="5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7"/>
      </w:pPr>
      <w:rPr>
        <w:rFonts w:hint="default"/>
      </w:rPr>
    </w:lvl>
    <w:lvl w:ilvl="2">
      <w:start w:val="0"/>
      <w:numFmt w:val="bullet"/>
      <w:lvlText w:val="•"/>
      <w:lvlJc w:val="left"/>
      <w:pPr>
        <w:ind w:left="2072" w:hanging="547"/>
      </w:pPr>
      <w:rPr>
        <w:rFonts w:hint="default"/>
      </w:rPr>
    </w:lvl>
    <w:lvl w:ilvl="3">
      <w:start w:val="0"/>
      <w:numFmt w:val="bullet"/>
      <w:lvlText w:val="•"/>
      <w:lvlJc w:val="left"/>
      <w:pPr>
        <w:ind w:left="3048" w:hanging="547"/>
      </w:pPr>
      <w:rPr>
        <w:rFonts w:hint="default"/>
      </w:rPr>
    </w:lvl>
    <w:lvl w:ilvl="4">
      <w:start w:val="0"/>
      <w:numFmt w:val="bullet"/>
      <w:lvlText w:val="•"/>
      <w:lvlJc w:val="left"/>
      <w:pPr>
        <w:ind w:left="4024" w:hanging="547"/>
      </w:pPr>
      <w:rPr>
        <w:rFonts w:hint="default"/>
      </w:rPr>
    </w:lvl>
    <w:lvl w:ilvl="5">
      <w:start w:val="0"/>
      <w:numFmt w:val="bullet"/>
      <w:lvlText w:val="•"/>
      <w:lvlJc w:val="left"/>
      <w:pPr>
        <w:ind w:left="5000" w:hanging="547"/>
      </w:pPr>
      <w:rPr>
        <w:rFonts w:hint="default"/>
      </w:rPr>
    </w:lvl>
    <w:lvl w:ilvl="6">
      <w:start w:val="0"/>
      <w:numFmt w:val="bullet"/>
      <w:lvlText w:val="•"/>
      <w:lvlJc w:val="left"/>
      <w:pPr>
        <w:ind w:left="5976" w:hanging="547"/>
      </w:pPr>
      <w:rPr>
        <w:rFonts w:hint="default"/>
      </w:rPr>
    </w:lvl>
    <w:lvl w:ilvl="7">
      <w:start w:val="0"/>
      <w:numFmt w:val="bullet"/>
      <w:lvlText w:val="•"/>
      <w:lvlJc w:val="left"/>
      <w:pPr>
        <w:ind w:left="6952" w:hanging="547"/>
      </w:pPr>
      <w:rPr>
        <w:rFonts w:hint="default"/>
      </w:rPr>
    </w:lvl>
    <w:lvl w:ilvl="8">
      <w:start w:val="0"/>
      <w:numFmt w:val="bullet"/>
      <w:lvlText w:val="•"/>
      <w:lvlJc w:val="left"/>
      <w:pPr>
        <w:ind w:left="7928" w:hanging="547"/>
      </w:pPr>
      <w:rPr>
        <w:rFonts w:hint="default"/>
      </w:rPr>
    </w:lvl>
  </w:abstractNum>
  <w:abstractNum w:abstractNumId="21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17">
    <w:multiLevelType w:val="hybridMultilevel"/>
    <w:lvl w:ilvl="0">
      <w:start w:val="3"/>
      <w:numFmt w:val="decimal"/>
      <w:lvlText w:val="(%1)"/>
      <w:lvlJc w:val="left"/>
      <w:pPr>
        <w:ind w:left="113" w:hanging="5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216">
    <w:multiLevelType w:val="hybridMultilevel"/>
    <w:lvl w:ilvl="0">
      <w:start w:val="1"/>
      <w:numFmt w:val="decimal"/>
      <w:lvlText w:val="(%1)"/>
      <w:lvlJc w:val="left"/>
      <w:pPr>
        <w:ind w:left="529" w:hanging="416"/>
        <w:jc w:val="left"/>
      </w:pPr>
      <w:rPr>
        <w:rFonts w:hint="default" w:ascii="Times New Roman" w:hAnsi="Times New Roman" w:eastAsia="Times New Roman" w:cs="Times New Roman"/>
        <w:spacing w:val="-1"/>
        <w:w w:val="121"/>
        <w:sz w:val="24"/>
        <w:szCs w:val="24"/>
      </w:rPr>
    </w:lvl>
    <w:lvl w:ilvl="1">
      <w:start w:val="1"/>
      <w:numFmt w:val="lowerLetter"/>
      <w:lvlText w:val="%2)"/>
      <w:lvlJc w:val="left"/>
      <w:pPr>
        <w:ind w:left="113" w:hanging="372"/>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1560" w:hanging="372"/>
      </w:pPr>
      <w:rPr>
        <w:rFonts w:hint="default"/>
      </w:rPr>
    </w:lvl>
    <w:lvl w:ilvl="3">
      <w:start w:val="0"/>
      <w:numFmt w:val="bullet"/>
      <w:lvlText w:val="•"/>
      <w:lvlJc w:val="left"/>
      <w:pPr>
        <w:ind w:left="2600" w:hanging="372"/>
      </w:pPr>
      <w:rPr>
        <w:rFonts w:hint="default"/>
      </w:rPr>
    </w:lvl>
    <w:lvl w:ilvl="4">
      <w:start w:val="0"/>
      <w:numFmt w:val="bullet"/>
      <w:lvlText w:val="•"/>
      <w:lvlJc w:val="left"/>
      <w:pPr>
        <w:ind w:left="3640" w:hanging="372"/>
      </w:pPr>
      <w:rPr>
        <w:rFonts w:hint="default"/>
      </w:rPr>
    </w:lvl>
    <w:lvl w:ilvl="5">
      <w:start w:val="0"/>
      <w:numFmt w:val="bullet"/>
      <w:lvlText w:val="•"/>
      <w:lvlJc w:val="left"/>
      <w:pPr>
        <w:ind w:left="4680" w:hanging="372"/>
      </w:pPr>
      <w:rPr>
        <w:rFonts w:hint="default"/>
      </w:rPr>
    </w:lvl>
    <w:lvl w:ilvl="6">
      <w:start w:val="0"/>
      <w:numFmt w:val="bullet"/>
      <w:lvlText w:val="•"/>
      <w:lvlJc w:val="left"/>
      <w:pPr>
        <w:ind w:left="5720" w:hanging="372"/>
      </w:pPr>
      <w:rPr>
        <w:rFonts w:hint="default"/>
      </w:rPr>
    </w:lvl>
    <w:lvl w:ilvl="7">
      <w:start w:val="0"/>
      <w:numFmt w:val="bullet"/>
      <w:lvlText w:val="•"/>
      <w:lvlJc w:val="left"/>
      <w:pPr>
        <w:ind w:left="6760" w:hanging="372"/>
      </w:pPr>
      <w:rPr>
        <w:rFonts w:hint="default"/>
      </w:rPr>
    </w:lvl>
    <w:lvl w:ilvl="8">
      <w:start w:val="0"/>
      <w:numFmt w:val="bullet"/>
      <w:lvlText w:val="•"/>
      <w:lvlJc w:val="left"/>
      <w:pPr>
        <w:ind w:left="7800" w:hanging="372"/>
      </w:pPr>
      <w:rPr>
        <w:rFonts w:hint="default"/>
      </w:rPr>
    </w:lvl>
  </w:abstractNum>
  <w:abstractNum w:abstractNumId="2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14">
    <w:multiLevelType w:val="hybridMultilevel"/>
    <w:lvl w:ilvl="0">
      <w:start w:val="1"/>
      <w:numFmt w:val="lowerLetter"/>
      <w:lvlText w:val="%1)"/>
      <w:lvlJc w:val="left"/>
      <w:pPr>
        <w:ind w:left="113" w:hanging="3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1"/>
      </w:pPr>
      <w:rPr>
        <w:rFonts w:hint="default"/>
      </w:rPr>
    </w:lvl>
    <w:lvl w:ilvl="2">
      <w:start w:val="0"/>
      <w:numFmt w:val="bullet"/>
      <w:lvlText w:val="•"/>
      <w:lvlJc w:val="left"/>
      <w:pPr>
        <w:ind w:left="2072" w:hanging="391"/>
      </w:pPr>
      <w:rPr>
        <w:rFonts w:hint="default"/>
      </w:rPr>
    </w:lvl>
    <w:lvl w:ilvl="3">
      <w:start w:val="0"/>
      <w:numFmt w:val="bullet"/>
      <w:lvlText w:val="•"/>
      <w:lvlJc w:val="left"/>
      <w:pPr>
        <w:ind w:left="3048" w:hanging="391"/>
      </w:pPr>
      <w:rPr>
        <w:rFonts w:hint="default"/>
      </w:rPr>
    </w:lvl>
    <w:lvl w:ilvl="4">
      <w:start w:val="0"/>
      <w:numFmt w:val="bullet"/>
      <w:lvlText w:val="•"/>
      <w:lvlJc w:val="left"/>
      <w:pPr>
        <w:ind w:left="4024" w:hanging="391"/>
      </w:pPr>
      <w:rPr>
        <w:rFonts w:hint="default"/>
      </w:rPr>
    </w:lvl>
    <w:lvl w:ilvl="5">
      <w:start w:val="0"/>
      <w:numFmt w:val="bullet"/>
      <w:lvlText w:val="•"/>
      <w:lvlJc w:val="left"/>
      <w:pPr>
        <w:ind w:left="5000" w:hanging="391"/>
      </w:pPr>
      <w:rPr>
        <w:rFonts w:hint="default"/>
      </w:rPr>
    </w:lvl>
    <w:lvl w:ilvl="6">
      <w:start w:val="0"/>
      <w:numFmt w:val="bullet"/>
      <w:lvlText w:val="•"/>
      <w:lvlJc w:val="left"/>
      <w:pPr>
        <w:ind w:left="5976" w:hanging="391"/>
      </w:pPr>
      <w:rPr>
        <w:rFonts w:hint="default"/>
      </w:rPr>
    </w:lvl>
    <w:lvl w:ilvl="7">
      <w:start w:val="0"/>
      <w:numFmt w:val="bullet"/>
      <w:lvlText w:val="•"/>
      <w:lvlJc w:val="left"/>
      <w:pPr>
        <w:ind w:left="6952" w:hanging="391"/>
      </w:pPr>
      <w:rPr>
        <w:rFonts w:hint="default"/>
      </w:rPr>
    </w:lvl>
    <w:lvl w:ilvl="8">
      <w:start w:val="0"/>
      <w:numFmt w:val="bullet"/>
      <w:lvlText w:val="•"/>
      <w:lvlJc w:val="left"/>
      <w:pPr>
        <w:ind w:left="7928" w:hanging="391"/>
      </w:pPr>
      <w:rPr>
        <w:rFonts w:hint="default"/>
      </w:rPr>
    </w:lvl>
  </w:abstractNum>
  <w:abstractNum w:abstractNumId="213">
    <w:multiLevelType w:val="hybridMultilevel"/>
    <w:lvl w:ilvl="0">
      <w:start w:val="1"/>
      <w:numFmt w:val="lowerLetter"/>
      <w:lvlText w:val="%1)"/>
      <w:lvlJc w:val="left"/>
      <w:pPr>
        <w:ind w:left="113" w:hanging="46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212">
    <w:multiLevelType w:val="hybridMultilevel"/>
    <w:lvl w:ilvl="0">
      <w:start w:val="92"/>
      <w:numFmt w:val="decimal"/>
      <w:lvlText w:val="%1."/>
      <w:lvlJc w:val="left"/>
      <w:pPr>
        <w:ind w:left="113" w:hanging="597"/>
        <w:jc w:val="left"/>
      </w:pPr>
      <w:rPr>
        <w:rFonts w:hint="default" w:ascii="Times New Roman" w:hAnsi="Times New Roman" w:eastAsia="Times New Roman" w:cs="Times New Roman"/>
        <w:spacing w:val="-1"/>
        <w:w w:val="127"/>
        <w:sz w:val="24"/>
        <w:szCs w:val="24"/>
      </w:rPr>
    </w:lvl>
    <w:lvl w:ilvl="1">
      <w:start w:val="91"/>
      <w:numFmt w:val="decimal"/>
      <w:lvlText w:val="%2."/>
      <w:lvlJc w:val="left"/>
      <w:pPr>
        <w:ind w:left="113" w:hanging="509"/>
        <w:jc w:val="left"/>
      </w:pPr>
      <w:rPr>
        <w:rFonts w:hint="default" w:ascii="Arial" w:hAnsi="Arial" w:eastAsia="Arial" w:cs="Arial"/>
        <w:b/>
        <w:bCs/>
        <w:spacing w:val="-1"/>
        <w:w w:val="125"/>
        <w:sz w:val="24"/>
        <w:szCs w:val="24"/>
      </w:rPr>
    </w:lvl>
    <w:lvl w:ilvl="2">
      <w:start w:val="0"/>
      <w:numFmt w:val="bullet"/>
      <w:lvlText w:val="•"/>
      <w:lvlJc w:val="left"/>
      <w:pPr>
        <w:ind w:left="1680" w:hanging="509"/>
      </w:pPr>
      <w:rPr>
        <w:rFonts w:hint="default"/>
      </w:rPr>
    </w:lvl>
    <w:lvl w:ilvl="3">
      <w:start w:val="0"/>
      <w:numFmt w:val="bullet"/>
      <w:lvlText w:val="•"/>
      <w:lvlJc w:val="left"/>
      <w:pPr>
        <w:ind w:left="1960" w:hanging="509"/>
      </w:pPr>
      <w:rPr>
        <w:rFonts w:hint="default"/>
      </w:rPr>
    </w:lvl>
    <w:lvl w:ilvl="4">
      <w:start w:val="0"/>
      <w:numFmt w:val="bullet"/>
      <w:lvlText w:val="•"/>
      <w:lvlJc w:val="left"/>
      <w:pPr>
        <w:ind w:left="2100" w:hanging="509"/>
      </w:pPr>
      <w:rPr>
        <w:rFonts w:hint="default"/>
      </w:rPr>
    </w:lvl>
    <w:lvl w:ilvl="5">
      <w:start w:val="0"/>
      <w:numFmt w:val="bullet"/>
      <w:lvlText w:val="•"/>
      <w:lvlJc w:val="left"/>
      <w:pPr>
        <w:ind w:left="2180" w:hanging="509"/>
      </w:pPr>
      <w:rPr>
        <w:rFonts w:hint="default"/>
      </w:rPr>
    </w:lvl>
    <w:lvl w:ilvl="6">
      <w:start w:val="0"/>
      <w:numFmt w:val="bullet"/>
      <w:lvlText w:val="•"/>
      <w:lvlJc w:val="left"/>
      <w:pPr>
        <w:ind w:left="2380" w:hanging="509"/>
      </w:pPr>
      <w:rPr>
        <w:rFonts w:hint="default"/>
      </w:rPr>
    </w:lvl>
    <w:lvl w:ilvl="7">
      <w:start w:val="0"/>
      <w:numFmt w:val="bullet"/>
      <w:lvlText w:val="•"/>
      <w:lvlJc w:val="left"/>
      <w:pPr>
        <w:ind w:left="2460" w:hanging="509"/>
      </w:pPr>
      <w:rPr>
        <w:rFonts w:hint="default"/>
      </w:rPr>
    </w:lvl>
    <w:lvl w:ilvl="8">
      <w:start w:val="0"/>
      <w:numFmt w:val="bullet"/>
      <w:lvlText w:val="•"/>
      <w:lvlJc w:val="left"/>
      <w:pPr>
        <w:ind w:left="2560" w:hanging="509"/>
      </w:pPr>
      <w:rPr>
        <w:rFonts w:hint="default"/>
      </w:rPr>
    </w:lvl>
  </w:abstractNum>
  <w:abstractNum w:abstractNumId="211">
    <w:multiLevelType w:val="hybridMultilevel"/>
    <w:lvl w:ilvl="0">
      <w:start w:val="2"/>
      <w:numFmt w:val="decimal"/>
      <w:lvlText w:val="(%1)"/>
      <w:lvlJc w:val="left"/>
      <w:pPr>
        <w:ind w:left="113" w:hanging="5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210">
    <w:multiLevelType w:val="hybridMultilevel"/>
    <w:lvl w:ilvl="0">
      <w:start w:val="1"/>
      <w:numFmt w:val="lowerLetter"/>
      <w:lvlText w:val="%1)"/>
      <w:lvlJc w:val="left"/>
      <w:pPr>
        <w:ind w:left="113" w:hanging="36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1"/>
      </w:pPr>
      <w:rPr>
        <w:rFonts w:hint="default"/>
      </w:rPr>
    </w:lvl>
    <w:lvl w:ilvl="2">
      <w:start w:val="0"/>
      <w:numFmt w:val="bullet"/>
      <w:lvlText w:val="•"/>
      <w:lvlJc w:val="left"/>
      <w:pPr>
        <w:ind w:left="2072" w:hanging="361"/>
      </w:pPr>
      <w:rPr>
        <w:rFonts w:hint="default"/>
      </w:rPr>
    </w:lvl>
    <w:lvl w:ilvl="3">
      <w:start w:val="0"/>
      <w:numFmt w:val="bullet"/>
      <w:lvlText w:val="•"/>
      <w:lvlJc w:val="left"/>
      <w:pPr>
        <w:ind w:left="3048" w:hanging="361"/>
      </w:pPr>
      <w:rPr>
        <w:rFonts w:hint="default"/>
      </w:rPr>
    </w:lvl>
    <w:lvl w:ilvl="4">
      <w:start w:val="0"/>
      <w:numFmt w:val="bullet"/>
      <w:lvlText w:val="•"/>
      <w:lvlJc w:val="left"/>
      <w:pPr>
        <w:ind w:left="4024" w:hanging="361"/>
      </w:pPr>
      <w:rPr>
        <w:rFonts w:hint="default"/>
      </w:rPr>
    </w:lvl>
    <w:lvl w:ilvl="5">
      <w:start w:val="0"/>
      <w:numFmt w:val="bullet"/>
      <w:lvlText w:val="•"/>
      <w:lvlJc w:val="left"/>
      <w:pPr>
        <w:ind w:left="5000" w:hanging="361"/>
      </w:pPr>
      <w:rPr>
        <w:rFonts w:hint="default"/>
      </w:rPr>
    </w:lvl>
    <w:lvl w:ilvl="6">
      <w:start w:val="0"/>
      <w:numFmt w:val="bullet"/>
      <w:lvlText w:val="•"/>
      <w:lvlJc w:val="left"/>
      <w:pPr>
        <w:ind w:left="5976" w:hanging="361"/>
      </w:pPr>
      <w:rPr>
        <w:rFonts w:hint="default"/>
      </w:rPr>
    </w:lvl>
    <w:lvl w:ilvl="7">
      <w:start w:val="0"/>
      <w:numFmt w:val="bullet"/>
      <w:lvlText w:val="•"/>
      <w:lvlJc w:val="left"/>
      <w:pPr>
        <w:ind w:left="6952" w:hanging="361"/>
      </w:pPr>
      <w:rPr>
        <w:rFonts w:hint="default"/>
      </w:rPr>
    </w:lvl>
    <w:lvl w:ilvl="8">
      <w:start w:val="0"/>
      <w:numFmt w:val="bullet"/>
      <w:lvlText w:val="•"/>
      <w:lvlJc w:val="left"/>
      <w:pPr>
        <w:ind w:left="7928" w:hanging="361"/>
      </w:pPr>
      <w:rPr>
        <w:rFonts w:hint="default"/>
      </w:rPr>
    </w:lvl>
  </w:abstractNum>
  <w:abstractNum w:abstractNumId="209">
    <w:multiLevelType w:val="hybridMultilevel"/>
    <w:lvl w:ilvl="0">
      <w:start w:val="1"/>
      <w:numFmt w:val="lowerLetter"/>
      <w:lvlText w:val="%1)"/>
      <w:lvlJc w:val="left"/>
      <w:pPr>
        <w:ind w:left="113" w:hanging="3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7"/>
      </w:pPr>
      <w:rPr>
        <w:rFonts w:hint="default"/>
      </w:rPr>
    </w:lvl>
    <w:lvl w:ilvl="2">
      <w:start w:val="0"/>
      <w:numFmt w:val="bullet"/>
      <w:lvlText w:val="•"/>
      <w:lvlJc w:val="left"/>
      <w:pPr>
        <w:ind w:left="2072" w:hanging="357"/>
      </w:pPr>
      <w:rPr>
        <w:rFonts w:hint="default"/>
      </w:rPr>
    </w:lvl>
    <w:lvl w:ilvl="3">
      <w:start w:val="0"/>
      <w:numFmt w:val="bullet"/>
      <w:lvlText w:val="•"/>
      <w:lvlJc w:val="left"/>
      <w:pPr>
        <w:ind w:left="3048" w:hanging="357"/>
      </w:pPr>
      <w:rPr>
        <w:rFonts w:hint="default"/>
      </w:rPr>
    </w:lvl>
    <w:lvl w:ilvl="4">
      <w:start w:val="0"/>
      <w:numFmt w:val="bullet"/>
      <w:lvlText w:val="•"/>
      <w:lvlJc w:val="left"/>
      <w:pPr>
        <w:ind w:left="4024" w:hanging="357"/>
      </w:pPr>
      <w:rPr>
        <w:rFonts w:hint="default"/>
      </w:rPr>
    </w:lvl>
    <w:lvl w:ilvl="5">
      <w:start w:val="0"/>
      <w:numFmt w:val="bullet"/>
      <w:lvlText w:val="•"/>
      <w:lvlJc w:val="left"/>
      <w:pPr>
        <w:ind w:left="5000" w:hanging="357"/>
      </w:pPr>
      <w:rPr>
        <w:rFonts w:hint="default"/>
      </w:rPr>
    </w:lvl>
    <w:lvl w:ilvl="6">
      <w:start w:val="0"/>
      <w:numFmt w:val="bullet"/>
      <w:lvlText w:val="•"/>
      <w:lvlJc w:val="left"/>
      <w:pPr>
        <w:ind w:left="5976" w:hanging="357"/>
      </w:pPr>
      <w:rPr>
        <w:rFonts w:hint="default"/>
      </w:rPr>
    </w:lvl>
    <w:lvl w:ilvl="7">
      <w:start w:val="0"/>
      <w:numFmt w:val="bullet"/>
      <w:lvlText w:val="•"/>
      <w:lvlJc w:val="left"/>
      <w:pPr>
        <w:ind w:left="6952" w:hanging="357"/>
      </w:pPr>
      <w:rPr>
        <w:rFonts w:hint="default"/>
      </w:rPr>
    </w:lvl>
    <w:lvl w:ilvl="8">
      <w:start w:val="0"/>
      <w:numFmt w:val="bullet"/>
      <w:lvlText w:val="•"/>
      <w:lvlJc w:val="left"/>
      <w:pPr>
        <w:ind w:left="7928" w:hanging="357"/>
      </w:pPr>
      <w:rPr>
        <w:rFonts w:hint="default"/>
      </w:rPr>
    </w:lvl>
  </w:abstractNum>
  <w:abstractNum w:abstractNumId="20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6">
    <w:multiLevelType w:val="hybridMultilevel"/>
    <w:lvl w:ilvl="0">
      <w:start w:val="1"/>
      <w:numFmt w:val="decimal"/>
      <w:lvlText w:val="(%1)"/>
      <w:lvlJc w:val="left"/>
      <w:pPr>
        <w:ind w:left="113" w:hanging="710"/>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710"/>
      </w:pPr>
      <w:rPr>
        <w:rFonts w:hint="default"/>
      </w:rPr>
    </w:lvl>
    <w:lvl w:ilvl="2">
      <w:start w:val="0"/>
      <w:numFmt w:val="bullet"/>
      <w:lvlText w:val="•"/>
      <w:lvlJc w:val="left"/>
      <w:pPr>
        <w:ind w:left="2072" w:hanging="710"/>
      </w:pPr>
      <w:rPr>
        <w:rFonts w:hint="default"/>
      </w:rPr>
    </w:lvl>
    <w:lvl w:ilvl="3">
      <w:start w:val="0"/>
      <w:numFmt w:val="bullet"/>
      <w:lvlText w:val="•"/>
      <w:lvlJc w:val="left"/>
      <w:pPr>
        <w:ind w:left="3048" w:hanging="710"/>
      </w:pPr>
      <w:rPr>
        <w:rFonts w:hint="default"/>
      </w:rPr>
    </w:lvl>
    <w:lvl w:ilvl="4">
      <w:start w:val="0"/>
      <w:numFmt w:val="bullet"/>
      <w:lvlText w:val="•"/>
      <w:lvlJc w:val="left"/>
      <w:pPr>
        <w:ind w:left="4024" w:hanging="710"/>
      </w:pPr>
      <w:rPr>
        <w:rFonts w:hint="default"/>
      </w:rPr>
    </w:lvl>
    <w:lvl w:ilvl="5">
      <w:start w:val="0"/>
      <w:numFmt w:val="bullet"/>
      <w:lvlText w:val="•"/>
      <w:lvlJc w:val="left"/>
      <w:pPr>
        <w:ind w:left="5000" w:hanging="710"/>
      </w:pPr>
      <w:rPr>
        <w:rFonts w:hint="default"/>
      </w:rPr>
    </w:lvl>
    <w:lvl w:ilvl="6">
      <w:start w:val="0"/>
      <w:numFmt w:val="bullet"/>
      <w:lvlText w:val="•"/>
      <w:lvlJc w:val="left"/>
      <w:pPr>
        <w:ind w:left="5976" w:hanging="710"/>
      </w:pPr>
      <w:rPr>
        <w:rFonts w:hint="default"/>
      </w:rPr>
    </w:lvl>
    <w:lvl w:ilvl="7">
      <w:start w:val="0"/>
      <w:numFmt w:val="bullet"/>
      <w:lvlText w:val="•"/>
      <w:lvlJc w:val="left"/>
      <w:pPr>
        <w:ind w:left="6952" w:hanging="710"/>
      </w:pPr>
      <w:rPr>
        <w:rFonts w:hint="default"/>
      </w:rPr>
    </w:lvl>
    <w:lvl w:ilvl="8">
      <w:start w:val="0"/>
      <w:numFmt w:val="bullet"/>
      <w:lvlText w:val="•"/>
      <w:lvlJc w:val="left"/>
      <w:pPr>
        <w:ind w:left="7928" w:hanging="710"/>
      </w:pPr>
      <w:rPr>
        <w:rFonts w:hint="default"/>
      </w:rPr>
    </w:lvl>
  </w:abstractNum>
  <w:abstractNum w:abstractNumId="205">
    <w:multiLevelType w:val="hybridMultilevel"/>
    <w:lvl w:ilvl="0">
      <w:start w:val="89"/>
      <w:numFmt w:val="decimal"/>
      <w:lvlText w:val="%1."/>
      <w:lvlJc w:val="left"/>
      <w:pPr>
        <w:ind w:left="842" w:hanging="525"/>
        <w:jc w:val="left"/>
      </w:pPr>
      <w:rPr>
        <w:rFonts w:hint="default" w:ascii="Arial" w:hAnsi="Arial" w:eastAsia="Arial" w:cs="Arial"/>
        <w:b/>
        <w:bCs/>
        <w:spacing w:val="-1"/>
        <w:w w:val="125"/>
        <w:sz w:val="24"/>
        <w:szCs w:val="24"/>
      </w:rPr>
    </w:lvl>
    <w:lvl w:ilvl="1">
      <w:start w:val="0"/>
      <w:numFmt w:val="bullet"/>
      <w:lvlText w:val="•"/>
      <w:lvlJc w:val="left"/>
      <w:pPr>
        <w:ind w:left="1744" w:hanging="525"/>
      </w:pPr>
      <w:rPr>
        <w:rFonts w:hint="default"/>
      </w:rPr>
    </w:lvl>
    <w:lvl w:ilvl="2">
      <w:start w:val="0"/>
      <w:numFmt w:val="bullet"/>
      <w:lvlText w:val="•"/>
      <w:lvlJc w:val="left"/>
      <w:pPr>
        <w:ind w:left="2648" w:hanging="525"/>
      </w:pPr>
      <w:rPr>
        <w:rFonts w:hint="default"/>
      </w:rPr>
    </w:lvl>
    <w:lvl w:ilvl="3">
      <w:start w:val="0"/>
      <w:numFmt w:val="bullet"/>
      <w:lvlText w:val="•"/>
      <w:lvlJc w:val="left"/>
      <w:pPr>
        <w:ind w:left="3552" w:hanging="525"/>
      </w:pPr>
      <w:rPr>
        <w:rFonts w:hint="default"/>
      </w:rPr>
    </w:lvl>
    <w:lvl w:ilvl="4">
      <w:start w:val="0"/>
      <w:numFmt w:val="bullet"/>
      <w:lvlText w:val="•"/>
      <w:lvlJc w:val="left"/>
      <w:pPr>
        <w:ind w:left="4456" w:hanging="525"/>
      </w:pPr>
      <w:rPr>
        <w:rFonts w:hint="default"/>
      </w:rPr>
    </w:lvl>
    <w:lvl w:ilvl="5">
      <w:start w:val="0"/>
      <w:numFmt w:val="bullet"/>
      <w:lvlText w:val="•"/>
      <w:lvlJc w:val="left"/>
      <w:pPr>
        <w:ind w:left="5360" w:hanging="525"/>
      </w:pPr>
      <w:rPr>
        <w:rFonts w:hint="default"/>
      </w:rPr>
    </w:lvl>
    <w:lvl w:ilvl="6">
      <w:start w:val="0"/>
      <w:numFmt w:val="bullet"/>
      <w:lvlText w:val="•"/>
      <w:lvlJc w:val="left"/>
      <w:pPr>
        <w:ind w:left="6264" w:hanging="525"/>
      </w:pPr>
      <w:rPr>
        <w:rFonts w:hint="default"/>
      </w:rPr>
    </w:lvl>
    <w:lvl w:ilvl="7">
      <w:start w:val="0"/>
      <w:numFmt w:val="bullet"/>
      <w:lvlText w:val="•"/>
      <w:lvlJc w:val="left"/>
      <w:pPr>
        <w:ind w:left="7168" w:hanging="525"/>
      </w:pPr>
      <w:rPr>
        <w:rFonts w:hint="default"/>
      </w:rPr>
    </w:lvl>
    <w:lvl w:ilvl="8">
      <w:start w:val="0"/>
      <w:numFmt w:val="bullet"/>
      <w:lvlText w:val="•"/>
      <w:lvlJc w:val="left"/>
      <w:pPr>
        <w:ind w:left="8072" w:hanging="525"/>
      </w:pPr>
      <w:rPr>
        <w:rFonts w:hint="default"/>
      </w:rPr>
    </w:lvl>
  </w:abstractNum>
  <w:abstractNum w:abstractNumId="204">
    <w:multiLevelType w:val="hybridMultilevel"/>
    <w:lvl w:ilvl="0">
      <w:start w:val="1"/>
      <w:numFmt w:val="lowerLetter"/>
      <w:lvlText w:val="%1)"/>
      <w:lvlJc w:val="left"/>
      <w:pPr>
        <w:ind w:left="113" w:hanging="36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5"/>
      </w:pPr>
      <w:rPr>
        <w:rFonts w:hint="default"/>
      </w:rPr>
    </w:lvl>
    <w:lvl w:ilvl="2">
      <w:start w:val="0"/>
      <w:numFmt w:val="bullet"/>
      <w:lvlText w:val="•"/>
      <w:lvlJc w:val="left"/>
      <w:pPr>
        <w:ind w:left="2072" w:hanging="365"/>
      </w:pPr>
      <w:rPr>
        <w:rFonts w:hint="default"/>
      </w:rPr>
    </w:lvl>
    <w:lvl w:ilvl="3">
      <w:start w:val="0"/>
      <w:numFmt w:val="bullet"/>
      <w:lvlText w:val="•"/>
      <w:lvlJc w:val="left"/>
      <w:pPr>
        <w:ind w:left="3048" w:hanging="365"/>
      </w:pPr>
      <w:rPr>
        <w:rFonts w:hint="default"/>
      </w:rPr>
    </w:lvl>
    <w:lvl w:ilvl="4">
      <w:start w:val="0"/>
      <w:numFmt w:val="bullet"/>
      <w:lvlText w:val="•"/>
      <w:lvlJc w:val="left"/>
      <w:pPr>
        <w:ind w:left="4024" w:hanging="365"/>
      </w:pPr>
      <w:rPr>
        <w:rFonts w:hint="default"/>
      </w:rPr>
    </w:lvl>
    <w:lvl w:ilvl="5">
      <w:start w:val="0"/>
      <w:numFmt w:val="bullet"/>
      <w:lvlText w:val="•"/>
      <w:lvlJc w:val="left"/>
      <w:pPr>
        <w:ind w:left="5000" w:hanging="365"/>
      </w:pPr>
      <w:rPr>
        <w:rFonts w:hint="default"/>
      </w:rPr>
    </w:lvl>
    <w:lvl w:ilvl="6">
      <w:start w:val="0"/>
      <w:numFmt w:val="bullet"/>
      <w:lvlText w:val="•"/>
      <w:lvlJc w:val="left"/>
      <w:pPr>
        <w:ind w:left="5976" w:hanging="365"/>
      </w:pPr>
      <w:rPr>
        <w:rFonts w:hint="default"/>
      </w:rPr>
    </w:lvl>
    <w:lvl w:ilvl="7">
      <w:start w:val="0"/>
      <w:numFmt w:val="bullet"/>
      <w:lvlText w:val="•"/>
      <w:lvlJc w:val="left"/>
      <w:pPr>
        <w:ind w:left="6952" w:hanging="365"/>
      </w:pPr>
      <w:rPr>
        <w:rFonts w:hint="default"/>
      </w:rPr>
    </w:lvl>
    <w:lvl w:ilvl="8">
      <w:start w:val="0"/>
      <w:numFmt w:val="bullet"/>
      <w:lvlText w:val="•"/>
      <w:lvlJc w:val="left"/>
      <w:pPr>
        <w:ind w:left="7928" w:hanging="365"/>
      </w:pPr>
      <w:rPr>
        <w:rFonts w:hint="default"/>
      </w:rPr>
    </w:lvl>
  </w:abstractNum>
  <w:abstractNum w:abstractNumId="203">
    <w:multiLevelType w:val="hybridMultilevel"/>
    <w:lvl w:ilvl="0">
      <w:start w:val="2"/>
      <w:numFmt w:val="decimal"/>
      <w:lvlText w:val="(%1)"/>
      <w:lvlJc w:val="left"/>
      <w:pPr>
        <w:ind w:left="113" w:hanging="4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20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0">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199">
    <w:multiLevelType w:val="hybridMultilevel"/>
    <w:lvl w:ilvl="0">
      <w:start w:val="2"/>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9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97">
    <w:multiLevelType w:val="hybridMultilevel"/>
    <w:lvl w:ilvl="0">
      <w:start w:val="2"/>
      <w:numFmt w:val="decimal"/>
      <w:lvlText w:val="(%1)"/>
      <w:lvlJc w:val="left"/>
      <w:pPr>
        <w:ind w:left="113" w:hanging="5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196">
    <w:multiLevelType w:val="hybridMultilevel"/>
    <w:lvl w:ilvl="0">
      <w:start w:val="2"/>
      <w:numFmt w:val="decimal"/>
      <w:lvlText w:val="(%1)"/>
      <w:lvlJc w:val="left"/>
      <w:pPr>
        <w:ind w:left="113" w:hanging="5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9"/>
      </w:pPr>
      <w:rPr>
        <w:rFonts w:hint="default"/>
      </w:rPr>
    </w:lvl>
    <w:lvl w:ilvl="2">
      <w:start w:val="0"/>
      <w:numFmt w:val="bullet"/>
      <w:lvlText w:val="•"/>
      <w:lvlJc w:val="left"/>
      <w:pPr>
        <w:ind w:left="2072" w:hanging="539"/>
      </w:pPr>
      <w:rPr>
        <w:rFonts w:hint="default"/>
      </w:rPr>
    </w:lvl>
    <w:lvl w:ilvl="3">
      <w:start w:val="0"/>
      <w:numFmt w:val="bullet"/>
      <w:lvlText w:val="•"/>
      <w:lvlJc w:val="left"/>
      <w:pPr>
        <w:ind w:left="3048" w:hanging="539"/>
      </w:pPr>
      <w:rPr>
        <w:rFonts w:hint="default"/>
      </w:rPr>
    </w:lvl>
    <w:lvl w:ilvl="4">
      <w:start w:val="0"/>
      <w:numFmt w:val="bullet"/>
      <w:lvlText w:val="•"/>
      <w:lvlJc w:val="left"/>
      <w:pPr>
        <w:ind w:left="4024" w:hanging="539"/>
      </w:pPr>
      <w:rPr>
        <w:rFonts w:hint="default"/>
      </w:rPr>
    </w:lvl>
    <w:lvl w:ilvl="5">
      <w:start w:val="0"/>
      <w:numFmt w:val="bullet"/>
      <w:lvlText w:val="•"/>
      <w:lvlJc w:val="left"/>
      <w:pPr>
        <w:ind w:left="5000" w:hanging="539"/>
      </w:pPr>
      <w:rPr>
        <w:rFonts w:hint="default"/>
      </w:rPr>
    </w:lvl>
    <w:lvl w:ilvl="6">
      <w:start w:val="0"/>
      <w:numFmt w:val="bullet"/>
      <w:lvlText w:val="•"/>
      <w:lvlJc w:val="left"/>
      <w:pPr>
        <w:ind w:left="5976" w:hanging="539"/>
      </w:pPr>
      <w:rPr>
        <w:rFonts w:hint="default"/>
      </w:rPr>
    </w:lvl>
    <w:lvl w:ilvl="7">
      <w:start w:val="0"/>
      <w:numFmt w:val="bullet"/>
      <w:lvlText w:val="•"/>
      <w:lvlJc w:val="left"/>
      <w:pPr>
        <w:ind w:left="6952" w:hanging="539"/>
      </w:pPr>
      <w:rPr>
        <w:rFonts w:hint="default"/>
      </w:rPr>
    </w:lvl>
    <w:lvl w:ilvl="8">
      <w:start w:val="0"/>
      <w:numFmt w:val="bullet"/>
      <w:lvlText w:val="•"/>
      <w:lvlJc w:val="left"/>
      <w:pPr>
        <w:ind w:left="7928" w:hanging="539"/>
      </w:pPr>
      <w:rPr>
        <w:rFonts w:hint="default"/>
      </w:rPr>
    </w:lvl>
  </w:abstractNum>
  <w:abstractNum w:abstractNumId="195">
    <w:multiLevelType w:val="hybridMultilevel"/>
    <w:lvl w:ilvl="0">
      <w:start w:val="1"/>
      <w:numFmt w:val="lowerLetter"/>
      <w:lvlText w:val="%1)"/>
      <w:lvlJc w:val="left"/>
      <w:pPr>
        <w:ind w:left="113" w:hanging="50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8"/>
      </w:pPr>
      <w:rPr>
        <w:rFonts w:hint="default"/>
      </w:rPr>
    </w:lvl>
    <w:lvl w:ilvl="2">
      <w:start w:val="0"/>
      <w:numFmt w:val="bullet"/>
      <w:lvlText w:val="•"/>
      <w:lvlJc w:val="left"/>
      <w:pPr>
        <w:ind w:left="2072" w:hanging="508"/>
      </w:pPr>
      <w:rPr>
        <w:rFonts w:hint="default"/>
      </w:rPr>
    </w:lvl>
    <w:lvl w:ilvl="3">
      <w:start w:val="0"/>
      <w:numFmt w:val="bullet"/>
      <w:lvlText w:val="•"/>
      <w:lvlJc w:val="left"/>
      <w:pPr>
        <w:ind w:left="3048" w:hanging="508"/>
      </w:pPr>
      <w:rPr>
        <w:rFonts w:hint="default"/>
      </w:rPr>
    </w:lvl>
    <w:lvl w:ilvl="4">
      <w:start w:val="0"/>
      <w:numFmt w:val="bullet"/>
      <w:lvlText w:val="•"/>
      <w:lvlJc w:val="left"/>
      <w:pPr>
        <w:ind w:left="4024" w:hanging="508"/>
      </w:pPr>
      <w:rPr>
        <w:rFonts w:hint="default"/>
      </w:rPr>
    </w:lvl>
    <w:lvl w:ilvl="5">
      <w:start w:val="0"/>
      <w:numFmt w:val="bullet"/>
      <w:lvlText w:val="•"/>
      <w:lvlJc w:val="left"/>
      <w:pPr>
        <w:ind w:left="5000" w:hanging="508"/>
      </w:pPr>
      <w:rPr>
        <w:rFonts w:hint="default"/>
      </w:rPr>
    </w:lvl>
    <w:lvl w:ilvl="6">
      <w:start w:val="0"/>
      <w:numFmt w:val="bullet"/>
      <w:lvlText w:val="•"/>
      <w:lvlJc w:val="left"/>
      <w:pPr>
        <w:ind w:left="5976" w:hanging="508"/>
      </w:pPr>
      <w:rPr>
        <w:rFonts w:hint="default"/>
      </w:rPr>
    </w:lvl>
    <w:lvl w:ilvl="7">
      <w:start w:val="0"/>
      <w:numFmt w:val="bullet"/>
      <w:lvlText w:val="•"/>
      <w:lvlJc w:val="left"/>
      <w:pPr>
        <w:ind w:left="6952" w:hanging="508"/>
      </w:pPr>
      <w:rPr>
        <w:rFonts w:hint="default"/>
      </w:rPr>
    </w:lvl>
    <w:lvl w:ilvl="8">
      <w:start w:val="0"/>
      <w:numFmt w:val="bullet"/>
      <w:lvlText w:val="•"/>
      <w:lvlJc w:val="left"/>
      <w:pPr>
        <w:ind w:left="7928" w:hanging="508"/>
      </w:pPr>
      <w:rPr>
        <w:rFonts w:hint="default"/>
      </w:rPr>
    </w:lvl>
  </w:abstractNum>
  <w:abstractNum w:abstractNumId="194">
    <w:multiLevelType w:val="hybridMultilevel"/>
    <w:lvl w:ilvl="0">
      <w:start w:val="2"/>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193">
    <w:multiLevelType w:val="hybridMultilevel"/>
    <w:lvl w:ilvl="0">
      <w:start w:val="2"/>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1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9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90">
    <w:multiLevelType w:val="hybridMultilevel"/>
    <w:lvl w:ilvl="0">
      <w:start w:val="1"/>
      <w:numFmt w:val="lowerLetter"/>
      <w:lvlText w:val="%1)"/>
      <w:lvlJc w:val="left"/>
      <w:pPr>
        <w:ind w:left="113" w:hanging="35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2"/>
      </w:pPr>
      <w:rPr>
        <w:rFonts w:hint="default"/>
      </w:rPr>
    </w:lvl>
    <w:lvl w:ilvl="2">
      <w:start w:val="0"/>
      <w:numFmt w:val="bullet"/>
      <w:lvlText w:val="•"/>
      <w:lvlJc w:val="left"/>
      <w:pPr>
        <w:ind w:left="2072" w:hanging="352"/>
      </w:pPr>
      <w:rPr>
        <w:rFonts w:hint="default"/>
      </w:rPr>
    </w:lvl>
    <w:lvl w:ilvl="3">
      <w:start w:val="0"/>
      <w:numFmt w:val="bullet"/>
      <w:lvlText w:val="•"/>
      <w:lvlJc w:val="left"/>
      <w:pPr>
        <w:ind w:left="3048" w:hanging="352"/>
      </w:pPr>
      <w:rPr>
        <w:rFonts w:hint="default"/>
      </w:rPr>
    </w:lvl>
    <w:lvl w:ilvl="4">
      <w:start w:val="0"/>
      <w:numFmt w:val="bullet"/>
      <w:lvlText w:val="•"/>
      <w:lvlJc w:val="left"/>
      <w:pPr>
        <w:ind w:left="4024" w:hanging="352"/>
      </w:pPr>
      <w:rPr>
        <w:rFonts w:hint="default"/>
      </w:rPr>
    </w:lvl>
    <w:lvl w:ilvl="5">
      <w:start w:val="0"/>
      <w:numFmt w:val="bullet"/>
      <w:lvlText w:val="•"/>
      <w:lvlJc w:val="left"/>
      <w:pPr>
        <w:ind w:left="5000" w:hanging="352"/>
      </w:pPr>
      <w:rPr>
        <w:rFonts w:hint="default"/>
      </w:rPr>
    </w:lvl>
    <w:lvl w:ilvl="6">
      <w:start w:val="0"/>
      <w:numFmt w:val="bullet"/>
      <w:lvlText w:val="•"/>
      <w:lvlJc w:val="left"/>
      <w:pPr>
        <w:ind w:left="5976" w:hanging="352"/>
      </w:pPr>
      <w:rPr>
        <w:rFonts w:hint="default"/>
      </w:rPr>
    </w:lvl>
    <w:lvl w:ilvl="7">
      <w:start w:val="0"/>
      <w:numFmt w:val="bullet"/>
      <w:lvlText w:val="•"/>
      <w:lvlJc w:val="left"/>
      <w:pPr>
        <w:ind w:left="6952" w:hanging="352"/>
      </w:pPr>
      <w:rPr>
        <w:rFonts w:hint="default"/>
      </w:rPr>
    </w:lvl>
    <w:lvl w:ilvl="8">
      <w:start w:val="0"/>
      <w:numFmt w:val="bullet"/>
      <w:lvlText w:val="•"/>
      <w:lvlJc w:val="left"/>
      <w:pPr>
        <w:ind w:left="7928" w:hanging="352"/>
      </w:pPr>
      <w:rPr>
        <w:rFonts w:hint="default"/>
      </w:rPr>
    </w:lvl>
  </w:abstractNum>
  <w:abstractNum w:abstractNumId="18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8">
    <w:multiLevelType w:val="hybridMultilevel"/>
    <w:lvl w:ilvl="0">
      <w:start w:val="2"/>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18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5">
    <w:multiLevelType w:val="hybridMultilevel"/>
    <w:lvl w:ilvl="0">
      <w:start w:val="2"/>
      <w:numFmt w:val="decimal"/>
      <w:lvlText w:val="(%1)"/>
      <w:lvlJc w:val="left"/>
      <w:pPr>
        <w:ind w:left="113" w:hanging="4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8"/>
      </w:pPr>
      <w:rPr>
        <w:rFonts w:hint="default"/>
      </w:rPr>
    </w:lvl>
    <w:lvl w:ilvl="2">
      <w:start w:val="0"/>
      <w:numFmt w:val="bullet"/>
      <w:lvlText w:val="•"/>
      <w:lvlJc w:val="left"/>
      <w:pPr>
        <w:ind w:left="2072" w:hanging="468"/>
      </w:pPr>
      <w:rPr>
        <w:rFonts w:hint="default"/>
      </w:rPr>
    </w:lvl>
    <w:lvl w:ilvl="3">
      <w:start w:val="0"/>
      <w:numFmt w:val="bullet"/>
      <w:lvlText w:val="•"/>
      <w:lvlJc w:val="left"/>
      <w:pPr>
        <w:ind w:left="3048" w:hanging="468"/>
      </w:pPr>
      <w:rPr>
        <w:rFonts w:hint="default"/>
      </w:rPr>
    </w:lvl>
    <w:lvl w:ilvl="4">
      <w:start w:val="0"/>
      <w:numFmt w:val="bullet"/>
      <w:lvlText w:val="•"/>
      <w:lvlJc w:val="left"/>
      <w:pPr>
        <w:ind w:left="4024" w:hanging="468"/>
      </w:pPr>
      <w:rPr>
        <w:rFonts w:hint="default"/>
      </w:rPr>
    </w:lvl>
    <w:lvl w:ilvl="5">
      <w:start w:val="0"/>
      <w:numFmt w:val="bullet"/>
      <w:lvlText w:val="•"/>
      <w:lvlJc w:val="left"/>
      <w:pPr>
        <w:ind w:left="5000" w:hanging="468"/>
      </w:pPr>
      <w:rPr>
        <w:rFonts w:hint="default"/>
      </w:rPr>
    </w:lvl>
    <w:lvl w:ilvl="6">
      <w:start w:val="0"/>
      <w:numFmt w:val="bullet"/>
      <w:lvlText w:val="•"/>
      <w:lvlJc w:val="left"/>
      <w:pPr>
        <w:ind w:left="5976" w:hanging="468"/>
      </w:pPr>
      <w:rPr>
        <w:rFonts w:hint="default"/>
      </w:rPr>
    </w:lvl>
    <w:lvl w:ilvl="7">
      <w:start w:val="0"/>
      <w:numFmt w:val="bullet"/>
      <w:lvlText w:val="•"/>
      <w:lvlJc w:val="left"/>
      <w:pPr>
        <w:ind w:left="6952" w:hanging="468"/>
      </w:pPr>
      <w:rPr>
        <w:rFonts w:hint="default"/>
      </w:rPr>
    </w:lvl>
    <w:lvl w:ilvl="8">
      <w:start w:val="0"/>
      <w:numFmt w:val="bullet"/>
      <w:lvlText w:val="•"/>
      <w:lvlJc w:val="left"/>
      <w:pPr>
        <w:ind w:left="7928" w:hanging="468"/>
      </w:pPr>
      <w:rPr>
        <w:rFonts w:hint="default"/>
      </w:rPr>
    </w:lvl>
  </w:abstractNum>
  <w:abstractNum w:abstractNumId="18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3">
    <w:multiLevelType w:val="hybridMultilevel"/>
    <w:lvl w:ilvl="0">
      <w:start w:val="16"/>
      <w:numFmt w:val="upperRoman"/>
      <w:lvlText w:val="%1."/>
      <w:lvlJc w:val="left"/>
      <w:pPr>
        <w:ind w:left="752" w:hanging="639"/>
        <w:jc w:val="left"/>
      </w:pPr>
      <w:rPr>
        <w:rFonts w:hint="default" w:ascii="Times New Roman" w:hAnsi="Times New Roman" w:eastAsia="Times New Roman" w:cs="Times New Roman"/>
        <w:spacing w:val="-1"/>
        <w:w w:val="105"/>
        <w:sz w:val="24"/>
        <w:szCs w:val="24"/>
      </w:rPr>
    </w:lvl>
    <w:lvl w:ilvl="1">
      <w:start w:val="6"/>
      <w:numFmt w:val="upperRoman"/>
      <w:lvlText w:val="%2."/>
      <w:lvlJc w:val="left"/>
      <w:pPr>
        <w:ind w:left="4683" w:hanging="465"/>
        <w:jc w:val="left"/>
      </w:pPr>
      <w:rPr>
        <w:rFonts w:hint="default" w:ascii="Georgia-BoldItalic" w:hAnsi="Georgia-BoldItalic" w:eastAsia="Georgia-BoldItalic" w:cs="Georgia-BoldItalic"/>
        <w:b/>
        <w:bCs/>
        <w:i/>
        <w:spacing w:val="-1"/>
        <w:w w:val="103"/>
        <w:sz w:val="24"/>
        <w:szCs w:val="24"/>
      </w:rPr>
    </w:lvl>
    <w:lvl w:ilvl="2">
      <w:start w:val="0"/>
      <w:numFmt w:val="bullet"/>
      <w:lvlText w:val="•"/>
      <w:lvlJc w:val="left"/>
      <w:pPr>
        <w:ind w:left="5257" w:hanging="465"/>
      </w:pPr>
      <w:rPr>
        <w:rFonts w:hint="default"/>
      </w:rPr>
    </w:lvl>
    <w:lvl w:ilvl="3">
      <w:start w:val="0"/>
      <w:numFmt w:val="bullet"/>
      <w:lvlText w:val="•"/>
      <w:lvlJc w:val="left"/>
      <w:pPr>
        <w:ind w:left="5835" w:hanging="465"/>
      </w:pPr>
      <w:rPr>
        <w:rFonts w:hint="default"/>
      </w:rPr>
    </w:lvl>
    <w:lvl w:ilvl="4">
      <w:start w:val="0"/>
      <w:numFmt w:val="bullet"/>
      <w:lvlText w:val="•"/>
      <w:lvlJc w:val="left"/>
      <w:pPr>
        <w:ind w:left="6413" w:hanging="465"/>
      </w:pPr>
      <w:rPr>
        <w:rFonts w:hint="default"/>
      </w:rPr>
    </w:lvl>
    <w:lvl w:ilvl="5">
      <w:start w:val="0"/>
      <w:numFmt w:val="bullet"/>
      <w:lvlText w:val="•"/>
      <w:lvlJc w:val="left"/>
      <w:pPr>
        <w:ind w:left="6991" w:hanging="465"/>
      </w:pPr>
      <w:rPr>
        <w:rFonts w:hint="default"/>
      </w:rPr>
    </w:lvl>
    <w:lvl w:ilvl="6">
      <w:start w:val="0"/>
      <w:numFmt w:val="bullet"/>
      <w:lvlText w:val="•"/>
      <w:lvlJc w:val="left"/>
      <w:pPr>
        <w:ind w:left="7568" w:hanging="465"/>
      </w:pPr>
      <w:rPr>
        <w:rFonts w:hint="default"/>
      </w:rPr>
    </w:lvl>
    <w:lvl w:ilvl="7">
      <w:start w:val="0"/>
      <w:numFmt w:val="bullet"/>
      <w:lvlText w:val="•"/>
      <w:lvlJc w:val="left"/>
      <w:pPr>
        <w:ind w:left="8146" w:hanging="465"/>
      </w:pPr>
      <w:rPr>
        <w:rFonts w:hint="default"/>
      </w:rPr>
    </w:lvl>
    <w:lvl w:ilvl="8">
      <w:start w:val="0"/>
      <w:numFmt w:val="bullet"/>
      <w:lvlText w:val="•"/>
      <w:lvlJc w:val="left"/>
      <w:pPr>
        <w:ind w:left="8724" w:hanging="465"/>
      </w:pPr>
      <w:rPr>
        <w:rFonts w:hint="default"/>
      </w:rPr>
    </w:lvl>
  </w:abstractNum>
  <w:abstractNum w:abstractNumId="18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81">
    <w:multiLevelType w:val="hybridMultilevel"/>
    <w:lvl w:ilvl="0">
      <w:start w:val="2"/>
      <w:numFmt w:val="decimal"/>
      <w:lvlText w:val="(%1)"/>
      <w:lvlJc w:val="left"/>
      <w:pPr>
        <w:ind w:left="113" w:hanging="5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18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78">
    <w:multiLevelType w:val="hybridMultilevel"/>
    <w:lvl w:ilvl="0">
      <w:start w:val="2"/>
      <w:numFmt w:val="decimal"/>
      <w:lvlText w:val="(%1)"/>
      <w:lvlJc w:val="left"/>
      <w:pPr>
        <w:ind w:left="113" w:hanging="5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5"/>
      </w:pPr>
      <w:rPr>
        <w:rFonts w:hint="default"/>
      </w:rPr>
    </w:lvl>
    <w:lvl w:ilvl="2">
      <w:start w:val="0"/>
      <w:numFmt w:val="bullet"/>
      <w:lvlText w:val="•"/>
      <w:lvlJc w:val="left"/>
      <w:pPr>
        <w:ind w:left="2072" w:hanging="585"/>
      </w:pPr>
      <w:rPr>
        <w:rFonts w:hint="default"/>
      </w:rPr>
    </w:lvl>
    <w:lvl w:ilvl="3">
      <w:start w:val="0"/>
      <w:numFmt w:val="bullet"/>
      <w:lvlText w:val="•"/>
      <w:lvlJc w:val="left"/>
      <w:pPr>
        <w:ind w:left="3048" w:hanging="585"/>
      </w:pPr>
      <w:rPr>
        <w:rFonts w:hint="default"/>
      </w:rPr>
    </w:lvl>
    <w:lvl w:ilvl="4">
      <w:start w:val="0"/>
      <w:numFmt w:val="bullet"/>
      <w:lvlText w:val="•"/>
      <w:lvlJc w:val="left"/>
      <w:pPr>
        <w:ind w:left="4024" w:hanging="585"/>
      </w:pPr>
      <w:rPr>
        <w:rFonts w:hint="default"/>
      </w:rPr>
    </w:lvl>
    <w:lvl w:ilvl="5">
      <w:start w:val="0"/>
      <w:numFmt w:val="bullet"/>
      <w:lvlText w:val="•"/>
      <w:lvlJc w:val="left"/>
      <w:pPr>
        <w:ind w:left="5000" w:hanging="585"/>
      </w:pPr>
      <w:rPr>
        <w:rFonts w:hint="default"/>
      </w:rPr>
    </w:lvl>
    <w:lvl w:ilvl="6">
      <w:start w:val="0"/>
      <w:numFmt w:val="bullet"/>
      <w:lvlText w:val="•"/>
      <w:lvlJc w:val="left"/>
      <w:pPr>
        <w:ind w:left="5976" w:hanging="585"/>
      </w:pPr>
      <w:rPr>
        <w:rFonts w:hint="default"/>
      </w:rPr>
    </w:lvl>
    <w:lvl w:ilvl="7">
      <w:start w:val="0"/>
      <w:numFmt w:val="bullet"/>
      <w:lvlText w:val="•"/>
      <w:lvlJc w:val="left"/>
      <w:pPr>
        <w:ind w:left="6952" w:hanging="585"/>
      </w:pPr>
      <w:rPr>
        <w:rFonts w:hint="default"/>
      </w:rPr>
    </w:lvl>
    <w:lvl w:ilvl="8">
      <w:start w:val="0"/>
      <w:numFmt w:val="bullet"/>
      <w:lvlText w:val="•"/>
      <w:lvlJc w:val="left"/>
      <w:pPr>
        <w:ind w:left="7928" w:hanging="585"/>
      </w:pPr>
      <w:rPr>
        <w:rFonts w:hint="default"/>
      </w:rPr>
    </w:lvl>
  </w:abstractNum>
  <w:abstractNum w:abstractNumId="17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75">
    <w:multiLevelType w:val="hybridMultilevel"/>
    <w:lvl w:ilvl="0">
      <w:start w:val="2"/>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174">
    <w:multiLevelType w:val="hybridMultilevel"/>
    <w:lvl w:ilvl="0">
      <w:start w:val="74"/>
      <w:numFmt w:val="decimal"/>
      <w:lvlText w:val="%1."/>
      <w:lvlJc w:val="left"/>
      <w:pPr>
        <w:ind w:left="571" w:hanging="458"/>
        <w:jc w:val="left"/>
      </w:pPr>
      <w:rPr>
        <w:rFonts w:hint="default" w:ascii="Times New Roman" w:hAnsi="Times New Roman" w:eastAsia="Times New Roman" w:cs="Times New Roman"/>
        <w:spacing w:val="-1"/>
        <w:w w:val="127"/>
        <w:sz w:val="24"/>
        <w:szCs w:val="24"/>
      </w:rPr>
    </w:lvl>
    <w:lvl w:ilvl="1">
      <w:start w:val="73"/>
      <w:numFmt w:val="decimal"/>
      <w:lvlText w:val="%2."/>
      <w:lvlJc w:val="left"/>
      <w:pPr>
        <w:ind w:left="113" w:hanging="650"/>
        <w:jc w:val="left"/>
      </w:pPr>
      <w:rPr>
        <w:rFonts w:hint="default" w:ascii="Arial" w:hAnsi="Arial" w:eastAsia="Arial" w:cs="Arial"/>
        <w:b/>
        <w:bCs/>
        <w:spacing w:val="-1"/>
        <w:w w:val="125"/>
        <w:sz w:val="24"/>
        <w:szCs w:val="24"/>
      </w:rPr>
    </w:lvl>
    <w:lvl w:ilvl="2">
      <w:start w:val="0"/>
      <w:numFmt w:val="bullet"/>
      <w:lvlText w:val="•"/>
      <w:lvlJc w:val="left"/>
      <w:pPr>
        <w:ind w:left="1940" w:hanging="650"/>
      </w:pPr>
      <w:rPr>
        <w:rFonts w:hint="default"/>
      </w:rPr>
    </w:lvl>
    <w:lvl w:ilvl="3">
      <w:start w:val="0"/>
      <w:numFmt w:val="bullet"/>
      <w:lvlText w:val="•"/>
      <w:lvlJc w:val="left"/>
      <w:pPr>
        <w:ind w:left="2720" w:hanging="650"/>
      </w:pPr>
      <w:rPr>
        <w:rFonts w:hint="default"/>
      </w:rPr>
    </w:lvl>
    <w:lvl w:ilvl="4">
      <w:start w:val="0"/>
      <w:numFmt w:val="bullet"/>
      <w:lvlText w:val="•"/>
      <w:lvlJc w:val="left"/>
      <w:pPr>
        <w:ind w:left="3360" w:hanging="650"/>
      </w:pPr>
      <w:rPr>
        <w:rFonts w:hint="default"/>
      </w:rPr>
    </w:lvl>
    <w:lvl w:ilvl="5">
      <w:start w:val="0"/>
      <w:numFmt w:val="bullet"/>
      <w:lvlText w:val="•"/>
      <w:lvlJc w:val="left"/>
      <w:pPr>
        <w:ind w:left="3460" w:hanging="650"/>
      </w:pPr>
      <w:rPr>
        <w:rFonts w:hint="default"/>
      </w:rPr>
    </w:lvl>
    <w:lvl w:ilvl="6">
      <w:start w:val="0"/>
      <w:numFmt w:val="bullet"/>
      <w:lvlText w:val="•"/>
      <w:lvlJc w:val="left"/>
      <w:pPr>
        <w:ind w:left="3540" w:hanging="650"/>
      </w:pPr>
      <w:rPr>
        <w:rFonts w:hint="default"/>
      </w:rPr>
    </w:lvl>
    <w:lvl w:ilvl="7">
      <w:start w:val="0"/>
      <w:numFmt w:val="bullet"/>
      <w:lvlText w:val="•"/>
      <w:lvlJc w:val="left"/>
      <w:pPr>
        <w:ind w:left="3660" w:hanging="650"/>
      </w:pPr>
      <w:rPr>
        <w:rFonts w:hint="default"/>
      </w:rPr>
    </w:lvl>
    <w:lvl w:ilvl="8">
      <w:start w:val="0"/>
      <w:numFmt w:val="bullet"/>
      <w:lvlText w:val="•"/>
      <w:lvlJc w:val="left"/>
      <w:pPr>
        <w:ind w:left="3780" w:hanging="650"/>
      </w:pPr>
      <w:rPr>
        <w:rFonts w:hint="default"/>
      </w:rPr>
    </w:lvl>
  </w:abstractNum>
  <w:abstractNum w:abstractNumId="173">
    <w:multiLevelType w:val="hybridMultilevel"/>
    <w:lvl w:ilvl="0">
      <w:start w:val="5"/>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7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71">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9">
    <w:multiLevelType w:val="hybridMultilevel"/>
    <w:lvl w:ilvl="0">
      <w:start w:val="2"/>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16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7">
    <w:multiLevelType w:val="hybridMultilevel"/>
    <w:lvl w:ilvl="0">
      <w:start w:val="1"/>
      <w:numFmt w:val="lowerLetter"/>
      <w:lvlText w:val="%1)"/>
      <w:lvlJc w:val="left"/>
      <w:pPr>
        <w:ind w:left="630" w:hanging="313"/>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6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65">
    <w:multiLevelType w:val="hybridMultilevel"/>
    <w:lvl w:ilvl="0">
      <w:start w:val="2"/>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6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3">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62">
    <w:multiLevelType w:val="hybridMultilevel"/>
    <w:lvl w:ilvl="0">
      <w:start w:val="2"/>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16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60">
    <w:multiLevelType w:val="hybridMultilevel"/>
    <w:lvl w:ilvl="0">
      <w:start w:val="2"/>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159">
    <w:multiLevelType w:val="hybridMultilevel"/>
    <w:lvl w:ilvl="0">
      <w:start w:val="2"/>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158">
    <w:multiLevelType w:val="hybridMultilevel"/>
    <w:lvl w:ilvl="0">
      <w:start w:val="1"/>
      <w:numFmt w:val="lowerLetter"/>
      <w:lvlText w:val="%1)"/>
      <w:lvlJc w:val="left"/>
      <w:pPr>
        <w:ind w:left="113" w:hanging="36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9"/>
      </w:pPr>
      <w:rPr>
        <w:rFonts w:hint="default"/>
      </w:rPr>
    </w:lvl>
    <w:lvl w:ilvl="2">
      <w:start w:val="0"/>
      <w:numFmt w:val="bullet"/>
      <w:lvlText w:val="•"/>
      <w:lvlJc w:val="left"/>
      <w:pPr>
        <w:ind w:left="2072" w:hanging="369"/>
      </w:pPr>
      <w:rPr>
        <w:rFonts w:hint="default"/>
      </w:rPr>
    </w:lvl>
    <w:lvl w:ilvl="3">
      <w:start w:val="0"/>
      <w:numFmt w:val="bullet"/>
      <w:lvlText w:val="•"/>
      <w:lvlJc w:val="left"/>
      <w:pPr>
        <w:ind w:left="3048" w:hanging="369"/>
      </w:pPr>
      <w:rPr>
        <w:rFonts w:hint="default"/>
      </w:rPr>
    </w:lvl>
    <w:lvl w:ilvl="4">
      <w:start w:val="0"/>
      <w:numFmt w:val="bullet"/>
      <w:lvlText w:val="•"/>
      <w:lvlJc w:val="left"/>
      <w:pPr>
        <w:ind w:left="4024" w:hanging="369"/>
      </w:pPr>
      <w:rPr>
        <w:rFonts w:hint="default"/>
      </w:rPr>
    </w:lvl>
    <w:lvl w:ilvl="5">
      <w:start w:val="0"/>
      <w:numFmt w:val="bullet"/>
      <w:lvlText w:val="•"/>
      <w:lvlJc w:val="left"/>
      <w:pPr>
        <w:ind w:left="5000" w:hanging="369"/>
      </w:pPr>
      <w:rPr>
        <w:rFonts w:hint="default"/>
      </w:rPr>
    </w:lvl>
    <w:lvl w:ilvl="6">
      <w:start w:val="0"/>
      <w:numFmt w:val="bullet"/>
      <w:lvlText w:val="•"/>
      <w:lvlJc w:val="left"/>
      <w:pPr>
        <w:ind w:left="5976" w:hanging="369"/>
      </w:pPr>
      <w:rPr>
        <w:rFonts w:hint="default"/>
      </w:rPr>
    </w:lvl>
    <w:lvl w:ilvl="7">
      <w:start w:val="0"/>
      <w:numFmt w:val="bullet"/>
      <w:lvlText w:val="•"/>
      <w:lvlJc w:val="left"/>
      <w:pPr>
        <w:ind w:left="6952" w:hanging="369"/>
      </w:pPr>
      <w:rPr>
        <w:rFonts w:hint="default"/>
      </w:rPr>
    </w:lvl>
    <w:lvl w:ilvl="8">
      <w:start w:val="0"/>
      <w:numFmt w:val="bullet"/>
      <w:lvlText w:val="•"/>
      <w:lvlJc w:val="left"/>
      <w:pPr>
        <w:ind w:left="7928" w:hanging="369"/>
      </w:pPr>
      <w:rPr>
        <w:rFonts w:hint="default"/>
      </w:rPr>
    </w:lvl>
  </w:abstractNum>
  <w:abstractNum w:abstractNumId="157">
    <w:multiLevelType w:val="hybridMultilevel"/>
    <w:lvl w:ilvl="0">
      <w:start w:val="26"/>
      <w:numFmt w:val="decimal"/>
      <w:lvlText w:val="%1."/>
      <w:lvlJc w:val="left"/>
      <w:pPr>
        <w:ind w:left="582" w:hanging="458"/>
        <w:jc w:val="left"/>
      </w:pPr>
      <w:rPr>
        <w:rFonts w:hint="default" w:ascii="Times New Roman" w:hAnsi="Times New Roman" w:eastAsia="Times New Roman" w:cs="Times New Roman"/>
        <w:spacing w:val="-1"/>
        <w:w w:val="127"/>
        <w:sz w:val="24"/>
        <w:szCs w:val="24"/>
      </w:rPr>
    </w:lvl>
    <w:lvl w:ilvl="1">
      <w:start w:val="59"/>
      <w:numFmt w:val="decimal"/>
      <w:lvlText w:val="%2."/>
      <w:lvlJc w:val="left"/>
      <w:pPr>
        <w:ind w:left="113" w:hanging="582"/>
        <w:jc w:val="left"/>
      </w:pPr>
      <w:rPr>
        <w:rFonts w:hint="default" w:ascii="Arial" w:hAnsi="Arial" w:eastAsia="Arial" w:cs="Arial"/>
        <w:b/>
        <w:bCs/>
        <w:spacing w:val="-1"/>
        <w:w w:val="125"/>
        <w:sz w:val="24"/>
        <w:szCs w:val="24"/>
      </w:rPr>
    </w:lvl>
    <w:lvl w:ilvl="2">
      <w:start w:val="0"/>
      <w:numFmt w:val="bullet"/>
      <w:lvlText w:val="•"/>
      <w:lvlJc w:val="left"/>
      <w:pPr>
        <w:ind w:left="3440" w:hanging="582"/>
      </w:pPr>
      <w:rPr>
        <w:rFonts w:hint="default"/>
      </w:rPr>
    </w:lvl>
    <w:lvl w:ilvl="3">
      <w:start w:val="0"/>
      <w:numFmt w:val="bullet"/>
      <w:lvlText w:val="•"/>
      <w:lvlJc w:val="left"/>
      <w:pPr>
        <w:ind w:left="3960" w:hanging="582"/>
      </w:pPr>
      <w:rPr>
        <w:rFonts w:hint="default"/>
      </w:rPr>
    </w:lvl>
    <w:lvl w:ilvl="4">
      <w:start w:val="0"/>
      <w:numFmt w:val="bullet"/>
      <w:lvlText w:val="•"/>
      <w:lvlJc w:val="left"/>
      <w:pPr>
        <w:ind w:left="4440" w:hanging="582"/>
      </w:pPr>
      <w:rPr>
        <w:rFonts w:hint="default"/>
      </w:rPr>
    </w:lvl>
    <w:lvl w:ilvl="5">
      <w:start w:val="0"/>
      <w:numFmt w:val="bullet"/>
      <w:lvlText w:val="•"/>
      <w:lvlJc w:val="left"/>
      <w:pPr>
        <w:ind w:left="5346" w:hanging="582"/>
      </w:pPr>
      <w:rPr>
        <w:rFonts w:hint="default"/>
      </w:rPr>
    </w:lvl>
    <w:lvl w:ilvl="6">
      <w:start w:val="0"/>
      <w:numFmt w:val="bullet"/>
      <w:lvlText w:val="•"/>
      <w:lvlJc w:val="left"/>
      <w:pPr>
        <w:ind w:left="6253" w:hanging="582"/>
      </w:pPr>
      <w:rPr>
        <w:rFonts w:hint="default"/>
      </w:rPr>
    </w:lvl>
    <w:lvl w:ilvl="7">
      <w:start w:val="0"/>
      <w:numFmt w:val="bullet"/>
      <w:lvlText w:val="•"/>
      <w:lvlJc w:val="left"/>
      <w:pPr>
        <w:ind w:left="7160" w:hanging="582"/>
      </w:pPr>
      <w:rPr>
        <w:rFonts w:hint="default"/>
      </w:rPr>
    </w:lvl>
    <w:lvl w:ilvl="8">
      <w:start w:val="0"/>
      <w:numFmt w:val="bullet"/>
      <w:lvlText w:val="•"/>
      <w:lvlJc w:val="left"/>
      <w:pPr>
        <w:ind w:left="8066" w:hanging="582"/>
      </w:pPr>
      <w:rPr>
        <w:rFonts w:hint="default"/>
      </w:rPr>
    </w:lvl>
  </w:abstractNum>
  <w:abstractNum w:abstractNumId="156">
    <w:multiLevelType w:val="hybridMultilevel"/>
    <w:lvl w:ilvl="0">
      <w:start w:val="2"/>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5">
    <w:multiLevelType w:val="hybridMultilevel"/>
    <w:lvl w:ilvl="0">
      <w:start w:val="1"/>
      <w:numFmt w:val="lowerLetter"/>
      <w:lvlText w:val="%1)"/>
      <w:lvlJc w:val="left"/>
      <w:pPr>
        <w:ind w:left="113" w:hanging="5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89"/>
      </w:pPr>
      <w:rPr>
        <w:rFonts w:hint="default"/>
      </w:rPr>
    </w:lvl>
    <w:lvl w:ilvl="2">
      <w:start w:val="0"/>
      <w:numFmt w:val="bullet"/>
      <w:lvlText w:val="•"/>
      <w:lvlJc w:val="left"/>
      <w:pPr>
        <w:ind w:left="2072" w:hanging="589"/>
      </w:pPr>
      <w:rPr>
        <w:rFonts w:hint="default"/>
      </w:rPr>
    </w:lvl>
    <w:lvl w:ilvl="3">
      <w:start w:val="0"/>
      <w:numFmt w:val="bullet"/>
      <w:lvlText w:val="•"/>
      <w:lvlJc w:val="left"/>
      <w:pPr>
        <w:ind w:left="3048" w:hanging="589"/>
      </w:pPr>
      <w:rPr>
        <w:rFonts w:hint="default"/>
      </w:rPr>
    </w:lvl>
    <w:lvl w:ilvl="4">
      <w:start w:val="0"/>
      <w:numFmt w:val="bullet"/>
      <w:lvlText w:val="•"/>
      <w:lvlJc w:val="left"/>
      <w:pPr>
        <w:ind w:left="4024" w:hanging="589"/>
      </w:pPr>
      <w:rPr>
        <w:rFonts w:hint="default"/>
      </w:rPr>
    </w:lvl>
    <w:lvl w:ilvl="5">
      <w:start w:val="0"/>
      <w:numFmt w:val="bullet"/>
      <w:lvlText w:val="•"/>
      <w:lvlJc w:val="left"/>
      <w:pPr>
        <w:ind w:left="5000" w:hanging="589"/>
      </w:pPr>
      <w:rPr>
        <w:rFonts w:hint="default"/>
      </w:rPr>
    </w:lvl>
    <w:lvl w:ilvl="6">
      <w:start w:val="0"/>
      <w:numFmt w:val="bullet"/>
      <w:lvlText w:val="•"/>
      <w:lvlJc w:val="left"/>
      <w:pPr>
        <w:ind w:left="5976" w:hanging="589"/>
      </w:pPr>
      <w:rPr>
        <w:rFonts w:hint="default"/>
      </w:rPr>
    </w:lvl>
    <w:lvl w:ilvl="7">
      <w:start w:val="0"/>
      <w:numFmt w:val="bullet"/>
      <w:lvlText w:val="•"/>
      <w:lvlJc w:val="left"/>
      <w:pPr>
        <w:ind w:left="6952" w:hanging="589"/>
      </w:pPr>
      <w:rPr>
        <w:rFonts w:hint="default"/>
      </w:rPr>
    </w:lvl>
    <w:lvl w:ilvl="8">
      <w:start w:val="0"/>
      <w:numFmt w:val="bullet"/>
      <w:lvlText w:val="•"/>
      <w:lvlJc w:val="left"/>
      <w:pPr>
        <w:ind w:left="7928" w:hanging="589"/>
      </w:pPr>
      <w:rPr>
        <w:rFonts w:hint="default"/>
      </w:rPr>
    </w:lvl>
  </w:abstractNum>
  <w:abstractNum w:abstractNumId="15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5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2">
    <w:multiLevelType w:val="hybridMultilevel"/>
    <w:lvl w:ilvl="0">
      <w:start w:val="1"/>
      <w:numFmt w:val="decimal"/>
      <w:lvlText w:val="(%1)"/>
      <w:lvlJc w:val="left"/>
      <w:pPr>
        <w:ind w:left="529" w:hanging="416"/>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456" w:hanging="416"/>
      </w:pPr>
      <w:rPr>
        <w:rFonts w:hint="default"/>
      </w:rPr>
    </w:lvl>
    <w:lvl w:ilvl="2">
      <w:start w:val="0"/>
      <w:numFmt w:val="bullet"/>
      <w:lvlText w:val="•"/>
      <w:lvlJc w:val="left"/>
      <w:pPr>
        <w:ind w:left="2392" w:hanging="416"/>
      </w:pPr>
      <w:rPr>
        <w:rFonts w:hint="default"/>
      </w:rPr>
    </w:lvl>
    <w:lvl w:ilvl="3">
      <w:start w:val="0"/>
      <w:numFmt w:val="bullet"/>
      <w:lvlText w:val="•"/>
      <w:lvlJc w:val="left"/>
      <w:pPr>
        <w:ind w:left="3328" w:hanging="416"/>
      </w:pPr>
      <w:rPr>
        <w:rFonts w:hint="default"/>
      </w:rPr>
    </w:lvl>
    <w:lvl w:ilvl="4">
      <w:start w:val="0"/>
      <w:numFmt w:val="bullet"/>
      <w:lvlText w:val="•"/>
      <w:lvlJc w:val="left"/>
      <w:pPr>
        <w:ind w:left="4264" w:hanging="416"/>
      </w:pPr>
      <w:rPr>
        <w:rFonts w:hint="default"/>
      </w:rPr>
    </w:lvl>
    <w:lvl w:ilvl="5">
      <w:start w:val="0"/>
      <w:numFmt w:val="bullet"/>
      <w:lvlText w:val="•"/>
      <w:lvlJc w:val="left"/>
      <w:pPr>
        <w:ind w:left="5200" w:hanging="416"/>
      </w:pPr>
      <w:rPr>
        <w:rFonts w:hint="default"/>
      </w:rPr>
    </w:lvl>
    <w:lvl w:ilvl="6">
      <w:start w:val="0"/>
      <w:numFmt w:val="bullet"/>
      <w:lvlText w:val="•"/>
      <w:lvlJc w:val="left"/>
      <w:pPr>
        <w:ind w:left="6136" w:hanging="416"/>
      </w:pPr>
      <w:rPr>
        <w:rFonts w:hint="default"/>
      </w:rPr>
    </w:lvl>
    <w:lvl w:ilvl="7">
      <w:start w:val="0"/>
      <w:numFmt w:val="bullet"/>
      <w:lvlText w:val="•"/>
      <w:lvlJc w:val="left"/>
      <w:pPr>
        <w:ind w:left="7072" w:hanging="416"/>
      </w:pPr>
      <w:rPr>
        <w:rFonts w:hint="default"/>
      </w:rPr>
    </w:lvl>
    <w:lvl w:ilvl="8">
      <w:start w:val="0"/>
      <w:numFmt w:val="bullet"/>
      <w:lvlText w:val="•"/>
      <w:lvlJc w:val="left"/>
      <w:pPr>
        <w:ind w:left="8008" w:hanging="416"/>
      </w:pPr>
      <w:rPr>
        <w:rFonts w:hint="default"/>
      </w:rPr>
    </w:lvl>
  </w:abstractNum>
  <w:abstractNum w:abstractNumId="151">
    <w:multiLevelType w:val="hybridMultilevel"/>
    <w:lvl w:ilvl="0">
      <w:start w:val="1"/>
      <w:numFmt w:val="lowerLetter"/>
      <w:lvlText w:val="%1)"/>
      <w:lvlJc w:val="left"/>
      <w:pPr>
        <w:ind w:left="113" w:hanging="38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9"/>
      </w:pPr>
      <w:rPr>
        <w:rFonts w:hint="default"/>
      </w:rPr>
    </w:lvl>
    <w:lvl w:ilvl="2">
      <w:start w:val="0"/>
      <w:numFmt w:val="bullet"/>
      <w:lvlText w:val="•"/>
      <w:lvlJc w:val="left"/>
      <w:pPr>
        <w:ind w:left="2072" w:hanging="389"/>
      </w:pPr>
      <w:rPr>
        <w:rFonts w:hint="default"/>
      </w:rPr>
    </w:lvl>
    <w:lvl w:ilvl="3">
      <w:start w:val="0"/>
      <w:numFmt w:val="bullet"/>
      <w:lvlText w:val="•"/>
      <w:lvlJc w:val="left"/>
      <w:pPr>
        <w:ind w:left="3048" w:hanging="389"/>
      </w:pPr>
      <w:rPr>
        <w:rFonts w:hint="default"/>
      </w:rPr>
    </w:lvl>
    <w:lvl w:ilvl="4">
      <w:start w:val="0"/>
      <w:numFmt w:val="bullet"/>
      <w:lvlText w:val="•"/>
      <w:lvlJc w:val="left"/>
      <w:pPr>
        <w:ind w:left="4024" w:hanging="389"/>
      </w:pPr>
      <w:rPr>
        <w:rFonts w:hint="default"/>
      </w:rPr>
    </w:lvl>
    <w:lvl w:ilvl="5">
      <w:start w:val="0"/>
      <w:numFmt w:val="bullet"/>
      <w:lvlText w:val="•"/>
      <w:lvlJc w:val="left"/>
      <w:pPr>
        <w:ind w:left="5000" w:hanging="389"/>
      </w:pPr>
      <w:rPr>
        <w:rFonts w:hint="default"/>
      </w:rPr>
    </w:lvl>
    <w:lvl w:ilvl="6">
      <w:start w:val="0"/>
      <w:numFmt w:val="bullet"/>
      <w:lvlText w:val="•"/>
      <w:lvlJc w:val="left"/>
      <w:pPr>
        <w:ind w:left="5976" w:hanging="389"/>
      </w:pPr>
      <w:rPr>
        <w:rFonts w:hint="default"/>
      </w:rPr>
    </w:lvl>
    <w:lvl w:ilvl="7">
      <w:start w:val="0"/>
      <w:numFmt w:val="bullet"/>
      <w:lvlText w:val="•"/>
      <w:lvlJc w:val="left"/>
      <w:pPr>
        <w:ind w:left="6952" w:hanging="389"/>
      </w:pPr>
      <w:rPr>
        <w:rFonts w:hint="default"/>
      </w:rPr>
    </w:lvl>
    <w:lvl w:ilvl="8">
      <w:start w:val="0"/>
      <w:numFmt w:val="bullet"/>
      <w:lvlText w:val="•"/>
      <w:lvlJc w:val="left"/>
      <w:pPr>
        <w:ind w:left="7928" w:hanging="389"/>
      </w:pPr>
      <w:rPr>
        <w:rFonts w:hint="default"/>
      </w:rPr>
    </w:lvl>
  </w:abstractNum>
  <w:abstractNum w:abstractNumId="150">
    <w:multiLevelType w:val="hybridMultilevel"/>
    <w:lvl w:ilvl="0">
      <w:start w:val="2"/>
      <w:numFmt w:val="decimal"/>
      <w:lvlText w:val="(%1)"/>
      <w:lvlJc w:val="left"/>
      <w:pPr>
        <w:ind w:left="113" w:hanging="5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5"/>
      </w:pPr>
      <w:rPr>
        <w:rFonts w:hint="default"/>
      </w:rPr>
    </w:lvl>
    <w:lvl w:ilvl="2">
      <w:start w:val="0"/>
      <w:numFmt w:val="bullet"/>
      <w:lvlText w:val="•"/>
      <w:lvlJc w:val="left"/>
      <w:pPr>
        <w:ind w:left="2072" w:hanging="555"/>
      </w:pPr>
      <w:rPr>
        <w:rFonts w:hint="default"/>
      </w:rPr>
    </w:lvl>
    <w:lvl w:ilvl="3">
      <w:start w:val="0"/>
      <w:numFmt w:val="bullet"/>
      <w:lvlText w:val="•"/>
      <w:lvlJc w:val="left"/>
      <w:pPr>
        <w:ind w:left="3048" w:hanging="555"/>
      </w:pPr>
      <w:rPr>
        <w:rFonts w:hint="default"/>
      </w:rPr>
    </w:lvl>
    <w:lvl w:ilvl="4">
      <w:start w:val="0"/>
      <w:numFmt w:val="bullet"/>
      <w:lvlText w:val="•"/>
      <w:lvlJc w:val="left"/>
      <w:pPr>
        <w:ind w:left="4024" w:hanging="555"/>
      </w:pPr>
      <w:rPr>
        <w:rFonts w:hint="default"/>
      </w:rPr>
    </w:lvl>
    <w:lvl w:ilvl="5">
      <w:start w:val="0"/>
      <w:numFmt w:val="bullet"/>
      <w:lvlText w:val="•"/>
      <w:lvlJc w:val="left"/>
      <w:pPr>
        <w:ind w:left="5000" w:hanging="555"/>
      </w:pPr>
      <w:rPr>
        <w:rFonts w:hint="default"/>
      </w:rPr>
    </w:lvl>
    <w:lvl w:ilvl="6">
      <w:start w:val="0"/>
      <w:numFmt w:val="bullet"/>
      <w:lvlText w:val="•"/>
      <w:lvlJc w:val="left"/>
      <w:pPr>
        <w:ind w:left="5976" w:hanging="555"/>
      </w:pPr>
      <w:rPr>
        <w:rFonts w:hint="default"/>
      </w:rPr>
    </w:lvl>
    <w:lvl w:ilvl="7">
      <w:start w:val="0"/>
      <w:numFmt w:val="bullet"/>
      <w:lvlText w:val="•"/>
      <w:lvlJc w:val="left"/>
      <w:pPr>
        <w:ind w:left="6952" w:hanging="555"/>
      </w:pPr>
      <w:rPr>
        <w:rFonts w:hint="default"/>
      </w:rPr>
    </w:lvl>
    <w:lvl w:ilvl="8">
      <w:start w:val="0"/>
      <w:numFmt w:val="bullet"/>
      <w:lvlText w:val="•"/>
      <w:lvlJc w:val="left"/>
      <w:pPr>
        <w:ind w:left="7928" w:hanging="555"/>
      </w:pPr>
      <w:rPr>
        <w:rFonts w:hint="default"/>
      </w:rPr>
    </w:lvl>
  </w:abstractNum>
  <w:abstractNum w:abstractNumId="149">
    <w:multiLevelType w:val="hybridMultilevel"/>
    <w:lvl w:ilvl="0">
      <w:start w:val="1"/>
      <w:numFmt w:val="lowerLetter"/>
      <w:lvlText w:val="%1)"/>
      <w:lvlJc w:val="left"/>
      <w:pPr>
        <w:ind w:left="113" w:hanging="46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1"/>
      </w:pPr>
      <w:rPr>
        <w:rFonts w:hint="default"/>
      </w:rPr>
    </w:lvl>
    <w:lvl w:ilvl="2">
      <w:start w:val="0"/>
      <w:numFmt w:val="bullet"/>
      <w:lvlText w:val="•"/>
      <w:lvlJc w:val="left"/>
      <w:pPr>
        <w:ind w:left="2072" w:hanging="461"/>
      </w:pPr>
      <w:rPr>
        <w:rFonts w:hint="default"/>
      </w:rPr>
    </w:lvl>
    <w:lvl w:ilvl="3">
      <w:start w:val="0"/>
      <w:numFmt w:val="bullet"/>
      <w:lvlText w:val="•"/>
      <w:lvlJc w:val="left"/>
      <w:pPr>
        <w:ind w:left="3048" w:hanging="461"/>
      </w:pPr>
      <w:rPr>
        <w:rFonts w:hint="default"/>
      </w:rPr>
    </w:lvl>
    <w:lvl w:ilvl="4">
      <w:start w:val="0"/>
      <w:numFmt w:val="bullet"/>
      <w:lvlText w:val="•"/>
      <w:lvlJc w:val="left"/>
      <w:pPr>
        <w:ind w:left="4024" w:hanging="461"/>
      </w:pPr>
      <w:rPr>
        <w:rFonts w:hint="default"/>
      </w:rPr>
    </w:lvl>
    <w:lvl w:ilvl="5">
      <w:start w:val="0"/>
      <w:numFmt w:val="bullet"/>
      <w:lvlText w:val="•"/>
      <w:lvlJc w:val="left"/>
      <w:pPr>
        <w:ind w:left="5000" w:hanging="461"/>
      </w:pPr>
      <w:rPr>
        <w:rFonts w:hint="default"/>
      </w:rPr>
    </w:lvl>
    <w:lvl w:ilvl="6">
      <w:start w:val="0"/>
      <w:numFmt w:val="bullet"/>
      <w:lvlText w:val="•"/>
      <w:lvlJc w:val="left"/>
      <w:pPr>
        <w:ind w:left="5976" w:hanging="461"/>
      </w:pPr>
      <w:rPr>
        <w:rFonts w:hint="default"/>
      </w:rPr>
    </w:lvl>
    <w:lvl w:ilvl="7">
      <w:start w:val="0"/>
      <w:numFmt w:val="bullet"/>
      <w:lvlText w:val="•"/>
      <w:lvlJc w:val="left"/>
      <w:pPr>
        <w:ind w:left="6952" w:hanging="461"/>
      </w:pPr>
      <w:rPr>
        <w:rFonts w:hint="default"/>
      </w:rPr>
    </w:lvl>
    <w:lvl w:ilvl="8">
      <w:start w:val="0"/>
      <w:numFmt w:val="bullet"/>
      <w:lvlText w:val="•"/>
      <w:lvlJc w:val="left"/>
      <w:pPr>
        <w:ind w:left="7928" w:hanging="461"/>
      </w:pPr>
      <w:rPr>
        <w:rFonts w:hint="default"/>
      </w:rPr>
    </w:lvl>
  </w:abstractNum>
  <w:abstractNum w:abstractNumId="148">
    <w:multiLevelType w:val="hybridMultilevel"/>
    <w:lvl w:ilvl="0">
      <w:start w:val="1"/>
      <w:numFmt w:val="lowerLetter"/>
      <w:lvlText w:val="%1)"/>
      <w:lvlJc w:val="left"/>
      <w:pPr>
        <w:ind w:left="113"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096" w:hanging="238"/>
      </w:pPr>
      <w:rPr>
        <w:rFonts w:hint="default"/>
      </w:rPr>
    </w:lvl>
    <w:lvl w:ilvl="2">
      <w:start w:val="0"/>
      <w:numFmt w:val="bullet"/>
      <w:lvlText w:val="•"/>
      <w:lvlJc w:val="left"/>
      <w:pPr>
        <w:ind w:left="2072" w:hanging="238"/>
      </w:pPr>
      <w:rPr>
        <w:rFonts w:hint="default"/>
      </w:rPr>
    </w:lvl>
    <w:lvl w:ilvl="3">
      <w:start w:val="0"/>
      <w:numFmt w:val="bullet"/>
      <w:lvlText w:val="•"/>
      <w:lvlJc w:val="left"/>
      <w:pPr>
        <w:ind w:left="3048" w:hanging="238"/>
      </w:pPr>
      <w:rPr>
        <w:rFonts w:hint="default"/>
      </w:rPr>
    </w:lvl>
    <w:lvl w:ilvl="4">
      <w:start w:val="0"/>
      <w:numFmt w:val="bullet"/>
      <w:lvlText w:val="•"/>
      <w:lvlJc w:val="left"/>
      <w:pPr>
        <w:ind w:left="4024" w:hanging="238"/>
      </w:pPr>
      <w:rPr>
        <w:rFonts w:hint="default"/>
      </w:rPr>
    </w:lvl>
    <w:lvl w:ilvl="5">
      <w:start w:val="0"/>
      <w:numFmt w:val="bullet"/>
      <w:lvlText w:val="•"/>
      <w:lvlJc w:val="left"/>
      <w:pPr>
        <w:ind w:left="5000" w:hanging="238"/>
      </w:pPr>
      <w:rPr>
        <w:rFonts w:hint="default"/>
      </w:rPr>
    </w:lvl>
    <w:lvl w:ilvl="6">
      <w:start w:val="0"/>
      <w:numFmt w:val="bullet"/>
      <w:lvlText w:val="•"/>
      <w:lvlJc w:val="left"/>
      <w:pPr>
        <w:ind w:left="5976" w:hanging="238"/>
      </w:pPr>
      <w:rPr>
        <w:rFonts w:hint="default"/>
      </w:rPr>
    </w:lvl>
    <w:lvl w:ilvl="7">
      <w:start w:val="0"/>
      <w:numFmt w:val="bullet"/>
      <w:lvlText w:val="•"/>
      <w:lvlJc w:val="left"/>
      <w:pPr>
        <w:ind w:left="6952" w:hanging="238"/>
      </w:pPr>
      <w:rPr>
        <w:rFonts w:hint="default"/>
      </w:rPr>
    </w:lvl>
    <w:lvl w:ilvl="8">
      <w:start w:val="0"/>
      <w:numFmt w:val="bullet"/>
      <w:lvlText w:val="•"/>
      <w:lvlJc w:val="left"/>
      <w:pPr>
        <w:ind w:left="7928" w:hanging="238"/>
      </w:pPr>
      <w:rPr>
        <w:rFonts w:hint="default"/>
      </w:rPr>
    </w:lvl>
  </w:abstractNum>
  <w:abstractNum w:abstractNumId="14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6">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5">
    <w:multiLevelType w:val="hybridMultilevel"/>
    <w:lvl w:ilvl="0">
      <w:start w:val="46"/>
      <w:numFmt w:val="decimal"/>
      <w:lvlText w:val="%1."/>
      <w:lvlJc w:val="left"/>
      <w:pPr>
        <w:ind w:left="571" w:hanging="458"/>
        <w:jc w:val="left"/>
      </w:pPr>
      <w:rPr>
        <w:rFonts w:hint="default" w:ascii="Times New Roman" w:hAnsi="Times New Roman" w:eastAsia="Times New Roman" w:cs="Times New Roman"/>
        <w:spacing w:val="-1"/>
        <w:w w:val="127"/>
        <w:sz w:val="24"/>
        <w:szCs w:val="24"/>
      </w:rPr>
    </w:lvl>
    <w:lvl w:ilvl="1">
      <w:start w:val="53"/>
      <w:numFmt w:val="decimal"/>
      <w:lvlText w:val="%2."/>
      <w:lvlJc w:val="left"/>
      <w:pPr>
        <w:ind w:left="113" w:hanging="614"/>
        <w:jc w:val="left"/>
      </w:pPr>
      <w:rPr>
        <w:rFonts w:hint="default" w:ascii="Arial" w:hAnsi="Arial" w:eastAsia="Arial" w:cs="Arial"/>
        <w:b/>
        <w:bCs/>
        <w:spacing w:val="-1"/>
        <w:w w:val="125"/>
        <w:sz w:val="24"/>
        <w:szCs w:val="24"/>
      </w:rPr>
    </w:lvl>
    <w:lvl w:ilvl="2">
      <w:start w:val="0"/>
      <w:numFmt w:val="bullet"/>
      <w:lvlText w:val="•"/>
      <w:lvlJc w:val="left"/>
      <w:pPr>
        <w:ind w:left="1613" w:hanging="614"/>
      </w:pPr>
      <w:rPr>
        <w:rFonts w:hint="default"/>
      </w:rPr>
    </w:lvl>
    <w:lvl w:ilvl="3">
      <w:start w:val="0"/>
      <w:numFmt w:val="bullet"/>
      <w:lvlText w:val="•"/>
      <w:lvlJc w:val="left"/>
      <w:pPr>
        <w:ind w:left="2646" w:hanging="614"/>
      </w:pPr>
      <w:rPr>
        <w:rFonts w:hint="default"/>
      </w:rPr>
    </w:lvl>
    <w:lvl w:ilvl="4">
      <w:start w:val="0"/>
      <w:numFmt w:val="bullet"/>
      <w:lvlText w:val="•"/>
      <w:lvlJc w:val="left"/>
      <w:pPr>
        <w:ind w:left="3680" w:hanging="614"/>
      </w:pPr>
      <w:rPr>
        <w:rFonts w:hint="default"/>
      </w:rPr>
    </w:lvl>
    <w:lvl w:ilvl="5">
      <w:start w:val="0"/>
      <w:numFmt w:val="bullet"/>
      <w:lvlText w:val="•"/>
      <w:lvlJc w:val="left"/>
      <w:pPr>
        <w:ind w:left="4713" w:hanging="614"/>
      </w:pPr>
      <w:rPr>
        <w:rFonts w:hint="default"/>
      </w:rPr>
    </w:lvl>
    <w:lvl w:ilvl="6">
      <w:start w:val="0"/>
      <w:numFmt w:val="bullet"/>
      <w:lvlText w:val="•"/>
      <w:lvlJc w:val="left"/>
      <w:pPr>
        <w:ind w:left="5746" w:hanging="614"/>
      </w:pPr>
      <w:rPr>
        <w:rFonts w:hint="default"/>
      </w:rPr>
    </w:lvl>
    <w:lvl w:ilvl="7">
      <w:start w:val="0"/>
      <w:numFmt w:val="bullet"/>
      <w:lvlText w:val="•"/>
      <w:lvlJc w:val="left"/>
      <w:pPr>
        <w:ind w:left="6780" w:hanging="614"/>
      </w:pPr>
      <w:rPr>
        <w:rFonts w:hint="default"/>
      </w:rPr>
    </w:lvl>
    <w:lvl w:ilvl="8">
      <w:start w:val="0"/>
      <w:numFmt w:val="bullet"/>
      <w:lvlText w:val="•"/>
      <w:lvlJc w:val="left"/>
      <w:pPr>
        <w:ind w:left="7813" w:hanging="614"/>
      </w:pPr>
      <w:rPr>
        <w:rFonts w:hint="default"/>
      </w:rPr>
    </w:lvl>
  </w:abstractNum>
  <w:abstractNum w:abstractNumId="144">
    <w:multiLevelType w:val="hybridMultilevel"/>
    <w:lvl w:ilvl="0">
      <w:start w:val="2"/>
      <w:numFmt w:val="decimal"/>
      <w:lvlText w:val="(%1)"/>
      <w:lvlJc w:val="left"/>
      <w:pPr>
        <w:ind w:left="113" w:hanging="5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5"/>
      </w:pPr>
      <w:rPr>
        <w:rFonts w:hint="default"/>
      </w:rPr>
    </w:lvl>
    <w:lvl w:ilvl="2">
      <w:start w:val="0"/>
      <w:numFmt w:val="bullet"/>
      <w:lvlText w:val="•"/>
      <w:lvlJc w:val="left"/>
      <w:pPr>
        <w:ind w:left="2072" w:hanging="595"/>
      </w:pPr>
      <w:rPr>
        <w:rFonts w:hint="default"/>
      </w:rPr>
    </w:lvl>
    <w:lvl w:ilvl="3">
      <w:start w:val="0"/>
      <w:numFmt w:val="bullet"/>
      <w:lvlText w:val="•"/>
      <w:lvlJc w:val="left"/>
      <w:pPr>
        <w:ind w:left="3048" w:hanging="595"/>
      </w:pPr>
      <w:rPr>
        <w:rFonts w:hint="default"/>
      </w:rPr>
    </w:lvl>
    <w:lvl w:ilvl="4">
      <w:start w:val="0"/>
      <w:numFmt w:val="bullet"/>
      <w:lvlText w:val="•"/>
      <w:lvlJc w:val="left"/>
      <w:pPr>
        <w:ind w:left="4024" w:hanging="595"/>
      </w:pPr>
      <w:rPr>
        <w:rFonts w:hint="default"/>
      </w:rPr>
    </w:lvl>
    <w:lvl w:ilvl="5">
      <w:start w:val="0"/>
      <w:numFmt w:val="bullet"/>
      <w:lvlText w:val="•"/>
      <w:lvlJc w:val="left"/>
      <w:pPr>
        <w:ind w:left="5000" w:hanging="595"/>
      </w:pPr>
      <w:rPr>
        <w:rFonts w:hint="default"/>
      </w:rPr>
    </w:lvl>
    <w:lvl w:ilvl="6">
      <w:start w:val="0"/>
      <w:numFmt w:val="bullet"/>
      <w:lvlText w:val="•"/>
      <w:lvlJc w:val="left"/>
      <w:pPr>
        <w:ind w:left="5976" w:hanging="595"/>
      </w:pPr>
      <w:rPr>
        <w:rFonts w:hint="default"/>
      </w:rPr>
    </w:lvl>
    <w:lvl w:ilvl="7">
      <w:start w:val="0"/>
      <w:numFmt w:val="bullet"/>
      <w:lvlText w:val="•"/>
      <w:lvlJc w:val="left"/>
      <w:pPr>
        <w:ind w:left="6952" w:hanging="595"/>
      </w:pPr>
      <w:rPr>
        <w:rFonts w:hint="default"/>
      </w:rPr>
    </w:lvl>
    <w:lvl w:ilvl="8">
      <w:start w:val="0"/>
      <w:numFmt w:val="bullet"/>
      <w:lvlText w:val="•"/>
      <w:lvlJc w:val="left"/>
      <w:pPr>
        <w:ind w:left="7928" w:hanging="595"/>
      </w:pPr>
      <w:rPr>
        <w:rFonts w:hint="default"/>
      </w:rPr>
    </w:lvl>
  </w:abstractNum>
  <w:abstractNum w:abstractNumId="143">
    <w:multiLevelType w:val="hybridMultilevel"/>
    <w:lvl w:ilvl="0">
      <w:start w:val="2"/>
      <w:numFmt w:val="decimal"/>
      <w:lvlText w:val="(%1)"/>
      <w:lvlJc w:val="left"/>
      <w:pPr>
        <w:ind w:left="113" w:hanging="5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8"/>
      </w:pPr>
      <w:rPr>
        <w:rFonts w:hint="default"/>
      </w:rPr>
    </w:lvl>
    <w:lvl w:ilvl="2">
      <w:start w:val="0"/>
      <w:numFmt w:val="bullet"/>
      <w:lvlText w:val="•"/>
      <w:lvlJc w:val="left"/>
      <w:pPr>
        <w:ind w:left="2072" w:hanging="548"/>
      </w:pPr>
      <w:rPr>
        <w:rFonts w:hint="default"/>
      </w:rPr>
    </w:lvl>
    <w:lvl w:ilvl="3">
      <w:start w:val="0"/>
      <w:numFmt w:val="bullet"/>
      <w:lvlText w:val="•"/>
      <w:lvlJc w:val="left"/>
      <w:pPr>
        <w:ind w:left="3048" w:hanging="548"/>
      </w:pPr>
      <w:rPr>
        <w:rFonts w:hint="default"/>
      </w:rPr>
    </w:lvl>
    <w:lvl w:ilvl="4">
      <w:start w:val="0"/>
      <w:numFmt w:val="bullet"/>
      <w:lvlText w:val="•"/>
      <w:lvlJc w:val="left"/>
      <w:pPr>
        <w:ind w:left="4024" w:hanging="548"/>
      </w:pPr>
      <w:rPr>
        <w:rFonts w:hint="default"/>
      </w:rPr>
    </w:lvl>
    <w:lvl w:ilvl="5">
      <w:start w:val="0"/>
      <w:numFmt w:val="bullet"/>
      <w:lvlText w:val="•"/>
      <w:lvlJc w:val="left"/>
      <w:pPr>
        <w:ind w:left="5000" w:hanging="548"/>
      </w:pPr>
      <w:rPr>
        <w:rFonts w:hint="default"/>
      </w:rPr>
    </w:lvl>
    <w:lvl w:ilvl="6">
      <w:start w:val="0"/>
      <w:numFmt w:val="bullet"/>
      <w:lvlText w:val="•"/>
      <w:lvlJc w:val="left"/>
      <w:pPr>
        <w:ind w:left="5976" w:hanging="548"/>
      </w:pPr>
      <w:rPr>
        <w:rFonts w:hint="default"/>
      </w:rPr>
    </w:lvl>
    <w:lvl w:ilvl="7">
      <w:start w:val="0"/>
      <w:numFmt w:val="bullet"/>
      <w:lvlText w:val="•"/>
      <w:lvlJc w:val="left"/>
      <w:pPr>
        <w:ind w:left="6952" w:hanging="548"/>
      </w:pPr>
      <w:rPr>
        <w:rFonts w:hint="default"/>
      </w:rPr>
    </w:lvl>
    <w:lvl w:ilvl="8">
      <w:start w:val="0"/>
      <w:numFmt w:val="bullet"/>
      <w:lvlText w:val="•"/>
      <w:lvlJc w:val="left"/>
      <w:pPr>
        <w:ind w:left="7928" w:hanging="548"/>
      </w:pPr>
      <w:rPr>
        <w:rFonts w:hint="default"/>
      </w:rPr>
    </w:lvl>
  </w:abstractNum>
  <w:abstractNum w:abstractNumId="1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1">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14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9">
    <w:multiLevelType w:val="hybridMultilevel"/>
    <w:lvl w:ilvl="0">
      <w:start w:val="2"/>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13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7">
    <w:multiLevelType w:val="hybridMultilevel"/>
    <w:lvl w:ilvl="0">
      <w:start w:val="2"/>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136">
    <w:multiLevelType w:val="hybridMultilevel"/>
    <w:lvl w:ilvl="0">
      <w:start w:val="1"/>
      <w:numFmt w:val="lowerLetter"/>
      <w:lvlText w:val="%1)"/>
      <w:lvlJc w:val="left"/>
      <w:pPr>
        <w:ind w:left="113" w:hanging="55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13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2">
    <w:multiLevelType w:val="hybridMultilevel"/>
    <w:lvl w:ilvl="0">
      <w:start w:val="2"/>
      <w:numFmt w:val="decimal"/>
      <w:lvlText w:val="(%1)"/>
      <w:lvlJc w:val="left"/>
      <w:pPr>
        <w:ind w:left="113" w:hanging="5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131">
    <w:multiLevelType w:val="hybridMultilevel"/>
    <w:lvl w:ilvl="0">
      <w:start w:val="2"/>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30">
    <w:multiLevelType w:val="hybridMultilevel"/>
    <w:lvl w:ilvl="0">
      <w:start w:val="2"/>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129">
    <w:multiLevelType w:val="hybridMultilevel"/>
    <w:lvl w:ilvl="0">
      <w:start w:val="1"/>
      <w:numFmt w:val="lowerLetter"/>
      <w:lvlText w:val="%1)"/>
      <w:lvlJc w:val="left"/>
      <w:pPr>
        <w:ind w:left="113" w:hanging="42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128">
    <w:multiLevelType w:val="hybridMultilevel"/>
    <w:lvl w:ilvl="0">
      <w:start w:val="1"/>
      <w:numFmt w:val="lowerLetter"/>
      <w:lvlText w:val="%1)"/>
      <w:lvlJc w:val="left"/>
      <w:pPr>
        <w:ind w:left="113" w:hanging="4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127">
    <w:multiLevelType w:val="hybridMultilevel"/>
    <w:lvl w:ilvl="0">
      <w:start w:val="2"/>
      <w:numFmt w:val="decimal"/>
      <w:lvlText w:val="(%1)"/>
      <w:lvlJc w:val="left"/>
      <w:pPr>
        <w:ind w:left="113" w:hanging="6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2"/>
      </w:pPr>
      <w:rPr>
        <w:rFonts w:hint="default"/>
      </w:rPr>
    </w:lvl>
    <w:lvl w:ilvl="2">
      <w:start w:val="0"/>
      <w:numFmt w:val="bullet"/>
      <w:lvlText w:val="•"/>
      <w:lvlJc w:val="left"/>
      <w:pPr>
        <w:ind w:left="2072" w:hanging="622"/>
      </w:pPr>
      <w:rPr>
        <w:rFonts w:hint="default"/>
      </w:rPr>
    </w:lvl>
    <w:lvl w:ilvl="3">
      <w:start w:val="0"/>
      <w:numFmt w:val="bullet"/>
      <w:lvlText w:val="•"/>
      <w:lvlJc w:val="left"/>
      <w:pPr>
        <w:ind w:left="3048" w:hanging="622"/>
      </w:pPr>
      <w:rPr>
        <w:rFonts w:hint="default"/>
      </w:rPr>
    </w:lvl>
    <w:lvl w:ilvl="4">
      <w:start w:val="0"/>
      <w:numFmt w:val="bullet"/>
      <w:lvlText w:val="•"/>
      <w:lvlJc w:val="left"/>
      <w:pPr>
        <w:ind w:left="4024" w:hanging="622"/>
      </w:pPr>
      <w:rPr>
        <w:rFonts w:hint="default"/>
      </w:rPr>
    </w:lvl>
    <w:lvl w:ilvl="5">
      <w:start w:val="0"/>
      <w:numFmt w:val="bullet"/>
      <w:lvlText w:val="•"/>
      <w:lvlJc w:val="left"/>
      <w:pPr>
        <w:ind w:left="5000" w:hanging="622"/>
      </w:pPr>
      <w:rPr>
        <w:rFonts w:hint="default"/>
      </w:rPr>
    </w:lvl>
    <w:lvl w:ilvl="6">
      <w:start w:val="0"/>
      <w:numFmt w:val="bullet"/>
      <w:lvlText w:val="•"/>
      <w:lvlJc w:val="left"/>
      <w:pPr>
        <w:ind w:left="5976" w:hanging="622"/>
      </w:pPr>
      <w:rPr>
        <w:rFonts w:hint="default"/>
      </w:rPr>
    </w:lvl>
    <w:lvl w:ilvl="7">
      <w:start w:val="0"/>
      <w:numFmt w:val="bullet"/>
      <w:lvlText w:val="•"/>
      <w:lvlJc w:val="left"/>
      <w:pPr>
        <w:ind w:left="6952" w:hanging="622"/>
      </w:pPr>
      <w:rPr>
        <w:rFonts w:hint="default"/>
      </w:rPr>
    </w:lvl>
    <w:lvl w:ilvl="8">
      <w:start w:val="0"/>
      <w:numFmt w:val="bullet"/>
      <w:lvlText w:val="•"/>
      <w:lvlJc w:val="left"/>
      <w:pPr>
        <w:ind w:left="7928" w:hanging="622"/>
      </w:pPr>
      <w:rPr>
        <w:rFonts w:hint="default"/>
      </w:rPr>
    </w:lvl>
  </w:abstractNum>
  <w:abstractNum w:abstractNumId="126">
    <w:multiLevelType w:val="hybridMultilevel"/>
    <w:lvl w:ilvl="0">
      <w:start w:val="1"/>
      <w:numFmt w:val="lowerLetter"/>
      <w:lvlText w:val="%1)"/>
      <w:lvlJc w:val="left"/>
      <w:pPr>
        <w:ind w:left="113" w:hanging="45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125">
    <w:multiLevelType w:val="hybridMultilevel"/>
    <w:lvl w:ilvl="0">
      <w:start w:val="2"/>
      <w:numFmt w:val="decimal"/>
      <w:lvlText w:val="(%1)"/>
      <w:lvlJc w:val="left"/>
      <w:pPr>
        <w:ind w:left="113" w:hanging="5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12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3">
    <w:multiLevelType w:val="hybridMultilevel"/>
    <w:lvl w:ilvl="0">
      <w:start w:val="1"/>
      <w:numFmt w:val="lowerLetter"/>
      <w:lvlText w:val="%1)"/>
      <w:lvlJc w:val="left"/>
      <w:pPr>
        <w:ind w:left="113" w:hanging="33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4"/>
      </w:pPr>
      <w:rPr>
        <w:rFonts w:hint="default"/>
      </w:rPr>
    </w:lvl>
    <w:lvl w:ilvl="2">
      <w:start w:val="0"/>
      <w:numFmt w:val="bullet"/>
      <w:lvlText w:val="•"/>
      <w:lvlJc w:val="left"/>
      <w:pPr>
        <w:ind w:left="2072" w:hanging="334"/>
      </w:pPr>
      <w:rPr>
        <w:rFonts w:hint="default"/>
      </w:rPr>
    </w:lvl>
    <w:lvl w:ilvl="3">
      <w:start w:val="0"/>
      <w:numFmt w:val="bullet"/>
      <w:lvlText w:val="•"/>
      <w:lvlJc w:val="left"/>
      <w:pPr>
        <w:ind w:left="3048" w:hanging="334"/>
      </w:pPr>
      <w:rPr>
        <w:rFonts w:hint="default"/>
      </w:rPr>
    </w:lvl>
    <w:lvl w:ilvl="4">
      <w:start w:val="0"/>
      <w:numFmt w:val="bullet"/>
      <w:lvlText w:val="•"/>
      <w:lvlJc w:val="left"/>
      <w:pPr>
        <w:ind w:left="4024" w:hanging="334"/>
      </w:pPr>
      <w:rPr>
        <w:rFonts w:hint="default"/>
      </w:rPr>
    </w:lvl>
    <w:lvl w:ilvl="5">
      <w:start w:val="0"/>
      <w:numFmt w:val="bullet"/>
      <w:lvlText w:val="•"/>
      <w:lvlJc w:val="left"/>
      <w:pPr>
        <w:ind w:left="5000" w:hanging="334"/>
      </w:pPr>
      <w:rPr>
        <w:rFonts w:hint="default"/>
      </w:rPr>
    </w:lvl>
    <w:lvl w:ilvl="6">
      <w:start w:val="0"/>
      <w:numFmt w:val="bullet"/>
      <w:lvlText w:val="•"/>
      <w:lvlJc w:val="left"/>
      <w:pPr>
        <w:ind w:left="5976" w:hanging="334"/>
      </w:pPr>
      <w:rPr>
        <w:rFonts w:hint="default"/>
      </w:rPr>
    </w:lvl>
    <w:lvl w:ilvl="7">
      <w:start w:val="0"/>
      <w:numFmt w:val="bullet"/>
      <w:lvlText w:val="•"/>
      <w:lvlJc w:val="left"/>
      <w:pPr>
        <w:ind w:left="6952" w:hanging="334"/>
      </w:pPr>
      <w:rPr>
        <w:rFonts w:hint="default"/>
      </w:rPr>
    </w:lvl>
    <w:lvl w:ilvl="8">
      <w:start w:val="0"/>
      <w:numFmt w:val="bullet"/>
      <w:lvlText w:val="•"/>
      <w:lvlJc w:val="left"/>
      <w:pPr>
        <w:ind w:left="7928" w:hanging="334"/>
      </w:pPr>
      <w:rPr>
        <w:rFonts w:hint="default"/>
      </w:rPr>
    </w:lvl>
  </w:abstractNum>
  <w:abstractNum w:abstractNumId="12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1">
    <w:multiLevelType w:val="hybridMultilevel"/>
    <w:lvl w:ilvl="0">
      <w:start w:val="1"/>
      <w:numFmt w:val="lowerLetter"/>
      <w:lvlText w:val="%1)"/>
      <w:lvlJc w:val="left"/>
      <w:pPr>
        <w:ind w:left="113" w:hanging="44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12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9">
    <w:multiLevelType w:val="hybridMultilevel"/>
    <w:lvl w:ilvl="0">
      <w:start w:val="2"/>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11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7">
    <w:multiLevelType w:val="hybridMultilevel"/>
    <w:lvl w:ilvl="0">
      <w:start w:val="1"/>
      <w:numFmt w:val="lowerLetter"/>
      <w:lvlText w:val="%1)"/>
      <w:lvlJc w:val="left"/>
      <w:pPr>
        <w:ind w:left="113" w:hanging="37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4"/>
      </w:pPr>
      <w:rPr>
        <w:rFonts w:hint="default"/>
      </w:rPr>
    </w:lvl>
    <w:lvl w:ilvl="2">
      <w:start w:val="0"/>
      <w:numFmt w:val="bullet"/>
      <w:lvlText w:val="•"/>
      <w:lvlJc w:val="left"/>
      <w:pPr>
        <w:ind w:left="2072" w:hanging="374"/>
      </w:pPr>
      <w:rPr>
        <w:rFonts w:hint="default"/>
      </w:rPr>
    </w:lvl>
    <w:lvl w:ilvl="3">
      <w:start w:val="0"/>
      <w:numFmt w:val="bullet"/>
      <w:lvlText w:val="•"/>
      <w:lvlJc w:val="left"/>
      <w:pPr>
        <w:ind w:left="3048" w:hanging="374"/>
      </w:pPr>
      <w:rPr>
        <w:rFonts w:hint="default"/>
      </w:rPr>
    </w:lvl>
    <w:lvl w:ilvl="4">
      <w:start w:val="0"/>
      <w:numFmt w:val="bullet"/>
      <w:lvlText w:val="•"/>
      <w:lvlJc w:val="left"/>
      <w:pPr>
        <w:ind w:left="4024" w:hanging="374"/>
      </w:pPr>
      <w:rPr>
        <w:rFonts w:hint="default"/>
      </w:rPr>
    </w:lvl>
    <w:lvl w:ilvl="5">
      <w:start w:val="0"/>
      <w:numFmt w:val="bullet"/>
      <w:lvlText w:val="•"/>
      <w:lvlJc w:val="left"/>
      <w:pPr>
        <w:ind w:left="5000" w:hanging="374"/>
      </w:pPr>
      <w:rPr>
        <w:rFonts w:hint="default"/>
      </w:rPr>
    </w:lvl>
    <w:lvl w:ilvl="6">
      <w:start w:val="0"/>
      <w:numFmt w:val="bullet"/>
      <w:lvlText w:val="•"/>
      <w:lvlJc w:val="left"/>
      <w:pPr>
        <w:ind w:left="5976" w:hanging="374"/>
      </w:pPr>
      <w:rPr>
        <w:rFonts w:hint="default"/>
      </w:rPr>
    </w:lvl>
    <w:lvl w:ilvl="7">
      <w:start w:val="0"/>
      <w:numFmt w:val="bullet"/>
      <w:lvlText w:val="•"/>
      <w:lvlJc w:val="left"/>
      <w:pPr>
        <w:ind w:left="6952" w:hanging="374"/>
      </w:pPr>
      <w:rPr>
        <w:rFonts w:hint="default"/>
      </w:rPr>
    </w:lvl>
    <w:lvl w:ilvl="8">
      <w:start w:val="0"/>
      <w:numFmt w:val="bullet"/>
      <w:lvlText w:val="•"/>
      <w:lvlJc w:val="left"/>
      <w:pPr>
        <w:ind w:left="7928" w:hanging="374"/>
      </w:pPr>
      <w:rPr>
        <w:rFonts w:hint="default"/>
      </w:rPr>
    </w:lvl>
  </w:abstractNum>
  <w:abstractNum w:abstractNumId="11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4">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3">
    <w:multiLevelType w:val="hybridMultilevel"/>
    <w:lvl w:ilvl="0">
      <w:start w:val="1"/>
      <w:numFmt w:val="lowerLetter"/>
      <w:lvlText w:val="%1)"/>
      <w:lvlJc w:val="left"/>
      <w:pPr>
        <w:ind w:left="113" w:hanging="4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112">
    <w:multiLevelType w:val="hybridMultilevel"/>
    <w:lvl w:ilvl="0">
      <w:start w:val="2"/>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111">
    <w:multiLevelType w:val="hybridMultilevel"/>
    <w:lvl w:ilvl="0">
      <w:start w:val="1"/>
      <w:numFmt w:val="lowerLetter"/>
      <w:lvlText w:val="%1)"/>
      <w:lvlJc w:val="left"/>
      <w:pPr>
        <w:ind w:left="113" w:hanging="3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8"/>
      </w:pPr>
      <w:rPr>
        <w:rFonts w:hint="default"/>
      </w:rPr>
    </w:lvl>
    <w:lvl w:ilvl="2">
      <w:start w:val="0"/>
      <w:numFmt w:val="bullet"/>
      <w:lvlText w:val="•"/>
      <w:lvlJc w:val="left"/>
      <w:pPr>
        <w:ind w:left="2072" w:hanging="388"/>
      </w:pPr>
      <w:rPr>
        <w:rFonts w:hint="default"/>
      </w:rPr>
    </w:lvl>
    <w:lvl w:ilvl="3">
      <w:start w:val="0"/>
      <w:numFmt w:val="bullet"/>
      <w:lvlText w:val="•"/>
      <w:lvlJc w:val="left"/>
      <w:pPr>
        <w:ind w:left="3048" w:hanging="388"/>
      </w:pPr>
      <w:rPr>
        <w:rFonts w:hint="default"/>
      </w:rPr>
    </w:lvl>
    <w:lvl w:ilvl="4">
      <w:start w:val="0"/>
      <w:numFmt w:val="bullet"/>
      <w:lvlText w:val="•"/>
      <w:lvlJc w:val="left"/>
      <w:pPr>
        <w:ind w:left="4024" w:hanging="388"/>
      </w:pPr>
      <w:rPr>
        <w:rFonts w:hint="default"/>
      </w:rPr>
    </w:lvl>
    <w:lvl w:ilvl="5">
      <w:start w:val="0"/>
      <w:numFmt w:val="bullet"/>
      <w:lvlText w:val="•"/>
      <w:lvlJc w:val="left"/>
      <w:pPr>
        <w:ind w:left="5000" w:hanging="388"/>
      </w:pPr>
      <w:rPr>
        <w:rFonts w:hint="default"/>
      </w:rPr>
    </w:lvl>
    <w:lvl w:ilvl="6">
      <w:start w:val="0"/>
      <w:numFmt w:val="bullet"/>
      <w:lvlText w:val="•"/>
      <w:lvlJc w:val="left"/>
      <w:pPr>
        <w:ind w:left="5976" w:hanging="388"/>
      </w:pPr>
      <w:rPr>
        <w:rFonts w:hint="default"/>
      </w:rPr>
    </w:lvl>
    <w:lvl w:ilvl="7">
      <w:start w:val="0"/>
      <w:numFmt w:val="bullet"/>
      <w:lvlText w:val="•"/>
      <w:lvlJc w:val="left"/>
      <w:pPr>
        <w:ind w:left="6952" w:hanging="388"/>
      </w:pPr>
      <w:rPr>
        <w:rFonts w:hint="default"/>
      </w:rPr>
    </w:lvl>
    <w:lvl w:ilvl="8">
      <w:start w:val="0"/>
      <w:numFmt w:val="bullet"/>
      <w:lvlText w:val="•"/>
      <w:lvlJc w:val="left"/>
      <w:pPr>
        <w:ind w:left="7928" w:hanging="388"/>
      </w:pPr>
      <w:rPr>
        <w:rFonts w:hint="default"/>
      </w:rPr>
    </w:lvl>
  </w:abstractNum>
  <w:abstractNum w:abstractNumId="11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0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8">
    <w:multiLevelType w:val="hybridMultilevel"/>
    <w:lvl w:ilvl="0">
      <w:start w:val="2"/>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1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6">
    <w:multiLevelType w:val="hybridMultilevel"/>
    <w:lvl w:ilvl="0">
      <w:start w:val="1"/>
      <w:numFmt w:val="lowerLetter"/>
      <w:lvlText w:val="%1)"/>
      <w:lvlJc w:val="left"/>
      <w:pPr>
        <w:ind w:left="113" w:hanging="4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0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0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3">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10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1">
    <w:multiLevelType w:val="hybridMultilevel"/>
    <w:lvl w:ilvl="0">
      <w:start w:val="2"/>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1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9">
    <w:multiLevelType w:val="hybridMultilevel"/>
    <w:lvl w:ilvl="0">
      <w:start w:val="22"/>
      <w:numFmt w:val="decimal"/>
      <w:lvlText w:val="%1."/>
      <w:lvlJc w:val="left"/>
      <w:pPr>
        <w:ind w:left="113" w:hanging="533"/>
        <w:jc w:val="left"/>
      </w:pPr>
      <w:rPr>
        <w:rFonts w:hint="default" w:ascii="Arial" w:hAnsi="Arial" w:eastAsia="Arial" w:cs="Arial"/>
        <w:b/>
        <w:bCs/>
        <w:spacing w:val="-1"/>
        <w:w w:val="125"/>
        <w:sz w:val="24"/>
        <w:szCs w:val="24"/>
      </w:rPr>
    </w:lvl>
    <w:lvl w:ilvl="1">
      <w:start w:val="0"/>
      <w:numFmt w:val="bullet"/>
      <w:lvlText w:val="•"/>
      <w:lvlJc w:val="left"/>
      <w:pPr>
        <w:ind w:left="1400" w:hanging="533"/>
      </w:pPr>
      <w:rPr>
        <w:rFonts w:hint="default"/>
      </w:rPr>
    </w:lvl>
    <w:lvl w:ilvl="2">
      <w:start w:val="0"/>
      <w:numFmt w:val="bullet"/>
      <w:lvlText w:val="•"/>
      <w:lvlJc w:val="left"/>
      <w:pPr>
        <w:ind w:left="1700" w:hanging="533"/>
      </w:pPr>
      <w:rPr>
        <w:rFonts w:hint="default"/>
      </w:rPr>
    </w:lvl>
    <w:lvl w:ilvl="3">
      <w:start w:val="0"/>
      <w:numFmt w:val="bullet"/>
      <w:lvlText w:val="•"/>
      <w:lvlJc w:val="left"/>
      <w:pPr>
        <w:ind w:left="2040" w:hanging="533"/>
      </w:pPr>
      <w:rPr>
        <w:rFonts w:hint="default"/>
      </w:rPr>
    </w:lvl>
    <w:lvl w:ilvl="4">
      <w:start w:val="0"/>
      <w:numFmt w:val="bullet"/>
      <w:lvlText w:val="•"/>
      <w:lvlJc w:val="left"/>
      <w:pPr>
        <w:ind w:left="2200" w:hanging="533"/>
      </w:pPr>
      <w:rPr>
        <w:rFonts w:hint="default"/>
      </w:rPr>
    </w:lvl>
    <w:lvl w:ilvl="5">
      <w:start w:val="0"/>
      <w:numFmt w:val="bullet"/>
      <w:lvlText w:val="•"/>
      <w:lvlJc w:val="left"/>
      <w:pPr>
        <w:ind w:left="2240" w:hanging="533"/>
      </w:pPr>
      <w:rPr>
        <w:rFonts w:hint="default"/>
      </w:rPr>
    </w:lvl>
    <w:lvl w:ilvl="6">
      <w:start w:val="0"/>
      <w:numFmt w:val="bullet"/>
      <w:lvlText w:val="•"/>
      <w:lvlJc w:val="left"/>
      <w:pPr>
        <w:ind w:left="2360" w:hanging="533"/>
      </w:pPr>
      <w:rPr>
        <w:rFonts w:hint="default"/>
      </w:rPr>
    </w:lvl>
    <w:lvl w:ilvl="7">
      <w:start w:val="0"/>
      <w:numFmt w:val="bullet"/>
      <w:lvlText w:val="•"/>
      <w:lvlJc w:val="left"/>
      <w:pPr>
        <w:ind w:left="2400" w:hanging="533"/>
      </w:pPr>
      <w:rPr>
        <w:rFonts w:hint="default"/>
      </w:rPr>
    </w:lvl>
    <w:lvl w:ilvl="8">
      <w:start w:val="0"/>
      <w:numFmt w:val="bullet"/>
      <w:lvlText w:val="•"/>
      <w:lvlJc w:val="left"/>
      <w:pPr>
        <w:ind w:left="2680" w:hanging="533"/>
      </w:pPr>
      <w:rPr>
        <w:rFonts w:hint="default"/>
      </w:rPr>
    </w:lvl>
  </w:abstractNum>
  <w:abstractNum w:abstractNumId="9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96">
    <w:multiLevelType w:val="hybridMultilevel"/>
    <w:lvl w:ilvl="0">
      <w:start w:val="1"/>
      <w:numFmt w:val="lowerLetter"/>
      <w:lvlText w:val="%1)"/>
      <w:lvlJc w:val="left"/>
      <w:pPr>
        <w:ind w:left="113" w:hanging="40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0"/>
      </w:pPr>
      <w:rPr>
        <w:rFonts w:hint="default"/>
      </w:rPr>
    </w:lvl>
    <w:lvl w:ilvl="2">
      <w:start w:val="0"/>
      <w:numFmt w:val="bullet"/>
      <w:lvlText w:val="•"/>
      <w:lvlJc w:val="left"/>
      <w:pPr>
        <w:ind w:left="2072" w:hanging="400"/>
      </w:pPr>
      <w:rPr>
        <w:rFonts w:hint="default"/>
      </w:rPr>
    </w:lvl>
    <w:lvl w:ilvl="3">
      <w:start w:val="0"/>
      <w:numFmt w:val="bullet"/>
      <w:lvlText w:val="•"/>
      <w:lvlJc w:val="left"/>
      <w:pPr>
        <w:ind w:left="3048" w:hanging="400"/>
      </w:pPr>
      <w:rPr>
        <w:rFonts w:hint="default"/>
      </w:rPr>
    </w:lvl>
    <w:lvl w:ilvl="4">
      <w:start w:val="0"/>
      <w:numFmt w:val="bullet"/>
      <w:lvlText w:val="•"/>
      <w:lvlJc w:val="left"/>
      <w:pPr>
        <w:ind w:left="4024" w:hanging="400"/>
      </w:pPr>
      <w:rPr>
        <w:rFonts w:hint="default"/>
      </w:rPr>
    </w:lvl>
    <w:lvl w:ilvl="5">
      <w:start w:val="0"/>
      <w:numFmt w:val="bullet"/>
      <w:lvlText w:val="•"/>
      <w:lvlJc w:val="left"/>
      <w:pPr>
        <w:ind w:left="5000" w:hanging="400"/>
      </w:pPr>
      <w:rPr>
        <w:rFonts w:hint="default"/>
      </w:rPr>
    </w:lvl>
    <w:lvl w:ilvl="6">
      <w:start w:val="0"/>
      <w:numFmt w:val="bullet"/>
      <w:lvlText w:val="•"/>
      <w:lvlJc w:val="left"/>
      <w:pPr>
        <w:ind w:left="5976" w:hanging="400"/>
      </w:pPr>
      <w:rPr>
        <w:rFonts w:hint="default"/>
      </w:rPr>
    </w:lvl>
    <w:lvl w:ilvl="7">
      <w:start w:val="0"/>
      <w:numFmt w:val="bullet"/>
      <w:lvlText w:val="•"/>
      <w:lvlJc w:val="left"/>
      <w:pPr>
        <w:ind w:left="6952" w:hanging="400"/>
      </w:pPr>
      <w:rPr>
        <w:rFonts w:hint="default"/>
      </w:rPr>
    </w:lvl>
    <w:lvl w:ilvl="8">
      <w:start w:val="0"/>
      <w:numFmt w:val="bullet"/>
      <w:lvlText w:val="•"/>
      <w:lvlJc w:val="left"/>
      <w:pPr>
        <w:ind w:left="7928" w:hanging="400"/>
      </w:pPr>
      <w:rPr>
        <w:rFonts w:hint="default"/>
      </w:rPr>
    </w:lvl>
  </w:abstractNum>
  <w:abstractNum w:abstractNumId="9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4">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9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9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1">
    <w:multiLevelType w:val="hybridMultilevel"/>
    <w:lvl w:ilvl="0">
      <w:start w:val="2"/>
      <w:numFmt w:val="decimal"/>
      <w:lvlText w:val="(%1)"/>
      <w:lvlJc w:val="left"/>
      <w:pPr>
        <w:ind w:left="113" w:hanging="5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90">
    <w:multiLevelType w:val="hybridMultilevel"/>
    <w:lvl w:ilvl="0">
      <w:start w:val="1"/>
      <w:numFmt w:val="lowerLetter"/>
      <w:lvlText w:val="%1)"/>
      <w:lvlJc w:val="left"/>
      <w:pPr>
        <w:ind w:left="113" w:hanging="415"/>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5"/>
      </w:pPr>
      <w:rPr>
        <w:rFonts w:hint="default"/>
      </w:rPr>
    </w:lvl>
    <w:lvl w:ilvl="2">
      <w:start w:val="0"/>
      <w:numFmt w:val="bullet"/>
      <w:lvlText w:val="•"/>
      <w:lvlJc w:val="left"/>
      <w:pPr>
        <w:ind w:left="2072" w:hanging="415"/>
      </w:pPr>
      <w:rPr>
        <w:rFonts w:hint="default"/>
      </w:rPr>
    </w:lvl>
    <w:lvl w:ilvl="3">
      <w:start w:val="0"/>
      <w:numFmt w:val="bullet"/>
      <w:lvlText w:val="•"/>
      <w:lvlJc w:val="left"/>
      <w:pPr>
        <w:ind w:left="3048" w:hanging="415"/>
      </w:pPr>
      <w:rPr>
        <w:rFonts w:hint="default"/>
      </w:rPr>
    </w:lvl>
    <w:lvl w:ilvl="4">
      <w:start w:val="0"/>
      <w:numFmt w:val="bullet"/>
      <w:lvlText w:val="•"/>
      <w:lvlJc w:val="left"/>
      <w:pPr>
        <w:ind w:left="4024" w:hanging="415"/>
      </w:pPr>
      <w:rPr>
        <w:rFonts w:hint="default"/>
      </w:rPr>
    </w:lvl>
    <w:lvl w:ilvl="5">
      <w:start w:val="0"/>
      <w:numFmt w:val="bullet"/>
      <w:lvlText w:val="•"/>
      <w:lvlJc w:val="left"/>
      <w:pPr>
        <w:ind w:left="5000" w:hanging="415"/>
      </w:pPr>
      <w:rPr>
        <w:rFonts w:hint="default"/>
      </w:rPr>
    </w:lvl>
    <w:lvl w:ilvl="6">
      <w:start w:val="0"/>
      <w:numFmt w:val="bullet"/>
      <w:lvlText w:val="•"/>
      <w:lvlJc w:val="left"/>
      <w:pPr>
        <w:ind w:left="5976" w:hanging="415"/>
      </w:pPr>
      <w:rPr>
        <w:rFonts w:hint="default"/>
      </w:rPr>
    </w:lvl>
    <w:lvl w:ilvl="7">
      <w:start w:val="0"/>
      <w:numFmt w:val="bullet"/>
      <w:lvlText w:val="•"/>
      <w:lvlJc w:val="left"/>
      <w:pPr>
        <w:ind w:left="6952" w:hanging="415"/>
      </w:pPr>
      <w:rPr>
        <w:rFonts w:hint="default"/>
      </w:rPr>
    </w:lvl>
    <w:lvl w:ilvl="8">
      <w:start w:val="0"/>
      <w:numFmt w:val="bullet"/>
      <w:lvlText w:val="•"/>
      <w:lvlJc w:val="left"/>
      <w:pPr>
        <w:ind w:left="7928" w:hanging="415"/>
      </w:pPr>
      <w:rPr>
        <w:rFonts w:hint="default"/>
      </w:rPr>
    </w:lvl>
  </w:abstractNum>
  <w:abstractNum w:abstractNumId="89">
    <w:multiLevelType w:val="hybridMultilevel"/>
    <w:lvl w:ilvl="0">
      <w:start w:val="2"/>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8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7">
    <w:multiLevelType w:val="hybridMultilevel"/>
    <w:lvl w:ilvl="0">
      <w:start w:val="1"/>
      <w:numFmt w:val="lowerLetter"/>
      <w:lvlText w:val="%1)"/>
      <w:lvlJc w:val="left"/>
      <w:pPr>
        <w:ind w:left="113" w:hanging="4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5">
    <w:multiLevelType w:val="hybridMultilevel"/>
    <w:lvl w:ilvl="0">
      <w:start w:val="2"/>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84">
    <w:multiLevelType w:val="hybridMultilevel"/>
    <w:lvl w:ilvl="0">
      <w:start w:val="1"/>
      <w:numFmt w:val="lowerLetter"/>
      <w:lvlText w:val="%1)"/>
      <w:lvlJc w:val="left"/>
      <w:pPr>
        <w:ind w:left="113" w:hanging="42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8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2">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81">
    <w:multiLevelType w:val="hybridMultilevel"/>
    <w:lvl w:ilvl="0">
      <w:start w:val="1"/>
      <w:numFmt w:val="lowerLetter"/>
      <w:lvlText w:val="%1)"/>
      <w:lvlJc w:val="left"/>
      <w:pPr>
        <w:ind w:left="113" w:hanging="45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80">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7">
    <w:multiLevelType w:val="hybridMultilevel"/>
    <w:lvl w:ilvl="0">
      <w:start w:val="2"/>
      <w:numFmt w:val="decimal"/>
      <w:lvlText w:val="(%1)"/>
      <w:lvlJc w:val="left"/>
      <w:pPr>
        <w:ind w:left="113" w:hanging="5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0"/>
      </w:pPr>
      <w:rPr>
        <w:rFonts w:hint="default"/>
      </w:rPr>
    </w:lvl>
    <w:lvl w:ilvl="2">
      <w:start w:val="0"/>
      <w:numFmt w:val="bullet"/>
      <w:lvlText w:val="•"/>
      <w:lvlJc w:val="left"/>
      <w:pPr>
        <w:ind w:left="2072" w:hanging="540"/>
      </w:pPr>
      <w:rPr>
        <w:rFonts w:hint="default"/>
      </w:rPr>
    </w:lvl>
    <w:lvl w:ilvl="3">
      <w:start w:val="0"/>
      <w:numFmt w:val="bullet"/>
      <w:lvlText w:val="•"/>
      <w:lvlJc w:val="left"/>
      <w:pPr>
        <w:ind w:left="3048" w:hanging="540"/>
      </w:pPr>
      <w:rPr>
        <w:rFonts w:hint="default"/>
      </w:rPr>
    </w:lvl>
    <w:lvl w:ilvl="4">
      <w:start w:val="0"/>
      <w:numFmt w:val="bullet"/>
      <w:lvlText w:val="•"/>
      <w:lvlJc w:val="left"/>
      <w:pPr>
        <w:ind w:left="4024" w:hanging="540"/>
      </w:pPr>
      <w:rPr>
        <w:rFonts w:hint="default"/>
      </w:rPr>
    </w:lvl>
    <w:lvl w:ilvl="5">
      <w:start w:val="0"/>
      <w:numFmt w:val="bullet"/>
      <w:lvlText w:val="•"/>
      <w:lvlJc w:val="left"/>
      <w:pPr>
        <w:ind w:left="5000" w:hanging="540"/>
      </w:pPr>
      <w:rPr>
        <w:rFonts w:hint="default"/>
      </w:rPr>
    </w:lvl>
    <w:lvl w:ilvl="6">
      <w:start w:val="0"/>
      <w:numFmt w:val="bullet"/>
      <w:lvlText w:val="•"/>
      <w:lvlJc w:val="left"/>
      <w:pPr>
        <w:ind w:left="5976" w:hanging="540"/>
      </w:pPr>
      <w:rPr>
        <w:rFonts w:hint="default"/>
      </w:rPr>
    </w:lvl>
    <w:lvl w:ilvl="7">
      <w:start w:val="0"/>
      <w:numFmt w:val="bullet"/>
      <w:lvlText w:val="•"/>
      <w:lvlJc w:val="left"/>
      <w:pPr>
        <w:ind w:left="6952" w:hanging="540"/>
      </w:pPr>
      <w:rPr>
        <w:rFonts w:hint="default"/>
      </w:rPr>
    </w:lvl>
    <w:lvl w:ilvl="8">
      <w:start w:val="0"/>
      <w:numFmt w:val="bullet"/>
      <w:lvlText w:val="•"/>
      <w:lvlJc w:val="left"/>
      <w:pPr>
        <w:ind w:left="7928" w:hanging="540"/>
      </w:pPr>
      <w:rPr>
        <w:rFonts w:hint="default"/>
      </w:rPr>
    </w:lvl>
  </w:abstractNum>
  <w:abstractNum w:abstractNumId="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4">
    <w:multiLevelType w:val="hybridMultilevel"/>
    <w:lvl w:ilvl="0">
      <w:start w:val="2"/>
      <w:numFmt w:val="decimal"/>
      <w:lvlText w:val="(%1)"/>
      <w:lvlJc w:val="left"/>
      <w:pPr>
        <w:ind w:left="113" w:hanging="5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0"/>
      </w:pPr>
      <w:rPr>
        <w:rFonts w:hint="default"/>
      </w:rPr>
    </w:lvl>
    <w:lvl w:ilvl="2">
      <w:start w:val="0"/>
      <w:numFmt w:val="bullet"/>
      <w:lvlText w:val="•"/>
      <w:lvlJc w:val="left"/>
      <w:pPr>
        <w:ind w:left="2072" w:hanging="540"/>
      </w:pPr>
      <w:rPr>
        <w:rFonts w:hint="default"/>
      </w:rPr>
    </w:lvl>
    <w:lvl w:ilvl="3">
      <w:start w:val="0"/>
      <w:numFmt w:val="bullet"/>
      <w:lvlText w:val="•"/>
      <w:lvlJc w:val="left"/>
      <w:pPr>
        <w:ind w:left="3048" w:hanging="540"/>
      </w:pPr>
      <w:rPr>
        <w:rFonts w:hint="default"/>
      </w:rPr>
    </w:lvl>
    <w:lvl w:ilvl="4">
      <w:start w:val="0"/>
      <w:numFmt w:val="bullet"/>
      <w:lvlText w:val="•"/>
      <w:lvlJc w:val="left"/>
      <w:pPr>
        <w:ind w:left="4024" w:hanging="540"/>
      </w:pPr>
      <w:rPr>
        <w:rFonts w:hint="default"/>
      </w:rPr>
    </w:lvl>
    <w:lvl w:ilvl="5">
      <w:start w:val="0"/>
      <w:numFmt w:val="bullet"/>
      <w:lvlText w:val="•"/>
      <w:lvlJc w:val="left"/>
      <w:pPr>
        <w:ind w:left="5000" w:hanging="540"/>
      </w:pPr>
      <w:rPr>
        <w:rFonts w:hint="default"/>
      </w:rPr>
    </w:lvl>
    <w:lvl w:ilvl="6">
      <w:start w:val="0"/>
      <w:numFmt w:val="bullet"/>
      <w:lvlText w:val="•"/>
      <w:lvlJc w:val="left"/>
      <w:pPr>
        <w:ind w:left="5976" w:hanging="540"/>
      </w:pPr>
      <w:rPr>
        <w:rFonts w:hint="default"/>
      </w:rPr>
    </w:lvl>
    <w:lvl w:ilvl="7">
      <w:start w:val="0"/>
      <w:numFmt w:val="bullet"/>
      <w:lvlText w:val="•"/>
      <w:lvlJc w:val="left"/>
      <w:pPr>
        <w:ind w:left="6952" w:hanging="540"/>
      </w:pPr>
      <w:rPr>
        <w:rFonts w:hint="default"/>
      </w:rPr>
    </w:lvl>
    <w:lvl w:ilvl="8">
      <w:start w:val="0"/>
      <w:numFmt w:val="bullet"/>
      <w:lvlText w:val="•"/>
      <w:lvlJc w:val="left"/>
      <w:pPr>
        <w:ind w:left="7928" w:hanging="540"/>
      </w:pPr>
      <w:rPr>
        <w:rFonts w:hint="default"/>
      </w:rPr>
    </w:lvl>
  </w:abstractNum>
  <w:abstractNum w:abstractNumId="7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2">
    <w:multiLevelType w:val="hybridMultilevel"/>
    <w:lvl w:ilvl="0">
      <w:start w:val="2"/>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71">
    <w:multiLevelType w:val="hybridMultilevel"/>
    <w:lvl w:ilvl="0">
      <w:start w:val="7"/>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7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9">
    <w:multiLevelType w:val="hybridMultilevel"/>
    <w:lvl w:ilvl="0">
      <w:start w:val="2"/>
      <w:numFmt w:val="decimal"/>
      <w:lvlText w:val="(%1)"/>
      <w:lvlJc w:val="left"/>
      <w:pPr>
        <w:ind w:left="113" w:hanging="6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2"/>
      </w:pPr>
      <w:rPr>
        <w:rFonts w:hint="default"/>
      </w:rPr>
    </w:lvl>
    <w:lvl w:ilvl="2">
      <w:start w:val="0"/>
      <w:numFmt w:val="bullet"/>
      <w:lvlText w:val="•"/>
      <w:lvlJc w:val="left"/>
      <w:pPr>
        <w:ind w:left="2072" w:hanging="642"/>
      </w:pPr>
      <w:rPr>
        <w:rFonts w:hint="default"/>
      </w:rPr>
    </w:lvl>
    <w:lvl w:ilvl="3">
      <w:start w:val="0"/>
      <w:numFmt w:val="bullet"/>
      <w:lvlText w:val="•"/>
      <w:lvlJc w:val="left"/>
      <w:pPr>
        <w:ind w:left="3048" w:hanging="642"/>
      </w:pPr>
      <w:rPr>
        <w:rFonts w:hint="default"/>
      </w:rPr>
    </w:lvl>
    <w:lvl w:ilvl="4">
      <w:start w:val="0"/>
      <w:numFmt w:val="bullet"/>
      <w:lvlText w:val="•"/>
      <w:lvlJc w:val="left"/>
      <w:pPr>
        <w:ind w:left="4024" w:hanging="642"/>
      </w:pPr>
      <w:rPr>
        <w:rFonts w:hint="default"/>
      </w:rPr>
    </w:lvl>
    <w:lvl w:ilvl="5">
      <w:start w:val="0"/>
      <w:numFmt w:val="bullet"/>
      <w:lvlText w:val="•"/>
      <w:lvlJc w:val="left"/>
      <w:pPr>
        <w:ind w:left="5000" w:hanging="642"/>
      </w:pPr>
      <w:rPr>
        <w:rFonts w:hint="default"/>
      </w:rPr>
    </w:lvl>
    <w:lvl w:ilvl="6">
      <w:start w:val="0"/>
      <w:numFmt w:val="bullet"/>
      <w:lvlText w:val="•"/>
      <w:lvlJc w:val="left"/>
      <w:pPr>
        <w:ind w:left="5976" w:hanging="642"/>
      </w:pPr>
      <w:rPr>
        <w:rFonts w:hint="default"/>
      </w:rPr>
    </w:lvl>
    <w:lvl w:ilvl="7">
      <w:start w:val="0"/>
      <w:numFmt w:val="bullet"/>
      <w:lvlText w:val="•"/>
      <w:lvlJc w:val="left"/>
      <w:pPr>
        <w:ind w:left="6952" w:hanging="642"/>
      </w:pPr>
      <w:rPr>
        <w:rFonts w:hint="default"/>
      </w:rPr>
    </w:lvl>
    <w:lvl w:ilvl="8">
      <w:start w:val="0"/>
      <w:numFmt w:val="bullet"/>
      <w:lvlText w:val="•"/>
      <w:lvlJc w:val="left"/>
      <w:pPr>
        <w:ind w:left="7928" w:hanging="642"/>
      </w:pPr>
      <w:rPr>
        <w:rFonts w:hint="default"/>
      </w:rPr>
    </w:lvl>
  </w:abstractNum>
  <w:abstractNum w:abstractNumId="6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7">
    <w:multiLevelType w:val="hybridMultilevel"/>
    <w:lvl w:ilvl="0">
      <w:start w:val="12"/>
      <w:numFmt w:val="decimal"/>
      <w:lvlText w:val="%1."/>
      <w:lvlJc w:val="left"/>
      <w:pPr>
        <w:ind w:left="817" w:hanging="500"/>
        <w:jc w:val="left"/>
      </w:pPr>
      <w:rPr>
        <w:rFonts w:hint="default" w:ascii="Arial" w:hAnsi="Arial" w:eastAsia="Arial" w:cs="Arial"/>
        <w:b/>
        <w:bCs/>
        <w:spacing w:val="-1"/>
        <w:w w:val="125"/>
        <w:sz w:val="24"/>
        <w:szCs w:val="24"/>
      </w:rPr>
    </w:lvl>
    <w:lvl w:ilvl="1">
      <w:start w:val="0"/>
      <w:numFmt w:val="bullet"/>
      <w:lvlText w:val="•"/>
      <w:lvlJc w:val="left"/>
      <w:pPr>
        <w:ind w:left="1700" w:hanging="500"/>
      </w:pPr>
      <w:rPr>
        <w:rFonts w:hint="default"/>
      </w:rPr>
    </w:lvl>
    <w:lvl w:ilvl="2">
      <w:start w:val="0"/>
      <w:numFmt w:val="bullet"/>
      <w:lvlText w:val="•"/>
      <w:lvlJc w:val="left"/>
      <w:pPr>
        <w:ind w:left="2040" w:hanging="500"/>
      </w:pPr>
      <w:rPr>
        <w:rFonts w:hint="default"/>
      </w:rPr>
    </w:lvl>
    <w:lvl w:ilvl="3">
      <w:start w:val="0"/>
      <w:numFmt w:val="bullet"/>
      <w:lvlText w:val="•"/>
      <w:lvlJc w:val="left"/>
      <w:pPr>
        <w:ind w:left="2960" w:hanging="500"/>
      </w:pPr>
      <w:rPr>
        <w:rFonts w:hint="default"/>
      </w:rPr>
    </w:lvl>
    <w:lvl w:ilvl="4">
      <w:start w:val="0"/>
      <w:numFmt w:val="bullet"/>
      <w:lvlText w:val="•"/>
      <w:lvlJc w:val="left"/>
      <w:pPr>
        <w:ind w:left="3840" w:hanging="500"/>
      </w:pPr>
      <w:rPr>
        <w:rFonts w:hint="default"/>
      </w:rPr>
    </w:lvl>
    <w:lvl w:ilvl="5">
      <w:start w:val="0"/>
      <w:numFmt w:val="bullet"/>
      <w:lvlText w:val="•"/>
      <w:lvlJc w:val="left"/>
      <w:pPr>
        <w:ind w:left="4846" w:hanging="500"/>
      </w:pPr>
      <w:rPr>
        <w:rFonts w:hint="default"/>
      </w:rPr>
    </w:lvl>
    <w:lvl w:ilvl="6">
      <w:start w:val="0"/>
      <w:numFmt w:val="bullet"/>
      <w:lvlText w:val="•"/>
      <w:lvlJc w:val="left"/>
      <w:pPr>
        <w:ind w:left="5853" w:hanging="500"/>
      </w:pPr>
      <w:rPr>
        <w:rFonts w:hint="default"/>
      </w:rPr>
    </w:lvl>
    <w:lvl w:ilvl="7">
      <w:start w:val="0"/>
      <w:numFmt w:val="bullet"/>
      <w:lvlText w:val="•"/>
      <w:lvlJc w:val="left"/>
      <w:pPr>
        <w:ind w:left="6860" w:hanging="500"/>
      </w:pPr>
      <w:rPr>
        <w:rFonts w:hint="default"/>
      </w:rPr>
    </w:lvl>
    <w:lvl w:ilvl="8">
      <w:start w:val="0"/>
      <w:numFmt w:val="bullet"/>
      <w:lvlText w:val="•"/>
      <w:lvlJc w:val="left"/>
      <w:pPr>
        <w:ind w:left="7866" w:hanging="500"/>
      </w:pPr>
      <w:rPr>
        <w:rFonts w:hint="default"/>
      </w:rPr>
    </w:lvl>
  </w:abstractNum>
  <w:abstractNum w:abstractNumId="66">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5">
    <w:multiLevelType w:val="hybridMultilevel"/>
    <w:lvl w:ilvl="0">
      <w:start w:val="2"/>
      <w:numFmt w:val="decimal"/>
      <w:lvlText w:val="(%1)"/>
      <w:lvlJc w:val="left"/>
      <w:pPr>
        <w:ind w:left="113" w:hanging="5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
    <w:multiLevelType w:val="hybridMultilevel"/>
    <w:lvl w:ilvl="0">
      <w:start w:val="2"/>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6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0">
    <w:multiLevelType w:val="hybridMultilevel"/>
    <w:lvl w:ilvl="0">
      <w:start w:val="1"/>
      <w:numFmt w:val="lowerLetter"/>
      <w:lvlText w:val="%1)"/>
      <w:lvlJc w:val="left"/>
      <w:pPr>
        <w:ind w:left="113" w:hanging="3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9">
    <w:multiLevelType w:val="hybridMultilevel"/>
    <w:lvl w:ilvl="0">
      <w:start w:val="2"/>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7"/>
      <w:numFmt w:val="decimal"/>
      <w:lvlText w:val="(%2)"/>
      <w:lvlJc w:val="left"/>
      <w:pPr>
        <w:ind w:left="658" w:hanging="341"/>
        <w:jc w:val="left"/>
      </w:pPr>
      <w:rPr>
        <w:rFonts w:hint="default" w:ascii="Times New Roman" w:hAnsi="Times New Roman" w:eastAsia="Times New Roman" w:cs="Times New Roman"/>
        <w:spacing w:val="-1"/>
        <w:w w:val="121"/>
        <w:sz w:val="22"/>
        <w:szCs w:val="22"/>
      </w:rPr>
    </w:lvl>
    <w:lvl w:ilvl="2">
      <w:start w:val="0"/>
      <w:numFmt w:val="bullet"/>
      <w:lvlText w:val="•"/>
      <w:lvlJc w:val="left"/>
      <w:pPr>
        <w:ind w:left="1684" w:hanging="341"/>
      </w:pPr>
      <w:rPr>
        <w:rFonts w:hint="default"/>
      </w:rPr>
    </w:lvl>
    <w:lvl w:ilvl="3">
      <w:start w:val="0"/>
      <w:numFmt w:val="bullet"/>
      <w:lvlText w:val="•"/>
      <w:lvlJc w:val="left"/>
      <w:pPr>
        <w:ind w:left="2708" w:hanging="341"/>
      </w:pPr>
      <w:rPr>
        <w:rFonts w:hint="default"/>
      </w:rPr>
    </w:lvl>
    <w:lvl w:ilvl="4">
      <w:start w:val="0"/>
      <w:numFmt w:val="bullet"/>
      <w:lvlText w:val="•"/>
      <w:lvlJc w:val="left"/>
      <w:pPr>
        <w:ind w:left="3733" w:hanging="341"/>
      </w:pPr>
      <w:rPr>
        <w:rFonts w:hint="default"/>
      </w:rPr>
    </w:lvl>
    <w:lvl w:ilvl="5">
      <w:start w:val="0"/>
      <w:numFmt w:val="bullet"/>
      <w:lvlText w:val="•"/>
      <w:lvlJc w:val="left"/>
      <w:pPr>
        <w:ind w:left="4757" w:hanging="341"/>
      </w:pPr>
      <w:rPr>
        <w:rFonts w:hint="default"/>
      </w:rPr>
    </w:lvl>
    <w:lvl w:ilvl="6">
      <w:start w:val="0"/>
      <w:numFmt w:val="bullet"/>
      <w:lvlText w:val="•"/>
      <w:lvlJc w:val="left"/>
      <w:pPr>
        <w:ind w:left="5782" w:hanging="341"/>
      </w:pPr>
      <w:rPr>
        <w:rFonts w:hint="default"/>
      </w:rPr>
    </w:lvl>
    <w:lvl w:ilvl="7">
      <w:start w:val="0"/>
      <w:numFmt w:val="bullet"/>
      <w:lvlText w:val="•"/>
      <w:lvlJc w:val="left"/>
      <w:pPr>
        <w:ind w:left="6806" w:hanging="341"/>
      </w:pPr>
      <w:rPr>
        <w:rFonts w:hint="default"/>
      </w:rPr>
    </w:lvl>
    <w:lvl w:ilvl="8">
      <w:start w:val="0"/>
      <w:numFmt w:val="bullet"/>
      <w:lvlText w:val="•"/>
      <w:lvlJc w:val="left"/>
      <w:pPr>
        <w:ind w:left="7831" w:hanging="341"/>
      </w:pPr>
      <w:rPr>
        <w:rFonts w:hint="default"/>
      </w:rPr>
    </w:lvl>
  </w:abstractNum>
  <w:abstractNum w:abstractNumId="58">
    <w:multiLevelType w:val="hybridMultilevel"/>
    <w:lvl w:ilvl="0">
      <w:start w:val="1"/>
      <w:numFmt w:val="lowerLetter"/>
      <w:lvlText w:val="%1)"/>
      <w:lvlJc w:val="left"/>
      <w:pPr>
        <w:ind w:left="113" w:hanging="4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57">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54">
    <w:multiLevelType w:val="hybridMultilevel"/>
    <w:lvl w:ilvl="0">
      <w:start w:val="2"/>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53">
    <w:multiLevelType w:val="hybridMultilevel"/>
    <w:lvl w:ilvl="0">
      <w:start w:val="7"/>
      <w:numFmt w:val="decimal"/>
      <w:lvlText w:val="%1."/>
      <w:lvlJc w:val="left"/>
      <w:pPr>
        <w:ind w:left="651" w:hanging="334"/>
        <w:jc w:val="left"/>
      </w:pPr>
      <w:rPr>
        <w:rFonts w:hint="default" w:ascii="Arial" w:hAnsi="Arial" w:eastAsia="Arial" w:cs="Arial"/>
        <w:b/>
        <w:bCs/>
        <w:spacing w:val="-1"/>
        <w:w w:val="125"/>
        <w:sz w:val="24"/>
        <w:szCs w:val="24"/>
      </w:rPr>
    </w:lvl>
    <w:lvl w:ilvl="1">
      <w:start w:val="8"/>
      <w:numFmt w:val="decimal"/>
      <w:lvlText w:val="%2."/>
      <w:lvlJc w:val="left"/>
      <w:pPr>
        <w:ind w:left="2029" w:hanging="305"/>
        <w:jc w:val="right"/>
      </w:pPr>
      <w:rPr>
        <w:rFonts w:hint="default" w:ascii="Times New Roman" w:hAnsi="Times New Roman" w:eastAsia="Times New Roman" w:cs="Times New Roman"/>
        <w:spacing w:val="-1"/>
        <w:w w:val="127"/>
        <w:sz w:val="24"/>
        <w:szCs w:val="24"/>
      </w:rPr>
    </w:lvl>
    <w:lvl w:ilvl="2">
      <w:start w:val="0"/>
      <w:numFmt w:val="bullet"/>
      <w:lvlText w:val="•"/>
      <w:lvlJc w:val="left"/>
      <w:pPr>
        <w:ind w:left="3020" w:hanging="305"/>
      </w:pPr>
      <w:rPr>
        <w:rFonts w:hint="default"/>
      </w:rPr>
    </w:lvl>
    <w:lvl w:ilvl="3">
      <w:start w:val="0"/>
      <w:numFmt w:val="bullet"/>
      <w:lvlText w:val="•"/>
      <w:lvlJc w:val="left"/>
      <w:pPr>
        <w:ind w:left="3700" w:hanging="305"/>
      </w:pPr>
      <w:rPr>
        <w:rFonts w:hint="default"/>
      </w:rPr>
    </w:lvl>
    <w:lvl w:ilvl="4">
      <w:start w:val="0"/>
      <w:numFmt w:val="bullet"/>
      <w:lvlText w:val="•"/>
      <w:lvlJc w:val="left"/>
      <w:pPr>
        <w:ind w:left="4520" w:hanging="305"/>
      </w:pPr>
      <w:rPr>
        <w:rFonts w:hint="default"/>
      </w:rPr>
    </w:lvl>
    <w:lvl w:ilvl="5">
      <w:start w:val="0"/>
      <w:numFmt w:val="bullet"/>
      <w:lvlText w:val="•"/>
      <w:lvlJc w:val="left"/>
      <w:pPr>
        <w:ind w:left="5115" w:hanging="305"/>
      </w:pPr>
      <w:rPr>
        <w:rFonts w:hint="default"/>
      </w:rPr>
    </w:lvl>
    <w:lvl w:ilvl="6">
      <w:start w:val="0"/>
      <w:numFmt w:val="bullet"/>
      <w:lvlText w:val="•"/>
      <w:lvlJc w:val="left"/>
      <w:pPr>
        <w:ind w:left="5710" w:hanging="305"/>
      </w:pPr>
      <w:rPr>
        <w:rFonts w:hint="default"/>
      </w:rPr>
    </w:lvl>
    <w:lvl w:ilvl="7">
      <w:start w:val="0"/>
      <w:numFmt w:val="bullet"/>
      <w:lvlText w:val="•"/>
      <w:lvlJc w:val="left"/>
      <w:pPr>
        <w:ind w:left="6305" w:hanging="305"/>
      </w:pPr>
      <w:rPr>
        <w:rFonts w:hint="default"/>
      </w:rPr>
    </w:lvl>
    <w:lvl w:ilvl="8">
      <w:start w:val="0"/>
      <w:numFmt w:val="bullet"/>
      <w:lvlText w:val="•"/>
      <w:lvlJc w:val="left"/>
      <w:pPr>
        <w:ind w:left="6900" w:hanging="305"/>
      </w:pPr>
      <w:rPr>
        <w:rFonts w:hint="default"/>
      </w:rPr>
    </w:lvl>
  </w:abstractNum>
  <w:abstractNum w:abstractNumId="52">
    <w:multiLevelType w:val="hybridMultilevel"/>
    <w:lvl w:ilvl="0">
      <w:start w:val="1"/>
      <w:numFmt w:val="lowerLetter"/>
      <w:lvlText w:val="%1)"/>
      <w:lvlJc w:val="left"/>
      <w:pPr>
        <w:ind w:left="113" w:hanging="32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5"/>
      </w:pPr>
      <w:rPr>
        <w:rFonts w:hint="default"/>
      </w:rPr>
    </w:lvl>
    <w:lvl w:ilvl="2">
      <w:start w:val="0"/>
      <w:numFmt w:val="bullet"/>
      <w:lvlText w:val="•"/>
      <w:lvlJc w:val="left"/>
      <w:pPr>
        <w:ind w:left="2072" w:hanging="325"/>
      </w:pPr>
      <w:rPr>
        <w:rFonts w:hint="default"/>
      </w:rPr>
    </w:lvl>
    <w:lvl w:ilvl="3">
      <w:start w:val="0"/>
      <w:numFmt w:val="bullet"/>
      <w:lvlText w:val="•"/>
      <w:lvlJc w:val="left"/>
      <w:pPr>
        <w:ind w:left="3048" w:hanging="325"/>
      </w:pPr>
      <w:rPr>
        <w:rFonts w:hint="default"/>
      </w:rPr>
    </w:lvl>
    <w:lvl w:ilvl="4">
      <w:start w:val="0"/>
      <w:numFmt w:val="bullet"/>
      <w:lvlText w:val="•"/>
      <w:lvlJc w:val="left"/>
      <w:pPr>
        <w:ind w:left="4024" w:hanging="325"/>
      </w:pPr>
      <w:rPr>
        <w:rFonts w:hint="default"/>
      </w:rPr>
    </w:lvl>
    <w:lvl w:ilvl="5">
      <w:start w:val="0"/>
      <w:numFmt w:val="bullet"/>
      <w:lvlText w:val="•"/>
      <w:lvlJc w:val="left"/>
      <w:pPr>
        <w:ind w:left="5000" w:hanging="325"/>
      </w:pPr>
      <w:rPr>
        <w:rFonts w:hint="default"/>
      </w:rPr>
    </w:lvl>
    <w:lvl w:ilvl="6">
      <w:start w:val="0"/>
      <w:numFmt w:val="bullet"/>
      <w:lvlText w:val="•"/>
      <w:lvlJc w:val="left"/>
      <w:pPr>
        <w:ind w:left="5976" w:hanging="325"/>
      </w:pPr>
      <w:rPr>
        <w:rFonts w:hint="default"/>
      </w:rPr>
    </w:lvl>
    <w:lvl w:ilvl="7">
      <w:start w:val="0"/>
      <w:numFmt w:val="bullet"/>
      <w:lvlText w:val="•"/>
      <w:lvlJc w:val="left"/>
      <w:pPr>
        <w:ind w:left="6952" w:hanging="325"/>
      </w:pPr>
      <w:rPr>
        <w:rFonts w:hint="default"/>
      </w:rPr>
    </w:lvl>
    <w:lvl w:ilvl="8">
      <w:start w:val="0"/>
      <w:numFmt w:val="bullet"/>
      <w:lvlText w:val="•"/>
      <w:lvlJc w:val="left"/>
      <w:pPr>
        <w:ind w:left="7928" w:hanging="325"/>
      </w:pPr>
      <w:rPr>
        <w:rFonts w:hint="default"/>
      </w:rPr>
    </w:lvl>
  </w:abstractNum>
  <w:abstractNum w:abstractNumId="51">
    <w:multiLevelType w:val="hybridMultilevel"/>
    <w:lvl w:ilvl="0">
      <w:start w:val="1"/>
      <w:numFmt w:val="lowerLetter"/>
      <w:lvlText w:val="%1)"/>
      <w:lvlJc w:val="left"/>
      <w:pPr>
        <w:ind w:left="113" w:hanging="4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5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9">
    <w:multiLevelType w:val="hybridMultilevel"/>
    <w:lvl w:ilvl="0">
      <w:start w:val="1"/>
      <w:numFmt w:val="lowerLetter"/>
      <w:lvlText w:val="%1)"/>
      <w:lvlJc w:val="left"/>
      <w:pPr>
        <w:ind w:left="113" w:hanging="4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48">
    <w:multiLevelType w:val="hybridMultilevel"/>
    <w:lvl w:ilvl="0">
      <w:start w:val="1"/>
      <w:numFmt w:val="lowerLetter"/>
      <w:lvlText w:val="%1)"/>
      <w:lvlJc w:val="left"/>
      <w:pPr>
        <w:ind w:left="113" w:hanging="46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47">
    <w:multiLevelType w:val="hybridMultilevel"/>
    <w:lvl w:ilvl="0">
      <w:start w:val="1"/>
      <w:numFmt w:val="decimal"/>
      <w:lvlText w:val="%1."/>
      <w:lvlJc w:val="left"/>
      <w:pPr>
        <w:ind w:left="113" w:hanging="32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740" w:hanging="328"/>
      </w:pPr>
      <w:rPr>
        <w:rFonts w:hint="default"/>
      </w:rPr>
    </w:lvl>
    <w:lvl w:ilvl="2">
      <w:start w:val="0"/>
      <w:numFmt w:val="bullet"/>
      <w:lvlText w:val="•"/>
      <w:lvlJc w:val="left"/>
      <w:pPr>
        <w:ind w:left="4422" w:hanging="328"/>
      </w:pPr>
      <w:rPr>
        <w:rFonts w:hint="default"/>
      </w:rPr>
    </w:lvl>
    <w:lvl w:ilvl="3">
      <w:start w:val="0"/>
      <w:numFmt w:val="bullet"/>
      <w:lvlText w:val="•"/>
      <w:lvlJc w:val="left"/>
      <w:pPr>
        <w:ind w:left="5104" w:hanging="328"/>
      </w:pPr>
      <w:rPr>
        <w:rFonts w:hint="default"/>
      </w:rPr>
    </w:lvl>
    <w:lvl w:ilvl="4">
      <w:start w:val="0"/>
      <w:numFmt w:val="bullet"/>
      <w:lvlText w:val="•"/>
      <w:lvlJc w:val="left"/>
      <w:pPr>
        <w:ind w:left="5786" w:hanging="328"/>
      </w:pPr>
      <w:rPr>
        <w:rFonts w:hint="default"/>
      </w:rPr>
    </w:lvl>
    <w:lvl w:ilvl="5">
      <w:start w:val="0"/>
      <w:numFmt w:val="bullet"/>
      <w:lvlText w:val="•"/>
      <w:lvlJc w:val="left"/>
      <w:pPr>
        <w:ind w:left="6468" w:hanging="328"/>
      </w:pPr>
      <w:rPr>
        <w:rFonts w:hint="default"/>
      </w:rPr>
    </w:lvl>
    <w:lvl w:ilvl="6">
      <w:start w:val="0"/>
      <w:numFmt w:val="bullet"/>
      <w:lvlText w:val="•"/>
      <w:lvlJc w:val="left"/>
      <w:pPr>
        <w:ind w:left="7151" w:hanging="328"/>
      </w:pPr>
      <w:rPr>
        <w:rFonts w:hint="default"/>
      </w:rPr>
    </w:lvl>
    <w:lvl w:ilvl="7">
      <w:start w:val="0"/>
      <w:numFmt w:val="bullet"/>
      <w:lvlText w:val="•"/>
      <w:lvlJc w:val="left"/>
      <w:pPr>
        <w:ind w:left="7833" w:hanging="328"/>
      </w:pPr>
      <w:rPr>
        <w:rFonts w:hint="default"/>
      </w:rPr>
    </w:lvl>
    <w:lvl w:ilvl="8">
      <w:start w:val="0"/>
      <w:numFmt w:val="bullet"/>
      <w:lvlText w:val="•"/>
      <w:lvlJc w:val="left"/>
      <w:pPr>
        <w:ind w:left="8515" w:hanging="328"/>
      </w:pPr>
      <w:rPr>
        <w:rFonts w:hint="default"/>
      </w:rPr>
    </w:lvl>
  </w:abstractNum>
  <w:abstractNum w:abstractNumId="46">
    <w:multiLevelType w:val="hybridMultilevel"/>
    <w:lvl w:ilvl="0">
      <w:start w:val="1"/>
      <w:numFmt w:val="lowerLetter"/>
      <w:lvlText w:val="%1)"/>
      <w:lvlJc w:val="left"/>
      <w:pPr>
        <w:ind w:left="113" w:hanging="42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45">
    <w:multiLevelType w:val="hybridMultilevel"/>
    <w:lvl w:ilvl="0">
      <w:start w:val="1"/>
      <w:numFmt w:val="lowerLetter"/>
      <w:lvlText w:val="%1)"/>
      <w:lvlJc w:val="left"/>
      <w:pPr>
        <w:ind w:left="113" w:hanging="3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5"/>
      </w:pPr>
      <w:rPr>
        <w:rFonts w:hint="default"/>
      </w:rPr>
    </w:lvl>
    <w:lvl w:ilvl="2">
      <w:start w:val="0"/>
      <w:numFmt w:val="bullet"/>
      <w:lvlText w:val="•"/>
      <w:lvlJc w:val="left"/>
      <w:pPr>
        <w:ind w:left="2072" w:hanging="335"/>
      </w:pPr>
      <w:rPr>
        <w:rFonts w:hint="default"/>
      </w:rPr>
    </w:lvl>
    <w:lvl w:ilvl="3">
      <w:start w:val="0"/>
      <w:numFmt w:val="bullet"/>
      <w:lvlText w:val="•"/>
      <w:lvlJc w:val="left"/>
      <w:pPr>
        <w:ind w:left="3048" w:hanging="335"/>
      </w:pPr>
      <w:rPr>
        <w:rFonts w:hint="default"/>
      </w:rPr>
    </w:lvl>
    <w:lvl w:ilvl="4">
      <w:start w:val="0"/>
      <w:numFmt w:val="bullet"/>
      <w:lvlText w:val="•"/>
      <w:lvlJc w:val="left"/>
      <w:pPr>
        <w:ind w:left="4024" w:hanging="335"/>
      </w:pPr>
      <w:rPr>
        <w:rFonts w:hint="default"/>
      </w:rPr>
    </w:lvl>
    <w:lvl w:ilvl="5">
      <w:start w:val="0"/>
      <w:numFmt w:val="bullet"/>
      <w:lvlText w:val="•"/>
      <w:lvlJc w:val="left"/>
      <w:pPr>
        <w:ind w:left="5000" w:hanging="335"/>
      </w:pPr>
      <w:rPr>
        <w:rFonts w:hint="default"/>
      </w:rPr>
    </w:lvl>
    <w:lvl w:ilvl="6">
      <w:start w:val="0"/>
      <w:numFmt w:val="bullet"/>
      <w:lvlText w:val="•"/>
      <w:lvlJc w:val="left"/>
      <w:pPr>
        <w:ind w:left="5976" w:hanging="335"/>
      </w:pPr>
      <w:rPr>
        <w:rFonts w:hint="default"/>
      </w:rPr>
    </w:lvl>
    <w:lvl w:ilvl="7">
      <w:start w:val="0"/>
      <w:numFmt w:val="bullet"/>
      <w:lvlText w:val="•"/>
      <w:lvlJc w:val="left"/>
      <w:pPr>
        <w:ind w:left="6952" w:hanging="335"/>
      </w:pPr>
      <w:rPr>
        <w:rFonts w:hint="default"/>
      </w:rPr>
    </w:lvl>
    <w:lvl w:ilvl="8">
      <w:start w:val="0"/>
      <w:numFmt w:val="bullet"/>
      <w:lvlText w:val="•"/>
      <w:lvlJc w:val="left"/>
      <w:pPr>
        <w:ind w:left="7928" w:hanging="335"/>
      </w:pPr>
      <w:rPr>
        <w:rFonts w:hint="default"/>
      </w:rPr>
    </w:lvl>
  </w:abstractNum>
  <w:abstractNum w:abstractNumId="44">
    <w:multiLevelType w:val="hybridMultilevel"/>
    <w:lvl w:ilvl="0">
      <w:start w:val="118"/>
      <w:numFmt w:val="decimal"/>
      <w:lvlText w:val="%1."/>
      <w:lvlJc w:val="left"/>
      <w:pPr>
        <w:ind w:left="113" w:hanging="630"/>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630"/>
      </w:pPr>
      <w:rPr>
        <w:rFonts w:hint="default"/>
      </w:rPr>
    </w:lvl>
    <w:lvl w:ilvl="2">
      <w:start w:val="0"/>
      <w:numFmt w:val="bullet"/>
      <w:lvlText w:val="•"/>
      <w:lvlJc w:val="left"/>
      <w:pPr>
        <w:ind w:left="2072" w:hanging="630"/>
      </w:pPr>
      <w:rPr>
        <w:rFonts w:hint="default"/>
      </w:rPr>
    </w:lvl>
    <w:lvl w:ilvl="3">
      <w:start w:val="0"/>
      <w:numFmt w:val="bullet"/>
      <w:lvlText w:val="•"/>
      <w:lvlJc w:val="left"/>
      <w:pPr>
        <w:ind w:left="3048" w:hanging="630"/>
      </w:pPr>
      <w:rPr>
        <w:rFonts w:hint="default"/>
      </w:rPr>
    </w:lvl>
    <w:lvl w:ilvl="4">
      <w:start w:val="0"/>
      <w:numFmt w:val="bullet"/>
      <w:lvlText w:val="•"/>
      <w:lvlJc w:val="left"/>
      <w:pPr>
        <w:ind w:left="4024" w:hanging="630"/>
      </w:pPr>
      <w:rPr>
        <w:rFonts w:hint="default"/>
      </w:rPr>
    </w:lvl>
    <w:lvl w:ilvl="5">
      <w:start w:val="0"/>
      <w:numFmt w:val="bullet"/>
      <w:lvlText w:val="•"/>
      <w:lvlJc w:val="left"/>
      <w:pPr>
        <w:ind w:left="5000" w:hanging="630"/>
      </w:pPr>
      <w:rPr>
        <w:rFonts w:hint="default"/>
      </w:rPr>
    </w:lvl>
    <w:lvl w:ilvl="6">
      <w:start w:val="0"/>
      <w:numFmt w:val="bullet"/>
      <w:lvlText w:val="•"/>
      <w:lvlJc w:val="left"/>
      <w:pPr>
        <w:ind w:left="5976" w:hanging="630"/>
      </w:pPr>
      <w:rPr>
        <w:rFonts w:hint="default"/>
      </w:rPr>
    </w:lvl>
    <w:lvl w:ilvl="7">
      <w:start w:val="0"/>
      <w:numFmt w:val="bullet"/>
      <w:lvlText w:val="•"/>
      <w:lvlJc w:val="left"/>
      <w:pPr>
        <w:ind w:left="6952" w:hanging="630"/>
      </w:pPr>
      <w:rPr>
        <w:rFonts w:hint="default"/>
      </w:rPr>
    </w:lvl>
    <w:lvl w:ilvl="8">
      <w:start w:val="0"/>
      <w:numFmt w:val="bullet"/>
      <w:lvlText w:val="•"/>
      <w:lvlJc w:val="left"/>
      <w:pPr>
        <w:ind w:left="7928" w:hanging="630"/>
      </w:pPr>
      <w:rPr>
        <w:rFonts w:hint="default"/>
      </w:rPr>
    </w:lvl>
  </w:abstractNum>
  <w:abstractNum w:abstractNumId="4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
    <w:multiLevelType w:val="hybridMultilevel"/>
    <w:lvl w:ilvl="0">
      <w:start w:val="1"/>
      <w:numFmt w:val="lowerLetter"/>
      <w:lvlText w:val="%1)"/>
      <w:lvlJc w:val="left"/>
      <w:pPr>
        <w:ind w:left="113" w:hanging="35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8"/>
      </w:pPr>
      <w:rPr>
        <w:rFonts w:hint="default"/>
      </w:rPr>
    </w:lvl>
    <w:lvl w:ilvl="2">
      <w:start w:val="0"/>
      <w:numFmt w:val="bullet"/>
      <w:lvlText w:val="•"/>
      <w:lvlJc w:val="left"/>
      <w:pPr>
        <w:ind w:left="2072" w:hanging="358"/>
      </w:pPr>
      <w:rPr>
        <w:rFonts w:hint="default"/>
      </w:rPr>
    </w:lvl>
    <w:lvl w:ilvl="3">
      <w:start w:val="0"/>
      <w:numFmt w:val="bullet"/>
      <w:lvlText w:val="•"/>
      <w:lvlJc w:val="left"/>
      <w:pPr>
        <w:ind w:left="3048" w:hanging="358"/>
      </w:pPr>
      <w:rPr>
        <w:rFonts w:hint="default"/>
      </w:rPr>
    </w:lvl>
    <w:lvl w:ilvl="4">
      <w:start w:val="0"/>
      <w:numFmt w:val="bullet"/>
      <w:lvlText w:val="•"/>
      <w:lvlJc w:val="left"/>
      <w:pPr>
        <w:ind w:left="4024" w:hanging="358"/>
      </w:pPr>
      <w:rPr>
        <w:rFonts w:hint="default"/>
      </w:rPr>
    </w:lvl>
    <w:lvl w:ilvl="5">
      <w:start w:val="0"/>
      <w:numFmt w:val="bullet"/>
      <w:lvlText w:val="•"/>
      <w:lvlJc w:val="left"/>
      <w:pPr>
        <w:ind w:left="5000" w:hanging="358"/>
      </w:pPr>
      <w:rPr>
        <w:rFonts w:hint="default"/>
      </w:rPr>
    </w:lvl>
    <w:lvl w:ilvl="6">
      <w:start w:val="0"/>
      <w:numFmt w:val="bullet"/>
      <w:lvlText w:val="•"/>
      <w:lvlJc w:val="left"/>
      <w:pPr>
        <w:ind w:left="5976" w:hanging="358"/>
      </w:pPr>
      <w:rPr>
        <w:rFonts w:hint="default"/>
      </w:rPr>
    </w:lvl>
    <w:lvl w:ilvl="7">
      <w:start w:val="0"/>
      <w:numFmt w:val="bullet"/>
      <w:lvlText w:val="•"/>
      <w:lvlJc w:val="left"/>
      <w:pPr>
        <w:ind w:left="6952" w:hanging="358"/>
      </w:pPr>
      <w:rPr>
        <w:rFonts w:hint="default"/>
      </w:rPr>
    </w:lvl>
    <w:lvl w:ilvl="8">
      <w:start w:val="0"/>
      <w:numFmt w:val="bullet"/>
      <w:lvlText w:val="•"/>
      <w:lvlJc w:val="left"/>
      <w:pPr>
        <w:ind w:left="7928" w:hanging="358"/>
      </w:pPr>
      <w:rPr>
        <w:rFonts w:hint="default"/>
      </w:rPr>
    </w:lvl>
  </w:abstractNum>
  <w:abstractNum w:abstractNumId="40">
    <w:multiLevelType w:val="hybridMultilevel"/>
    <w:lvl w:ilvl="0">
      <w:start w:val="90"/>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3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8">
    <w:multiLevelType w:val="hybridMultilevel"/>
    <w:lvl w:ilvl="0">
      <w:start w:val="1"/>
      <w:numFmt w:val="lowerLetter"/>
      <w:lvlText w:val="%1)"/>
      <w:lvlJc w:val="left"/>
      <w:pPr>
        <w:ind w:left="113"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0"/>
      </w:pPr>
      <w:rPr>
        <w:rFonts w:hint="default"/>
      </w:rPr>
    </w:lvl>
    <w:lvl w:ilvl="2">
      <w:start w:val="0"/>
      <w:numFmt w:val="bullet"/>
      <w:lvlText w:val="•"/>
      <w:lvlJc w:val="left"/>
      <w:pPr>
        <w:ind w:left="2072" w:hanging="340"/>
      </w:pPr>
      <w:rPr>
        <w:rFonts w:hint="default"/>
      </w:rPr>
    </w:lvl>
    <w:lvl w:ilvl="3">
      <w:start w:val="0"/>
      <w:numFmt w:val="bullet"/>
      <w:lvlText w:val="•"/>
      <w:lvlJc w:val="left"/>
      <w:pPr>
        <w:ind w:left="3048" w:hanging="340"/>
      </w:pPr>
      <w:rPr>
        <w:rFonts w:hint="default"/>
      </w:rPr>
    </w:lvl>
    <w:lvl w:ilvl="4">
      <w:start w:val="0"/>
      <w:numFmt w:val="bullet"/>
      <w:lvlText w:val="•"/>
      <w:lvlJc w:val="left"/>
      <w:pPr>
        <w:ind w:left="4024" w:hanging="340"/>
      </w:pPr>
      <w:rPr>
        <w:rFonts w:hint="default"/>
      </w:rPr>
    </w:lvl>
    <w:lvl w:ilvl="5">
      <w:start w:val="0"/>
      <w:numFmt w:val="bullet"/>
      <w:lvlText w:val="•"/>
      <w:lvlJc w:val="left"/>
      <w:pPr>
        <w:ind w:left="5000" w:hanging="340"/>
      </w:pPr>
      <w:rPr>
        <w:rFonts w:hint="default"/>
      </w:rPr>
    </w:lvl>
    <w:lvl w:ilvl="6">
      <w:start w:val="0"/>
      <w:numFmt w:val="bullet"/>
      <w:lvlText w:val="•"/>
      <w:lvlJc w:val="left"/>
      <w:pPr>
        <w:ind w:left="5976" w:hanging="340"/>
      </w:pPr>
      <w:rPr>
        <w:rFonts w:hint="default"/>
      </w:rPr>
    </w:lvl>
    <w:lvl w:ilvl="7">
      <w:start w:val="0"/>
      <w:numFmt w:val="bullet"/>
      <w:lvlText w:val="•"/>
      <w:lvlJc w:val="left"/>
      <w:pPr>
        <w:ind w:left="6952" w:hanging="340"/>
      </w:pPr>
      <w:rPr>
        <w:rFonts w:hint="default"/>
      </w:rPr>
    </w:lvl>
    <w:lvl w:ilvl="8">
      <w:start w:val="0"/>
      <w:numFmt w:val="bullet"/>
      <w:lvlText w:val="•"/>
      <w:lvlJc w:val="left"/>
      <w:pPr>
        <w:ind w:left="7928" w:hanging="340"/>
      </w:pPr>
      <w:rPr>
        <w:rFonts w:hint="default"/>
      </w:rPr>
    </w:lvl>
  </w:abstractNum>
  <w:abstractNum w:abstractNumId="37">
    <w:multiLevelType w:val="hybridMultilevel"/>
    <w:lvl w:ilvl="0">
      <w:start w:val="1"/>
      <w:numFmt w:val="lowerLetter"/>
      <w:lvlText w:val="%1)"/>
      <w:lvlJc w:val="left"/>
      <w:pPr>
        <w:ind w:left="113" w:hanging="3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8"/>
      </w:pPr>
      <w:rPr>
        <w:rFonts w:hint="default"/>
      </w:rPr>
    </w:lvl>
    <w:lvl w:ilvl="2">
      <w:start w:val="0"/>
      <w:numFmt w:val="bullet"/>
      <w:lvlText w:val="•"/>
      <w:lvlJc w:val="left"/>
      <w:pPr>
        <w:ind w:left="2072" w:hanging="338"/>
      </w:pPr>
      <w:rPr>
        <w:rFonts w:hint="default"/>
      </w:rPr>
    </w:lvl>
    <w:lvl w:ilvl="3">
      <w:start w:val="0"/>
      <w:numFmt w:val="bullet"/>
      <w:lvlText w:val="•"/>
      <w:lvlJc w:val="left"/>
      <w:pPr>
        <w:ind w:left="3048" w:hanging="338"/>
      </w:pPr>
      <w:rPr>
        <w:rFonts w:hint="default"/>
      </w:rPr>
    </w:lvl>
    <w:lvl w:ilvl="4">
      <w:start w:val="0"/>
      <w:numFmt w:val="bullet"/>
      <w:lvlText w:val="•"/>
      <w:lvlJc w:val="left"/>
      <w:pPr>
        <w:ind w:left="4024" w:hanging="338"/>
      </w:pPr>
      <w:rPr>
        <w:rFonts w:hint="default"/>
      </w:rPr>
    </w:lvl>
    <w:lvl w:ilvl="5">
      <w:start w:val="0"/>
      <w:numFmt w:val="bullet"/>
      <w:lvlText w:val="•"/>
      <w:lvlJc w:val="left"/>
      <w:pPr>
        <w:ind w:left="5000" w:hanging="338"/>
      </w:pPr>
      <w:rPr>
        <w:rFonts w:hint="default"/>
      </w:rPr>
    </w:lvl>
    <w:lvl w:ilvl="6">
      <w:start w:val="0"/>
      <w:numFmt w:val="bullet"/>
      <w:lvlText w:val="•"/>
      <w:lvlJc w:val="left"/>
      <w:pPr>
        <w:ind w:left="5976" w:hanging="338"/>
      </w:pPr>
      <w:rPr>
        <w:rFonts w:hint="default"/>
      </w:rPr>
    </w:lvl>
    <w:lvl w:ilvl="7">
      <w:start w:val="0"/>
      <w:numFmt w:val="bullet"/>
      <w:lvlText w:val="•"/>
      <w:lvlJc w:val="left"/>
      <w:pPr>
        <w:ind w:left="6952" w:hanging="338"/>
      </w:pPr>
      <w:rPr>
        <w:rFonts w:hint="default"/>
      </w:rPr>
    </w:lvl>
    <w:lvl w:ilvl="8">
      <w:start w:val="0"/>
      <w:numFmt w:val="bullet"/>
      <w:lvlText w:val="•"/>
      <w:lvlJc w:val="left"/>
      <w:pPr>
        <w:ind w:left="7928" w:hanging="338"/>
      </w:pPr>
      <w:rPr>
        <w:rFonts w:hint="default"/>
      </w:rPr>
    </w:lvl>
  </w:abstractNum>
  <w:abstractNum w:abstractNumId="36">
    <w:multiLevelType w:val="hybridMultilevel"/>
    <w:lvl w:ilvl="0">
      <w:start w:val="70"/>
      <w:numFmt w:val="decimal"/>
      <w:lvlText w:val="%1."/>
      <w:lvlJc w:val="left"/>
      <w:pPr>
        <w:ind w:left="113" w:hanging="733"/>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733"/>
      </w:pPr>
      <w:rPr>
        <w:rFonts w:hint="default"/>
      </w:rPr>
    </w:lvl>
    <w:lvl w:ilvl="2">
      <w:start w:val="0"/>
      <w:numFmt w:val="bullet"/>
      <w:lvlText w:val="•"/>
      <w:lvlJc w:val="left"/>
      <w:pPr>
        <w:ind w:left="2072" w:hanging="733"/>
      </w:pPr>
      <w:rPr>
        <w:rFonts w:hint="default"/>
      </w:rPr>
    </w:lvl>
    <w:lvl w:ilvl="3">
      <w:start w:val="0"/>
      <w:numFmt w:val="bullet"/>
      <w:lvlText w:val="•"/>
      <w:lvlJc w:val="left"/>
      <w:pPr>
        <w:ind w:left="3048" w:hanging="733"/>
      </w:pPr>
      <w:rPr>
        <w:rFonts w:hint="default"/>
      </w:rPr>
    </w:lvl>
    <w:lvl w:ilvl="4">
      <w:start w:val="0"/>
      <w:numFmt w:val="bullet"/>
      <w:lvlText w:val="•"/>
      <w:lvlJc w:val="left"/>
      <w:pPr>
        <w:ind w:left="4024" w:hanging="733"/>
      </w:pPr>
      <w:rPr>
        <w:rFonts w:hint="default"/>
      </w:rPr>
    </w:lvl>
    <w:lvl w:ilvl="5">
      <w:start w:val="0"/>
      <w:numFmt w:val="bullet"/>
      <w:lvlText w:val="•"/>
      <w:lvlJc w:val="left"/>
      <w:pPr>
        <w:ind w:left="5000" w:hanging="733"/>
      </w:pPr>
      <w:rPr>
        <w:rFonts w:hint="default"/>
      </w:rPr>
    </w:lvl>
    <w:lvl w:ilvl="6">
      <w:start w:val="0"/>
      <w:numFmt w:val="bullet"/>
      <w:lvlText w:val="•"/>
      <w:lvlJc w:val="left"/>
      <w:pPr>
        <w:ind w:left="5976" w:hanging="733"/>
      </w:pPr>
      <w:rPr>
        <w:rFonts w:hint="default"/>
      </w:rPr>
    </w:lvl>
    <w:lvl w:ilvl="7">
      <w:start w:val="0"/>
      <w:numFmt w:val="bullet"/>
      <w:lvlText w:val="•"/>
      <w:lvlJc w:val="left"/>
      <w:pPr>
        <w:ind w:left="6952" w:hanging="733"/>
      </w:pPr>
      <w:rPr>
        <w:rFonts w:hint="default"/>
      </w:rPr>
    </w:lvl>
    <w:lvl w:ilvl="8">
      <w:start w:val="0"/>
      <w:numFmt w:val="bullet"/>
      <w:lvlText w:val="•"/>
      <w:lvlJc w:val="left"/>
      <w:pPr>
        <w:ind w:left="7928" w:hanging="733"/>
      </w:pPr>
      <w:rPr>
        <w:rFonts w:hint="default"/>
      </w:rPr>
    </w:lvl>
  </w:abstractNum>
  <w:abstractNum w:abstractNumId="3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4">
    <w:multiLevelType w:val="hybridMultilevel"/>
    <w:lvl w:ilvl="0">
      <w:start w:val="63"/>
      <w:numFmt w:val="decimal"/>
      <w:lvlText w:val="%1."/>
      <w:lvlJc w:val="left"/>
      <w:pPr>
        <w:ind w:left="113" w:hanging="47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33">
    <w:multiLevelType w:val="hybridMultilevel"/>
    <w:lvl w:ilvl="0">
      <w:start w:val="1"/>
      <w:numFmt w:val="lowerLetter"/>
      <w:lvlText w:val="%1)"/>
      <w:lvlJc w:val="left"/>
      <w:pPr>
        <w:ind w:left="113" w:hanging="4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3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1">
    <w:multiLevelType w:val="hybridMultilevel"/>
    <w:lvl w:ilvl="0">
      <w:start w:val="59"/>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30">
    <w:multiLevelType w:val="hybridMultilevel"/>
    <w:lvl w:ilvl="0">
      <w:start w:val="1"/>
      <w:numFmt w:val="lowerLetter"/>
      <w:lvlText w:val="%1)"/>
      <w:lvlJc w:val="left"/>
      <w:pPr>
        <w:ind w:left="113" w:hanging="42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2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
    <w:multiLevelType w:val="hybridMultilevel"/>
    <w:lvl w:ilvl="0">
      <w:start w:val="52"/>
      <w:numFmt w:val="decimal"/>
      <w:lvlText w:val="%1."/>
      <w:lvlJc w:val="left"/>
      <w:pPr>
        <w:ind w:left="113" w:hanging="621"/>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621"/>
      </w:pPr>
      <w:rPr>
        <w:rFonts w:hint="default"/>
      </w:rPr>
    </w:lvl>
    <w:lvl w:ilvl="2">
      <w:start w:val="0"/>
      <w:numFmt w:val="bullet"/>
      <w:lvlText w:val="•"/>
      <w:lvlJc w:val="left"/>
      <w:pPr>
        <w:ind w:left="2072" w:hanging="621"/>
      </w:pPr>
      <w:rPr>
        <w:rFonts w:hint="default"/>
      </w:rPr>
    </w:lvl>
    <w:lvl w:ilvl="3">
      <w:start w:val="0"/>
      <w:numFmt w:val="bullet"/>
      <w:lvlText w:val="•"/>
      <w:lvlJc w:val="left"/>
      <w:pPr>
        <w:ind w:left="3048" w:hanging="621"/>
      </w:pPr>
      <w:rPr>
        <w:rFonts w:hint="default"/>
      </w:rPr>
    </w:lvl>
    <w:lvl w:ilvl="4">
      <w:start w:val="0"/>
      <w:numFmt w:val="bullet"/>
      <w:lvlText w:val="•"/>
      <w:lvlJc w:val="left"/>
      <w:pPr>
        <w:ind w:left="4024" w:hanging="621"/>
      </w:pPr>
      <w:rPr>
        <w:rFonts w:hint="default"/>
      </w:rPr>
    </w:lvl>
    <w:lvl w:ilvl="5">
      <w:start w:val="0"/>
      <w:numFmt w:val="bullet"/>
      <w:lvlText w:val="•"/>
      <w:lvlJc w:val="left"/>
      <w:pPr>
        <w:ind w:left="5000" w:hanging="621"/>
      </w:pPr>
      <w:rPr>
        <w:rFonts w:hint="default"/>
      </w:rPr>
    </w:lvl>
    <w:lvl w:ilvl="6">
      <w:start w:val="0"/>
      <w:numFmt w:val="bullet"/>
      <w:lvlText w:val="•"/>
      <w:lvlJc w:val="left"/>
      <w:pPr>
        <w:ind w:left="5976" w:hanging="621"/>
      </w:pPr>
      <w:rPr>
        <w:rFonts w:hint="default"/>
      </w:rPr>
    </w:lvl>
    <w:lvl w:ilvl="7">
      <w:start w:val="0"/>
      <w:numFmt w:val="bullet"/>
      <w:lvlText w:val="•"/>
      <w:lvlJc w:val="left"/>
      <w:pPr>
        <w:ind w:left="6952" w:hanging="621"/>
      </w:pPr>
      <w:rPr>
        <w:rFonts w:hint="default"/>
      </w:rPr>
    </w:lvl>
    <w:lvl w:ilvl="8">
      <w:start w:val="0"/>
      <w:numFmt w:val="bullet"/>
      <w:lvlText w:val="•"/>
      <w:lvlJc w:val="left"/>
      <w:pPr>
        <w:ind w:left="7928" w:hanging="621"/>
      </w:pPr>
      <w:rPr>
        <w:rFonts w:hint="default"/>
      </w:rPr>
    </w:lvl>
  </w:abstractNum>
  <w:abstractNum w:abstractNumId="27">
    <w:multiLevelType w:val="hybridMultilevel"/>
    <w:lvl w:ilvl="0">
      <w:start w:val="49"/>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26">
    <w:multiLevelType w:val="hybridMultilevel"/>
    <w:lvl w:ilvl="0">
      <w:start w:val="1"/>
      <w:numFmt w:val="lowerLetter"/>
      <w:lvlText w:val="%1)"/>
      <w:lvlJc w:val="left"/>
      <w:pPr>
        <w:ind w:left="113" w:hanging="3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7"/>
      </w:pPr>
      <w:rPr>
        <w:rFonts w:hint="default"/>
      </w:rPr>
    </w:lvl>
    <w:lvl w:ilvl="2">
      <w:start w:val="0"/>
      <w:numFmt w:val="bullet"/>
      <w:lvlText w:val="•"/>
      <w:lvlJc w:val="left"/>
      <w:pPr>
        <w:ind w:left="2072" w:hanging="357"/>
      </w:pPr>
      <w:rPr>
        <w:rFonts w:hint="default"/>
      </w:rPr>
    </w:lvl>
    <w:lvl w:ilvl="3">
      <w:start w:val="0"/>
      <w:numFmt w:val="bullet"/>
      <w:lvlText w:val="•"/>
      <w:lvlJc w:val="left"/>
      <w:pPr>
        <w:ind w:left="3048" w:hanging="357"/>
      </w:pPr>
      <w:rPr>
        <w:rFonts w:hint="default"/>
      </w:rPr>
    </w:lvl>
    <w:lvl w:ilvl="4">
      <w:start w:val="0"/>
      <w:numFmt w:val="bullet"/>
      <w:lvlText w:val="•"/>
      <w:lvlJc w:val="left"/>
      <w:pPr>
        <w:ind w:left="4024" w:hanging="357"/>
      </w:pPr>
      <w:rPr>
        <w:rFonts w:hint="default"/>
      </w:rPr>
    </w:lvl>
    <w:lvl w:ilvl="5">
      <w:start w:val="0"/>
      <w:numFmt w:val="bullet"/>
      <w:lvlText w:val="•"/>
      <w:lvlJc w:val="left"/>
      <w:pPr>
        <w:ind w:left="5000" w:hanging="357"/>
      </w:pPr>
      <w:rPr>
        <w:rFonts w:hint="default"/>
      </w:rPr>
    </w:lvl>
    <w:lvl w:ilvl="6">
      <w:start w:val="0"/>
      <w:numFmt w:val="bullet"/>
      <w:lvlText w:val="•"/>
      <w:lvlJc w:val="left"/>
      <w:pPr>
        <w:ind w:left="5976" w:hanging="357"/>
      </w:pPr>
      <w:rPr>
        <w:rFonts w:hint="default"/>
      </w:rPr>
    </w:lvl>
    <w:lvl w:ilvl="7">
      <w:start w:val="0"/>
      <w:numFmt w:val="bullet"/>
      <w:lvlText w:val="•"/>
      <w:lvlJc w:val="left"/>
      <w:pPr>
        <w:ind w:left="6952" w:hanging="357"/>
      </w:pPr>
      <w:rPr>
        <w:rFonts w:hint="default"/>
      </w:rPr>
    </w:lvl>
    <w:lvl w:ilvl="8">
      <w:start w:val="0"/>
      <w:numFmt w:val="bullet"/>
      <w:lvlText w:val="•"/>
      <w:lvlJc w:val="left"/>
      <w:pPr>
        <w:ind w:left="7928" w:hanging="357"/>
      </w:pPr>
      <w:rPr>
        <w:rFonts w:hint="default"/>
      </w:rPr>
    </w:lvl>
  </w:abstractNum>
  <w:abstractNum w:abstractNumId="2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
    <w:multiLevelType w:val="hybridMultilevel"/>
    <w:lvl w:ilvl="0">
      <w:start w:val="1"/>
      <w:numFmt w:val="lowerLetter"/>
      <w:lvlText w:val="%1)"/>
      <w:lvlJc w:val="left"/>
      <w:pPr>
        <w:ind w:left="113" w:hanging="3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7"/>
      </w:pPr>
      <w:rPr>
        <w:rFonts w:hint="default"/>
      </w:rPr>
    </w:lvl>
    <w:lvl w:ilvl="2">
      <w:start w:val="0"/>
      <w:numFmt w:val="bullet"/>
      <w:lvlText w:val="•"/>
      <w:lvlJc w:val="left"/>
      <w:pPr>
        <w:ind w:left="2072" w:hanging="337"/>
      </w:pPr>
      <w:rPr>
        <w:rFonts w:hint="default"/>
      </w:rPr>
    </w:lvl>
    <w:lvl w:ilvl="3">
      <w:start w:val="0"/>
      <w:numFmt w:val="bullet"/>
      <w:lvlText w:val="•"/>
      <w:lvlJc w:val="left"/>
      <w:pPr>
        <w:ind w:left="3048" w:hanging="337"/>
      </w:pPr>
      <w:rPr>
        <w:rFonts w:hint="default"/>
      </w:rPr>
    </w:lvl>
    <w:lvl w:ilvl="4">
      <w:start w:val="0"/>
      <w:numFmt w:val="bullet"/>
      <w:lvlText w:val="•"/>
      <w:lvlJc w:val="left"/>
      <w:pPr>
        <w:ind w:left="4024" w:hanging="337"/>
      </w:pPr>
      <w:rPr>
        <w:rFonts w:hint="default"/>
      </w:rPr>
    </w:lvl>
    <w:lvl w:ilvl="5">
      <w:start w:val="0"/>
      <w:numFmt w:val="bullet"/>
      <w:lvlText w:val="•"/>
      <w:lvlJc w:val="left"/>
      <w:pPr>
        <w:ind w:left="5000" w:hanging="337"/>
      </w:pPr>
      <w:rPr>
        <w:rFonts w:hint="default"/>
      </w:rPr>
    </w:lvl>
    <w:lvl w:ilvl="6">
      <w:start w:val="0"/>
      <w:numFmt w:val="bullet"/>
      <w:lvlText w:val="•"/>
      <w:lvlJc w:val="left"/>
      <w:pPr>
        <w:ind w:left="5976" w:hanging="337"/>
      </w:pPr>
      <w:rPr>
        <w:rFonts w:hint="default"/>
      </w:rPr>
    </w:lvl>
    <w:lvl w:ilvl="7">
      <w:start w:val="0"/>
      <w:numFmt w:val="bullet"/>
      <w:lvlText w:val="•"/>
      <w:lvlJc w:val="left"/>
      <w:pPr>
        <w:ind w:left="6952" w:hanging="337"/>
      </w:pPr>
      <w:rPr>
        <w:rFonts w:hint="default"/>
      </w:rPr>
    </w:lvl>
    <w:lvl w:ilvl="8">
      <w:start w:val="0"/>
      <w:numFmt w:val="bullet"/>
      <w:lvlText w:val="•"/>
      <w:lvlJc w:val="left"/>
      <w:pPr>
        <w:ind w:left="7928" w:hanging="337"/>
      </w:pPr>
      <w:rPr>
        <w:rFonts w:hint="default"/>
      </w:rPr>
    </w:lvl>
  </w:abstractNum>
  <w:abstractNum w:abstractNumId="23">
    <w:multiLevelType w:val="hybridMultilevel"/>
    <w:lvl w:ilvl="0">
      <w:start w:val="40"/>
      <w:numFmt w:val="decimal"/>
      <w:lvlText w:val="%1."/>
      <w:lvlJc w:val="left"/>
      <w:pPr>
        <w:ind w:left="775" w:hanging="458"/>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690" w:hanging="458"/>
      </w:pPr>
      <w:rPr>
        <w:rFonts w:hint="default"/>
      </w:rPr>
    </w:lvl>
    <w:lvl w:ilvl="2">
      <w:start w:val="0"/>
      <w:numFmt w:val="bullet"/>
      <w:lvlText w:val="•"/>
      <w:lvlJc w:val="left"/>
      <w:pPr>
        <w:ind w:left="2600" w:hanging="458"/>
      </w:pPr>
      <w:rPr>
        <w:rFonts w:hint="default"/>
      </w:rPr>
    </w:lvl>
    <w:lvl w:ilvl="3">
      <w:start w:val="0"/>
      <w:numFmt w:val="bullet"/>
      <w:lvlText w:val="•"/>
      <w:lvlJc w:val="left"/>
      <w:pPr>
        <w:ind w:left="3510" w:hanging="458"/>
      </w:pPr>
      <w:rPr>
        <w:rFonts w:hint="default"/>
      </w:rPr>
    </w:lvl>
    <w:lvl w:ilvl="4">
      <w:start w:val="0"/>
      <w:numFmt w:val="bullet"/>
      <w:lvlText w:val="•"/>
      <w:lvlJc w:val="left"/>
      <w:pPr>
        <w:ind w:left="4420" w:hanging="458"/>
      </w:pPr>
      <w:rPr>
        <w:rFonts w:hint="default"/>
      </w:rPr>
    </w:lvl>
    <w:lvl w:ilvl="5">
      <w:start w:val="0"/>
      <w:numFmt w:val="bullet"/>
      <w:lvlText w:val="•"/>
      <w:lvlJc w:val="left"/>
      <w:pPr>
        <w:ind w:left="5330" w:hanging="458"/>
      </w:pPr>
      <w:rPr>
        <w:rFonts w:hint="default"/>
      </w:rPr>
    </w:lvl>
    <w:lvl w:ilvl="6">
      <w:start w:val="0"/>
      <w:numFmt w:val="bullet"/>
      <w:lvlText w:val="•"/>
      <w:lvlJc w:val="left"/>
      <w:pPr>
        <w:ind w:left="6240" w:hanging="458"/>
      </w:pPr>
      <w:rPr>
        <w:rFonts w:hint="default"/>
      </w:rPr>
    </w:lvl>
    <w:lvl w:ilvl="7">
      <w:start w:val="0"/>
      <w:numFmt w:val="bullet"/>
      <w:lvlText w:val="•"/>
      <w:lvlJc w:val="left"/>
      <w:pPr>
        <w:ind w:left="7150" w:hanging="458"/>
      </w:pPr>
      <w:rPr>
        <w:rFonts w:hint="default"/>
      </w:rPr>
    </w:lvl>
    <w:lvl w:ilvl="8">
      <w:start w:val="0"/>
      <w:numFmt w:val="bullet"/>
      <w:lvlText w:val="•"/>
      <w:lvlJc w:val="left"/>
      <w:pPr>
        <w:ind w:left="8060" w:hanging="458"/>
      </w:pPr>
      <w:rPr>
        <w:rFonts w:hint="default"/>
      </w:rPr>
    </w:lvl>
  </w:abstractNum>
  <w:abstractNum w:abstractNumId="22">
    <w:multiLevelType w:val="hybridMultilevel"/>
    <w:lvl w:ilvl="0">
      <w:start w:val="1"/>
      <w:numFmt w:val="decimal"/>
      <w:lvlText w:val="(%1)"/>
      <w:lvlJc w:val="left"/>
      <w:pPr>
        <w:ind w:left="113" w:hanging="521"/>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1"/>
      </w:pPr>
      <w:rPr>
        <w:rFonts w:hint="default"/>
      </w:rPr>
    </w:lvl>
    <w:lvl w:ilvl="2">
      <w:start w:val="0"/>
      <w:numFmt w:val="bullet"/>
      <w:lvlText w:val="•"/>
      <w:lvlJc w:val="left"/>
      <w:pPr>
        <w:ind w:left="2072" w:hanging="521"/>
      </w:pPr>
      <w:rPr>
        <w:rFonts w:hint="default"/>
      </w:rPr>
    </w:lvl>
    <w:lvl w:ilvl="3">
      <w:start w:val="0"/>
      <w:numFmt w:val="bullet"/>
      <w:lvlText w:val="•"/>
      <w:lvlJc w:val="left"/>
      <w:pPr>
        <w:ind w:left="3048" w:hanging="521"/>
      </w:pPr>
      <w:rPr>
        <w:rFonts w:hint="default"/>
      </w:rPr>
    </w:lvl>
    <w:lvl w:ilvl="4">
      <w:start w:val="0"/>
      <w:numFmt w:val="bullet"/>
      <w:lvlText w:val="•"/>
      <w:lvlJc w:val="left"/>
      <w:pPr>
        <w:ind w:left="4024" w:hanging="521"/>
      </w:pPr>
      <w:rPr>
        <w:rFonts w:hint="default"/>
      </w:rPr>
    </w:lvl>
    <w:lvl w:ilvl="5">
      <w:start w:val="0"/>
      <w:numFmt w:val="bullet"/>
      <w:lvlText w:val="•"/>
      <w:lvlJc w:val="left"/>
      <w:pPr>
        <w:ind w:left="5000" w:hanging="521"/>
      </w:pPr>
      <w:rPr>
        <w:rFonts w:hint="default"/>
      </w:rPr>
    </w:lvl>
    <w:lvl w:ilvl="6">
      <w:start w:val="0"/>
      <w:numFmt w:val="bullet"/>
      <w:lvlText w:val="•"/>
      <w:lvlJc w:val="left"/>
      <w:pPr>
        <w:ind w:left="5976" w:hanging="521"/>
      </w:pPr>
      <w:rPr>
        <w:rFonts w:hint="default"/>
      </w:rPr>
    </w:lvl>
    <w:lvl w:ilvl="7">
      <w:start w:val="0"/>
      <w:numFmt w:val="bullet"/>
      <w:lvlText w:val="•"/>
      <w:lvlJc w:val="left"/>
      <w:pPr>
        <w:ind w:left="6952" w:hanging="521"/>
      </w:pPr>
      <w:rPr>
        <w:rFonts w:hint="default"/>
      </w:rPr>
    </w:lvl>
    <w:lvl w:ilvl="8">
      <w:start w:val="0"/>
      <w:numFmt w:val="bullet"/>
      <w:lvlText w:val="•"/>
      <w:lvlJc w:val="left"/>
      <w:pPr>
        <w:ind w:left="7928" w:hanging="521"/>
      </w:pPr>
      <w:rPr>
        <w:rFonts w:hint="default"/>
      </w:rPr>
    </w:lvl>
  </w:abstractNum>
  <w:abstractNum w:abstractNumId="2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
    <w:multiLevelType w:val="hybridMultilevel"/>
    <w:lvl w:ilvl="0">
      <w:start w:val="32"/>
      <w:numFmt w:val="decimal"/>
      <w:lvlText w:val="%1."/>
      <w:lvlJc w:val="left"/>
      <w:pPr>
        <w:ind w:left="113" w:hanging="537"/>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19">
    <w:multiLevelType w:val="hybridMultilevel"/>
    <w:lvl w:ilvl="0">
      <w:start w:val="28"/>
      <w:numFmt w:val="decimal"/>
      <w:lvlText w:val="%1."/>
      <w:lvlJc w:val="left"/>
      <w:pPr>
        <w:ind w:left="113" w:hanging="477"/>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8">
    <w:multiLevelType w:val="hybridMultilevel"/>
    <w:lvl w:ilvl="0">
      <w:start w:val="1"/>
      <w:numFmt w:val="lowerLetter"/>
      <w:lvlText w:val="%1)"/>
      <w:lvlJc w:val="left"/>
      <w:pPr>
        <w:ind w:left="113" w:hanging="39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8"/>
      </w:pPr>
      <w:rPr>
        <w:rFonts w:hint="default"/>
      </w:rPr>
    </w:lvl>
    <w:lvl w:ilvl="2">
      <w:start w:val="0"/>
      <w:numFmt w:val="bullet"/>
      <w:lvlText w:val="•"/>
      <w:lvlJc w:val="left"/>
      <w:pPr>
        <w:ind w:left="2072" w:hanging="398"/>
      </w:pPr>
      <w:rPr>
        <w:rFonts w:hint="default"/>
      </w:rPr>
    </w:lvl>
    <w:lvl w:ilvl="3">
      <w:start w:val="0"/>
      <w:numFmt w:val="bullet"/>
      <w:lvlText w:val="•"/>
      <w:lvlJc w:val="left"/>
      <w:pPr>
        <w:ind w:left="3048" w:hanging="398"/>
      </w:pPr>
      <w:rPr>
        <w:rFonts w:hint="default"/>
      </w:rPr>
    </w:lvl>
    <w:lvl w:ilvl="4">
      <w:start w:val="0"/>
      <w:numFmt w:val="bullet"/>
      <w:lvlText w:val="•"/>
      <w:lvlJc w:val="left"/>
      <w:pPr>
        <w:ind w:left="4024" w:hanging="398"/>
      </w:pPr>
      <w:rPr>
        <w:rFonts w:hint="default"/>
      </w:rPr>
    </w:lvl>
    <w:lvl w:ilvl="5">
      <w:start w:val="0"/>
      <w:numFmt w:val="bullet"/>
      <w:lvlText w:val="•"/>
      <w:lvlJc w:val="left"/>
      <w:pPr>
        <w:ind w:left="5000" w:hanging="398"/>
      </w:pPr>
      <w:rPr>
        <w:rFonts w:hint="default"/>
      </w:rPr>
    </w:lvl>
    <w:lvl w:ilvl="6">
      <w:start w:val="0"/>
      <w:numFmt w:val="bullet"/>
      <w:lvlText w:val="•"/>
      <w:lvlJc w:val="left"/>
      <w:pPr>
        <w:ind w:left="5976" w:hanging="398"/>
      </w:pPr>
      <w:rPr>
        <w:rFonts w:hint="default"/>
      </w:rPr>
    </w:lvl>
    <w:lvl w:ilvl="7">
      <w:start w:val="0"/>
      <w:numFmt w:val="bullet"/>
      <w:lvlText w:val="•"/>
      <w:lvlJc w:val="left"/>
      <w:pPr>
        <w:ind w:left="6952" w:hanging="398"/>
      </w:pPr>
      <w:rPr>
        <w:rFonts w:hint="default"/>
      </w:rPr>
    </w:lvl>
    <w:lvl w:ilvl="8">
      <w:start w:val="0"/>
      <w:numFmt w:val="bullet"/>
      <w:lvlText w:val="•"/>
      <w:lvlJc w:val="left"/>
      <w:pPr>
        <w:ind w:left="7928" w:hanging="398"/>
      </w:pPr>
      <w:rPr>
        <w:rFonts w:hint="default"/>
      </w:rPr>
    </w:lvl>
  </w:abstractNum>
  <w:abstractNum w:abstractNumId="1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
    <w:multiLevelType w:val="hybridMultilevel"/>
    <w:lvl w:ilvl="0">
      <w:start w:val="9"/>
      <w:numFmt w:val="decimal"/>
      <w:lvlText w:val="%1."/>
      <w:lvlJc w:val="left"/>
      <w:pPr>
        <w:ind w:left="113" w:hanging="396"/>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396"/>
      </w:pPr>
      <w:rPr>
        <w:rFonts w:hint="default"/>
      </w:rPr>
    </w:lvl>
    <w:lvl w:ilvl="2">
      <w:start w:val="0"/>
      <w:numFmt w:val="bullet"/>
      <w:lvlText w:val="•"/>
      <w:lvlJc w:val="left"/>
      <w:pPr>
        <w:ind w:left="2072" w:hanging="396"/>
      </w:pPr>
      <w:rPr>
        <w:rFonts w:hint="default"/>
      </w:rPr>
    </w:lvl>
    <w:lvl w:ilvl="3">
      <w:start w:val="0"/>
      <w:numFmt w:val="bullet"/>
      <w:lvlText w:val="•"/>
      <w:lvlJc w:val="left"/>
      <w:pPr>
        <w:ind w:left="3048" w:hanging="396"/>
      </w:pPr>
      <w:rPr>
        <w:rFonts w:hint="default"/>
      </w:rPr>
    </w:lvl>
    <w:lvl w:ilvl="4">
      <w:start w:val="0"/>
      <w:numFmt w:val="bullet"/>
      <w:lvlText w:val="•"/>
      <w:lvlJc w:val="left"/>
      <w:pPr>
        <w:ind w:left="4024" w:hanging="396"/>
      </w:pPr>
      <w:rPr>
        <w:rFonts w:hint="default"/>
      </w:rPr>
    </w:lvl>
    <w:lvl w:ilvl="5">
      <w:start w:val="0"/>
      <w:numFmt w:val="bullet"/>
      <w:lvlText w:val="•"/>
      <w:lvlJc w:val="left"/>
      <w:pPr>
        <w:ind w:left="5000" w:hanging="396"/>
      </w:pPr>
      <w:rPr>
        <w:rFonts w:hint="default"/>
      </w:rPr>
    </w:lvl>
    <w:lvl w:ilvl="6">
      <w:start w:val="0"/>
      <w:numFmt w:val="bullet"/>
      <w:lvlText w:val="•"/>
      <w:lvlJc w:val="left"/>
      <w:pPr>
        <w:ind w:left="5976"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28" w:hanging="396"/>
      </w:pPr>
      <w:rPr>
        <w:rFonts w:hint="default"/>
      </w:rPr>
    </w:lvl>
  </w:abstractNum>
  <w:abstractNum w:abstractNumId="15">
    <w:multiLevelType w:val="hybridMultilevel"/>
    <w:lvl w:ilvl="0">
      <w:start w:val="1"/>
      <w:numFmt w:val="decimal"/>
      <w:lvlText w:val="%1."/>
      <w:lvlJc w:val="left"/>
      <w:pPr>
        <w:ind w:left="113" w:hanging="331"/>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331"/>
      </w:pPr>
      <w:rPr>
        <w:rFonts w:hint="default"/>
      </w:rPr>
    </w:lvl>
    <w:lvl w:ilvl="2">
      <w:start w:val="0"/>
      <w:numFmt w:val="bullet"/>
      <w:lvlText w:val="•"/>
      <w:lvlJc w:val="left"/>
      <w:pPr>
        <w:ind w:left="2072" w:hanging="331"/>
      </w:pPr>
      <w:rPr>
        <w:rFonts w:hint="default"/>
      </w:rPr>
    </w:lvl>
    <w:lvl w:ilvl="3">
      <w:start w:val="0"/>
      <w:numFmt w:val="bullet"/>
      <w:lvlText w:val="•"/>
      <w:lvlJc w:val="left"/>
      <w:pPr>
        <w:ind w:left="3048" w:hanging="331"/>
      </w:pPr>
      <w:rPr>
        <w:rFonts w:hint="default"/>
      </w:rPr>
    </w:lvl>
    <w:lvl w:ilvl="4">
      <w:start w:val="0"/>
      <w:numFmt w:val="bullet"/>
      <w:lvlText w:val="•"/>
      <w:lvlJc w:val="left"/>
      <w:pPr>
        <w:ind w:left="4024" w:hanging="331"/>
      </w:pPr>
      <w:rPr>
        <w:rFonts w:hint="default"/>
      </w:rPr>
    </w:lvl>
    <w:lvl w:ilvl="5">
      <w:start w:val="0"/>
      <w:numFmt w:val="bullet"/>
      <w:lvlText w:val="•"/>
      <w:lvlJc w:val="left"/>
      <w:pPr>
        <w:ind w:left="5000" w:hanging="331"/>
      </w:pPr>
      <w:rPr>
        <w:rFonts w:hint="default"/>
      </w:rPr>
    </w:lvl>
    <w:lvl w:ilvl="6">
      <w:start w:val="0"/>
      <w:numFmt w:val="bullet"/>
      <w:lvlText w:val="•"/>
      <w:lvlJc w:val="left"/>
      <w:pPr>
        <w:ind w:left="5976" w:hanging="331"/>
      </w:pPr>
      <w:rPr>
        <w:rFonts w:hint="default"/>
      </w:rPr>
    </w:lvl>
    <w:lvl w:ilvl="7">
      <w:start w:val="0"/>
      <w:numFmt w:val="bullet"/>
      <w:lvlText w:val="•"/>
      <w:lvlJc w:val="left"/>
      <w:pPr>
        <w:ind w:left="6952" w:hanging="331"/>
      </w:pPr>
      <w:rPr>
        <w:rFonts w:hint="default"/>
      </w:rPr>
    </w:lvl>
    <w:lvl w:ilvl="8">
      <w:start w:val="0"/>
      <w:numFmt w:val="bullet"/>
      <w:lvlText w:val="•"/>
      <w:lvlJc w:val="left"/>
      <w:pPr>
        <w:ind w:left="7928" w:hanging="331"/>
      </w:pPr>
      <w:rPr>
        <w:rFonts w:hint="default"/>
      </w:rPr>
    </w:lvl>
  </w:abstractNum>
  <w:abstractNum w:abstractNumId="14">
    <w:multiLevelType w:val="hybridMultilevel"/>
    <w:lvl w:ilvl="0">
      <w:start w:val="5"/>
      <w:numFmt w:val="decimal"/>
      <w:lvlText w:val="%1."/>
      <w:lvlJc w:val="left"/>
      <w:pPr>
        <w:ind w:left="113" w:hanging="339"/>
        <w:jc w:val="left"/>
      </w:pPr>
      <w:rPr>
        <w:rFonts w:hint="default" w:ascii="Arial" w:hAnsi="Arial" w:eastAsia="Arial" w:cs="Arial"/>
        <w:b/>
        <w:bCs/>
        <w:spacing w:val="-1"/>
        <w:w w:val="125"/>
        <w:sz w:val="24"/>
        <w:szCs w:val="24"/>
      </w:rPr>
    </w:lvl>
    <w:lvl w:ilvl="1">
      <w:start w:val="0"/>
      <w:numFmt w:val="bullet"/>
      <w:lvlText w:val="•"/>
      <w:lvlJc w:val="left"/>
      <w:pPr>
        <w:ind w:left="3560" w:hanging="339"/>
      </w:pPr>
      <w:rPr>
        <w:rFonts w:hint="default"/>
      </w:rPr>
    </w:lvl>
    <w:lvl w:ilvl="2">
      <w:start w:val="0"/>
      <w:numFmt w:val="bullet"/>
      <w:lvlText w:val="•"/>
      <w:lvlJc w:val="left"/>
      <w:pPr>
        <w:ind w:left="4262" w:hanging="339"/>
      </w:pPr>
      <w:rPr>
        <w:rFonts w:hint="default"/>
      </w:rPr>
    </w:lvl>
    <w:lvl w:ilvl="3">
      <w:start w:val="0"/>
      <w:numFmt w:val="bullet"/>
      <w:lvlText w:val="•"/>
      <w:lvlJc w:val="left"/>
      <w:pPr>
        <w:ind w:left="4964" w:hanging="339"/>
      </w:pPr>
      <w:rPr>
        <w:rFonts w:hint="default"/>
      </w:rPr>
    </w:lvl>
    <w:lvl w:ilvl="4">
      <w:start w:val="0"/>
      <w:numFmt w:val="bullet"/>
      <w:lvlText w:val="•"/>
      <w:lvlJc w:val="left"/>
      <w:pPr>
        <w:ind w:left="5666" w:hanging="339"/>
      </w:pPr>
      <w:rPr>
        <w:rFonts w:hint="default"/>
      </w:rPr>
    </w:lvl>
    <w:lvl w:ilvl="5">
      <w:start w:val="0"/>
      <w:numFmt w:val="bullet"/>
      <w:lvlText w:val="•"/>
      <w:lvlJc w:val="left"/>
      <w:pPr>
        <w:ind w:left="6368" w:hanging="339"/>
      </w:pPr>
      <w:rPr>
        <w:rFonts w:hint="default"/>
      </w:rPr>
    </w:lvl>
    <w:lvl w:ilvl="6">
      <w:start w:val="0"/>
      <w:numFmt w:val="bullet"/>
      <w:lvlText w:val="•"/>
      <w:lvlJc w:val="left"/>
      <w:pPr>
        <w:ind w:left="7071" w:hanging="339"/>
      </w:pPr>
      <w:rPr>
        <w:rFonts w:hint="default"/>
      </w:rPr>
    </w:lvl>
    <w:lvl w:ilvl="7">
      <w:start w:val="0"/>
      <w:numFmt w:val="bullet"/>
      <w:lvlText w:val="•"/>
      <w:lvlJc w:val="left"/>
      <w:pPr>
        <w:ind w:left="7773" w:hanging="339"/>
      </w:pPr>
      <w:rPr>
        <w:rFonts w:hint="default"/>
      </w:rPr>
    </w:lvl>
    <w:lvl w:ilvl="8">
      <w:start w:val="0"/>
      <w:numFmt w:val="bullet"/>
      <w:lvlText w:val="•"/>
      <w:lvlJc w:val="left"/>
      <w:pPr>
        <w:ind w:left="8475" w:hanging="339"/>
      </w:pPr>
      <w:rPr>
        <w:rFonts w:hint="default"/>
      </w:rPr>
    </w:lvl>
  </w:abstractNum>
  <w:abstractNum w:abstractNumId="1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2">
    <w:multiLevelType w:val="hybridMultilevel"/>
    <w:lvl w:ilvl="0">
      <w:start w:val="2"/>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11">
    <w:multiLevelType w:val="hybridMultilevel"/>
    <w:lvl w:ilvl="0">
      <w:start w:val="1"/>
      <w:numFmt w:val="lowerLetter"/>
      <w:lvlText w:val="%1)"/>
      <w:lvlJc w:val="left"/>
      <w:pPr>
        <w:ind w:left="113" w:hanging="47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1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
    <w:multiLevelType w:val="hybridMultilevel"/>
    <w:lvl w:ilvl="0">
      <w:start w:val="2"/>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8">
    <w:multiLevelType w:val="hybridMultilevel"/>
    <w:lvl w:ilvl="0">
      <w:start w:val="1"/>
      <w:numFmt w:val="lowerLetter"/>
      <w:lvlText w:val="%1)"/>
      <w:lvlJc w:val="left"/>
      <w:pPr>
        <w:ind w:left="113" w:hanging="3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5"/>
      </w:pPr>
      <w:rPr>
        <w:rFonts w:hint="default"/>
      </w:rPr>
    </w:lvl>
    <w:lvl w:ilvl="2">
      <w:start w:val="0"/>
      <w:numFmt w:val="bullet"/>
      <w:lvlText w:val="•"/>
      <w:lvlJc w:val="left"/>
      <w:pPr>
        <w:ind w:left="2072" w:hanging="335"/>
      </w:pPr>
      <w:rPr>
        <w:rFonts w:hint="default"/>
      </w:rPr>
    </w:lvl>
    <w:lvl w:ilvl="3">
      <w:start w:val="0"/>
      <w:numFmt w:val="bullet"/>
      <w:lvlText w:val="•"/>
      <w:lvlJc w:val="left"/>
      <w:pPr>
        <w:ind w:left="3048" w:hanging="335"/>
      </w:pPr>
      <w:rPr>
        <w:rFonts w:hint="default"/>
      </w:rPr>
    </w:lvl>
    <w:lvl w:ilvl="4">
      <w:start w:val="0"/>
      <w:numFmt w:val="bullet"/>
      <w:lvlText w:val="•"/>
      <w:lvlJc w:val="left"/>
      <w:pPr>
        <w:ind w:left="4024" w:hanging="335"/>
      </w:pPr>
      <w:rPr>
        <w:rFonts w:hint="default"/>
      </w:rPr>
    </w:lvl>
    <w:lvl w:ilvl="5">
      <w:start w:val="0"/>
      <w:numFmt w:val="bullet"/>
      <w:lvlText w:val="•"/>
      <w:lvlJc w:val="left"/>
      <w:pPr>
        <w:ind w:left="5000" w:hanging="335"/>
      </w:pPr>
      <w:rPr>
        <w:rFonts w:hint="default"/>
      </w:rPr>
    </w:lvl>
    <w:lvl w:ilvl="6">
      <w:start w:val="0"/>
      <w:numFmt w:val="bullet"/>
      <w:lvlText w:val="•"/>
      <w:lvlJc w:val="left"/>
      <w:pPr>
        <w:ind w:left="5976" w:hanging="335"/>
      </w:pPr>
      <w:rPr>
        <w:rFonts w:hint="default"/>
      </w:rPr>
    </w:lvl>
    <w:lvl w:ilvl="7">
      <w:start w:val="0"/>
      <w:numFmt w:val="bullet"/>
      <w:lvlText w:val="•"/>
      <w:lvlJc w:val="left"/>
      <w:pPr>
        <w:ind w:left="6952" w:hanging="335"/>
      </w:pPr>
      <w:rPr>
        <w:rFonts w:hint="default"/>
      </w:rPr>
    </w:lvl>
    <w:lvl w:ilvl="8">
      <w:start w:val="0"/>
      <w:numFmt w:val="bullet"/>
      <w:lvlText w:val="•"/>
      <w:lvlJc w:val="left"/>
      <w:pPr>
        <w:ind w:left="7928" w:hanging="335"/>
      </w:pPr>
      <w:rPr>
        <w:rFonts w:hint="default"/>
      </w:rPr>
    </w:lvl>
  </w:abstractNum>
  <w:abstractNum w:abstractNumId="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
    <w:multiLevelType w:val="hybridMultilevel"/>
    <w:lvl w:ilvl="0">
      <w:start w:val="2"/>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
    <w:multiLevelType w:val="hybridMultilevel"/>
    <w:lvl w:ilvl="0">
      <w:start w:val="0"/>
      <w:numFmt w:val="bullet"/>
      <w:lvlText w:val="-"/>
      <w:lvlJc w:val="left"/>
      <w:pPr>
        <w:ind w:left="113" w:hanging="157"/>
      </w:pPr>
      <w:rPr>
        <w:rFonts w:hint="default" w:ascii="Times New Roman" w:hAnsi="Times New Roman" w:eastAsia="Times New Roman" w:cs="Times New Roman"/>
        <w:w w:val="101"/>
        <w:sz w:val="24"/>
        <w:szCs w:val="24"/>
      </w:rPr>
    </w:lvl>
    <w:lvl w:ilvl="1">
      <w:start w:val="0"/>
      <w:numFmt w:val="bullet"/>
      <w:lvlText w:val="•"/>
      <w:lvlJc w:val="left"/>
      <w:pPr>
        <w:ind w:left="1096" w:hanging="157"/>
      </w:pPr>
      <w:rPr>
        <w:rFonts w:hint="default"/>
      </w:rPr>
    </w:lvl>
    <w:lvl w:ilvl="2">
      <w:start w:val="0"/>
      <w:numFmt w:val="bullet"/>
      <w:lvlText w:val="•"/>
      <w:lvlJc w:val="left"/>
      <w:pPr>
        <w:ind w:left="2072" w:hanging="157"/>
      </w:pPr>
      <w:rPr>
        <w:rFonts w:hint="default"/>
      </w:rPr>
    </w:lvl>
    <w:lvl w:ilvl="3">
      <w:start w:val="0"/>
      <w:numFmt w:val="bullet"/>
      <w:lvlText w:val="•"/>
      <w:lvlJc w:val="left"/>
      <w:pPr>
        <w:ind w:left="3048" w:hanging="157"/>
      </w:pPr>
      <w:rPr>
        <w:rFonts w:hint="default"/>
      </w:rPr>
    </w:lvl>
    <w:lvl w:ilvl="4">
      <w:start w:val="0"/>
      <w:numFmt w:val="bullet"/>
      <w:lvlText w:val="•"/>
      <w:lvlJc w:val="left"/>
      <w:pPr>
        <w:ind w:left="4024" w:hanging="157"/>
      </w:pPr>
      <w:rPr>
        <w:rFonts w:hint="default"/>
      </w:rPr>
    </w:lvl>
    <w:lvl w:ilvl="5">
      <w:start w:val="0"/>
      <w:numFmt w:val="bullet"/>
      <w:lvlText w:val="•"/>
      <w:lvlJc w:val="left"/>
      <w:pPr>
        <w:ind w:left="5000" w:hanging="157"/>
      </w:pPr>
      <w:rPr>
        <w:rFonts w:hint="default"/>
      </w:rPr>
    </w:lvl>
    <w:lvl w:ilvl="6">
      <w:start w:val="0"/>
      <w:numFmt w:val="bullet"/>
      <w:lvlText w:val="•"/>
      <w:lvlJc w:val="left"/>
      <w:pPr>
        <w:ind w:left="5976" w:hanging="157"/>
      </w:pPr>
      <w:rPr>
        <w:rFonts w:hint="default"/>
      </w:rPr>
    </w:lvl>
    <w:lvl w:ilvl="7">
      <w:start w:val="0"/>
      <w:numFmt w:val="bullet"/>
      <w:lvlText w:val="•"/>
      <w:lvlJc w:val="left"/>
      <w:pPr>
        <w:ind w:left="6952" w:hanging="157"/>
      </w:pPr>
      <w:rPr>
        <w:rFonts w:hint="default"/>
      </w:rPr>
    </w:lvl>
    <w:lvl w:ilvl="8">
      <w:start w:val="0"/>
      <w:numFmt w:val="bullet"/>
      <w:lvlText w:val="•"/>
      <w:lvlJc w:val="left"/>
      <w:pPr>
        <w:ind w:left="7928" w:hanging="157"/>
      </w:pPr>
      <w:rPr>
        <w:rFonts w:hint="default"/>
      </w:rPr>
    </w:lvl>
  </w:abstractNum>
  <w:abstractNum w:abstractNumId="4">
    <w:multiLevelType w:val="hybridMultilevel"/>
    <w:lvl w:ilvl="0">
      <w:start w:val="1"/>
      <w:numFmt w:val="lowerLetter"/>
      <w:lvlText w:val="%1)"/>
      <w:lvlJc w:val="left"/>
      <w:pPr>
        <w:ind w:left="113" w:hanging="5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3">
    <w:multiLevelType w:val="hybridMultilevel"/>
    <w:lvl w:ilvl="0">
      <w:start w:val="1"/>
      <w:numFmt w:val="lowerLetter"/>
      <w:lvlText w:val="%1)"/>
      <w:lvlJc w:val="left"/>
      <w:pPr>
        <w:ind w:left="113" w:hanging="4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3"/>
      </w:pPr>
      <w:rPr>
        <w:rFonts w:hint="default"/>
      </w:rPr>
    </w:lvl>
    <w:lvl w:ilvl="2">
      <w:start w:val="0"/>
      <w:numFmt w:val="bullet"/>
      <w:lvlText w:val="•"/>
      <w:lvlJc w:val="left"/>
      <w:pPr>
        <w:ind w:left="2072" w:hanging="413"/>
      </w:pPr>
      <w:rPr>
        <w:rFonts w:hint="default"/>
      </w:rPr>
    </w:lvl>
    <w:lvl w:ilvl="3">
      <w:start w:val="0"/>
      <w:numFmt w:val="bullet"/>
      <w:lvlText w:val="•"/>
      <w:lvlJc w:val="left"/>
      <w:pPr>
        <w:ind w:left="3048" w:hanging="413"/>
      </w:pPr>
      <w:rPr>
        <w:rFonts w:hint="default"/>
      </w:rPr>
    </w:lvl>
    <w:lvl w:ilvl="4">
      <w:start w:val="0"/>
      <w:numFmt w:val="bullet"/>
      <w:lvlText w:val="•"/>
      <w:lvlJc w:val="left"/>
      <w:pPr>
        <w:ind w:left="4024" w:hanging="413"/>
      </w:pPr>
      <w:rPr>
        <w:rFonts w:hint="default"/>
      </w:rPr>
    </w:lvl>
    <w:lvl w:ilvl="5">
      <w:start w:val="0"/>
      <w:numFmt w:val="bullet"/>
      <w:lvlText w:val="•"/>
      <w:lvlJc w:val="left"/>
      <w:pPr>
        <w:ind w:left="5000" w:hanging="413"/>
      </w:pPr>
      <w:rPr>
        <w:rFonts w:hint="default"/>
      </w:rPr>
    </w:lvl>
    <w:lvl w:ilvl="6">
      <w:start w:val="0"/>
      <w:numFmt w:val="bullet"/>
      <w:lvlText w:val="•"/>
      <w:lvlJc w:val="left"/>
      <w:pPr>
        <w:ind w:left="5976" w:hanging="413"/>
      </w:pPr>
      <w:rPr>
        <w:rFonts w:hint="default"/>
      </w:rPr>
    </w:lvl>
    <w:lvl w:ilvl="7">
      <w:start w:val="0"/>
      <w:numFmt w:val="bullet"/>
      <w:lvlText w:val="•"/>
      <w:lvlJc w:val="left"/>
      <w:pPr>
        <w:ind w:left="6952" w:hanging="413"/>
      </w:pPr>
      <w:rPr>
        <w:rFonts w:hint="default"/>
      </w:rPr>
    </w:lvl>
    <w:lvl w:ilvl="8">
      <w:start w:val="0"/>
      <w:numFmt w:val="bullet"/>
      <w:lvlText w:val="•"/>
      <w:lvlJc w:val="left"/>
      <w:pPr>
        <w:ind w:left="7928" w:hanging="413"/>
      </w:pPr>
      <w:rPr>
        <w:rFonts w:hint="default"/>
      </w:rPr>
    </w:lvl>
  </w:abstractNum>
  <w:abstractNum w:abstractNumId="2">
    <w:multiLevelType w:val="hybridMultilevel"/>
    <w:lvl w:ilvl="0">
      <w:start w:val="1"/>
      <w:numFmt w:val="lowerLetter"/>
      <w:lvlText w:val="%1)"/>
      <w:lvlJc w:val="left"/>
      <w:pPr>
        <w:ind w:left="113" w:hanging="3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1">
    <w:multiLevelType w:val="hybridMultilevel"/>
    <w:lvl w:ilvl="0">
      <w:start w:val="1"/>
      <w:numFmt w:val="decimal"/>
      <w:lvlText w:val="%1."/>
      <w:lvlJc w:val="left"/>
      <w:pPr>
        <w:ind w:left="651" w:hanging="334"/>
        <w:jc w:val="left"/>
      </w:pPr>
      <w:rPr>
        <w:rFonts w:hint="default" w:ascii="Arial" w:hAnsi="Arial" w:eastAsia="Arial" w:cs="Arial"/>
        <w:b/>
        <w:bCs/>
        <w:spacing w:val="-1"/>
        <w:w w:val="125"/>
        <w:sz w:val="24"/>
        <w:szCs w:val="24"/>
      </w:rPr>
    </w:lvl>
    <w:lvl w:ilvl="1">
      <w:start w:val="2"/>
      <w:numFmt w:val="decimal"/>
      <w:lvlText w:val="%2."/>
      <w:lvlJc w:val="left"/>
      <w:pPr>
        <w:ind w:left="1483" w:hanging="305"/>
        <w:jc w:val="right"/>
      </w:pPr>
      <w:rPr>
        <w:rFonts w:hint="default"/>
        <w:spacing w:val="-1"/>
        <w:w w:val="127"/>
      </w:rPr>
    </w:lvl>
    <w:lvl w:ilvl="2">
      <w:start w:val="0"/>
      <w:numFmt w:val="bullet"/>
      <w:lvlText w:val="•"/>
      <w:lvlJc w:val="left"/>
      <w:pPr>
        <w:ind w:left="2413" w:hanging="305"/>
      </w:pPr>
      <w:rPr>
        <w:rFonts w:hint="default"/>
      </w:rPr>
    </w:lvl>
    <w:lvl w:ilvl="3">
      <w:start w:val="0"/>
      <w:numFmt w:val="bullet"/>
      <w:lvlText w:val="•"/>
      <w:lvlJc w:val="left"/>
      <w:pPr>
        <w:ind w:left="3346" w:hanging="305"/>
      </w:pPr>
      <w:rPr>
        <w:rFonts w:hint="default"/>
      </w:rPr>
    </w:lvl>
    <w:lvl w:ilvl="4">
      <w:start w:val="0"/>
      <w:numFmt w:val="bullet"/>
      <w:lvlText w:val="•"/>
      <w:lvlJc w:val="left"/>
      <w:pPr>
        <w:ind w:left="4280" w:hanging="305"/>
      </w:pPr>
      <w:rPr>
        <w:rFonts w:hint="default"/>
      </w:rPr>
    </w:lvl>
    <w:lvl w:ilvl="5">
      <w:start w:val="0"/>
      <w:numFmt w:val="bullet"/>
      <w:lvlText w:val="•"/>
      <w:lvlJc w:val="left"/>
      <w:pPr>
        <w:ind w:left="5213" w:hanging="305"/>
      </w:pPr>
      <w:rPr>
        <w:rFonts w:hint="default"/>
      </w:rPr>
    </w:lvl>
    <w:lvl w:ilvl="6">
      <w:start w:val="0"/>
      <w:numFmt w:val="bullet"/>
      <w:lvlText w:val="•"/>
      <w:lvlJc w:val="left"/>
      <w:pPr>
        <w:ind w:left="6146" w:hanging="305"/>
      </w:pPr>
      <w:rPr>
        <w:rFonts w:hint="default"/>
      </w:rPr>
    </w:lvl>
    <w:lvl w:ilvl="7">
      <w:start w:val="0"/>
      <w:numFmt w:val="bullet"/>
      <w:lvlText w:val="•"/>
      <w:lvlJc w:val="left"/>
      <w:pPr>
        <w:ind w:left="7080" w:hanging="305"/>
      </w:pPr>
      <w:rPr>
        <w:rFonts w:hint="default"/>
      </w:rPr>
    </w:lvl>
    <w:lvl w:ilvl="8">
      <w:start w:val="0"/>
      <w:numFmt w:val="bullet"/>
      <w:lvlText w:val="•"/>
      <w:lvlJc w:val="left"/>
      <w:pPr>
        <w:ind w:left="8013" w:hanging="305"/>
      </w:pPr>
      <w:rPr>
        <w:rFonts w:hint="default"/>
      </w:rPr>
    </w:lvl>
  </w:abstractNum>
  <w:abstractNum w:abstractNumId="0">
    <w:multiLevelType w:val="hybridMultilevel"/>
    <w:lvl w:ilvl="0">
      <w:start w:val="1"/>
      <w:numFmt w:val="upperRoman"/>
      <w:lvlText w:val="%1."/>
      <w:lvlJc w:val="left"/>
      <w:pPr>
        <w:ind w:left="3298" w:hanging="279"/>
        <w:jc w:val="right"/>
      </w:pPr>
      <w:rPr>
        <w:rFonts w:hint="default" w:ascii="Georgia-BoldItalic" w:hAnsi="Georgia-BoldItalic" w:eastAsia="Georgia-BoldItalic" w:cs="Georgia-BoldItalic"/>
        <w:b/>
        <w:bCs/>
        <w:i/>
        <w:spacing w:val="-1"/>
        <w:w w:val="104"/>
        <w:sz w:val="24"/>
        <w:szCs w:val="24"/>
      </w:rPr>
    </w:lvl>
    <w:lvl w:ilvl="1">
      <w:start w:val="0"/>
      <w:numFmt w:val="bullet"/>
      <w:lvlText w:val="•"/>
      <w:lvlJc w:val="left"/>
      <w:pPr>
        <w:ind w:left="3958" w:hanging="279"/>
      </w:pPr>
      <w:rPr>
        <w:rFonts w:hint="default"/>
      </w:rPr>
    </w:lvl>
    <w:lvl w:ilvl="2">
      <w:start w:val="0"/>
      <w:numFmt w:val="bullet"/>
      <w:lvlText w:val="•"/>
      <w:lvlJc w:val="left"/>
      <w:pPr>
        <w:ind w:left="4616" w:hanging="279"/>
      </w:pPr>
      <w:rPr>
        <w:rFonts w:hint="default"/>
      </w:rPr>
    </w:lvl>
    <w:lvl w:ilvl="3">
      <w:start w:val="0"/>
      <w:numFmt w:val="bullet"/>
      <w:lvlText w:val="•"/>
      <w:lvlJc w:val="left"/>
      <w:pPr>
        <w:ind w:left="5274" w:hanging="279"/>
      </w:pPr>
      <w:rPr>
        <w:rFonts w:hint="default"/>
      </w:rPr>
    </w:lvl>
    <w:lvl w:ilvl="4">
      <w:start w:val="0"/>
      <w:numFmt w:val="bullet"/>
      <w:lvlText w:val="•"/>
      <w:lvlJc w:val="left"/>
      <w:pPr>
        <w:ind w:left="5932" w:hanging="279"/>
      </w:pPr>
      <w:rPr>
        <w:rFonts w:hint="default"/>
      </w:rPr>
    </w:lvl>
    <w:lvl w:ilvl="5">
      <w:start w:val="0"/>
      <w:numFmt w:val="bullet"/>
      <w:lvlText w:val="•"/>
      <w:lvlJc w:val="left"/>
      <w:pPr>
        <w:ind w:left="6590" w:hanging="279"/>
      </w:pPr>
      <w:rPr>
        <w:rFonts w:hint="default"/>
      </w:rPr>
    </w:lvl>
    <w:lvl w:ilvl="6">
      <w:start w:val="0"/>
      <w:numFmt w:val="bullet"/>
      <w:lvlText w:val="•"/>
      <w:lvlJc w:val="left"/>
      <w:pPr>
        <w:ind w:left="7248" w:hanging="279"/>
      </w:pPr>
      <w:rPr>
        <w:rFonts w:hint="default"/>
      </w:rPr>
    </w:lvl>
    <w:lvl w:ilvl="7">
      <w:start w:val="0"/>
      <w:numFmt w:val="bullet"/>
      <w:lvlText w:val="•"/>
      <w:lvlJc w:val="left"/>
      <w:pPr>
        <w:ind w:left="7906" w:hanging="279"/>
      </w:pPr>
      <w:rPr>
        <w:rFonts w:hint="default"/>
      </w:rPr>
    </w:lvl>
    <w:lvl w:ilvl="8">
      <w:start w:val="0"/>
      <w:numFmt w:val="bullet"/>
      <w:lvlText w:val="•"/>
      <w:lvlJc w:val="left"/>
      <w:pPr>
        <w:ind w:left="8564" w:hanging="279"/>
      </w:pPr>
      <w:rPr>
        <w:rFonts w:hint="default"/>
      </w:rPr>
    </w:lvl>
  </w:abstractNum>
  <w:num w:numId="667">
    <w:abstractNumId w:val="666"/>
  </w:num>
  <w:num w:numId="666">
    <w:abstractNumId w:val="665"/>
  </w:num>
  <w:num w:numId="634">
    <w:abstractNumId w:val="633"/>
  </w:num>
  <w:num w:numId="601">
    <w:abstractNumId w:val="600"/>
  </w:num>
  <w:num w:numId="555">
    <w:abstractNumId w:val="554"/>
  </w:num>
  <w:num w:numId="458">
    <w:abstractNumId w:val="457"/>
  </w:num>
  <w:num w:numId="387">
    <w:abstractNumId w:val="386"/>
  </w:num>
  <w:num w:numId="322">
    <w:abstractNumId w:val="321"/>
  </w:num>
  <w:num w:numId="670">
    <w:abstractNumId w:val="669"/>
  </w:num>
  <w:num w:numId="669">
    <w:abstractNumId w:val="668"/>
  </w:num>
  <w:num w:numId="668">
    <w:abstractNumId w:val="667"/>
  </w:num>
  <w:num w:numId="665">
    <w:abstractNumId w:val="664"/>
  </w:num>
  <w:num w:numId="664">
    <w:abstractNumId w:val="663"/>
  </w:num>
  <w:num w:numId="663">
    <w:abstractNumId w:val="662"/>
  </w:num>
  <w:num w:numId="662">
    <w:abstractNumId w:val="661"/>
  </w:num>
  <w:num w:numId="661">
    <w:abstractNumId w:val="660"/>
  </w:num>
  <w:num w:numId="660">
    <w:abstractNumId w:val="659"/>
  </w:num>
  <w:num w:numId="659">
    <w:abstractNumId w:val="658"/>
  </w:num>
  <w:num w:numId="658">
    <w:abstractNumId w:val="657"/>
  </w:num>
  <w:num w:numId="657">
    <w:abstractNumId w:val="656"/>
  </w:num>
  <w:num w:numId="656">
    <w:abstractNumId w:val="655"/>
  </w:num>
  <w:num w:numId="655">
    <w:abstractNumId w:val="654"/>
  </w:num>
  <w:num w:numId="654">
    <w:abstractNumId w:val="653"/>
  </w:num>
  <w:num w:numId="653">
    <w:abstractNumId w:val="652"/>
  </w:num>
  <w:num w:numId="652">
    <w:abstractNumId w:val="651"/>
  </w:num>
  <w:num w:numId="651">
    <w:abstractNumId w:val="650"/>
  </w:num>
  <w:num w:numId="650">
    <w:abstractNumId w:val="649"/>
  </w:num>
  <w:num w:numId="649">
    <w:abstractNumId w:val="648"/>
  </w:num>
  <w:num w:numId="648">
    <w:abstractNumId w:val="647"/>
  </w:num>
  <w:num w:numId="647">
    <w:abstractNumId w:val="646"/>
  </w:num>
  <w:num w:numId="646">
    <w:abstractNumId w:val="645"/>
  </w:num>
  <w:num w:numId="645">
    <w:abstractNumId w:val="644"/>
  </w:num>
  <w:num w:numId="644">
    <w:abstractNumId w:val="643"/>
  </w:num>
  <w:num w:numId="643">
    <w:abstractNumId w:val="642"/>
  </w:num>
  <w:num w:numId="642">
    <w:abstractNumId w:val="641"/>
  </w:num>
  <w:num w:numId="641">
    <w:abstractNumId w:val="640"/>
  </w:num>
  <w:num w:numId="640">
    <w:abstractNumId w:val="639"/>
  </w:num>
  <w:num w:numId="639">
    <w:abstractNumId w:val="638"/>
  </w:num>
  <w:num w:numId="638">
    <w:abstractNumId w:val="637"/>
  </w:num>
  <w:num w:numId="637">
    <w:abstractNumId w:val="636"/>
  </w:num>
  <w:num w:numId="636">
    <w:abstractNumId w:val="635"/>
  </w:num>
  <w:num w:numId="635">
    <w:abstractNumId w:val="634"/>
  </w:num>
  <w:num w:numId="633">
    <w:abstractNumId w:val="632"/>
  </w:num>
  <w:num w:numId="632">
    <w:abstractNumId w:val="631"/>
  </w:num>
  <w:num w:numId="631">
    <w:abstractNumId w:val="630"/>
  </w:num>
  <w:num w:numId="630">
    <w:abstractNumId w:val="629"/>
  </w:num>
  <w:num w:numId="629">
    <w:abstractNumId w:val="628"/>
  </w:num>
  <w:num w:numId="628">
    <w:abstractNumId w:val="627"/>
  </w:num>
  <w:num w:numId="627">
    <w:abstractNumId w:val="626"/>
  </w:num>
  <w:num w:numId="626">
    <w:abstractNumId w:val="625"/>
  </w:num>
  <w:num w:numId="625">
    <w:abstractNumId w:val="624"/>
  </w:num>
  <w:num w:numId="624">
    <w:abstractNumId w:val="623"/>
  </w:num>
  <w:num w:numId="623">
    <w:abstractNumId w:val="622"/>
  </w:num>
  <w:num w:numId="622">
    <w:abstractNumId w:val="621"/>
  </w:num>
  <w:num w:numId="621">
    <w:abstractNumId w:val="620"/>
  </w:num>
  <w:num w:numId="620">
    <w:abstractNumId w:val="619"/>
  </w:num>
  <w:num w:numId="619">
    <w:abstractNumId w:val="618"/>
  </w:num>
  <w:num w:numId="618">
    <w:abstractNumId w:val="617"/>
  </w:num>
  <w:num w:numId="617">
    <w:abstractNumId w:val="616"/>
  </w:num>
  <w:num w:numId="616">
    <w:abstractNumId w:val="615"/>
  </w:num>
  <w:num w:numId="615">
    <w:abstractNumId w:val="614"/>
  </w:num>
  <w:num w:numId="614">
    <w:abstractNumId w:val="613"/>
  </w:num>
  <w:num w:numId="613">
    <w:abstractNumId w:val="612"/>
  </w:num>
  <w:num w:numId="612">
    <w:abstractNumId w:val="611"/>
  </w:num>
  <w:num w:numId="611">
    <w:abstractNumId w:val="610"/>
  </w:num>
  <w:num w:numId="610">
    <w:abstractNumId w:val="609"/>
  </w:num>
  <w:num w:numId="609">
    <w:abstractNumId w:val="608"/>
  </w:num>
  <w:num w:numId="608">
    <w:abstractNumId w:val="607"/>
  </w:num>
  <w:num w:numId="607">
    <w:abstractNumId w:val="606"/>
  </w:num>
  <w:num w:numId="606">
    <w:abstractNumId w:val="605"/>
  </w:num>
  <w:num w:numId="605">
    <w:abstractNumId w:val="604"/>
  </w:num>
  <w:num w:numId="604">
    <w:abstractNumId w:val="603"/>
  </w:num>
  <w:num w:numId="603">
    <w:abstractNumId w:val="602"/>
  </w:num>
  <w:num w:numId="602">
    <w:abstractNumId w:val="601"/>
  </w:num>
  <w:num w:numId="600">
    <w:abstractNumId w:val="599"/>
  </w:num>
  <w:num w:numId="599">
    <w:abstractNumId w:val="598"/>
  </w:num>
  <w:num w:numId="598">
    <w:abstractNumId w:val="597"/>
  </w:num>
  <w:num w:numId="597">
    <w:abstractNumId w:val="596"/>
  </w:num>
  <w:num w:numId="596">
    <w:abstractNumId w:val="595"/>
  </w:num>
  <w:num w:numId="595">
    <w:abstractNumId w:val="594"/>
  </w:num>
  <w:num w:numId="594">
    <w:abstractNumId w:val="593"/>
  </w:num>
  <w:num w:numId="593">
    <w:abstractNumId w:val="592"/>
  </w:num>
  <w:num w:numId="592">
    <w:abstractNumId w:val="591"/>
  </w:num>
  <w:num w:numId="591">
    <w:abstractNumId w:val="590"/>
  </w:num>
  <w:num w:numId="590">
    <w:abstractNumId w:val="589"/>
  </w:num>
  <w:num w:numId="589">
    <w:abstractNumId w:val="588"/>
  </w:num>
  <w:num w:numId="588">
    <w:abstractNumId w:val="587"/>
  </w:num>
  <w:num w:numId="587">
    <w:abstractNumId w:val="586"/>
  </w:num>
  <w:num w:numId="586">
    <w:abstractNumId w:val="585"/>
  </w:num>
  <w:num w:numId="585">
    <w:abstractNumId w:val="584"/>
  </w:num>
  <w:num w:numId="584">
    <w:abstractNumId w:val="583"/>
  </w:num>
  <w:num w:numId="583">
    <w:abstractNumId w:val="582"/>
  </w:num>
  <w:num w:numId="582">
    <w:abstractNumId w:val="581"/>
  </w:num>
  <w:num w:numId="581">
    <w:abstractNumId w:val="580"/>
  </w:num>
  <w:num w:numId="580">
    <w:abstractNumId w:val="579"/>
  </w:num>
  <w:num w:numId="579">
    <w:abstractNumId w:val="578"/>
  </w:num>
  <w:num w:numId="578">
    <w:abstractNumId w:val="577"/>
  </w:num>
  <w:num w:numId="577">
    <w:abstractNumId w:val="576"/>
  </w:num>
  <w:num w:numId="576">
    <w:abstractNumId w:val="575"/>
  </w:num>
  <w:num w:numId="575">
    <w:abstractNumId w:val="574"/>
  </w:num>
  <w:num w:numId="574">
    <w:abstractNumId w:val="573"/>
  </w:num>
  <w:num w:numId="573">
    <w:abstractNumId w:val="572"/>
  </w:num>
  <w:num w:numId="572">
    <w:abstractNumId w:val="571"/>
  </w:num>
  <w:num w:numId="571">
    <w:abstractNumId w:val="570"/>
  </w:num>
  <w:num w:numId="570">
    <w:abstractNumId w:val="569"/>
  </w:num>
  <w:num w:numId="569">
    <w:abstractNumId w:val="568"/>
  </w:num>
  <w:num w:numId="568">
    <w:abstractNumId w:val="567"/>
  </w:num>
  <w:num w:numId="567">
    <w:abstractNumId w:val="566"/>
  </w:num>
  <w:num w:numId="566">
    <w:abstractNumId w:val="565"/>
  </w:num>
  <w:num w:numId="565">
    <w:abstractNumId w:val="564"/>
  </w:num>
  <w:num w:numId="564">
    <w:abstractNumId w:val="563"/>
  </w:num>
  <w:num w:numId="563">
    <w:abstractNumId w:val="562"/>
  </w:num>
  <w:num w:numId="562">
    <w:abstractNumId w:val="561"/>
  </w:num>
  <w:num w:numId="561">
    <w:abstractNumId w:val="560"/>
  </w:num>
  <w:num w:numId="560">
    <w:abstractNumId w:val="559"/>
  </w:num>
  <w:num w:numId="559">
    <w:abstractNumId w:val="558"/>
  </w:num>
  <w:num w:numId="558">
    <w:abstractNumId w:val="557"/>
  </w:num>
  <w:num w:numId="557">
    <w:abstractNumId w:val="556"/>
  </w:num>
  <w:num w:numId="556">
    <w:abstractNumId w:val="555"/>
  </w:num>
  <w:num w:numId="554">
    <w:abstractNumId w:val="553"/>
  </w:num>
  <w:num w:numId="553">
    <w:abstractNumId w:val="552"/>
  </w:num>
  <w:num w:numId="552">
    <w:abstractNumId w:val="551"/>
  </w:num>
  <w:num w:numId="551">
    <w:abstractNumId w:val="550"/>
  </w:num>
  <w:num w:numId="550">
    <w:abstractNumId w:val="549"/>
  </w:num>
  <w:num w:numId="549">
    <w:abstractNumId w:val="548"/>
  </w:num>
  <w:num w:numId="548">
    <w:abstractNumId w:val="547"/>
  </w:num>
  <w:num w:numId="547">
    <w:abstractNumId w:val="546"/>
  </w:num>
  <w:num w:numId="546">
    <w:abstractNumId w:val="545"/>
  </w:num>
  <w:num w:numId="545">
    <w:abstractNumId w:val="544"/>
  </w:num>
  <w:num w:numId="544">
    <w:abstractNumId w:val="543"/>
  </w:num>
  <w:num w:numId="543">
    <w:abstractNumId w:val="542"/>
  </w:num>
  <w:num w:numId="542">
    <w:abstractNumId w:val="541"/>
  </w:num>
  <w:num w:numId="541">
    <w:abstractNumId w:val="540"/>
  </w:num>
  <w:num w:numId="540">
    <w:abstractNumId w:val="539"/>
  </w:num>
  <w:num w:numId="539">
    <w:abstractNumId w:val="538"/>
  </w:num>
  <w:num w:numId="538">
    <w:abstractNumId w:val="537"/>
  </w:num>
  <w:num w:numId="537">
    <w:abstractNumId w:val="536"/>
  </w:num>
  <w:num w:numId="536">
    <w:abstractNumId w:val="535"/>
  </w:num>
  <w:num w:numId="535">
    <w:abstractNumId w:val="534"/>
  </w:num>
  <w:num w:numId="534">
    <w:abstractNumId w:val="533"/>
  </w:num>
  <w:num w:numId="533">
    <w:abstractNumId w:val="532"/>
  </w:num>
  <w:num w:numId="532">
    <w:abstractNumId w:val="531"/>
  </w:num>
  <w:num w:numId="531">
    <w:abstractNumId w:val="530"/>
  </w:num>
  <w:num w:numId="530">
    <w:abstractNumId w:val="529"/>
  </w:num>
  <w:num w:numId="529">
    <w:abstractNumId w:val="528"/>
  </w:num>
  <w:num w:numId="528">
    <w:abstractNumId w:val="527"/>
  </w:num>
  <w:num w:numId="527">
    <w:abstractNumId w:val="526"/>
  </w:num>
  <w:num w:numId="526">
    <w:abstractNumId w:val="525"/>
  </w:num>
  <w:num w:numId="525">
    <w:abstractNumId w:val="524"/>
  </w:num>
  <w:num w:numId="524">
    <w:abstractNumId w:val="523"/>
  </w:num>
  <w:num w:numId="523">
    <w:abstractNumId w:val="522"/>
  </w: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firstLine="204"/>
    </w:pPr>
    <w:rPr>
      <w:rFonts w:ascii="Times New Roman" w:hAnsi="Times New Roman" w:eastAsia="Times New Roman" w:cs="Times New Roman"/>
      <w:sz w:val="24"/>
      <w:szCs w:val="24"/>
    </w:rPr>
  </w:style>
  <w:style w:styleId="Heading1" w:type="paragraph">
    <w:name w:val="Heading 1"/>
    <w:basedOn w:val="Normal"/>
    <w:uiPriority w:val="1"/>
    <w:qFormat/>
    <w:pPr>
      <w:spacing w:line="262" w:lineRule="exact"/>
      <w:ind w:left="317"/>
      <w:outlineLvl w:val="1"/>
    </w:pPr>
    <w:rPr>
      <w:rFonts w:ascii="Arial" w:hAnsi="Arial" w:eastAsia="Arial" w:cs="Arial"/>
      <w:b/>
      <w:bCs/>
      <w:sz w:val="24"/>
      <w:szCs w:val="24"/>
    </w:rPr>
  </w:style>
  <w:style w:styleId="Heading2" w:type="paragraph">
    <w:name w:val="Heading 2"/>
    <w:basedOn w:val="Normal"/>
    <w:uiPriority w:val="1"/>
    <w:qFormat/>
    <w:pPr>
      <w:ind w:left="4683"/>
      <w:outlineLvl w:val="2"/>
    </w:pPr>
    <w:rPr>
      <w:rFonts w:ascii="Georgia-BoldItalic" w:hAnsi="Georgia-BoldItalic" w:eastAsia="Georgia-BoldItalic" w:cs="Georgia-BoldItalic"/>
      <w:b/>
      <w:bCs/>
      <w:i/>
      <w:sz w:val="24"/>
      <w:szCs w:val="24"/>
    </w:rPr>
  </w:style>
  <w:style w:styleId="ListParagraph" w:type="paragraph">
    <w:name w:val="List Paragraph"/>
    <w:basedOn w:val="Normal"/>
    <w:uiPriority w:val="1"/>
    <w:qFormat/>
    <w:pPr>
      <w:ind w:left="113" w:firstLine="204"/>
      <w:jc w:val="both"/>
    </w:pPr>
    <w:rPr>
      <w:rFonts w:ascii="Times New Roman" w:hAnsi="Times New Roman" w:eastAsia="Times New Roman" w:cs="Times New Roman"/>
    </w:rPr>
  </w:style>
  <w:style w:styleId="TableParagraph" w:type="paragraph">
    <w:name w:val="Table Paragraph"/>
    <w:basedOn w:val="Normal"/>
    <w:uiPriority w:val="1"/>
    <w:qFormat/>
    <w:pPr>
      <w:spacing w:line="220"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oba.h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2019-09-18T09:45:36Z</dcterms:created>
  <dcterms:modified xsi:type="dcterms:W3CDTF">2019-09-18T09:45:36Z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